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47729d424b5.htm"/>
        <w:bookmarkStart w:id="1" w:name="ksd447729d424b5"/>
        <w:bookmarkEnd w:id="0"/>
        <w:bookmarkEnd w:id="1"/>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 xml:space="preserve">Filed Pursuant to Rule 424(b)(5) </w:t>
      </w:r>
    </w:p>
    <w:p>
      <w:pPr>
        <w:pStyle w:val="TextBody"/>
        <w:spacing w:before="0" w:after="0"/>
        <w:jc w:val="right"/>
        <w:rPr>
          <w:rFonts w:ascii="Times New Roman" w:hAnsi="Times New Roman"/>
          <w:b/>
          <w:sz w:val="20"/>
        </w:rPr>
      </w:pPr>
      <w:r>
        <w:rPr>
          <w:rFonts w:ascii="Times New Roman" w:hAnsi="Times New Roman"/>
          <w:b/>
          <w:sz w:val="20"/>
        </w:rPr>
        <w:t xml:space="preserve">Registration No. 333-18437 </w:t>
      </w:r>
    </w:p>
    <w:p>
      <w:pPr>
        <w:pStyle w:val="TextBody"/>
        <w:spacing w:before="36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50"/>
        <w:gridCol w:w="101"/>
        <w:gridCol w:w="1326"/>
        <w:gridCol w:w="101"/>
        <w:gridCol w:w="1327"/>
      </w:tblGrid>
      <w:tr>
        <w:trPr/>
        <w:tc>
          <w:tcPr>
            <w:tcW w:w="735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r>
        <w:trPr/>
        <w:tc>
          <w:tcPr>
            <w:tcW w:w="7350"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Title of Each Class of</w:t>
            </w:r>
          </w:p>
          <w:p>
            <w:pPr>
              <w:pStyle w:val="TableContents"/>
              <w:spacing w:before="0" w:after="15"/>
              <w:jc w:val="center"/>
              <w:rPr>
                <w:rFonts w:ascii="Times New Roman" w:hAnsi="Times New Roman"/>
                <w:b/>
                <w:sz w:val="14"/>
              </w:rPr>
            </w:pPr>
            <w:r>
              <w:rPr>
                <w:rFonts w:ascii="Times New Roman" w:hAnsi="Times New Roman"/>
                <w:b/>
                <w:sz w:val="14"/>
              </w:rPr>
              <w:t>Securities to be Registered</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Proposed</w:t>
            </w:r>
          </w:p>
          <w:p>
            <w:pPr>
              <w:pStyle w:val="TableContents"/>
              <w:spacing w:before="0" w:after="0"/>
              <w:jc w:val="center"/>
              <w:rPr>
                <w:rFonts w:ascii="Times New Roman" w:hAnsi="Times New Roman"/>
                <w:b/>
                <w:sz w:val="14"/>
              </w:rPr>
            </w:pPr>
            <w:r>
              <w:rPr>
                <w:rFonts w:ascii="Times New Roman" w:hAnsi="Times New Roman"/>
                <w:b/>
                <w:sz w:val="14"/>
              </w:rPr>
              <w:t>maximum</w:t>
            </w:r>
          </w:p>
          <w:p>
            <w:pPr>
              <w:pStyle w:val="TableContents"/>
              <w:spacing w:before="0" w:after="0"/>
              <w:jc w:val="center"/>
              <w:rPr>
                <w:rFonts w:ascii="Times New Roman" w:hAnsi="Times New Roman"/>
                <w:b/>
                <w:sz w:val="14"/>
              </w:rPr>
            </w:pPr>
            <w:r>
              <w:rPr>
                <w:rFonts w:ascii="Times New Roman" w:hAnsi="Times New Roman"/>
                <w:b/>
                <w:sz w:val="14"/>
              </w:rPr>
              <w:t>aggregate</w:t>
            </w:r>
          </w:p>
          <w:p>
            <w:pPr>
              <w:pStyle w:val="TableContents"/>
              <w:spacing w:before="0" w:after="15"/>
              <w:jc w:val="center"/>
              <w:rPr>
                <w:rFonts w:ascii="Times New Roman" w:hAnsi="Times New Roman"/>
                <w:b/>
                <w:sz w:val="14"/>
              </w:rPr>
            </w:pPr>
            <w:r>
              <w:rPr>
                <w:rFonts w:ascii="Times New Roman" w:hAnsi="Times New Roman"/>
                <w:b/>
                <w:sz w:val="14"/>
              </w:rPr>
              <w:t>offering price</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of</w:t>
            </w:r>
          </w:p>
          <w:p>
            <w:pPr>
              <w:pStyle w:val="TableContents"/>
              <w:spacing w:before="0" w:after="15"/>
              <w:jc w:val="center"/>
              <w:rPr>
                <w:rFonts w:ascii="Times New Roman" w:hAnsi="Times New Roman"/>
                <w:b/>
                <w:sz w:val="14"/>
              </w:rPr>
            </w:pPr>
            <w:r>
              <w:rPr>
                <w:rFonts w:ascii="Times New Roman" w:hAnsi="Times New Roman"/>
                <w:b/>
                <w:sz w:val="14"/>
              </w:rPr>
              <w:t>registration fee</w:t>
            </w:r>
          </w:p>
        </w:tc>
      </w:tr>
      <w:tr>
        <w:trPr/>
        <w:tc>
          <w:tcPr>
            <w:tcW w:w="7350"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2.85% Senior Notes due 2023</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$399,008,000</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$54,425(1)</w:t>
            </w:r>
          </w:p>
        </w:tc>
      </w:tr>
      <w:tr>
        <w:trPr/>
        <w:tc>
          <w:tcPr>
            <w:tcW w:w="7350"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4.30% Senior Notes due 2043</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$349,737,500</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$47,704(1)</w:t>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Calculated in accordance with Rule 457(r) under the Securities Act of 1933. The total registration fee due for this offering is $102,129. Pursuant to Rule 457(p) of the Securities Act, the $18,756 filing fee previously paid for $336,131,719 aggregate amount of common units and debt securities that were registered but unsold under Registration Statement No. 333-162475 is offset against the currently due filing fee. As a result, a filing fee of $83,373 is being paid herewith in connection with the $748,745,500 of new debt securities.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PROSPECTUS SUPPLEMENT </w:t>
      </w:r>
    </w:p>
    <w:p>
      <w:pPr>
        <w:pStyle w:val="TextBody"/>
        <w:spacing w:before="0" w:after="0"/>
        <w:rPr>
          <w:rFonts w:ascii="Times New Roman" w:hAnsi="Times New Roman"/>
          <w:b/>
          <w:sz w:val="20"/>
        </w:rPr>
      </w:pPr>
      <w:r>
        <w:rPr>
          <w:rFonts w:ascii="Times New Roman" w:hAnsi="Times New Roman"/>
          <w:b/>
          <w:sz w:val="20"/>
        </w:rPr>
        <w:t xml:space="preserve">To prospectus dated September 27, 2012 </w:t>
      </w:r>
    </w:p>
    <w:p>
      <w:pPr>
        <w:pStyle w:val="TextBody"/>
        <w:spacing w:before="0" w:after="0"/>
        <w:rPr/>
      </w:pPr>
      <w:r>
        <w:rPr/>
        <w:t> </w:t>
      </w:r>
    </w:p>
    <w:p>
      <w:pPr>
        <w:pStyle w:val="TextBody"/>
        <w:spacing w:before="90" w:after="0"/>
        <w:jc w:val="center"/>
        <w:rPr/>
      </w:pPr>
      <w:r>
        <w:rPr/>
        <w:drawing>
          <wp:inline distT="0" distB="0" distL="0" distR="0">
            <wp:extent cx="18859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609600"/>
                    </a:xfrm>
                    <a:prstGeom prst="rect">
                      <a:avLst/>
                    </a:prstGeom>
                  </pic:spPr>
                </pic:pic>
              </a:graphicData>
            </a:graphic>
          </wp:inline>
        </w:drawing>
      </w:r>
      <w:r>
        <w:rPr/>
        <w:t xml:space="preserve"> </w:t>
      </w:r>
    </w:p>
    <w:p>
      <w:pPr>
        <w:pStyle w:val="TextBody"/>
        <w:spacing w:before="150" w:after="0"/>
        <w:jc w:val="center"/>
        <w:rPr>
          <w:rFonts w:ascii="Times New Roman" w:hAnsi="Times New Roman"/>
          <w:b/>
          <w:sz w:val="36"/>
        </w:rPr>
      </w:pPr>
      <w:r>
        <w:rPr>
          <w:rFonts w:ascii="Times New Roman" w:hAnsi="Times New Roman"/>
          <w:b/>
          <w:sz w:val="36"/>
        </w:rPr>
        <w:t xml:space="preserve">Plains All American Pipeline, L.P. </w:t>
      </w:r>
    </w:p>
    <w:p>
      <w:pPr>
        <w:pStyle w:val="TextBody"/>
        <w:spacing w:before="0" w:after="0"/>
        <w:jc w:val="center"/>
        <w:rPr>
          <w:rFonts w:ascii="Times New Roman" w:hAnsi="Times New Roman"/>
          <w:b/>
          <w:sz w:val="36"/>
        </w:rPr>
      </w:pPr>
      <w:r>
        <w:rPr>
          <w:rFonts w:ascii="Times New Roman" w:hAnsi="Times New Roman"/>
          <w:b/>
          <w:sz w:val="36"/>
        </w:rPr>
        <w:t xml:space="preserve">PAA Finance Corp. </w:t>
      </w:r>
    </w:p>
    <w:p>
      <w:pPr>
        <w:pStyle w:val="TextBody"/>
        <w:spacing w:before="30" w:after="0"/>
        <w:jc w:val="center"/>
        <w:rPr>
          <w:rFonts w:ascii="Times New Roman" w:hAnsi="Times New Roman"/>
          <w:b/>
          <w:sz w:val="20"/>
        </w:rPr>
      </w:pPr>
      <w:r>
        <w:rPr>
          <w:rFonts w:ascii="Times New Roman" w:hAnsi="Times New Roman"/>
          <w:b/>
          <w:sz w:val="20"/>
        </w:rPr>
        <w:t xml:space="preserve">$400,000,000 2.85% Senior Notes due 2023 </w:t>
      </w:r>
    </w:p>
    <w:p>
      <w:pPr>
        <w:pStyle w:val="TextBody"/>
        <w:spacing w:before="0" w:after="0"/>
        <w:jc w:val="center"/>
        <w:rPr>
          <w:rFonts w:ascii="Times New Roman" w:hAnsi="Times New Roman"/>
          <w:b/>
          <w:sz w:val="20"/>
        </w:rPr>
      </w:pPr>
      <w:r>
        <w:rPr>
          <w:rFonts w:ascii="Times New Roman" w:hAnsi="Times New Roman"/>
          <w:b/>
          <w:sz w:val="20"/>
        </w:rPr>
        <w:t xml:space="preserve">$350,000,000 4.30% Senior Notes due 2043 </w:t>
      </w:r>
    </w:p>
    <w:p>
      <w:pPr>
        <w:pStyle w:val="TextBody"/>
        <w:spacing w:before="90" w:after="0"/>
        <w:rPr>
          <w:rFonts w:ascii="Times New Roman" w:hAnsi="Times New Roman"/>
          <w:sz w:val="20"/>
        </w:rPr>
      </w:pPr>
      <w:r>
        <w:rPr>
          <w:rFonts w:ascii="Times New Roman" w:hAnsi="Times New Roman"/>
          <w:sz w:val="20"/>
        </w:rPr>
        <w:t xml:space="preserve">Plains All American Pipeline, L.P. and PAA Finance Corp. are offering $750 million aggregate principal amount of debt securities, consisting of $400 million aggregate principal amount of 2.85% Senior Notes due 2023 and $350 million aggregate principal amount of 4.30% Senior Notes due 2043. We refer to each such series of notes as the 2023 Notes and the 2043 Notes, respectively, and, collectively as the Notes. </w:t>
      </w:r>
    </w:p>
    <w:p>
      <w:pPr>
        <w:pStyle w:val="TextBody"/>
        <w:spacing w:before="105" w:after="0"/>
        <w:rPr>
          <w:rFonts w:ascii="Times New Roman" w:hAnsi="Times New Roman"/>
          <w:sz w:val="20"/>
        </w:rPr>
      </w:pPr>
      <w:r>
        <w:rPr>
          <w:rFonts w:ascii="Times New Roman" w:hAnsi="Times New Roman"/>
          <w:sz w:val="20"/>
        </w:rPr>
        <w:t xml:space="preserve">We will pay interest on the Notes semi-annually in arrears on January 31 and July 31 of each year, beginning on July 31, 2013. The 2023 Notes will mature on January 31, 2023, and the 2043 Notes will mature on January 31, 2043, in either case unless redeemed prior to the respective maturity dates. </w:t>
      </w:r>
    </w:p>
    <w:p>
      <w:pPr>
        <w:pStyle w:val="TextBody"/>
        <w:spacing w:before="105" w:after="0"/>
        <w:rPr>
          <w:rFonts w:ascii="Times New Roman" w:hAnsi="Times New Roman"/>
          <w:sz w:val="20"/>
        </w:rPr>
      </w:pPr>
      <w:r>
        <w:rPr>
          <w:rFonts w:ascii="Times New Roman" w:hAnsi="Times New Roman"/>
          <w:sz w:val="20"/>
        </w:rPr>
        <w:t xml:space="preserve">We may, at our option, redeem the Notes of either series at any time in whole or from time to time in part, prior to maturity, at the redemption prices as described herein under Description of NotesOptional Redemption. </w:t>
      </w:r>
    </w:p>
    <w:p>
      <w:pPr>
        <w:pStyle w:val="TextBody"/>
        <w:spacing w:before="105" w:after="0"/>
        <w:rPr>
          <w:rFonts w:ascii="Times New Roman" w:hAnsi="Times New Roman"/>
          <w:sz w:val="20"/>
        </w:rPr>
      </w:pPr>
      <w:r>
        <w:rPr>
          <w:rFonts w:ascii="Times New Roman" w:hAnsi="Times New Roman"/>
          <w:sz w:val="20"/>
        </w:rPr>
        <w:t xml:space="preserve">The Notes will be the unsecured senior obligations of Plains All American Pipeline, L.P. and PAA Finance Corp. and will rank equally in right of payment with their other senior indebtedness from time to time outstanding. </w:t>
      </w:r>
    </w:p>
    <w:p>
      <w:pPr>
        <w:pStyle w:val="TextBody"/>
        <w:spacing w:before="105" w:after="0"/>
        <w:rPr>
          <w:rFonts w:ascii="Times New Roman" w:hAnsi="Times New Roman"/>
          <w:sz w:val="20"/>
        </w:rPr>
      </w:pPr>
      <w:r>
        <w:rPr>
          <w:rFonts w:ascii="Times New Roman" w:hAnsi="Times New Roman"/>
          <w:sz w:val="20"/>
        </w:rPr>
        <w:t xml:space="preserve">Each series of Notes is a new issue of securities with no established trading market. We do not currently intend to apply for listing of the Notes on any securities exchange or have the Notes quoted on any automated quotation system. </w:t>
      </w:r>
    </w:p>
    <w:p>
      <w:pPr>
        <w:pStyle w:val="TextBody"/>
        <w:spacing w:before="105" w:after="0"/>
        <w:rPr/>
      </w:pPr>
      <w:r>
        <w:rPr>
          <w:rFonts w:ascii="Times New Roman" w:hAnsi="Times New Roman"/>
          <w:b/>
          <w:sz w:val="20"/>
        </w:rPr>
        <w:t>Investing in the Notes involves risks. See </w:t>
      </w:r>
      <w:hyperlink w:anchor="supprom447729_4">
        <w:r>
          <w:rPr>
            <w:rStyle w:val="InternetLink"/>
            <w:rFonts w:ascii="Times New Roman" w:hAnsi="Times New Roman"/>
            <w:b/>
            <w:sz w:val="20"/>
          </w:rPr>
          <w:t>Risk Factors</w:t>
        </w:r>
      </w:hyperlink>
      <w:r>
        <w:rPr>
          <w:rFonts w:ascii="Times New Roman" w:hAnsi="Times New Roman"/>
          <w:b/>
          <w:sz w:val="20"/>
        </w:rPr>
        <w:t xml:space="preserve"> on page S-6 of this prospectus supplement and beginning on page 2 of the accompanying base prospectus. </w:t>
      </w:r>
    </w:p>
    <w:p>
      <w:pPr>
        <w:pStyle w:val="TextBody"/>
        <w:spacing w:before="105"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 </w:t>
      </w:r>
    </w:p>
    <w:p>
      <w:pPr>
        <w:pStyle w:val="TextBody"/>
        <w:spacing w:before="0" w:after="0"/>
        <w:rPr/>
      </w:pPr>
      <w:r>
        <w:rPr/>
        <w:t> </w:t>
      </w:r>
    </w:p>
    <w:tbl>
      <w:tblPr>
        <w:tblW w:w="4715" w:type="dxa"/>
        <w:jc w:val="center"/>
        <w:tblInd w:w="0" w:type="dxa"/>
        <w:tblCellMar>
          <w:top w:w="0" w:type="dxa"/>
          <w:left w:w="0" w:type="dxa"/>
          <w:bottom w:w="0" w:type="dxa"/>
          <w:right w:w="0" w:type="dxa"/>
        </w:tblCellMar>
      </w:tblPr>
      <w:tblGrid>
        <w:gridCol w:w="455"/>
        <w:gridCol w:w="120"/>
        <w:gridCol w:w="125"/>
        <w:gridCol w:w="1055"/>
        <w:gridCol w:w="230"/>
        <w:gridCol w:w="60"/>
        <w:gridCol w:w="125"/>
        <w:gridCol w:w="845"/>
        <w:gridCol w:w="230"/>
        <w:gridCol w:w="60"/>
        <w:gridCol w:w="125"/>
        <w:gridCol w:w="1055"/>
        <w:gridCol w:w="230"/>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Public Offering</w:t>
              <w:br/>
              <w:t>Price(1)</w:t>
            </w:r>
          </w:p>
        </w:tc>
        <w:tc>
          <w:tcPr>
            <w:tcW w:w="2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Underwriting</w:t>
              <w:br/>
              <w:t>Discount</w:t>
            </w:r>
          </w:p>
        </w:tc>
        <w:tc>
          <w:tcPr>
            <w:tcW w:w="2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Proceeds, Before</w:t>
              <w:br/>
              <w:t>Expenses, to Us</w:t>
            </w:r>
          </w:p>
        </w:tc>
        <w:tc>
          <w:tcPr>
            <w:tcW w:w="230" w:type="dxa"/>
            <w:tcBorders/>
            <w:shd w:fill="auto" w:val="clear"/>
            <w:vAlign w:val="bottom"/>
          </w:tcPr>
          <w:p>
            <w:pPr>
              <w:pStyle w:val="TableContents"/>
              <w:spacing w:before="0" w:after="283"/>
              <w:rPr/>
            </w:pPr>
            <w:r>
              <w:rPr/>
              <w:t> </w:t>
            </w:r>
          </w:p>
        </w:tc>
      </w:tr>
      <w:tr>
        <w:trPr/>
        <w:tc>
          <w:tcPr>
            <w:tcW w:w="455" w:type="dxa"/>
            <w:tcBorders/>
            <w:shd w:fill="CCEEFF" w:val="clear"/>
          </w:tcPr>
          <w:p>
            <w:pPr>
              <w:pStyle w:val="TableContents"/>
              <w:spacing w:before="0" w:after="283"/>
              <w:rPr>
                <w:rFonts w:ascii="Times New Roman" w:hAnsi="Times New Roman"/>
                <w:sz w:val="20"/>
              </w:rPr>
            </w:pPr>
            <w:r>
              <w:rPr>
                <w:rFonts w:ascii="Times New Roman" w:hAnsi="Times New Roman"/>
                <w:sz w:val="20"/>
              </w:rPr>
              <w:t>Per 2023 Note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99.752</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0.650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99.102</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5"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399,008,000</w:t>
            </w:r>
          </w:p>
        </w:tc>
        <w:tc>
          <w:tcPr>
            <w:tcW w:w="2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2,600,000</w:t>
            </w:r>
          </w:p>
        </w:tc>
        <w:tc>
          <w:tcPr>
            <w:tcW w:w="2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396,408,000</w:t>
            </w:r>
          </w:p>
        </w:tc>
        <w:tc>
          <w:tcPr>
            <w:tcW w:w="230" w:type="dxa"/>
            <w:tcBorders/>
            <w:shd w:fill="auto" w:val="clear"/>
            <w:vAlign w:val="bottom"/>
          </w:tcPr>
          <w:p>
            <w:pPr>
              <w:pStyle w:val="TableContents"/>
              <w:spacing w:before="0" w:after="283"/>
              <w:rPr/>
            </w:pPr>
            <w:r>
              <w:rPr/>
              <w:t>  </w:t>
            </w:r>
          </w:p>
        </w:tc>
      </w:tr>
      <w:tr>
        <w:trPr/>
        <w:tc>
          <w:tcPr>
            <w:tcW w:w="455" w:type="dxa"/>
            <w:tcBorders/>
            <w:shd w:fill="CCEEFF" w:val="clear"/>
          </w:tcPr>
          <w:p>
            <w:pPr>
              <w:pStyle w:val="TableContents"/>
              <w:spacing w:before="0" w:after="283"/>
              <w:rPr>
                <w:rFonts w:ascii="Times New Roman" w:hAnsi="Times New Roman"/>
                <w:sz w:val="20"/>
              </w:rPr>
            </w:pPr>
            <w:r>
              <w:rPr>
                <w:rFonts w:ascii="Times New Roman" w:hAnsi="Times New Roman"/>
                <w:sz w:val="20"/>
              </w:rPr>
              <w:t>Per 2043 Note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99.925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0.875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99.050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5"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349,737,500</w:t>
            </w:r>
          </w:p>
        </w:tc>
        <w:tc>
          <w:tcPr>
            <w:tcW w:w="2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3,062,500</w:t>
            </w:r>
          </w:p>
        </w:tc>
        <w:tc>
          <w:tcPr>
            <w:tcW w:w="2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346,675,000</w:t>
            </w:r>
          </w:p>
        </w:tc>
        <w:tc>
          <w:tcPr>
            <w:tcW w:w="230"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9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Plus accrued interest, if any, from December 10, 2012 if settlement occurs after that date. </w:t>
            </w:r>
          </w:p>
        </w:tc>
      </w:tr>
    </w:tbl>
    <w:p>
      <w:pPr>
        <w:pStyle w:val="TextBody"/>
        <w:spacing w:before="45" w:after="0"/>
        <w:rPr>
          <w:rFonts w:ascii="Times New Roman" w:hAnsi="Times New Roman"/>
          <w:sz w:val="20"/>
        </w:rPr>
      </w:pPr>
      <w:r>
        <w:rPr>
          <w:rFonts w:ascii="Times New Roman" w:hAnsi="Times New Roman"/>
          <w:sz w:val="20"/>
        </w:rPr>
        <w:t xml:space="preserve">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December 10, 2012, the fifth trading day after the date of this prospectus supplement. </w:t>
      </w:r>
    </w:p>
    <w:p>
      <w:pPr>
        <w:pStyle w:val="TextBody"/>
        <w:spacing w:before="105" w:after="0"/>
        <w:jc w:val="center"/>
        <w:rPr>
          <w:rFonts w:ascii="Times New Roman" w:hAnsi="Times New Roman"/>
          <w:i/>
          <w:sz w:val="20"/>
        </w:rPr>
      </w:pPr>
      <w:r>
        <w:rPr>
          <w:rFonts w:ascii="Times New Roman" w:hAnsi="Times New Roman"/>
          <w:i/>
          <w:sz w:val="20"/>
        </w:rPr>
        <w:t xml:space="preserve">Joint Book-Running Managers </w:t>
      </w:r>
    </w:p>
    <w:p>
      <w:pPr>
        <w:pStyle w:val="TextBody"/>
        <w:spacing w:before="90" w:after="0"/>
        <w:rPr>
          <w:rFonts w:ascii="Times New Roman" w:hAnsi="Times New Roman"/>
          <w:b/>
          <w:sz w:val="20"/>
        </w:rPr>
      </w:pPr>
      <w:r>
        <w:rPr>
          <w:rFonts w:ascii="Times New Roman" w:hAnsi="Times New Roman"/>
          <w:b/>
          <w:sz w:val="20"/>
        </w:rPr>
        <w:t xml:space="preserve">Wells Fargo Securities </w:t>
      </w:r>
    </w:p>
    <w:p>
      <w:pPr>
        <w:pStyle w:val="TextBody"/>
        <w:spacing w:before="0" w:after="0"/>
        <w:rPr>
          <w:rFonts w:ascii="Times New Roman" w:hAnsi="Times New Roman"/>
          <w:b/>
          <w:sz w:val="20"/>
        </w:rPr>
      </w:pPr>
      <w:r>
        <w:rPr>
          <w:rFonts w:ascii="Times New Roman" w:hAnsi="Times New Roman"/>
          <w:b/>
          <w:sz w:val="20"/>
        </w:rPr>
        <w:t xml:space="preserve">Barclays </w:t>
      </w:r>
    </w:p>
    <w:p>
      <w:pPr>
        <w:pStyle w:val="TextBody"/>
        <w:spacing w:before="0" w:after="0"/>
        <w:rPr>
          <w:rFonts w:ascii="Times New Roman" w:hAnsi="Times New Roman"/>
          <w:b/>
          <w:sz w:val="20"/>
        </w:rPr>
      </w:pPr>
      <w:r>
        <w:rPr>
          <w:rFonts w:ascii="Times New Roman" w:hAnsi="Times New Roman"/>
          <w:b/>
          <w:sz w:val="20"/>
        </w:rPr>
        <w:t xml:space="preserve">Citigroup </w:t>
      </w:r>
    </w:p>
    <w:p>
      <w:pPr>
        <w:pStyle w:val="TextBody"/>
        <w:spacing w:before="0" w:after="0"/>
        <w:rPr>
          <w:rFonts w:ascii="Times New Roman" w:hAnsi="Times New Roman"/>
          <w:b/>
          <w:sz w:val="20"/>
        </w:rPr>
      </w:pPr>
      <w:r>
        <w:rPr>
          <w:rFonts w:ascii="Times New Roman" w:hAnsi="Times New Roman"/>
          <w:b/>
          <w:sz w:val="20"/>
        </w:rPr>
        <w:t xml:space="preserve">SunTrust Robinson Humphrey </w:t>
      </w:r>
    </w:p>
    <w:p>
      <w:pPr>
        <w:pStyle w:val="TextBody"/>
        <w:spacing w:before="0" w:after="0"/>
        <w:rPr>
          <w:rFonts w:ascii="Times New Roman" w:hAnsi="Times New Roman"/>
          <w:b/>
          <w:sz w:val="20"/>
        </w:rPr>
      </w:pPr>
      <w:r>
        <w:rPr>
          <w:rFonts w:ascii="Times New Roman" w:hAnsi="Times New Roman"/>
          <w:b/>
          <w:sz w:val="20"/>
        </w:rPr>
        <w:t xml:space="preserve">UBS Investment Bank </w:t>
      </w:r>
    </w:p>
    <w:p>
      <w:pPr>
        <w:pStyle w:val="TextBody"/>
        <w:spacing w:before="105" w:after="0"/>
        <w:jc w:val="center"/>
        <w:rPr>
          <w:rFonts w:ascii="Times New Roman" w:hAnsi="Times New Roman"/>
          <w:i/>
          <w:sz w:val="20"/>
        </w:rPr>
      </w:pPr>
      <w:r>
        <w:rPr>
          <w:rFonts w:ascii="Times New Roman" w:hAnsi="Times New Roman"/>
          <w:i/>
          <w:sz w:val="20"/>
        </w:rPr>
        <w:t xml:space="preserve">Co-Managers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367"/>
        <w:gridCol w:w="102"/>
        <w:gridCol w:w="3368"/>
        <w:gridCol w:w="101"/>
        <w:gridCol w:w="3267"/>
      </w:tblGrid>
      <w:tr>
        <w:trPr/>
        <w:tc>
          <w:tcPr>
            <w:tcW w:w="336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b/>
                <w:sz w:val="20"/>
              </w:rPr>
            </w:pPr>
            <w:r>
              <w:rPr>
                <w:rFonts w:ascii="Times New Roman" w:hAnsi="Times New Roman"/>
                <w:b/>
                <w:sz w:val="20"/>
              </w:rPr>
              <w:t>Mitsubishi UFJ Securities</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pPr>
            <w:r>
              <w:rPr/>
              <w:t>                    </w:t>
            </w:r>
            <w:r>
              <w:rPr>
                <w:rFonts w:ascii="Times New Roman" w:hAnsi="Times New Roman"/>
                <w:b/>
                <w:sz w:val="20"/>
              </w:rPr>
              <w:t>Scotiabank</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pPr>
            <w:r>
              <w:rPr/>
              <w:t>                    </w:t>
            </w:r>
            <w:r>
              <w:rPr>
                <w:rFonts w:ascii="Times New Roman" w:hAnsi="Times New Roman"/>
                <w:b/>
                <w:sz w:val="20"/>
              </w:rPr>
              <w:t>SMBC Nikko</w:t>
            </w:r>
          </w:p>
        </w:tc>
      </w:tr>
      <w:tr>
        <w:trPr/>
        <w:tc>
          <w:tcPr>
            <w:tcW w:w="3367" w:type="dxa"/>
            <w:tcBorders/>
            <w:shd w:fill="auto" w:val="clear"/>
          </w:tcPr>
          <w:p>
            <w:pPr>
              <w:pStyle w:val="TableContents"/>
              <w:spacing w:before="0" w:after="283"/>
              <w:rPr>
                <w:rFonts w:ascii="Times New Roman" w:hAnsi="Times New Roman"/>
                <w:b/>
                <w:sz w:val="20"/>
              </w:rPr>
            </w:pPr>
            <w:r>
              <w:rPr>
                <w:rFonts w:ascii="Times New Roman" w:hAnsi="Times New Roman"/>
                <w:b/>
                <w:sz w:val="20"/>
              </w:rPr>
              <w:t>SOCIETE GENERALE</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pPr>
            <w:r>
              <w:rPr/>
              <w:t>                </w:t>
            </w:r>
            <w:r>
              <w:rPr>
                <w:rFonts w:ascii="Times New Roman" w:hAnsi="Times New Roman"/>
                <w:b/>
                <w:sz w:val="20"/>
              </w:rPr>
              <w:t>BB&amp;T Capital Markets</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pPr>
            <w:r>
              <w:rPr/>
              <w:t>                    </w:t>
            </w:r>
            <w:r>
              <w:rPr>
                <w:rFonts w:ascii="Times New Roman" w:hAnsi="Times New Roman"/>
                <w:b/>
                <w:sz w:val="20"/>
              </w:rPr>
              <w:t>BMO Capital Markets</w:t>
            </w:r>
          </w:p>
        </w:tc>
      </w:tr>
      <w:tr>
        <w:trPr/>
        <w:tc>
          <w:tcPr>
            <w:tcW w:w="3367" w:type="dxa"/>
            <w:tcBorders/>
            <w:shd w:fill="auto" w:val="clear"/>
          </w:tcPr>
          <w:p>
            <w:pPr>
              <w:pStyle w:val="TableContents"/>
              <w:spacing w:before="0" w:after="283"/>
              <w:rPr>
                <w:rFonts w:ascii="Times New Roman" w:hAnsi="Times New Roman"/>
                <w:b/>
                <w:sz w:val="20"/>
              </w:rPr>
            </w:pPr>
            <w:r>
              <w:rPr>
                <w:rFonts w:ascii="Times New Roman" w:hAnsi="Times New Roman"/>
                <w:b/>
                <w:sz w:val="20"/>
              </w:rPr>
              <w:t>CIBC</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pPr>
            <w:r>
              <w:rPr/>
              <w:t>            </w:t>
            </w:r>
            <w:r>
              <w:rPr>
                <w:rFonts w:ascii="Times New Roman" w:hAnsi="Times New Roman"/>
                <w:b/>
                <w:sz w:val="20"/>
              </w:rPr>
              <w:t>Fifth Third Securities, Inc.</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pPr>
            <w:r>
              <w:rPr/>
              <w:t xml:space="preserve">                     </w:t>
            </w:r>
            <w:r>
              <w:rPr>
                <w:rFonts w:ascii="Times New Roman" w:hAnsi="Times New Roman"/>
                <w:b/>
                <w:sz w:val="20"/>
              </w:rPr>
              <w:t>ING</w:t>
            </w:r>
          </w:p>
        </w:tc>
      </w:tr>
    </w:tbl>
    <w:tbl>
      <w:tblPr>
        <w:tblW w:w="5000" w:type="pct"/>
        <w:jc w:val="left"/>
        <w:tblInd w:w="0" w:type="dxa"/>
        <w:tblCellMar>
          <w:top w:w="0" w:type="dxa"/>
          <w:left w:w="0" w:type="dxa"/>
          <w:bottom w:w="0" w:type="dxa"/>
          <w:right w:w="0" w:type="dxa"/>
        </w:tblCellMar>
      </w:tblPr>
      <w:tblGrid>
        <w:gridCol w:w="5103"/>
        <w:gridCol w:w="101"/>
        <w:gridCol w:w="5001"/>
      </w:tblGrid>
      <w:tr>
        <w:trPr/>
        <w:tc>
          <w:tcPr>
            <w:tcW w:w="510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1" w:type="dxa"/>
            <w:tcBorders/>
            <w:shd w:fill="auto" w:val="clear"/>
            <w:vAlign w:val="center"/>
          </w:tcPr>
          <w:p>
            <w:pPr>
              <w:pStyle w:val="TableContents"/>
              <w:spacing w:before="0" w:after="283"/>
              <w:rPr>
                <w:sz w:val="4"/>
                <w:szCs w:val="4"/>
              </w:rPr>
            </w:pPr>
            <w:r>
              <w:rPr>
                <w:sz w:val="4"/>
                <w:szCs w:val="4"/>
              </w:rPr>
            </w:r>
          </w:p>
        </w:tc>
      </w:tr>
      <w:tr>
        <w:trPr/>
        <w:tc>
          <w:tcPr>
            <w:tcW w:w="510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PNC Capital Markets LLC</w:t>
            </w:r>
          </w:p>
        </w:tc>
        <w:tc>
          <w:tcPr>
            <w:tcW w:w="101"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US Bancorp</w:t>
            </w:r>
          </w:p>
        </w:tc>
      </w:tr>
    </w:tbl>
    <w:p>
      <w:pPr>
        <w:pStyle w:val="TextBody"/>
        <w:spacing w:before="90" w:after="0"/>
        <w:jc w:val="center"/>
        <w:rPr>
          <w:rFonts w:ascii="Times New Roman" w:hAnsi="Times New Roman"/>
          <w:sz w:val="20"/>
        </w:rPr>
      </w:pPr>
      <w:r>
        <w:rPr>
          <w:rFonts w:ascii="Times New Roman" w:hAnsi="Times New Roman"/>
          <w:sz w:val="20"/>
        </w:rPr>
        <w:t xml:space="preserve">The date of this prospectus supplement is December 3,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15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377"/>
        <w:gridCol w:w="387"/>
        <w:gridCol w:w="441"/>
      </w:tblGrid>
      <w:tr>
        <w:trPr/>
        <w:tc>
          <w:tcPr>
            <w:tcW w:w="937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937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Page</w:t>
            </w:r>
          </w:p>
        </w:tc>
      </w:tr>
    </w:tbl>
    <w:tbl>
      <w:tblPr>
        <w:tblW w:w="5000" w:type="pct"/>
        <w:jc w:val="center"/>
        <w:tblInd w:w="0" w:type="dxa"/>
        <w:tblCellMar>
          <w:top w:w="0" w:type="dxa"/>
          <w:left w:w="0" w:type="dxa"/>
          <w:bottom w:w="0" w:type="dxa"/>
          <w:right w:w="0" w:type="dxa"/>
        </w:tblCellMar>
      </w:tblPr>
      <w:tblGrid>
        <w:gridCol w:w="9579"/>
        <w:gridCol w:w="132"/>
        <w:gridCol w:w="60"/>
        <w:gridCol w:w="311"/>
        <w:gridCol w:w="123"/>
      </w:tblGrid>
      <w:tr>
        <w:trPr/>
        <w:tc>
          <w:tcPr>
            <w:tcW w:w="957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79" w:type="dxa"/>
            <w:tcBorders/>
            <w:shd w:fill="auto" w:val="clear"/>
          </w:tcPr>
          <w:p>
            <w:pPr>
              <w:pStyle w:val="TableContents"/>
              <w:spacing w:before="0" w:after="283"/>
              <w:rPr/>
            </w:pPr>
            <w:hyperlink w:anchor="supprom447729_1">
              <w:r>
                <w:rPr>
                  <w:rStyle w:val="InternetLink"/>
                  <w:rFonts w:ascii="Times New Roman" w:hAnsi="Times New Roman"/>
                  <w:sz w:val="20"/>
                </w:rPr>
                <w:t>Important Notice About Information in This Prospectus Supplement and the Accompanying Base Prospectus</w:t>
              </w:r>
            </w:hyperlink>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3" w:type="dxa"/>
            <w:tcBorders/>
            <w:shd w:fill="auto" w:val="clear"/>
            <w:vAlign w:val="bottom"/>
          </w:tcPr>
          <w:p>
            <w:pPr>
              <w:pStyle w:val="TableContents"/>
              <w:spacing w:before="0" w:after="283"/>
              <w:rPr/>
            </w:pPr>
            <w:r>
              <w:rPr/>
              <w:t>  </w:t>
            </w:r>
          </w:p>
        </w:tc>
      </w:tr>
      <w:tr>
        <w:trPr/>
        <w:tc>
          <w:tcPr>
            <w:tcW w:w="9579" w:type="dxa"/>
            <w:tcBorders/>
            <w:shd w:fill="auto" w:val="clear"/>
          </w:tcPr>
          <w:p>
            <w:pPr>
              <w:pStyle w:val="TableContents"/>
              <w:spacing w:before="0" w:after="283"/>
              <w:rPr/>
            </w:pPr>
            <w:hyperlink w:anchor="supprom447729_2">
              <w:r>
                <w:rPr>
                  <w:rStyle w:val="InternetLink"/>
                  <w:rFonts w:ascii="Times New Roman" w:hAnsi="Times New Roman"/>
                  <w:sz w:val="20"/>
                </w:rPr>
                <w:t>Forward-Looking Statements</w:t>
              </w:r>
            </w:hyperlink>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3" w:type="dxa"/>
            <w:tcBorders/>
            <w:shd w:fill="auto" w:val="clear"/>
            <w:vAlign w:val="bottom"/>
          </w:tcPr>
          <w:p>
            <w:pPr>
              <w:pStyle w:val="TableContents"/>
              <w:spacing w:before="0" w:after="283"/>
              <w:rPr/>
            </w:pPr>
            <w:r>
              <w:rPr/>
              <w:t>  </w:t>
            </w:r>
          </w:p>
        </w:tc>
      </w:tr>
      <w:tr>
        <w:trPr/>
        <w:tc>
          <w:tcPr>
            <w:tcW w:w="9579" w:type="dxa"/>
            <w:tcBorders/>
            <w:shd w:fill="auto" w:val="clear"/>
          </w:tcPr>
          <w:p>
            <w:pPr>
              <w:pStyle w:val="TableContents"/>
              <w:spacing w:before="0" w:after="283"/>
              <w:rPr/>
            </w:pPr>
            <w:hyperlink w:anchor="supprom447729_3">
              <w:r>
                <w:rPr>
                  <w:rStyle w:val="InternetLink"/>
                  <w:rFonts w:ascii="Times New Roman" w:hAnsi="Times New Roman"/>
                  <w:sz w:val="20"/>
                </w:rPr>
                <w:t>Prospectus Supplement Summary</w:t>
              </w:r>
            </w:hyperlink>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w:t>
            </w:r>
          </w:p>
        </w:tc>
        <w:tc>
          <w:tcPr>
            <w:tcW w:w="123" w:type="dxa"/>
            <w:tcBorders/>
            <w:shd w:fill="auto" w:val="clear"/>
            <w:vAlign w:val="bottom"/>
          </w:tcPr>
          <w:p>
            <w:pPr>
              <w:pStyle w:val="TableContents"/>
              <w:spacing w:before="0" w:after="283"/>
              <w:rPr/>
            </w:pPr>
            <w:r>
              <w:rPr/>
              <w:t>  </w:t>
            </w:r>
          </w:p>
        </w:tc>
      </w:tr>
      <w:tr>
        <w:trPr/>
        <w:tc>
          <w:tcPr>
            <w:tcW w:w="9579" w:type="dxa"/>
            <w:tcBorders/>
            <w:shd w:fill="auto" w:val="clear"/>
          </w:tcPr>
          <w:p>
            <w:pPr>
              <w:pStyle w:val="TableContents"/>
              <w:spacing w:before="0" w:after="283"/>
              <w:rPr/>
            </w:pPr>
            <w:hyperlink w:anchor="supprom447729_4">
              <w:r>
                <w:rPr>
                  <w:rStyle w:val="InternetLink"/>
                  <w:rFonts w:ascii="Times New Roman" w:hAnsi="Times New Roman"/>
                  <w:sz w:val="20"/>
                </w:rPr>
                <w:t>Risk Factors</w:t>
              </w:r>
            </w:hyperlink>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S-6</w:t>
            </w:r>
          </w:p>
        </w:tc>
        <w:tc>
          <w:tcPr>
            <w:tcW w:w="123" w:type="dxa"/>
            <w:tcBorders/>
            <w:shd w:fill="auto" w:val="clear"/>
            <w:vAlign w:val="bottom"/>
          </w:tcPr>
          <w:p>
            <w:pPr>
              <w:pStyle w:val="TableContents"/>
              <w:spacing w:before="0" w:after="283"/>
              <w:rPr/>
            </w:pPr>
            <w:r>
              <w:rPr/>
              <w:t>  </w:t>
            </w:r>
          </w:p>
        </w:tc>
      </w:tr>
      <w:tr>
        <w:trPr/>
        <w:tc>
          <w:tcPr>
            <w:tcW w:w="9579" w:type="dxa"/>
            <w:tcBorders/>
            <w:shd w:fill="auto" w:val="clear"/>
          </w:tcPr>
          <w:p>
            <w:pPr>
              <w:pStyle w:val="TableContents"/>
              <w:spacing w:before="0" w:after="283"/>
              <w:rPr/>
            </w:pPr>
            <w:hyperlink w:anchor="supprom447729_5">
              <w:r>
                <w:rPr>
                  <w:rStyle w:val="InternetLink"/>
                  <w:rFonts w:ascii="Times New Roman" w:hAnsi="Times New Roman"/>
                  <w:sz w:val="20"/>
                </w:rPr>
                <w:t>Use of Proceeds</w:t>
              </w:r>
            </w:hyperlink>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S-8</w:t>
            </w:r>
          </w:p>
        </w:tc>
        <w:tc>
          <w:tcPr>
            <w:tcW w:w="123" w:type="dxa"/>
            <w:tcBorders/>
            <w:shd w:fill="auto" w:val="clear"/>
            <w:vAlign w:val="bottom"/>
          </w:tcPr>
          <w:p>
            <w:pPr>
              <w:pStyle w:val="TableContents"/>
              <w:spacing w:before="0" w:after="283"/>
              <w:rPr/>
            </w:pPr>
            <w:r>
              <w:rPr/>
              <w:t>  </w:t>
            </w:r>
          </w:p>
        </w:tc>
      </w:tr>
      <w:tr>
        <w:trPr/>
        <w:tc>
          <w:tcPr>
            <w:tcW w:w="9579" w:type="dxa"/>
            <w:tcBorders/>
            <w:shd w:fill="auto" w:val="clear"/>
          </w:tcPr>
          <w:p>
            <w:pPr>
              <w:pStyle w:val="TableContents"/>
              <w:spacing w:before="0" w:after="283"/>
              <w:rPr/>
            </w:pPr>
            <w:hyperlink w:anchor="supprom447729_6">
              <w:r>
                <w:rPr>
                  <w:rStyle w:val="InternetLink"/>
                  <w:rFonts w:ascii="Times New Roman" w:hAnsi="Times New Roman"/>
                  <w:sz w:val="20"/>
                </w:rPr>
                <w:t>Ratio of Earnings to Fixed Charges</w:t>
              </w:r>
            </w:hyperlink>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S-9</w:t>
            </w:r>
          </w:p>
        </w:tc>
        <w:tc>
          <w:tcPr>
            <w:tcW w:w="123"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9499"/>
        <w:gridCol w:w="125"/>
        <w:gridCol w:w="60"/>
        <w:gridCol w:w="399"/>
        <w:gridCol w:w="122"/>
      </w:tblGrid>
      <w:tr>
        <w:trPr/>
        <w:tc>
          <w:tcPr>
            <w:tcW w:w="94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499" w:type="dxa"/>
            <w:tcBorders/>
            <w:shd w:fill="auto" w:val="clear"/>
          </w:tcPr>
          <w:p>
            <w:pPr>
              <w:pStyle w:val="TableContents"/>
              <w:spacing w:before="0" w:after="283"/>
              <w:rPr/>
            </w:pPr>
            <w:hyperlink w:anchor="supprom447729_7">
              <w:r>
                <w:rPr>
                  <w:rStyle w:val="InternetLink"/>
                  <w:rFonts w:ascii="Times New Roman" w:hAnsi="Times New Roman"/>
                  <w:sz w:val="20"/>
                </w:rPr>
                <w:t>Capitalization</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S-10</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8">
              <w:r>
                <w:rPr>
                  <w:rStyle w:val="InternetLink"/>
                  <w:rFonts w:ascii="Times New Roman" w:hAnsi="Times New Roman"/>
                  <w:sz w:val="20"/>
                </w:rPr>
                <w:t>Description of Notes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S-11</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9">
              <w:r>
                <w:rPr>
                  <w:rStyle w:val="InternetLink"/>
                  <w:rFonts w:ascii="Times New Roman" w:hAnsi="Times New Roman"/>
                  <w:sz w:val="20"/>
                </w:rPr>
                <w:t>Book Entry, Delivery and Form</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S-24</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10">
              <w:r>
                <w:rPr>
                  <w:rStyle w:val="InternetLink"/>
                  <w:rFonts w:ascii="Times New Roman" w:hAnsi="Times New Roman"/>
                  <w:sz w:val="20"/>
                </w:rPr>
                <w:t>Material U.S. Federal Income and Estate Tax Consequences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S-27</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11">
              <w:r>
                <w:rPr>
                  <w:rStyle w:val="InternetLink"/>
                  <w:rFonts w:ascii="Times New Roman" w:hAnsi="Times New Roman"/>
                  <w:sz w:val="20"/>
                </w:rPr>
                <w:t>Underwriting (Conflicts of Interest)</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S-33</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12">
              <w:r>
                <w:rPr>
                  <w:rStyle w:val="InternetLink"/>
                  <w:rFonts w:ascii="Times New Roman" w:hAnsi="Times New Roman"/>
                  <w:sz w:val="20"/>
                </w:rPr>
                <w:t>Legal Matters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S-37</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13">
              <w:r>
                <w:rPr>
                  <w:rStyle w:val="InternetLink"/>
                  <w:rFonts w:ascii="Times New Roman" w:hAnsi="Times New Roman"/>
                  <w:sz w:val="20"/>
                </w:rPr>
                <w:t>Experts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S-37</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14">
              <w:r>
                <w:rPr>
                  <w:rStyle w:val="InternetLink"/>
                  <w:rFonts w:ascii="Times New Roman" w:hAnsi="Times New Roman"/>
                  <w:sz w:val="20"/>
                </w:rPr>
                <w:t>Where You Can Find More Information</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S-37</w:t>
            </w:r>
          </w:p>
        </w:tc>
        <w:tc>
          <w:tcPr>
            <w:tcW w:w="122" w:type="dxa"/>
            <w:tcBorders/>
            <w:shd w:fill="auto" w:val="clear"/>
            <w:vAlign w:val="bottom"/>
          </w:tcPr>
          <w:p>
            <w:pPr>
              <w:pStyle w:val="TableContents"/>
              <w:spacing w:before="0" w:after="283"/>
              <w:rPr/>
            </w:pPr>
            <w:r>
              <w:rPr/>
              <w:t>  </w:t>
            </w:r>
          </w:p>
        </w:tc>
      </w:tr>
    </w:tbl>
    <w:p>
      <w:pPr>
        <w:pStyle w:val="TextBody"/>
        <w:spacing w:before="300" w:after="0"/>
        <w:jc w:val="center"/>
        <w:rPr>
          <w:rFonts w:ascii="Times New Roman" w:hAnsi="Times New Roman"/>
          <w:b/>
          <w:sz w:val="20"/>
        </w:rPr>
      </w:pPr>
      <w:r>
        <w:rPr>
          <w:rFonts w:ascii="Times New Roman" w:hAnsi="Times New Roman"/>
          <w:b/>
          <w:sz w:val="20"/>
        </w:rPr>
        <w:t xml:space="preserve">Prospectus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46"/>
        <w:gridCol w:w="98"/>
        <w:gridCol w:w="60"/>
        <w:gridCol w:w="80"/>
        <w:gridCol w:w="121"/>
      </w:tblGrid>
      <w:tr>
        <w:trPr/>
        <w:tc>
          <w:tcPr>
            <w:tcW w:w="984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846" w:type="dxa"/>
            <w:tcBorders/>
            <w:shd w:fill="auto" w:val="clear"/>
          </w:tcPr>
          <w:p>
            <w:pPr>
              <w:pStyle w:val="TableContents"/>
              <w:spacing w:before="0" w:after="283"/>
              <w:rPr/>
            </w:pPr>
            <w:hyperlink w:anchor="rom447729_1">
              <w:r>
                <w:rPr>
                  <w:rStyle w:val="InternetLink"/>
                  <w:rFonts w:ascii="Times New Roman" w:hAnsi="Times New Roman"/>
                  <w:sz w:val="20"/>
                </w:rPr>
                <w:t>About This Prospectus</w:t>
              </w:r>
            </w:hyperlink>
          </w:p>
        </w:tc>
        <w:tc>
          <w:tcPr>
            <w:tcW w:w="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1"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9786"/>
        <w:gridCol w:w="98"/>
        <w:gridCol w:w="60"/>
        <w:gridCol w:w="140"/>
        <w:gridCol w:w="121"/>
      </w:tblGrid>
      <w:tr>
        <w:trPr/>
        <w:tc>
          <w:tcPr>
            <w:tcW w:w="978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786" w:type="dxa"/>
            <w:tcBorders/>
            <w:shd w:fill="auto" w:val="clear"/>
          </w:tcPr>
          <w:p>
            <w:pPr>
              <w:pStyle w:val="TableContents"/>
              <w:spacing w:before="0" w:after="283"/>
              <w:rPr/>
            </w:pPr>
            <w:hyperlink w:anchor="rom447729_2">
              <w:r>
                <w:rPr>
                  <w:rStyle w:val="InternetLink"/>
                  <w:rFonts w:ascii="Times New Roman" w:hAnsi="Times New Roman"/>
                  <w:sz w:val="20"/>
                </w:rPr>
                <w:t>Where You Can Find More Information</w:t>
              </w:r>
            </w:hyperlink>
          </w:p>
        </w:tc>
        <w:tc>
          <w:tcPr>
            <w:tcW w:w="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c>
          <w:tcPr>
            <w:tcW w:w="121"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9740"/>
        <w:gridCol w:w="99"/>
        <w:gridCol w:w="60"/>
        <w:gridCol w:w="185"/>
        <w:gridCol w:w="121"/>
      </w:tblGrid>
      <w:tr>
        <w:trPr/>
        <w:tc>
          <w:tcPr>
            <w:tcW w:w="974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740" w:type="dxa"/>
            <w:tcBorders/>
            <w:shd w:fill="auto" w:val="clear"/>
          </w:tcPr>
          <w:p>
            <w:pPr>
              <w:pStyle w:val="TableContents"/>
              <w:spacing w:before="0" w:after="283"/>
              <w:rPr/>
            </w:pPr>
            <w:hyperlink w:anchor="rom447729_3">
              <w:r>
                <w:rPr>
                  <w:rStyle w:val="InternetLink"/>
                  <w:rFonts w:ascii="Times New Roman" w:hAnsi="Times New Roman"/>
                  <w:sz w:val="20"/>
                </w:rPr>
                <w:t>Forward-Looking Statements</w:t>
              </w:r>
            </w:hyperlink>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iv</w:t>
            </w:r>
          </w:p>
        </w:tc>
        <w:tc>
          <w:tcPr>
            <w:tcW w:w="121"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9800"/>
        <w:gridCol w:w="99"/>
        <w:gridCol w:w="60"/>
        <w:gridCol w:w="125"/>
        <w:gridCol w:w="121"/>
      </w:tblGrid>
      <w:tr>
        <w:trPr/>
        <w:tc>
          <w:tcPr>
            <w:tcW w:w="980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800" w:type="dxa"/>
            <w:tcBorders/>
            <w:shd w:fill="auto" w:val="clear"/>
          </w:tcPr>
          <w:p>
            <w:pPr>
              <w:pStyle w:val="TableContents"/>
              <w:spacing w:before="0" w:after="283"/>
              <w:rPr/>
            </w:pPr>
            <w:hyperlink w:anchor="rom447729_4">
              <w:r>
                <w:rPr>
                  <w:rStyle w:val="InternetLink"/>
                  <w:rFonts w:ascii="Times New Roman" w:hAnsi="Times New Roman"/>
                  <w:sz w:val="20"/>
                </w:rPr>
                <w:t>Who We Are</w:t>
              </w:r>
            </w:hyperlink>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c>
          <w:tcPr>
            <w:tcW w:w="9800" w:type="dxa"/>
            <w:tcBorders/>
            <w:shd w:fill="auto" w:val="clear"/>
          </w:tcPr>
          <w:p>
            <w:pPr>
              <w:pStyle w:val="TableContents"/>
              <w:spacing w:before="0" w:after="283"/>
              <w:rPr/>
            </w:pPr>
            <w:hyperlink w:anchor="rom447729_5">
              <w:r>
                <w:rPr>
                  <w:rStyle w:val="InternetLink"/>
                  <w:rFonts w:ascii="Times New Roman" w:hAnsi="Times New Roman"/>
                  <w:sz w:val="20"/>
                </w:rPr>
                <w:t>Risk Factors</w:t>
              </w:r>
            </w:hyperlink>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9800" w:type="dxa"/>
            <w:tcBorders/>
            <w:shd w:fill="auto" w:val="clear"/>
          </w:tcPr>
          <w:p>
            <w:pPr>
              <w:pStyle w:val="TableContents"/>
              <w:spacing w:before="0" w:after="283"/>
              <w:rPr/>
            </w:pPr>
            <w:hyperlink w:anchor="rom447729_6">
              <w:r>
                <w:rPr>
                  <w:rStyle w:val="InternetLink"/>
                  <w:rFonts w:ascii="Times New Roman" w:hAnsi="Times New Roman"/>
                  <w:sz w:val="20"/>
                </w:rPr>
                <w:t>Use of Proceeds</w:t>
              </w:r>
            </w:hyperlink>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1" w:type="dxa"/>
            <w:tcBorders/>
            <w:shd w:fill="auto" w:val="clear"/>
            <w:vAlign w:val="bottom"/>
          </w:tcPr>
          <w:p>
            <w:pPr>
              <w:pStyle w:val="TableContents"/>
              <w:spacing w:before="0" w:after="283"/>
              <w:rPr/>
            </w:pPr>
            <w:r>
              <w:rPr/>
              <w:t>  </w:t>
            </w:r>
          </w:p>
        </w:tc>
      </w:tr>
      <w:tr>
        <w:trPr/>
        <w:tc>
          <w:tcPr>
            <w:tcW w:w="9800" w:type="dxa"/>
            <w:tcBorders/>
            <w:shd w:fill="auto" w:val="clear"/>
          </w:tcPr>
          <w:p>
            <w:pPr>
              <w:pStyle w:val="TableContents"/>
              <w:spacing w:before="0" w:after="283"/>
              <w:rPr/>
            </w:pPr>
            <w:hyperlink w:anchor="rom447729_7">
              <w:r>
                <w:rPr>
                  <w:rStyle w:val="InternetLink"/>
                  <w:rFonts w:ascii="Times New Roman" w:hAnsi="Times New Roman"/>
                  <w:sz w:val="20"/>
                </w:rPr>
                <w:t>Ratio of Earnings to Fixed Charges</w:t>
              </w:r>
            </w:hyperlink>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auto" w:val="clear"/>
            <w:vAlign w:val="bottom"/>
          </w:tcPr>
          <w:p>
            <w:pPr>
              <w:pStyle w:val="TableContents"/>
              <w:spacing w:before="0" w:after="283"/>
              <w:rPr/>
            </w:pPr>
            <w:r>
              <w:rPr/>
              <w:t>  </w:t>
            </w:r>
          </w:p>
        </w:tc>
      </w:tr>
      <w:tr>
        <w:trPr/>
        <w:tc>
          <w:tcPr>
            <w:tcW w:w="9800" w:type="dxa"/>
            <w:tcBorders/>
            <w:shd w:fill="auto" w:val="clear"/>
          </w:tcPr>
          <w:p>
            <w:pPr>
              <w:pStyle w:val="TableContents"/>
              <w:spacing w:before="0" w:after="283"/>
              <w:rPr/>
            </w:pPr>
            <w:hyperlink w:anchor="rom447729_8">
              <w:r>
                <w:rPr>
                  <w:rStyle w:val="InternetLink"/>
                  <w:rFonts w:ascii="Times New Roman" w:hAnsi="Times New Roman"/>
                  <w:sz w:val="20"/>
                </w:rPr>
                <w:t>Description of Our Debt Securities</w:t>
              </w:r>
            </w:hyperlink>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9662"/>
        <w:gridCol w:w="128"/>
        <w:gridCol w:w="60"/>
        <w:gridCol w:w="232"/>
        <w:gridCol w:w="123"/>
      </w:tblGrid>
      <w:tr>
        <w:trPr/>
        <w:tc>
          <w:tcPr>
            <w:tcW w:w="966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662" w:type="dxa"/>
            <w:tcBorders/>
            <w:shd w:fill="auto" w:val="clear"/>
          </w:tcPr>
          <w:p>
            <w:pPr>
              <w:pStyle w:val="TableContents"/>
              <w:spacing w:before="0" w:after="283"/>
              <w:rPr/>
            </w:pPr>
            <w:hyperlink w:anchor="rom447729_9">
              <w:r>
                <w:rPr>
                  <w:rStyle w:val="InternetLink"/>
                  <w:rFonts w:ascii="Times New Roman" w:hAnsi="Times New Roman"/>
                  <w:sz w:val="20"/>
                </w:rPr>
                <w:t>Description of Our Common Units</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9662" w:type="dxa"/>
            <w:tcBorders/>
            <w:shd w:fill="auto" w:val="clear"/>
          </w:tcPr>
          <w:p>
            <w:pPr>
              <w:pStyle w:val="TableContents"/>
              <w:spacing w:before="0" w:after="283"/>
              <w:rPr/>
            </w:pPr>
            <w:hyperlink w:anchor="rom447729_10">
              <w:r>
                <w:rPr>
                  <w:rStyle w:val="InternetLink"/>
                  <w:rFonts w:ascii="Times New Roman" w:hAnsi="Times New Roman"/>
                  <w:sz w:val="20"/>
                </w:rPr>
                <w:t>Cash Distribution Policy</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9662" w:type="dxa"/>
            <w:tcBorders/>
            <w:shd w:fill="auto" w:val="clear"/>
          </w:tcPr>
          <w:p>
            <w:pPr>
              <w:pStyle w:val="TableContents"/>
              <w:spacing w:before="0" w:after="283"/>
              <w:rPr/>
            </w:pPr>
            <w:hyperlink w:anchor="rom447729_11">
              <w:r>
                <w:rPr>
                  <w:rStyle w:val="InternetLink"/>
                  <w:rFonts w:ascii="Times New Roman" w:hAnsi="Times New Roman"/>
                  <w:sz w:val="20"/>
                </w:rPr>
                <w:t>Description of Our Partnership Agreement</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662" w:type="dxa"/>
            <w:tcBorders/>
            <w:shd w:fill="auto" w:val="clear"/>
          </w:tcPr>
          <w:p>
            <w:pPr>
              <w:pStyle w:val="TableContents"/>
              <w:spacing w:before="0" w:after="283"/>
              <w:rPr/>
            </w:pPr>
            <w:hyperlink w:anchor="rom447729_12">
              <w:r>
                <w:rPr>
                  <w:rStyle w:val="InternetLink"/>
                  <w:rFonts w:ascii="Times New Roman" w:hAnsi="Times New Roman"/>
                  <w:sz w:val="20"/>
                </w:rPr>
                <w:t>Material U.S. Federal Income Tax Consequences</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662" w:type="dxa"/>
            <w:tcBorders/>
            <w:shd w:fill="auto" w:val="clear"/>
          </w:tcPr>
          <w:p>
            <w:pPr>
              <w:pStyle w:val="TableContents"/>
              <w:spacing w:before="0" w:after="283"/>
              <w:rPr/>
            </w:pPr>
            <w:hyperlink w:anchor="rom447729_13">
              <w:r>
                <w:rPr>
                  <w:rStyle w:val="InternetLink"/>
                  <w:rFonts w:ascii="Times New Roman" w:hAnsi="Times New Roman"/>
                  <w:sz w:val="20"/>
                </w:rPr>
                <w:t>Plan of Distribution</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3" w:type="dxa"/>
            <w:tcBorders/>
            <w:shd w:fill="auto" w:val="clear"/>
            <w:vAlign w:val="bottom"/>
          </w:tcPr>
          <w:p>
            <w:pPr>
              <w:pStyle w:val="TableContents"/>
              <w:spacing w:before="0" w:after="283"/>
              <w:rPr/>
            </w:pPr>
            <w:r>
              <w:rPr/>
              <w:t>  </w:t>
            </w:r>
          </w:p>
        </w:tc>
      </w:tr>
      <w:tr>
        <w:trPr/>
        <w:tc>
          <w:tcPr>
            <w:tcW w:w="9662" w:type="dxa"/>
            <w:tcBorders/>
            <w:shd w:fill="auto" w:val="clear"/>
          </w:tcPr>
          <w:p>
            <w:pPr>
              <w:pStyle w:val="TableContents"/>
              <w:spacing w:before="0" w:after="283"/>
              <w:rPr/>
            </w:pPr>
            <w:hyperlink w:anchor="rom447729_14">
              <w:r>
                <w:rPr>
                  <w:rStyle w:val="InternetLink"/>
                  <w:rFonts w:ascii="Times New Roman" w:hAnsi="Times New Roman"/>
                  <w:sz w:val="20"/>
                </w:rPr>
                <w:t>Legal Matters</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9662" w:type="dxa"/>
            <w:tcBorders/>
            <w:shd w:fill="auto" w:val="clear"/>
          </w:tcPr>
          <w:p>
            <w:pPr>
              <w:pStyle w:val="TableContents"/>
              <w:spacing w:before="0" w:after="283"/>
              <w:rPr/>
            </w:pPr>
            <w:hyperlink w:anchor="rom447729_15">
              <w:r>
                <w:rPr>
                  <w:rStyle w:val="InternetLink"/>
                  <w:rFonts w:ascii="Times New Roman" w:hAnsi="Times New Roman"/>
                  <w:sz w:val="20"/>
                </w:rPr>
                <w:t>Experts</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supprom447729_1"/>
      <w:bookmarkEnd w:id="3"/>
      <w:r>
        <w:rPr>
          <w:rFonts w:ascii="Times New Roman" w:hAnsi="Times New Roman"/>
          <w:b/>
          <w:sz w:val="20"/>
        </w:rPr>
        <w:t xml:space="preserve">IMPORTANT NOTICE ABOUT INFORMATION IN THIS PROSPECTUS SUPPLEMENT AND THE ACCOMPANYING BASE PROSPECTUS </w:t>
      </w:r>
    </w:p>
    <w:p>
      <w:pPr>
        <w:pStyle w:val="TextBody"/>
        <w:spacing w:before="150" w:after="0"/>
        <w:rPr>
          <w:rFonts w:ascii="Times New Roman" w:hAnsi="Times New Roman"/>
          <w:b/>
          <w:sz w:val="20"/>
        </w:rPr>
      </w:pPr>
      <w:r>
        <w:rPr>
          <w:rFonts w:ascii="Times New Roman" w:hAnsi="Times New Roman"/>
          <w:b/>
          <w:sz w:val="20"/>
        </w:rPr>
        <w:t xml:space="preserve">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 </w:t>
      </w:r>
    </w:p>
    <w:p>
      <w:pPr>
        <w:pStyle w:val="TextBody"/>
        <w:spacing w:before="150" w:after="0"/>
        <w:rPr>
          <w:rFonts w:ascii="Times New Roman" w:hAnsi="Times New Roman"/>
          <w:b/>
          <w:sz w:val="20"/>
        </w:rPr>
      </w:pPr>
      <w:r>
        <w:rPr>
          <w:rFonts w:ascii="Times New Roman" w:hAnsi="Times New Roman"/>
          <w:b/>
          <w:sz w:val="20"/>
        </w:rPr>
        <w:t xml:space="preserve">If the description of the offering varies between the prospectus supplement and the accompanying base prospectus, you should rely on the information in the prospectus supplement. </w:t>
      </w:r>
    </w:p>
    <w:p>
      <w:pPr>
        <w:pStyle w:val="TextBody"/>
        <w:spacing w:before="150" w:after="0"/>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 </w:t>
      </w:r>
    </w:p>
    <w:p>
      <w:pPr>
        <w:pStyle w:val="TextBody"/>
        <w:spacing w:before="150" w:after="0"/>
        <w:rPr>
          <w:rFonts w:ascii="Times New Roman" w:hAnsi="Times New Roman"/>
          <w:b/>
          <w:sz w:val="20"/>
        </w:rPr>
      </w:pPr>
      <w:r>
        <w:rPr>
          <w:rFonts w:ascii="Times New Roman" w:hAnsi="Times New Roman"/>
          <w:b/>
          <w:sz w:val="20"/>
        </w:rPr>
        <w:t xml:space="preserve">The information in this prospectus supplement is not complete. You should review carefully all of the detailed information appearing in this prospectus supplement, the accompanying base prospectus and the documents we have incorporated by reference before making any investment decision. </w:t>
      </w:r>
    </w:p>
    <w:p>
      <w:pPr>
        <w:pStyle w:val="TextBody"/>
        <w:spacing w:before="150" w:after="0"/>
        <w:rPr>
          <w:rFonts w:ascii="Times New Roman" w:hAnsi="Times New Roman"/>
          <w:sz w:val="20"/>
        </w:rPr>
      </w:pPr>
      <w:r>
        <w:rPr>
          <w:rFonts w:ascii="Times New Roman" w:hAnsi="Times New Roman"/>
          <w:sz w:val="20"/>
        </w:rPr>
        <w:t xml:space="preserve">We expect delivery of the Notes will be made against payment therefor on or about December 10, 2012, which is the fifth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 </w:t>
      </w:r>
    </w:p>
    <w:p>
      <w:pPr>
        <w:pStyle w:val="TextBody"/>
        <w:spacing w:before="150" w:after="0"/>
        <w:jc w:val="center"/>
        <w:rPr>
          <w:rFonts w:ascii="Times New Roman" w:hAnsi="Times New Roman"/>
          <w:b/>
          <w:sz w:val="20"/>
        </w:rPr>
      </w:pPr>
      <w:bookmarkStart w:id="4" w:name="supprom447729_2"/>
      <w:bookmarkEnd w:id="4"/>
      <w:r>
        <w:rPr>
          <w:rFonts w:ascii="Times New Roman" w:hAnsi="Times New Roman"/>
          <w:b/>
          <w:sz w:val="20"/>
        </w:rPr>
        <w:t xml:space="preserve">FORWARD-LOOKING STATEMENTS </w:t>
      </w:r>
    </w:p>
    <w:p>
      <w:pPr>
        <w:pStyle w:val="TextBody"/>
        <w:spacing w:before="150" w:after="0"/>
        <w:rPr>
          <w:rFonts w:ascii="Times New Roman" w:hAnsi="Times New Roman"/>
          <w:sz w:val="20"/>
        </w:rPr>
      </w:pPr>
      <w:r>
        <w:rPr>
          <w:rFonts w:ascii="Times New Roman" w:hAnsi="Times New Roman"/>
          <w:sz w:val="20"/>
        </w:rPr>
        <w:t xml:space="preserve">All statements included or incorporated by reference in this prospectus supplement or the accompanying base prospectus,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or delays in implementing or capitalizing, on planned internal growth projects;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2"/>
        <w:gridCol w:w="9493"/>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5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on page S-6 of this prospectus supplement and in Item 1A. Risk Factors in our Annual Report on Form 10-K for the fiscal year ended December 31, 2011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5" w:name="supprom447729_3"/>
      <w:bookmarkEnd w:id="5"/>
      <w:r>
        <w:rPr>
          <w:rFonts w:ascii="Times New Roman" w:hAnsi="Times New Roman"/>
          <w:b/>
          <w:sz w:val="20"/>
          <w:bdr w:val="single" w:sz="8" w:space="1" w:color="000000"/>
        </w:rPr>
        <w:t xml:space="preserve">PROSPECTUS SUPPLEMENT SUMMARY </w:t>
      </w:r>
    </w:p>
    <w:p>
      <w:pPr>
        <w:pStyle w:val="TextBody"/>
        <w:spacing w:before="150" w:after="0"/>
        <w:rPr>
          <w:rFonts w:ascii="Times New Roman" w:hAnsi="Times New Roman"/>
          <w:sz w:val="20"/>
          <w:bdr w:val="single" w:sz="8" w:space="1" w:color="000000"/>
        </w:rPr>
      </w:pPr>
      <w:r>
        <w:rPr>
          <w:rFonts w:ascii="Times New Roman" w:hAnsi="Times New Roman"/>
          <w:i/>
          <w:sz w:val="20"/>
          <w:bdr w:val="single" w:sz="8" w:space="1" w:color="000000"/>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on page S-</w:t>
      </w:r>
      <w:r>
        <w:rPr>
          <w:rFonts w:ascii="Times New Roman" w:hAnsi="Times New Roman"/>
          <w:sz w:val="20"/>
          <w:bdr w:val="single" w:sz="8" w:space="1" w:color="000000"/>
        </w:rPr>
        <w:t xml:space="preserve">6 </w:t>
      </w:r>
      <w:r>
        <w:rPr>
          <w:rFonts w:ascii="Times New Roman" w:hAnsi="Times New Roman"/>
          <w:i/>
          <w:sz w:val="20"/>
          <w:bdr w:val="single" w:sz="8" w:space="1" w:color="000000"/>
        </w:rPr>
        <w:t xml:space="preserve">of this prospectus supplement and in our Annual Report on Form 10-K for the fiscal year ended December 31, 2011, which is incorporated by reference herein, for information regarding risks you should consider before making a decision to purchase any Notes in this offering. </w:t>
      </w:r>
    </w:p>
    <w:p>
      <w:pPr>
        <w:pStyle w:val="TextBody"/>
        <w:spacing w:before="150" w:after="0"/>
        <w:rPr>
          <w:rFonts w:ascii="Times New Roman" w:hAnsi="Times New Roman"/>
          <w:i/>
          <w:sz w:val="20"/>
          <w:bdr w:val="single" w:sz="8" w:space="1" w:color="000000"/>
        </w:rPr>
      </w:pPr>
      <w:r>
        <w:rPr>
          <w:rFonts w:ascii="Times New Roman" w:hAnsi="Times New Roman"/>
          <w:i/>
          <w:sz w:val="20"/>
          <w:bdr w:val="single" w:sz="8" w:space="1" w:color="000000"/>
        </w:rPr>
        <w:t xml:space="preserve">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Prospectus Supplement Summary 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Plains All American Pipeline, L.P.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We are a Delaware limited partnership formed in September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(LPG).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We also own and operate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which holds a 2% general partner interest in PNG and all of its incentive distribution rights. We also currently own an approximate 62% limited partner interest in PNG.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We are one of the largest midstream crude oil companies in North America. We have an extensive network of transportation, terminalling, storage and gathering assets in key oil-producing basins and transportation corridors, and at major market hubs in the United States and Canada. We manage our operations through three primary operating segments: transportation, facilities and supply and logistics.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Ongoing Acquisition Activities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Subsequent to the end of the third quarter of 2012, we signed and closed one transaction and signed a definitive agreement for another transaction. These two transactions complement our existing operations and, assuming the second transaction closes, represent a potential aggregate purchase price in the range of $600 million to $650 million.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Our Principal Executive Offices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Our executive offices are located at 333 Clay Street, Suite 1600, Houston, Texas 77002. Our telephone number is (713) 646-4100. We maintain a website at </w:t>
      </w:r>
      <w:r>
        <w:rPr>
          <w:rFonts w:ascii="Times New Roman" w:hAnsi="Times New Roman"/>
          <w:i/>
          <w:sz w:val="20"/>
          <w:bdr w:val="single" w:sz="8" w:space="1" w:color="000000"/>
        </w:rPr>
        <w:t>www.paalp.com</w:t>
      </w:r>
      <w:r>
        <w:rPr>
          <w:rFonts w:ascii="Times New Roman" w:hAnsi="Times New Roman"/>
          <w:sz w:val="20"/>
          <w:bdr w:val="single" w:sz="8" w:space="1" w:color="000000"/>
        </w:rPr>
        <w:t xml:space="preserve"> that provides information about our business and operations. Information contained on or available through our website is not incorporated into or otherwise a part of this prospectus supplement or the accompanying base prospectus.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Additional Information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2011, and our Quarterly Reports on Form 10-Q for the quarterly periods ended March 31, 2012, June 30, 2012 and September 30, 2012, each of which is incorporated by reference herein.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Issuers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Plains All American Pipeline, L.P. and PAA Finance Corp.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6"/>
        <w:gridCol w:w="5819"/>
      </w:tblGrid>
      <w:tr>
        <w:trPr/>
        <w:tc>
          <w:tcPr>
            <w:tcW w:w="4386" w:type="dxa"/>
            <w:tcBorders/>
            <w:shd w:fill="auto" w:val="clear"/>
            <w:vAlign w:val="center"/>
          </w:tcPr>
          <w:p>
            <w:pPr>
              <w:pStyle w:val="TableContents"/>
              <w:spacing w:before="0" w:after="283"/>
              <w:rPr/>
            </w:pPr>
            <w:r>
              <w:rPr/>
              <w:t> </w:t>
            </w:r>
          </w:p>
        </w:tc>
        <w:tc>
          <w:tcPr>
            <w:tcW w:w="581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Future Guarantees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Initially, the Notes will not be guaranteed by any subsidiaries of the issuers. In the future, however, if any subsidiaries guarantee any of the issuers other debt, then those subsidiaries will, jointly and severally, fully and unconditionally guarantee the issuers payment obligations under the Notes. Please read Description of NotesPossible Future Guarantees.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Notes offered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$400,000,000 aggregate principal amount of 2.85% Senior Notes due 2023.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vAlign w:val="center"/>
          </w:tcPr>
          <w:p>
            <w:pPr>
              <w:pStyle w:val="TableContents"/>
              <w:spacing w:before="0" w:after="283"/>
              <w:rPr/>
            </w:pPr>
            <w:r>
              <w:rPr/>
              <w:t> </w:t>
            </w:r>
          </w:p>
        </w:tc>
        <w:tc>
          <w:tcPr>
            <w:tcW w:w="581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$350,000,000 aggregate principal amount of 4.30% Senior Notes due 2043.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Maturity date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For the 2023 Notes: January 31, 2023.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4"/>
        <w:gridCol w:w="5821"/>
      </w:tblGrid>
      <w:tr>
        <w:trPr/>
        <w:tc>
          <w:tcPr>
            <w:tcW w:w="4384" w:type="dxa"/>
            <w:tcBorders/>
            <w:shd w:fill="auto" w:val="clear"/>
            <w:vAlign w:val="center"/>
          </w:tcPr>
          <w:p>
            <w:pPr>
              <w:pStyle w:val="TableContents"/>
              <w:spacing w:before="0" w:after="283"/>
              <w:rPr/>
            </w:pPr>
            <w:r>
              <w:rPr/>
              <w:t> </w:t>
            </w:r>
          </w:p>
        </w:tc>
        <w:tc>
          <w:tcPr>
            <w:tcW w:w="582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the 2043 Notes: January 31, 2043.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Interest rate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For the 2023 Notes: 2.85%.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4"/>
        <w:gridCol w:w="5821"/>
      </w:tblGrid>
      <w:tr>
        <w:trPr/>
        <w:tc>
          <w:tcPr>
            <w:tcW w:w="4384" w:type="dxa"/>
            <w:tcBorders/>
            <w:shd w:fill="auto" w:val="clear"/>
            <w:vAlign w:val="center"/>
          </w:tcPr>
          <w:p>
            <w:pPr>
              <w:pStyle w:val="TableContents"/>
              <w:spacing w:before="0" w:after="283"/>
              <w:rPr/>
            </w:pPr>
            <w:r>
              <w:rPr/>
              <w:t> </w:t>
            </w:r>
          </w:p>
        </w:tc>
        <w:tc>
          <w:tcPr>
            <w:tcW w:w="582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the 2043 Notes: 4.30%.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Interest payment dates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will pay interest on the Notes of each series semi-annually in arrears on January 31 and July 31 of each year, beginning on July 31, 2013.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Optional redemption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may redeem either or both series of Notes, in whole or in part, at any time and from time to time prior to maturity. If we redeem the 2023 Notes before October 31, 2022 (three months prior to their maturity date) or the 2043 Notes before July 31, 2042 (six months prior to their maturity date), such Notes may be redeemed at a price equal to the greater of (i) 100% of the principal amount of the Notes to be redeemed or (ii) the sum of the present values of the remaining scheduled payments of principal of and interest on the Notes to be redeemed, discounted to the redemption date on a semiannual basis at the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vAlign w:val="center"/>
          </w:tcPr>
          <w:p>
            <w:pPr>
              <w:pStyle w:val="TableContents"/>
              <w:spacing w:before="0" w:after="283"/>
              <w:rPr/>
            </w:pPr>
            <w:r>
              <w:rPr/>
              <w:t> </w:t>
            </w:r>
          </w:p>
        </w:tc>
        <w:tc>
          <w:tcPr>
            <w:tcW w:w="5817" w:type="dxa"/>
            <w:tcBorders/>
            <w:shd w:fill="auto" w:val="clear"/>
          </w:tcPr>
          <w:p>
            <w:pPr>
              <w:pStyle w:val="TableContents"/>
              <w:spacing w:before="0" w:after="15"/>
              <w:jc w:val="left"/>
              <w:rPr>
                <w:rFonts w:ascii="Times New Roman" w:hAnsi="Times New Roman"/>
                <w:sz w:val="20"/>
              </w:rPr>
            </w:pPr>
            <w:r>
              <w:rPr>
                <w:rFonts w:ascii="Times New Roman" w:hAnsi="Times New Roman"/>
                <w:sz w:val="20"/>
              </w:rPr>
              <w:t xml:space="preserve">Adjusted Treasury Rate (as defined herein) plus 20 basis points for the 2023 Notes and 25 basis points for the 2043 Notes, in each case, together with accrued interest to the date of redemption. If we redeem the 2023 Notes on or after October 31, 2022 (three months prior to their maturity date) or the 2043 Notes on or after July 31, 2042 (six months prior to their maturity date), the redemption price will equal 100% of the principal amount of the Notes to be redeemed plus accrued interest to the redemption date. See Description of NotesOptional Redemption.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Ranking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be general senior unsecured obligations of the issuers and will rank equally in right of payment with the existing and future senior indebtedness of the issuers.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Certain covenants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be issued under an indenture containing covenants for your benefit. These covenants restrict our ability, with certain exceptions, to: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305"/>
        <w:gridCol w:w="102"/>
        <w:gridCol w:w="5410"/>
      </w:tblGrid>
      <w:tr>
        <w:trPr/>
        <w:tc>
          <w:tcPr>
            <w:tcW w:w="438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54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incur liens on principal properties to secure debt;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306"/>
        <w:gridCol w:w="101"/>
        <w:gridCol w:w="5410"/>
      </w:tblGrid>
      <w:tr>
        <w:trPr/>
        <w:tc>
          <w:tcPr>
            <w:tcW w:w="438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54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engage in sale-leaseback transactions;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9"/>
        <w:gridCol w:w="305"/>
        <w:gridCol w:w="101"/>
        <w:gridCol w:w="5410"/>
      </w:tblGrid>
      <w:tr>
        <w:trPr/>
        <w:tc>
          <w:tcPr>
            <w:tcW w:w="438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54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merge or consolidate with another entity or sell, lease or transfer substantially all of our properties or assets to another entity.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vAlign w:val="center"/>
          </w:tcPr>
          <w:p>
            <w:pPr>
              <w:pStyle w:val="TableContents"/>
              <w:spacing w:before="0" w:after="283"/>
              <w:rPr/>
            </w:pPr>
            <w:r>
              <w:rPr/>
              <w:t> </w:t>
            </w:r>
          </w:p>
        </w:tc>
        <w:tc>
          <w:tcPr>
            <w:tcW w:w="581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 Description of NotesCovenants.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Use of proceeds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net proceeds of this offering will be approximately $742.0 million after deducting the underwriting discounts and our estimated offering expenses. We expect to use the net proceeds from this offering to repay outstanding borrowings under our credit facilities and for general partnership purposes.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vAlign w:val="center"/>
          </w:tcPr>
          <w:p>
            <w:pPr>
              <w:pStyle w:val="TableContents"/>
              <w:spacing w:before="0" w:after="283"/>
              <w:rPr/>
            </w:pPr>
            <w:r>
              <w:rPr/>
              <w:t> </w:t>
            </w:r>
          </w:p>
        </w:tc>
        <w:tc>
          <w:tcPr>
            <w:tcW w:w="581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repaid under our credit facilities may be reborrowed, as necessary, to fund our ongoing expansion capital program, future acquisitions, or for general partnership purposes.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6"/>
        <w:gridCol w:w="5819"/>
      </w:tblGrid>
      <w:tr>
        <w:trPr/>
        <w:tc>
          <w:tcPr>
            <w:tcW w:w="438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Book entry, delivery and form </w:t>
            </w:r>
          </w:p>
        </w:tc>
        <w:tc>
          <w:tcPr>
            <w:tcW w:w="581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of each series will be represented by one or more permanent global certificates in fully registered form deposited with a custodian for, and registered in the name of, a nominee of The Depository Trust Company.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Further issuances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may create and issue additional Notes of either series ranking equally and ratably with that same series of Notes offered by this prospectus supplement in all respects, so that such additional Notes will be consolidated and form a single series with such Notes and will have the same terms, as to status, redemption or otherwise except for the issue date, the initial interest payment date, if applicable, and the payment of interest accruing prior to the issue date of such additional Notes.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No listing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Each series of Notes is a new issue of securities with no established trading market. We do not currently intend to apply for listing of the Notes on any securities exchange or have the Notes quoted on any automated quotation system. See Risk FactorsYour ability to transfer the Notes may be limited by the absence of an organized trading market.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Governing law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New York.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Trustee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U.S. Bank National Association.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Conflicts of interest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Affiliates of each of the underwriters are lenders under our credit facilities, and accordingly, may receive a portion of the proceeds from this offering pursuant to any repayment of borrowings under such facilities. Please read Underwriting (Conflicts of Interest) in this prospectus supplement for further information.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Risk factors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Investing in the Notes involves risks. You should consider carefully all of the information in this prospectus supplement, the accompanying base prospectus and the documents incorporated by reference herein and therein. In particular, you should consider carefully the specific risks set forth in Risk Factors beginning on page S-6 of this prospectus supplement and beginning on page 2 of the accompanying base prospectus.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supprom447729_4"/>
      <w:bookmarkEnd w:id="6"/>
      <w:r>
        <w:rPr>
          <w:rFonts w:ascii="Times New Roman" w:hAnsi="Times New Roman"/>
          <w:b/>
          <w:sz w:val="20"/>
        </w:rPr>
        <w:t xml:space="preserve">RISK FACTORS </w:t>
      </w:r>
    </w:p>
    <w:p>
      <w:pPr>
        <w:pStyle w:val="TextBody"/>
        <w:spacing w:before="150" w:after="0"/>
        <w:rPr>
          <w:rFonts w:ascii="Times New Roman" w:hAnsi="Times New Roman"/>
          <w:i/>
          <w:sz w:val="20"/>
        </w:rPr>
      </w:pPr>
      <w:r>
        <w:rPr>
          <w:rFonts w:ascii="Times New Roman" w:hAnsi="Times New Roman"/>
          <w:i/>
          <w:sz w:val="20"/>
        </w:rPr>
        <w:t xml:space="preserve">Before making an investment in the Notes offered hereby, you should carefully consider the risk factors included below, as well as the risk factors beginning on page 2 of the accompanying base prospectus and those included in Item 1A. Risk Factors in our Annual Report on Form 10-K for the fiscal year ended December 31, 2011 (File No. 001-14569), which is incorporated by reference herein, together with all of the other information included or incorporated by reference in this prospectus. If any of these risks were to occur, our business, financial condition or results of operations could be materially adversely affected. In such case, the value of the Notes could decline, and you could lose all or part of your investment. </w:t>
      </w:r>
    </w:p>
    <w:p>
      <w:pPr>
        <w:pStyle w:val="TextBody"/>
        <w:spacing w:before="150" w:after="0"/>
        <w:rPr>
          <w:rFonts w:ascii="Times New Roman" w:hAnsi="Times New Roman"/>
          <w:b/>
          <w:sz w:val="20"/>
        </w:rPr>
      </w:pPr>
      <w:r>
        <w:rPr>
          <w:rFonts w:ascii="Times New Roman" w:hAnsi="Times New Roman"/>
          <w:b/>
          <w:sz w:val="20"/>
        </w:rPr>
        <w:t xml:space="preserve">Risks Related to the Notes </w:t>
      </w:r>
    </w:p>
    <w:p>
      <w:pPr>
        <w:pStyle w:val="TextBody"/>
        <w:spacing w:before="150" w:after="0"/>
        <w:rPr>
          <w:rFonts w:ascii="Times New Roman" w:hAnsi="Times New Roman"/>
          <w:b/>
          <w:i/>
          <w:sz w:val="20"/>
        </w:rPr>
      </w:pPr>
      <w:r>
        <w:rPr>
          <w:rFonts w:ascii="Times New Roman" w:hAnsi="Times New Roman"/>
          <w:b/>
          <w:i/>
          <w:sz w:val="20"/>
        </w:rPr>
        <w:t xml:space="preserve">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spacing w:before="150" w:after="0"/>
        <w:rPr>
          <w:rFonts w:ascii="Times New Roman" w:hAnsi="Times New Roman"/>
          <w:sz w:val="20"/>
        </w:rPr>
      </w:pPr>
      <w:r>
        <w:rPr>
          <w:rFonts w:ascii="Times New Roman" w:hAnsi="Times New Roman"/>
          <w:sz w:val="20"/>
        </w:rPr>
        <w:t xml:space="preserve">The Notes are effectively subordinated to claims of our secured creditors and to any existing and future indebtedness and other obligations of our subsidiaries, including trade payables, other than subsidiaries that may guarantee the Notes in the future. As of September 30, 2012, on an as adjusted basis as described under Capitalization, the Notes would have been effectively subordinated to $10 million of our short-term secured indebtedness and structurally subordinated to all of our subsidiaries indebtedness, which totaled approximately $375 million at that date.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 </w:t>
      </w:r>
    </w:p>
    <w:p>
      <w:pPr>
        <w:pStyle w:val="TextBody"/>
        <w:spacing w:before="150" w:after="0"/>
        <w:rPr>
          <w:rFonts w:ascii="Times New Roman" w:hAnsi="Times New Roman"/>
          <w:b/>
          <w:i/>
          <w:sz w:val="20"/>
        </w:rPr>
      </w:pPr>
      <w:r>
        <w:rPr>
          <w:rFonts w:ascii="Times New Roman" w:hAnsi="Times New Roman"/>
          <w:b/>
          <w:i/>
          <w:sz w:val="20"/>
        </w:rPr>
        <w:t xml:space="preserve">Our leverage may limit our ability to borrow additional funds, comply with the terms of our indebtedness or capitalize on business opportunities. </w:t>
      </w:r>
    </w:p>
    <w:p>
      <w:pPr>
        <w:pStyle w:val="TextBody"/>
        <w:spacing w:before="150" w:after="0"/>
        <w:rPr>
          <w:rFonts w:ascii="Times New Roman" w:hAnsi="Times New Roman"/>
          <w:sz w:val="20"/>
        </w:rPr>
      </w:pPr>
      <w:r>
        <w:rPr>
          <w:rFonts w:ascii="Times New Roman" w:hAnsi="Times New Roman"/>
          <w:sz w:val="20"/>
        </w:rPr>
        <w:t xml:space="preserve">Our leverage is significant in relation to our partners capital. As of September 30, 2012, on an as adjusted basis as described under Capitalization, our total outstanding long-term debt was approximately $6.6 billion, and our total outstanding short-term debt was approximately $92 million. See Capitalization.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pacing w:before="150" w:after="0"/>
        <w:rPr>
          <w:rFonts w:ascii="Times New Roman" w:hAnsi="Times New Roman"/>
          <w:sz w:val="20"/>
        </w:rPr>
      </w:pPr>
      <w:r>
        <w:rPr>
          <w:rFonts w:ascii="Times New Roman" w:hAnsi="Times New Roman"/>
          <w:sz w:val="20"/>
        </w:rPr>
        <w:t xml:space="preserve">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of each series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 </w:t>
      </w:r>
    </w:p>
    <w:p>
      <w:pPr>
        <w:pStyle w:val="TextBody"/>
        <w:spacing w:before="150" w:after="0"/>
        <w:rPr>
          <w:rFonts w:ascii="Times New Roman" w:hAnsi="Times New Roman"/>
          <w:sz w:val="20"/>
        </w:rPr>
      </w:pPr>
      <w:r>
        <w:rPr>
          <w:rFonts w:ascii="Times New Roman" w:hAnsi="Times New Roman"/>
          <w:sz w:val="20"/>
        </w:rPr>
        <w:t xml:space="preserve">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spacing w:before="150" w:after="0"/>
        <w:rPr>
          <w:rFonts w:ascii="Times New Roman" w:hAnsi="Times New Roman"/>
          <w:b/>
          <w:i/>
          <w:sz w:val="20"/>
        </w:rPr>
      </w:pPr>
      <w:r>
        <w:rPr>
          <w:rFonts w:ascii="Times New Roman" w:hAnsi="Times New Roman"/>
          <w:b/>
          <w:i/>
          <w:sz w:val="20"/>
        </w:rPr>
        <w:t xml:space="preserve">Your ability to transfer the Notes may be limited by the absence of an organized trading market. </w:t>
      </w:r>
    </w:p>
    <w:p>
      <w:pPr>
        <w:pStyle w:val="TextBody"/>
        <w:spacing w:before="150" w:after="0"/>
        <w:rPr>
          <w:rFonts w:ascii="Times New Roman" w:hAnsi="Times New Roman"/>
          <w:sz w:val="20"/>
        </w:rPr>
      </w:pPr>
      <w:r>
        <w:rPr>
          <w:rFonts w:ascii="Times New Roman" w:hAnsi="Times New Roman"/>
          <w:sz w:val="20"/>
        </w:rPr>
        <w:t xml:space="preserve">Each series of Notes is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of each series, they are not obligated to do so. In addition, the underwriters may discontinue any such market making at any time without notice. The liquidity of any market for the Notes of either series will depend on the number of holders of the Notes, the interest of securities dealers in making a market in those Notes and other factors. Accordingly, we can give no assurance as to the development, continuation or liquidity of any market for the Notes of either series. </w:t>
      </w:r>
    </w:p>
    <w:p>
      <w:pPr>
        <w:pStyle w:val="TextBody"/>
        <w:spacing w:before="150" w:after="0"/>
        <w:rPr>
          <w:rFonts w:ascii="Times New Roman" w:hAnsi="Times New Roman"/>
          <w:b/>
          <w:i/>
          <w:sz w:val="20"/>
        </w:rPr>
      </w:pPr>
      <w:r>
        <w:rPr>
          <w:rFonts w:ascii="Times New Roman" w:hAnsi="Times New Roman"/>
          <w:b/>
          <w:i/>
          <w:sz w:val="20"/>
        </w:rPr>
        <w:t xml:space="preserve">We have a holding company structure in which our subsidiaries conduct our operations and own our operating assets. </w:t>
      </w:r>
    </w:p>
    <w:p>
      <w:pPr>
        <w:pStyle w:val="TextBody"/>
        <w:spacing w:before="150" w:after="0"/>
        <w:rPr>
          <w:rFonts w:ascii="Times New Roman" w:hAnsi="Times New Roman"/>
          <w:sz w:val="20"/>
        </w:rPr>
      </w:pPr>
      <w:r>
        <w:rPr>
          <w:rFonts w:ascii="Times New Roman" w:hAnsi="Times New Roman"/>
          <w:sz w:val="20"/>
        </w:rPr>
        <w:t xml:space="preserve">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of either series, we may be required to adopt one or more alternatives, such as a refinancing of such Notes. We cannot assure you that we would be able to refinance the Notes of either series. </w:t>
      </w:r>
    </w:p>
    <w:p>
      <w:pPr>
        <w:pStyle w:val="TextBody"/>
        <w:spacing w:before="150" w:after="0"/>
        <w:rPr>
          <w:rFonts w:ascii="Times New Roman" w:hAnsi="Times New Roman"/>
          <w:b/>
          <w:i/>
          <w:sz w:val="20"/>
        </w:rPr>
      </w:pPr>
      <w:r>
        <w:rPr>
          <w:rFonts w:ascii="Times New Roman" w:hAnsi="Times New Roman"/>
          <w:b/>
          <w:i/>
          <w:sz w:val="20"/>
        </w:rPr>
        <w:t xml:space="preserve">We do not have the same flexibility as other types of organizations to accumulate cash, which may limit cash available to service the Notes of either series or to repay them at maturity. </w:t>
      </w:r>
    </w:p>
    <w:p>
      <w:pPr>
        <w:pStyle w:val="TextBody"/>
        <w:spacing w:before="150" w:after="0"/>
        <w:rPr>
          <w:rFonts w:ascii="Times New Roman" w:hAnsi="Times New Roman"/>
          <w:sz w:val="20"/>
        </w:rPr>
      </w:pPr>
      <w:r>
        <w:rPr>
          <w:rFonts w:ascii="Times New Roman" w:hAnsi="Times New Roman"/>
          <w:sz w:val="20"/>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proper conduct of our business and the businesses of our operating partnerships (including reserves for future capital expenditures and for our anticipated future credit needs);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funds for distributions to our unitholders and the general partner for any one or more of the next four calendar quarters;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applicable law or any of our loan or other agreements. </w:t>
            </w:r>
          </w:p>
        </w:tc>
      </w:tr>
    </w:tbl>
    <w:p>
      <w:pPr>
        <w:pStyle w:val="TextBody"/>
        <w:spacing w:before="150" w:after="0"/>
        <w:rPr>
          <w:rFonts w:ascii="Times New Roman" w:hAnsi="Times New Roman"/>
          <w:sz w:val="20"/>
        </w:rPr>
      </w:pPr>
      <w:r>
        <w:rPr>
          <w:rFonts w:ascii="Times New Roman" w:hAnsi="Times New Roman"/>
          <w:sz w:val="20"/>
        </w:rPr>
        <w:t xml:space="preserve">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supprom447729_5"/>
      <w:bookmarkEnd w:id="7"/>
      <w:r>
        <w:rPr>
          <w:rFonts w:ascii="Times New Roman" w:hAnsi="Times New Roman"/>
          <w:b/>
          <w:sz w:val="20"/>
        </w:rPr>
        <w:t xml:space="preserve">USE OF PROCEEDS </w:t>
      </w:r>
    </w:p>
    <w:p>
      <w:pPr>
        <w:pStyle w:val="TextBody"/>
        <w:spacing w:before="150" w:after="0"/>
        <w:rPr>
          <w:rFonts w:ascii="Times New Roman" w:hAnsi="Times New Roman"/>
          <w:sz w:val="20"/>
        </w:rPr>
      </w:pPr>
      <w:r>
        <w:rPr>
          <w:rFonts w:ascii="Times New Roman" w:hAnsi="Times New Roman"/>
          <w:sz w:val="20"/>
        </w:rPr>
        <w:t xml:space="preserve">The net proceeds of this offering will be approximately $742.0 million after deducting the underwriting discounts and our estimated offering expenses. We expect to use the net proceeds from this offering to repay outstanding borrowings under our credit facilities and for general partnership purposes. Amounts repaid under our credit facilities may be reborrowed, as necessary, to fund our ongoing expansion capital program, future acquisitions, or for general partnership purposes. </w:t>
      </w:r>
    </w:p>
    <w:p>
      <w:pPr>
        <w:pStyle w:val="TextBody"/>
        <w:spacing w:before="150" w:after="0"/>
        <w:rPr>
          <w:rFonts w:ascii="Times New Roman" w:hAnsi="Times New Roman"/>
          <w:sz w:val="20"/>
        </w:rPr>
      </w:pPr>
      <w:r>
        <w:rPr>
          <w:rFonts w:ascii="Times New Roman" w:hAnsi="Times New Roman"/>
          <w:sz w:val="20"/>
        </w:rPr>
        <w:t xml:space="preserve">Affiliates of each of the underwriters are lenders under our credit facilities, and accordingly, may receive a portion of the net proceeds from this offering pursuant to the repayment of borrowings under such facilities. Please read Underwriting (Conflicts of Interest) in this prospectus supplement for further information. </w:t>
      </w:r>
    </w:p>
    <w:p>
      <w:pPr>
        <w:pStyle w:val="TextBody"/>
        <w:spacing w:before="150" w:after="0"/>
        <w:rPr>
          <w:rFonts w:ascii="Times New Roman" w:hAnsi="Times New Roman"/>
          <w:sz w:val="20"/>
        </w:rPr>
      </w:pPr>
      <w:r>
        <w:rPr>
          <w:rFonts w:ascii="Times New Roman" w:hAnsi="Times New Roman"/>
          <w:sz w:val="20"/>
        </w:rPr>
        <w:t xml:space="preserve">As of November 30, 2012, we had approximately $76 million and $945 million of debt outstanding under our revolving credit facility and our senior secured hedged inventory facility, respectively, with a weighted average interest rate of approximately 2.4% and 1.6%, respectively. Our revolving credit facility matures in August 2016 and our senior secured hedged inventory facility matures in August 2014.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upprom447729_6"/>
      <w:bookmarkEnd w:id="8"/>
      <w:r>
        <w:rPr>
          <w:rFonts w:ascii="Times New Roman" w:hAnsi="Times New Roman"/>
          <w:b/>
          <w:sz w:val="20"/>
        </w:rPr>
        <w:t xml:space="preserve">RATIO OF EARNINGS TO FIXED CHARGES </w:t>
      </w:r>
    </w:p>
    <w:p>
      <w:pPr>
        <w:pStyle w:val="TextBody"/>
        <w:spacing w:before="150" w:after="0"/>
        <w:rPr>
          <w:rFonts w:ascii="Times New Roman" w:hAnsi="Times New Roman"/>
          <w:sz w:val="20"/>
        </w:rPr>
      </w:pPr>
      <w:r>
        <w:rPr>
          <w:rFonts w:ascii="Times New Roman" w:hAnsi="Times New Roman"/>
          <w:sz w:val="20"/>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50"/>
        <w:gridCol w:w="415"/>
        <w:gridCol w:w="850"/>
        <w:gridCol w:w="415"/>
        <w:gridCol w:w="682"/>
        <w:gridCol w:w="415"/>
        <w:gridCol w:w="682"/>
        <w:gridCol w:w="415"/>
        <w:gridCol w:w="682"/>
        <w:gridCol w:w="415"/>
        <w:gridCol w:w="682"/>
        <w:gridCol w:w="415"/>
        <w:gridCol w:w="687"/>
      </w:tblGrid>
      <w:tr>
        <w:trPr/>
        <w:tc>
          <w:tcPr>
            <w:tcW w:w="345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3450"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850" w:type="dxa"/>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Nine Months</w:t>
              <w:br/>
              <w:t>Ended</w:t>
              <w:br/>
              <w:t>September 30,</w:t>
              <w:br/>
              <w:t>2012</w:t>
            </w:r>
          </w:p>
        </w:tc>
        <w:tc>
          <w:tcPr>
            <w:tcW w:w="415" w:type="dxa"/>
            <w:tcBorders/>
            <w:shd w:fill="auto" w:val="clear"/>
            <w:vAlign w:val="bottom"/>
          </w:tcPr>
          <w:p>
            <w:pPr>
              <w:pStyle w:val="TableContents"/>
              <w:spacing w:before="0" w:after="283"/>
              <w:rPr/>
            </w:pPr>
            <w:r>
              <w:rPr/>
              <w:t> </w:t>
            </w:r>
          </w:p>
        </w:tc>
        <w:tc>
          <w:tcPr>
            <w:tcW w:w="5075" w:type="dxa"/>
            <w:gridSpan w:val="9"/>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Years Ended December 31,</w:t>
            </w:r>
          </w:p>
        </w:tc>
      </w:tr>
      <w:tr>
        <w:trPr/>
        <w:tc>
          <w:tcPr>
            <w:tcW w:w="3450"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850" w:type="dxa"/>
            <w:vMerge w:val="continue"/>
            <w:tcBorders>
              <w:bottom w:val="single" w:sz="2" w:space="0" w:color="000000"/>
            </w:tcBorders>
            <w:shd w:fill="auto" w:val="clear"/>
            <w:tcMar>
              <w:bottom w:w="28" w:type="dxa"/>
            </w:tcMar>
            <w:vAlign w:val="bottom"/>
          </w:tcPr>
          <w:p>
            <w:pPr>
              <w:pStyle w:val="Normal"/>
              <w:rPr/>
            </w:pPr>
            <w:r>
              <w:rPr/>
            </w:r>
          </w:p>
        </w:tc>
        <w:tc>
          <w:tcPr>
            <w:tcW w:w="415" w:type="dxa"/>
            <w:tcBorders/>
            <w:shd w:fill="auto" w:val="clear"/>
            <w:vAlign w:val="bottom"/>
          </w:tcPr>
          <w:p>
            <w:pPr>
              <w:pStyle w:val="TableContents"/>
              <w:spacing w:before="0" w:after="283"/>
              <w:rPr/>
            </w:pPr>
            <w:r>
              <w:rPr/>
              <w:t> </w:t>
            </w:r>
          </w:p>
        </w:tc>
        <w:tc>
          <w:tcPr>
            <w:tcW w:w="682"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415" w:type="dxa"/>
            <w:tcBorders/>
            <w:shd w:fill="auto" w:val="clear"/>
            <w:vAlign w:val="bottom"/>
          </w:tcPr>
          <w:p>
            <w:pPr>
              <w:pStyle w:val="TableContents"/>
              <w:spacing w:before="0" w:after="283"/>
              <w:rPr/>
            </w:pPr>
            <w:r>
              <w:rPr/>
              <w:t> </w:t>
            </w:r>
          </w:p>
        </w:tc>
        <w:tc>
          <w:tcPr>
            <w:tcW w:w="682"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2010    </w:t>
            </w:r>
          </w:p>
        </w:tc>
        <w:tc>
          <w:tcPr>
            <w:tcW w:w="415" w:type="dxa"/>
            <w:tcBorders/>
            <w:shd w:fill="auto" w:val="clear"/>
            <w:vAlign w:val="bottom"/>
          </w:tcPr>
          <w:p>
            <w:pPr>
              <w:pStyle w:val="TableContents"/>
              <w:spacing w:before="0" w:after="283"/>
              <w:rPr/>
            </w:pPr>
            <w:r>
              <w:rPr/>
              <w:t> </w:t>
            </w:r>
          </w:p>
        </w:tc>
        <w:tc>
          <w:tcPr>
            <w:tcW w:w="682"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2009    </w:t>
            </w:r>
          </w:p>
        </w:tc>
        <w:tc>
          <w:tcPr>
            <w:tcW w:w="415" w:type="dxa"/>
            <w:tcBorders/>
            <w:shd w:fill="auto" w:val="clear"/>
            <w:vAlign w:val="bottom"/>
          </w:tcPr>
          <w:p>
            <w:pPr>
              <w:pStyle w:val="TableContents"/>
              <w:spacing w:before="0" w:after="283"/>
              <w:rPr/>
            </w:pPr>
            <w:r>
              <w:rPr/>
              <w:t> </w:t>
            </w:r>
          </w:p>
        </w:tc>
        <w:tc>
          <w:tcPr>
            <w:tcW w:w="682"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2008    </w:t>
            </w:r>
          </w:p>
        </w:tc>
        <w:tc>
          <w:tcPr>
            <w:tcW w:w="415" w:type="dxa"/>
            <w:tcBorders/>
            <w:shd w:fill="auto" w:val="clear"/>
            <w:vAlign w:val="bottom"/>
          </w:tcPr>
          <w:p>
            <w:pPr>
              <w:pStyle w:val="TableContents"/>
              <w:spacing w:before="0" w:after="283"/>
              <w:rPr/>
            </w:pPr>
            <w:r>
              <w:rPr/>
              <w:t> </w:t>
            </w:r>
          </w:p>
        </w:tc>
        <w:tc>
          <w:tcPr>
            <w:tcW w:w="687"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2007    </w:t>
            </w:r>
          </w:p>
        </w:tc>
      </w:tr>
      <w:tr>
        <w:trPr/>
        <w:tc>
          <w:tcPr>
            <w:tcW w:w="3450"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charges(1)</w:t>
            </w:r>
          </w:p>
        </w:tc>
        <w:tc>
          <w:tcPr>
            <w:tcW w:w="41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3.91x</w:t>
            </w:r>
          </w:p>
        </w:tc>
        <w:tc>
          <w:tcPr>
            <w:tcW w:w="41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4.13x</w:t>
            </w:r>
          </w:p>
        </w:tc>
        <w:tc>
          <w:tcPr>
            <w:tcW w:w="41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2.57x</w:t>
            </w:r>
          </w:p>
        </w:tc>
        <w:tc>
          <w:tcPr>
            <w:tcW w:w="41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3.00x</w:t>
            </w:r>
          </w:p>
        </w:tc>
        <w:tc>
          <w:tcPr>
            <w:tcW w:w="41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2.60x</w:t>
            </w:r>
          </w:p>
        </w:tc>
        <w:tc>
          <w:tcPr>
            <w:tcW w:w="415"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2.45x</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hedged inventory purchases of $9 million for the nine months ended September 30, 2012, and $20 million, $17 million, $11 million, $21 million and $44 million for the years ended December 31, 2011, 2010, 2009, 2008 and 2007,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prom447729_7"/>
      <w:bookmarkEnd w:id="9"/>
      <w:r>
        <w:rPr>
          <w:rFonts w:ascii="Times New Roman" w:hAnsi="Times New Roman"/>
          <w:b/>
          <w:sz w:val="20"/>
        </w:rPr>
        <w:t xml:space="preserve">CAPITALIZATION </w:t>
      </w:r>
    </w:p>
    <w:p>
      <w:pPr>
        <w:pStyle w:val="TextBody"/>
        <w:spacing w:before="150" w:after="0"/>
        <w:rPr>
          <w:rFonts w:ascii="Times New Roman" w:hAnsi="Times New Roman"/>
          <w:sz w:val="20"/>
        </w:rPr>
      </w:pPr>
      <w:r>
        <w:rPr>
          <w:rFonts w:ascii="Times New Roman" w:hAnsi="Times New Roman"/>
          <w:sz w:val="20"/>
        </w:rPr>
        <w:t xml:space="preserve">The following table sets forth our capitalization as of September 30, 2012: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 historical basis;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an as adjusted basis to give effect to the sale of the Notes offered hereby and the application of the net proceeds therefrom as described under Use of Proceeds in this prospectus supplement. </w:t>
            </w:r>
          </w:p>
        </w:tc>
      </w:tr>
    </w:tbl>
    <w:p>
      <w:pPr>
        <w:pStyle w:val="TextBody"/>
        <w:spacing w:before="150" w:after="0"/>
        <w:rPr>
          <w:rFonts w:ascii="Times New Roman" w:hAnsi="Times New Roman"/>
          <w:sz w:val="20"/>
        </w:rPr>
      </w:pPr>
      <w:r>
        <w:rPr>
          <w:rFonts w:ascii="Times New Roman" w:hAnsi="Times New Roman"/>
          <w:sz w:val="20"/>
        </w:rPr>
        <w:t xml:space="preserve">This table should also be read in conjunction with our financial statements and the notes thereto that are incorporated by reference into this prospectus supplement. As of November 30, 2012, we had approximately $76 million, $945 million and $387 million of borrowings outstanding under our PAA revolving credit facility, our PAA senior secured hedged inventory facility and the PNG credit facilities, respectively.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40"/>
        <w:gridCol w:w="442"/>
        <w:gridCol w:w="429"/>
        <w:gridCol w:w="1590"/>
        <w:gridCol w:w="120"/>
        <w:gridCol w:w="442"/>
        <w:gridCol w:w="429"/>
        <w:gridCol w:w="1590"/>
        <w:gridCol w:w="123"/>
      </w:tblGrid>
      <w:tr>
        <w:trPr/>
        <w:tc>
          <w:tcPr>
            <w:tcW w:w="504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04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60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September 30, 2012</w:t>
            </w:r>
          </w:p>
        </w:tc>
        <w:tc>
          <w:tcPr>
            <w:tcW w:w="123" w:type="dxa"/>
            <w:tcBorders/>
            <w:shd w:fill="auto" w:val="clear"/>
            <w:vAlign w:val="bottom"/>
          </w:tcPr>
          <w:p>
            <w:pPr>
              <w:pStyle w:val="TableContents"/>
              <w:spacing w:before="0" w:after="283"/>
              <w:rPr/>
            </w:pPr>
            <w:r>
              <w:rPr/>
              <w:t> </w:t>
            </w:r>
          </w:p>
        </w:tc>
      </w:tr>
      <w:tr>
        <w:trPr/>
        <w:tc>
          <w:tcPr>
            <w:tcW w:w="504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0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Historical</w:t>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0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Adjusted</w:t>
            </w:r>
          </w:p>
        </w:tc>
        <w:tc>
          <w:tcPr>
            <w:tcW w:w="123" w:type="dxa"/>
            <w:tcBorders/>
            <w:shd w:fill="auto" w:val="clear"/>
            <w:vAlign w:val="bottom"/>
          </w:tcPr>
          <w:p>
            <w:pPr>
              <w:pStyle w:val="TableContents"/>
              <w:spacing w:before="0" w:after="283"/>
              <w:rPr/>
            </w:pPr>
            <w:r>
              <w:rPr/>
              <w:t> </w:t>
            </w:r>
          </w:p>
        </w:tc>
      </w:tr>
      <w:tr>
        <w:trPr/>
        <w:tc>
          <w:tcPr>
            <w:tcW w:w="504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600"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millions)</w:t>
            </w:r>
          </w:p>
        </w:tc>
        <w:tc>
          <w:tcPr>
            <w:tcW w:w="123" w:type="dxa"/>
            <w:tcBorders/>
            <w:shd w:fill="auto" w:val="clear"/>
            <w:vAlign w:val="bottom"/>
          </w:tcPr>
          <w:p>
            <w:pPr>
              <w:pStyle w:val="TableContents"/>
              <w:spacing w:before="0" w:after="283"/>
              <w:rPr/>
            </w:pPr>
            <w:r>
              <w:rPr/>
              <w:t> </w:t>
            </w:r>
          </w:p>
        </w:tc>
      </w:tr>
      <w:tr>
        <w:trPr/>
        <w:tc>
          <w:tcPr>
            <w:tcW w:w="5040"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AND CASH EQUIVALENTS</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pPr>
            <w:r>
              <w:rPr/>
              <w:t>                    </w:t>
            </w:r>
            <w:r>
              <w:rPr>
                <w:rFonts w:ascii="Times New Roman" w:hAnsi="Times New Roman"/>
                <w:sz w:val="20"/>
              </w:rPr>
              <w:t>32</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pPr>
            <w:r>
              <w:rPr/>
              <w:t>                    </w:t>
            </w:r>
            <w:r>
              <w:rPr>
                <w:rFonts w:ascii="Times New Roman" w:hAnsi="Times New Roman"/>
                <w:sz w:val="20"/>
              </w:rPr>
              <w:t>32</w:t>
            </w:r>
          </w:p>
        </w:tc>
        <w:tc>
          <w:tcPr>
            <w:tcW w:w="123" w:type="dxa"/>
            <w:tcBorders/>
            <w:shd w:fill="CCEEFF" w:val="clear"/>
            <w:vAlign w:val="bottom"/>
          </w:tcPr>
          <w:p>
            <w:pPr>
              <w:pStyle w:val="TableContents"/>
              <w:spacing w:before="0" w:after="283"/>
              <w:rPr/>
            </w:pPr>
            <w:r>
              <w:rPr/>
              <w:t>  </w:t>
            </w:r>
          </w:p>
        </w:tc>
      </w:tr>
      <w:tr>
        <w:trPr/>
        <w:tc>
          <w:tcPr>
            <w:tcW w:w="504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double" w:sz="6" w:space="1" w:color="000000"/>
              </w:pBdr>
              <w:spacing w:before="0" w:after="283"/>
              <w:rPr/>
            </w:pPr>
            <w:r>
              <w:rPr/>
              <w:t> </w:t>
            </w:r>
          </w:p>
        </w:tc>
        <w:tc>
          <w:tcPr>
            <w:tcW w:w="159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double" w:sz="6" w:space="1" w:color="000000"/>
              </w:pBdr>
              <w:spacing w:before="0" w:after="283"/>
              <w:rPr/>
            </w:pPr>
            <w:r>
              <w:rPr/>
              <w:t> </w:t>
            </w:r>
          </w:p>
        </w:tc>
        <w:tc>
          <w:tcPr>
            <w:tcW w:w="1590"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040" w:type="dxa"/>
            <w:tcBorders/>
            <w:shd w:fill="auto" w:val="clear"/>
          </w:tcPr>
          <w:p>
            <w:pPr>
              <w:pStyle w:val="TableContents"/>
              <w:spacing w:before="0" w:after="283"/>
              <w:rPr>
                <w:rFonts w:ascii="Times New Roman" w:hAnsi="Times New Roman"/>
                <w:b/>
                <w:sz w:val="20"/>
              </w:rPr>
            </w:pPr>
            <w:r>
              <w:rPr>
                <w:rFonts w:ascii="Times New Roman" w:hAnsi="Times New Roman"/>
                <w:b/>
                <w:sz w:val="20"/>
              </w:rPr>
              <w:t>SHORT-TERM DEBT</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sz w:val="4"/>
                <w:szCs w:val="4"/>
              </w:rPr>
            </w:pPr>
            <w:r>
              <w:rPr>
                <w:sz w:val="4"/>
                <w:szCs w:val="4"/>
              </w:rPr>
            </w:r>
          </w:p>
        </w:tc>
        <w:tc>
          <w:tcPr>
            <w:tcW w:w="1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sz w:val="4"/>
                <w:szCs w:val="4"/>
              </w:rPr>
            </w:pPr>
            <w:r>
              <w:rPr>
                <w:sz w:val="4"/>
                <w:szCs w:val="4"/>
              </w:rPr>
            </w:r>
          </w:p>
        </w:tc>
        <w:tc>
          <w:tcPr>
            <w:tcW w:w="15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5040" w:type="dxa"/>
            <w:tcBorders/>
            <w:shd w:fill="CCEEFF" w:val="clear"/>
          </w:tcPr>
          <w:p>
            <w:pPr>
              <w:pStyle w:val="TableContents"/>
              <w:spacing w:before="0" w:after="283"/>
              <w:rPr>
                <w:rFonts w:ascii="Times New Roman" w:hAnsi="Times New Roman"/>
                <w:sz w:val="20"/>
              </w:rPr>
            </w:pPr>
            <w:r>
              <w:rPr>
                <w:rFonts w:ascii="Times New Roman" w:hAnsi="Times New Roman"/>
                <w:sz w:val="20"/>
              </w:rPr>
              <w:t>PAA senior secured hedged inventory facility</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pPr>
            <w:r>
              <w:rPr/>
              <w:t>                  </w:t>
            </w:r>
            <w:r>
              <w:rPr>
                <w:rFonts w:ascii="Times New Roman" w:hAnsi="Times New Roman"/>
                <w:sz w:val="20"/>
              </w:rPr>
              <w:t>694</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3" w:type="dxa"/>
            <w:tcBorders/>
            <w:shd w:fill="CCEEFF" w:val="clear"/>
            <w:vAlign w:val="bottom"/>
          </w:tcPr>
          <w:p>
            <w:pPr>
              <w:pStyle w:val="TableContents"/>
              <w:spacing w:before="0" w:after="283"/>
              <w:rPr/>
            </w:pPr>
            <w:r>
              <w:rPr/>
              <w:t>  </w:t>
            </w:r>
          </w:p>
        </w:tc>
      </w:tr>
      <w:tr>
        <w:trPr/>
        <w:tc>
          <w:tcPr>
            <w:tcW w:w="5040" w:type="dxa"/>
            <w:tcBorders/>
            <w:shd w:fill="auto" w:val="clear"/>
          </w:tcPr>
          <w:p>
            <w:pPr>
              <w:pStyle w:val="TableContents"/>
              <w:spacing w:before="0" w:after="283"/>
              <w:rPr>
                <w:rFonts w:ascii="Times New Roman" w:hAnsi="Times New Roman"/>
                <w:sz w:val="20"/>
              </w:rPr>
            </w:pPr>
            <w:r>
              <w:rPr>
                <w:rFonts w:ascii="Times New Roman" w:hAnsi="Times New Roman"/>
                <w:sz w:val="20"/>
              </w:rPr>
              <w:t>PAA senior unsecured revolving credit facility (1)</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r>
      <w:tr>
        <w:trPr/>
        <w:tc>
          <w:tcPr>
            <w:tcW w:w="5040" w:type="dxa"/>
            <w:tcBorders/>
            <w:shd w:fill="CCEEFF" w:val="clear"/>
          </w:tcPr>
          <w:p>
            <w:pPr>
              <w:pStyle w:val="TableContents"/>
              <w:spacing w:before="0" w:after="283"/>
              <w:rPr>
                <w:rFonts w:ascii="Times New Roman" w:hAnsi="Times New Roman"/>
                <w:sz w:val="20"/>
              </w:rPr>
            </w:pPr>
            <w:r>
              <w:rPr>
                <w:rFonts w:ascii="Times New Roman" w:hAnsi="Times New Roman"/>
                <w:sz w:val="20"/>
              </w:rPr>
              <w:t>PNG senior unsecured revolving credit facility (2)</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3" w:type="dxa"/>
            <w:tcBorders/>
            <w:shd w:fill="CCEEFF" w:val="clear"/>
            <w:vAlign w:val="bottom"/>
          </w:tcPr>
          <w:p>
            <w:pPr>
              <w:pStyle w:val="TableContents"/>
              <w:spacing w:before="0" w:after="283"/>
              <w:rPr/>
            </w:pPr>
            <w:r>
              <w:rPr/>
              <w:t>  </w:t>
            </w:r>
          </w:p>
        </w:tc>
      </w:tr>
      <w:tr>
        <w:trPr/>
        <w:tc>
          <w:tcPr>
            <w:tcW w:w="5040"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504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single" w:sz="2" w:space="1" w:color="000000"/>
              </w:pBdr>
              <w:spacing w:before="0" w:after="283"/>
              <w:rPr/>
            </w:pPr>
            <w:r>
              <w:rPr/>
              <w:t> </w:t>
            </w:r>
          </w:p>
        </w:tc>
        <w:tc>
          <w:tcPr>
            <w:tcW w:w="1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single" w:sz="2" w:space="1" w:color="000000"/>
              </w:pBdr>
              <w:spacing w:before="0" w:after="283"/>
              <w:rPr/>
            </w:pPr>
            <w:r>
              <w:rPr/>
              <w:t> </w:t>
            </w:r>
          </w:p>
        </w:tc>
        <w:tc>
          <w:tcPr>
            <w:tcW w:w="159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040"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short-term debt</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pPr>
            <w:r>
              <w:rPr/>
              <w:t>                  </w:t>
            </w:r>
            <w:r>
              <w:rPr>
                <w:rFonts w:ascii="Times New Roman" w:hAnsi="Times New Roman"/>
                <w:sz w:val="20"/>
              </w:rPr>
              <w:t>834</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pPr>
            <w:r>
              <w:rPr/>
              <w:t>    </w:t>
            </w:r>
            <w:r>
              <w:rPr>
                <w:rFonts w:ascii="Times New Roman" w:hAnsi="Times New Roman"/>
                <w:sz w:val="20"/>
              </w:rPr>
              <w:t>92</w:t>
            </w:r>
          </w:p>
        </w:tc>
        <w:tc>
          <w:tcPr>
            <w:tcW w:w="123" w:type="dxa"/>
            <w:tcBorders/>
            <w:shd w:fill="CCEEFF" w:val="clear"/>
            <w:vAlign w:val="bottom"/>
          </w:tcPr>
          <w:p>
            <w:pPr>
              <w:pStyle w:val="TableContents"/>
              <w:spacing w:before="0" w:after="283"/>
              <w:rPr/>
            </w:pPr>
            <w:r>
              <w:rPr/>
              <w:t>  </w:t>
            </w:r>
          </w:p>
        </w:tc>
      </w:tr>
      <w:tr>
        <w:trPr/>
        <w:tc>
          <w:tcPr>
            <w:tcW w:w="504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double" w:sz="6" w:space="1" w:color="000000"/>
              </w:pBdr>
              <w:spacing w:before="0" w:after="283"/>
              <w:rPr/>
            </w:pPr>
            <w:r>
              <w:rPr/>
              <w:t> </w:t>
            </w:r>
          </w:p>
        </w:tc>
        <w:tc>
          <w:tcPr>
            <w:tcW w:w="159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double" w:sz="6" w:space="1" w:color="000000"/>
              </w:pBdr>
              <w:spacing w:before="0" w:after="283"/>
              <w:rPr/>
            </w:pPr>
            <w:r>
              <w:rPr/>
              <w:t> </w:t>
            </w:r>
          </w:p>
        </w:tc>
        <w:tc>
          <w:tcPr>
            <w:tcW w:w="1590"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rHeight w:val="195" w:hRule="atLeast"/>
        </w:trPr>
        <w:tc>
          <w:tcPr>
            <w:tcW w:w="5040" w:type="dxa"/>
            <w:tcBorders/>
            <w:shd w:fill="auto" w:val="clear"/>
            <w:vAlign w:val="center"/>
          </w:tcPr>
          <w:p>
            <w:pPr>
              <w:pStyle w:val="TableContents"/>
              <w:spacing w:before="0" w:after="283"/>
              <w:rPr>
                <w:sz w:val="4"/>
                <w:szCs w:val="4"/>
              </w:rPr>
            </w:pPr>
            <w:r>
              <w:rPr>
                <w:sz w:val="4"/>
                <w:szCs w:val="4"/>
              </w:rPr>
            </w:r>
          </w:p>
        </w:tc>
        <w:tc>
          <w:tcPr>
            <w:tcW w:w="2581" w:type="dxa"/>
            <w:gridSpan w:val="4"/>
            <w:tcBorders/>
            <w:shd w:fill="auto" w:val="clear"/>
            <w:vAlign w:val="center"/>
          </w:tcPr>
          <w:p>
            <w:pPr>
              <w:pStyle w:val="TableContents"/>
              <w:spacing w:before="0" w:after="283"/>
              <w:rPr>
                <w:sz w:val="4"/>
                <w:szCs w:val="4"/>
              </w:rPr>
            </w:pPr>
            <w:r>
              <w:rPr>
                <w:sz w:val="4"/>
                <w:szCs w:val="4"/>
              </w:rPr>
            </w:r>
          </w:p>
        </w:tc>
        <w:tc>
          <w:tcPr>
            <w:tcW w:w="2584" w:type="dxa"/>
            <w:gridSpan w:val="4"/>
            <w:tcBorders/>
            <w:shd w:fill="auto" w:val="clear"/>
            <w:vAlign w:val="center"/>
          </w:tcPr>
          <w:p>
            <w:pPr>
              <w:pStyle w:val="TableContents"/>
              <w:spacing w:before="0" w:after="283"/>
              <w:rPr>
                <w:sz w:val="4"/>
                <w:szCs w:val="4"/>
              </w:rPr>
            </w:pPr>
            <w:r>
              <w:rPr>
                <w:sz w:val="4"/>
                <w:szCs w:val="4"/>
              </w:rPr>
            </w:r>
          </w:p>
        </w:tc>
      </w:tr>
      <w:tr>
        <w:trPr/>
        <w:tc>
          <w:tcPr>
            <w:tcW w:w="5040" w:type="dxa"/>
            <w:tcBorders/>
            <w:shd w:fill="auto" w:val="clear"/>
          </w:tcPr>
          <w:p>
            <w:pPr>
              <w:pStyle w:val="TableContents"/>
              <w:spacing w:before="0" w:after="283"/>
              <w:rPr>
                <w:rFonts w:ascii="Times New Roman" w:hAnsi="Times New Roman"/>
                <w:b/>
                <w:sz w:val="20"/>
              </w:rPr>
            </w:pPr>
            <w:r>
              <w:rPr>
                <w:rFonts w:ascii="Times New Roman" w:hAnsi="Times New Roman"/>
                <w:b/>
                <w:sz w:val="20"/>
              </w:rPr>
              <w:t>LONG-TERM DEBT</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sz w:val="4"/>
                <w:szCs w:val="4"/>
              </w:rPr>
            </w:pPr>
            <w:r>
              <w:rPr>
                <w:sz w:val="4"/>
                <w:szCs w:val="4"/>
              </w:rPr>
            </w:r>
          </w:p>
        </w:tc>
        <w:tc>
          <w:tcPr>
            <w:tcW w:w="1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sz w:val="4"/>
                <w:szCs w:val="4"/>
              </w:rPr>
            </w:pPr>
            <w:r>
              <w:rPr>
                <w:sz w:val="4"/>
                <w:szCs w:val="4"/>
              </w:rPr>
            </w:r>
          </w:p>
        </w:tc>
        <w:tc>
          <w:tcPr>
            <w:tcW w:w="15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5040" w:type="dxa"/>
            <w:tcBorders/>
            <w:shd w:fill="CCEEFF" w:val="clear"/>
          </w:tcPr>
          <w:p>
            <w:pPr>
              <w:pStyle w:val="TableContents"/>
              <w:spacing w:before="0" w:after="283"/>
              <w:rPr>
                <w:rFonts w:ascii="Times New Roman" w:hAnsi="Times New Roman"/>
                <w:sz w:val="20"/>
              </w:rPr>
            </w:pPr>
            <w:r>
              <w:rPr>
                <w:rFonts w:ascii="Times New Roman" w:hAnsi="Times New Roman"/>
                <w:sz w:val="20"/>
              </w:rPr>
              <w:t>Senior notes, net of unamortized discounts</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pPr>
            <w:r>
              <w:rPr/>
              <w:t>               </w:t>
            </w:r>
            <w:r>
              <w:rPr>
                <w:rFonts w:ascii="Times New Roman" w:hAnsi="Times New Roman"/>
                <w:sz w:val="20"/>
              </w:rPr>
              <w:t>5,511</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pPr>
            <w:r>
              <w:rPr/>
              <w:t>               </w:t>
            </w:r>
            <w:r>
              <w:rPr>
                <w:rFonts w:ascii="Times New Roman" w:hAnsi="Times New Roman"/>
                <w:sz w:val="20"/>
              </w:rPr>
              <w:t>5,511</w:t>
            </w:r>
          </w:p>
        </w:tc>
        <w:tc>
          <w:tcPr>
            <w:tcW w:w="123" w:type="dxa"/>
            <w:tcBorders/>
            <w:shd w:fill="CCEEFF" w:val="clear"/>
            <w:vAlign w:val="bottom"/>
          </w:tcPr>
          <w:p>
            <w:pPr>
              <w:pStyle w:val="TableContents"/>
              <w:spacing w:before="0" w:after="283"/>
              <w:rPr/>
            </w:pPr>
            <w:r>
              <w:rPr/>
              <w:t>  </w:t>
            </w:r>
          </w:p>
        </w:tc>
      </w:tr>
      <w:tr>
        <w:trPr/>
        <w:tc>
          <w:tcPr>
            <w:tcW w:w="5040" w:type="dxa"/>
            <w:tcBorders/>
            <w:shd w:fill="auto" w:val="clear"/>
          </w:tcPr>
          <w:p>
            <w:pPr>
              <w:pStyle w:val="TableContents"/>
              <w:spacing w:before="0" w:after="283"/>
              <w:rPr>
                <w:rFonts w:ascii="Times New Roman" w:hAnsi="Times New Roman"/>
                <w:sz w:val="20"/>
              </w:rPr>
            </w:pPr>
            <w:r>
              <w:rPr>
                <w:rFonts w:ascii="Times New Roman" w:hAnsi="Times New Roman"/>
                <w:sz w:val="20"/>
              </w:rPr>
              <w:t>2023 Notes offered hereby, net of unamortized discount</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399</w:t>
            </w:r>
          </w:p>
        </w:tc>
        <w:tc>
          <w:tcPr>
            <w:tcW w:w="123" w:type="dxa"/>
            <w:tcBorders/>
            <w:shd w:fill="auto" w:val="clear"/>
            <w:vAlign w:val="bottom"/>
          </w:tcPr>
          <w:p>
            <w:pPr>
              <w:pStyle w:val="TableContents"/>
              <w:spacing w:before="0" w:after="283"/>
              <w:rPr/>
            </w:pPr>
            <w:r>
              <w:rPr/>
              <w:t>  </w:t>
            </w:r>
          </w:p>
        </w:tc>
      </w:tr>
      <w:tr>
        <w:trPr/>
        <w:tc>
          <w:tcPr>
            <w:tcW w:w="5040" w:type="dxa"/>
            <w:tcBorders/>
            <w:shd w:fill="CCEEFF" w:val="clear"/>
          </w:tcPr>
          <w:p>
            <w:pPr>
              <w:pStyle w:val="TableContents"/>
              <w:spacing w:before="0" w:after="283"/>
              <w:rPr>
                <w:rFonts w:ascii="Times New Roman" w:hAnsi="Times New Roman"/>
                <w:sz w:val="20"/>
              </w:rPr>
            </w:pPr>
            <w:r>
              <w:rPr>
                <w:rFonts w:ascii="Times New Roman" w:hAnsi="Times New Roman"/>
                <w:sz w:val="20"/>
              </w:rPr>
              <w:t>2043 Notes offered hereby, net of unamortized discount</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123" w:type="dxa"/>
            <w:tcBorders/>
            <w:shd w:fill="CCEEFF" w:val="clear"/>
            <w:vAlign w:val="bottom"/>
          </w:tcPr>
          <w:p>
            <w:pPr>
              <w:pStyle w:val="TableContents"/>
              <w:spacing w:before="0" w:after="283"/>
              <w:rPr/>
            </w:pPr>
            <w:r>
              <w:rPr/>
              <w:t>  </w:t>
            </w:r>
          </w:p>
        </w:tc>
      </w:tr>
      <w:tr>
        <w:trPr/>
        <w:tc>
          <w:tcPr>
            <w:tcW w:w="5040" w:type="dxa"/>
            <w:tcBorders/>
            <w:shd w:fill="auto" w:val="clear"/>
          </w:tcPr>
          <w:p>
            <w:pPr>
              <w:pStyle w:val="TableContents"/>
              <w:spacing w:before="0" w:after="283"/>
              <w:rPr>
                <w:rFonts w:ascii="Times New Roman" w:hAnsi="Times New Roman"/>
                <w:sz w:val="20"/>
              </w:rPr>
            </w:pPr>
            <w:r>
              <w:rPr>
                <w:rFonts w:ascii="Times New Roman" w:hAnsi="Times New Roman"/>
                <w:sz w:val="20"/>
              </w:rPr>
              <w:t>Long-term debt under credit facilities and other</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23" w:type="dxa"/>
            <w:tcBorders/>
            <w:shd w:fill="auto" w:val="clear"/>
            <w:vAlign w:val="bottom"/>
          </w:tcPr>
          <w:p>
            <w:pPr>
              <w:pStyle w:val="TableContents"/>
              <w:spacing w:before="0" w:after="283"/>
              <w:rPr/>
            </w:pPr>
            <w:r>
              <w:rPr/>
              <w:t>  </w:t>
            </w:r>
          </w:p>
        </w:tc>
      </w:tr>
      <w:tr>
        <w:trPr/>
        <w:tc>
          <w:tcPr>
            <w:tcW w:w="504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single" w:sz="2" w:space="1" w:color="000000"/>
              </w:pBdr>
              <w:spacing w:before="0" w:after="283"/>
              <w:rPr/>
            </w:pPr>
            <w:r>
              <w:rPr/>
              <w:t> </w:t>
            </w:r>
          </w:p>
        </w:tc>
        <w:tc>
          <w:tcPr>
            <w:tcW w:w="1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single" w:sz="2" w:space="1" w:color="000000"/>
              </w:pBdr>
              <w:spacing w:before="0" w:after="283"/>
              <w:rPr/>
            </w:pPr>
            <w:r>
              <w:rPr/>
              <w:t> </w:t>
            </w:r>
          </w:p>
        </w:tc>
        <w:tc>
          <w:tcPr>
            <w:tcW w:w="159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040" w:type="dxa"/>
            <w:tcBorders/>
            <w:shd w:fill="CCEEFF" w:val="clear"/>
          </w:tcPr>
          <w:p>
            <w:pPr>
              <w:pStyle w:val="TableContents"/>
              <w:spacing w:before="0" w:after="283"/>
              <w:rPr>
                <w:rFonts w:ascii="Times New Roman" w:hAnsi="Times New Roman"/>
                <w:sz w:val="20"/>
              </w:rPr>
            </w:pPr>
            <w:r>
              <w:rPr>
                <w:rFonts w:ascii="Times New Roman" w:hAnsi="Times New Roman"/>
                <w:sz w:val="20"/>
              </w:rPr>
              <w:t>Total long-term debt</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pPr>
            <w:r>
              <w:rPr/>
              <w:t>               </w:t>
            </w:r>
            <w:r>
              <w:rPr>
                <w:rFonts w:ascii="Times New Roman" w:hAnsi="Times New Roman"/>
                <w:sz w:val="20"/>
              </w:rPr>
              <w:t>5,811</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6,560</w:t>
            </w:r>
          </w:p>
        </w:tc>
        <w:tc>
          <w:tcPr>
            <w:tcW w:w="123" w:type="dxa"/>
            <w:tcBorders/>
            <w:shd w:fill="CCEEFF" w:val="clear"/>
            <w:vAlign w:val="bottom"/>
          </w:tcPr>
          <w:p>
            <w:pPr>
              <w:pStyle w:val="TableContents"/>
              <w:spacing w:before="0" w:after="283"/>
              <w:rPr/>
            </w:pPr>
            <w:r>
              <w:rPr/>
              <w:t>  </w:t>
            </w:r>
          </w:p>
        </w:tc>
      </w:tr>
      <w:tr>
        <w:trPr/>
        <w:tc>
          <w:tcPr>
            <w:tcW w:w="504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double" w:sz="6" w:space="1" w:color="000000"/>
              </w:pBdr>
              <w:spacing w:before="0" w:after="283"/>
              <w:rPr/>
            </w:pPr>
            <w:r>
              <w:rPr/>
              <w:t> </w:t>
            </w:r>
          </w:p>
        </w:tc>
        <w:tc>
          <w:tcPr>
            <w:tcW w:w="159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double" w:sz="6" w:space="1" w:color="000000"/>
              </w:pBdr>
              <w:spacing w:before="0" w:after="283"/>
              <w:rPr/>
            </w:pPr>
            <w:r>
              <w:rPr/>
              <w:t> </w:t>
            </w:r>
          </w:p>
        </w:tc>
        <w:tc>
          <w:tcPr>
            <w:tcW w:w="1590"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rHeight w:val="195" w:hRule="atLeast"/>
        </w:trPr>
        <w:tc>
          <w:tcPr>
            <w:tcW w:w="5040" w:type="dxa"/>
            <w:tcBorders/>
            <w:shd w:fill="auto" w:val="clear"/>
            <w:vAlign w:val="center"/>
          </w:tcPr>
          <w:p>
            <w:pPr>
              <w:pStyle w:val="TableContents"/>
              <w:spacing w:before="0" w:after="283"/>
              <w:rPr>
                <w:sz w:val="4"/>
                <w:szCs w:val="4"/>
              </w:rPr>
            </w:pPr>
            <w:r>
              <w:rPr>
                <w:sz w:val="4"/>
                <w:szCs w:val="4"/>
              </w:rPr>
            </w:r>
          </w:p>
        </w:tc>
        <w:tc>
          <w:tcPr>
            <w:tcW w:w="2581" w:type="dxa"/>
            <w:gridSpan w:val="4"/>
            <w:tcBorders/>
            <w:shd w:fill="auto" w:val="clear"/>
            <w:vAlign w:val="center"/>
          </w:tcPr>
          <w:p>
            <w:pPr>
              <w:pStyle w:val="TableContents"/>
              <w:spacing w:before="0" w:after="283"/>
              <w:rPr>
                <w:sz w:val="4"/>
                <w:szCs w:val="4"/>
              </w:rPr>
            </w:pPr>
            <w:r>
              <w:rPr>
                <w:sz w:val="4"/>
                <w:szCs w:val="4"/>
              </w:rPr>
            </w:r>
          </w:p>
        </w:tc>
        <w:tc>
          <w:tcPr>
            <w:tcW w:w="2584" w:type="dxa"/>
            <w:gridSpan w:val="4"/>
            <w:tcBorders/>
            <w:shd w:fill="auto" w:val="clear"/>
            <w:vAlign w:val="center"/>
          </w:tcPr>
          <w:p>
            <w:pPr>
              <w:pStyle w:val="TableContents"/>
              <w:spacing w:before="0" w:after="283"/>
              <w:rPr>
                <w:sz w:val="4"/>
                <w:szCs w:val="4"/>
              </w:rPr>
            </w:pPr>
            <w:r>
              <w:rPr>
                <w:sz w:val="4"/>
                <w:szCs w:val="4"/>
              </w:rPr>
            </w:r>
          </w:p>
        </w:tc>
      </w:tr>
      <w:tr>
        <w:trPr/>
        <w:tc>
          <w:tcPr>
            <w:tcW w:w="5040" w:type="dxa"/>
            <w:tcBorders/>
            <w:shd w:fill="auto" w:val="clear"/>
          </w:tcPr>
          <w:p>
            <w:pPr>
              <w:pStyle w:val="TableContents"/>
              <w:spacing w:before="0" w:after="283"/>
              <w:rPr>
                <w:rFonts w:ascii="Times New Roman" w:hAnsi="Times New Roman"/>
                <w:b/>
                <w:sz w:val="20"/>
              </w:rPr>
            </w:pPr>
            <w:r>
              <w:rPr>
                <w:rFonts w:ascii="Times New Roman" w:hAnsi="Times New Roman"/>
                <w:b/>
                <w:sz w:val="20"/>
              </w:rPr>
              <w:t>PARTNERS CAPITAL</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sz w:val="4"/>
                <w:szCs w:val="4"/>
              </w:rPr>
            </w:pPr>
            <w:r>
              <w:rPr>
                <w:sz w:val="4"/>
                <w:szCs w:val="4"/>
              </w:rPr>
            </w:r>
          </w:p>
        </w:tc>
        <w:tc>
          <w:tcPr>
            <w:tcW w:w="1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sz w:val="4"/>
                <w:szCs w:val="4"/>
              </w:rPr>
            </w:pPr>
            <w:r>
              <w:rPr>
                <w:sz w:val="4"/>
                <w:szCs w:val="4"/>
              </w:rPr>
            </w:r>
          </w:p>
        </w:tc>
        <w:tc>
          <w:tcPr>
            <w:tcW w:w="15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5040" w:type="dxa"/>
            <w:tcBorders/>
            <w:shd w:fill="CCEEFF" w:val="clear"/>
          </w:tcPr>
          <w:p>
            <w:pPr>
              <w:pStyle w:val="TableContents"/>
              <w:spacing w:before="0" w:after="283"/>
              <w:rPr>
                <w:rFonts w:ascii="Times New Roman" w:hAnsi="Times New Roman"/>
                <w:sz w:val="20"/>
              </w:rPr>
            </w:pPr>
            <w:r>
              <w:rPr>
                <w:rFonts w:ascii="Times New Roman" w:hAnsi="Times New Roman"/>
                <w:sz w:val="20"/>
              </w:rPr>
              <w:t>Common unitholders</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pPr>
            <w:r>
              <w:rPr/>
              <w:t>               </w:t>
            </w:r>
            <w:r>
              <w:rPr>
                <w:rFonts w:ascii="Times New Roman" w:hAnsi="Times New Roman"/>
                <w:sz w:val="20"/>
              </w:rPr>
              <w:t>6,183</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pPr>
            <w:r>
              <w:rPr/>
              <w:t>               </w:t>
            </w:r>
            <w:r>
              <w:rPr>
                <w:rFonts w:ascii="Times New Roman" w:hAnsi="Times New Roman"/>
                <w:sz w:val="20"/>
              </w:rPr>
              <w:t>6,183</w:t>
            </w:r>
          </w:p>
        </w:tc>
        <w:tc>
          <w:tcPr>
            <w:tcW w:w="123" w:type="dxa"/>
            <w:tcBorders/>
            <w:shd w:fill="CCEEFF" w:val="clear"/>
            <w:vAlign w:val="bottom"/>
          </w:tcPr>
          <w:p>
            <w:pPr>
              <w:pStyle w:val="TableContents"/>
              <w:spacing w:before="0" w:after="283"/>
              <w:rPr/>
            </w:pPr>
            <w:r>
              <w:rPr/>
              <w:t>  </w:t>
            </w:r>
          </w:p>
        </w:tc>
      </w:tr>
      <w:tr>
        <w:trPr/>
        <w:tc>
          <w:tcPr>
            <w:tcW w:w="5040" w:type="dxa"/>
            <w:tcBorders/>
            <w:shd w:fill="auto" w:val="clear"/>
          </w:tcPr>
          <w:p>
            <w:pPr>
              <w:pStyle w:val="TableContents"/>
              <w:spacing w:before="0" w:after="283"/>
              <w:rPr>
                <w:rFonts w:ascii="Times New Roman" w:hAnsi="Times New Roman"/>
                <w:sz w:val="20"/>
              </w:rPr>
            </w:pPr>
            <w:r>
              <w:rPr>
                <w:rFonts w:ascii="Times New Roman" w:hAnsi="Times New Roman"/>
                <w:sz w:val="20"/>
              </w:rPr>
              <w:t>General partner</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23" w:type="dxa"/>
            <w:tcBorders/>
            <w:shd w:fill="auto" w:val="clear"/>
            <w:vAlign w:val="bottom"/>
          </w:tcPr>
          <w:p>
            <w:pPr>
              <w:pStyle w:val="TableContents"/>
              <w:spacing w:before="0" w:after="283"/>
              <w:rPr/>
            </w:pPr>
            <w:r>
              <w:rPr/>
              <w:t>  </w:t>
            </w:r>
          </w:p>
        </w:tc>
      </w:tr>
      <w:tr>
        <w:trPr/>
        <w:tc>
          <w:tcPr>
            <w:tcW w:w="504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single" w:sz="2" w:space="1" w:color="000000"/>
              </w:pBdr>
              <w:spacing w:before="0" w:after="283"/>
              <w:rPr/>
            </w:pPr>
            <w:r>
              <w:rPr/>
              <w:t> </w:t>
            </w:r>
          </w:p>
        </w:tc>
        <w:tc>
          <w:tcPr>
            <w:tcW w:w="1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single" w:sz="2" w:space="1" w:color="000000"/>
              </w:pBdr>
              <w:spacing w:before="0" w:after="283"/>
              <w:rPr/>
            </w:pPr>
            <w:r>
              <w:rPr/>
              <w:t> </w:t>
            </w:r>
          </w:p>
        </w:tc>
        <w:tc>
          <w:tcPr>
            <w:tcW w:w="159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040" w:type="dxa"/>
            <w:tcBorders/>
            <w:shd w:fill="CCEEFF" w:val="clear"/>
          </w:tcPr>
          <w:p>
            <w:pPr>
              <w:pStyle w:val="TableContents"/>
              <w:spacing w:before="0" w:after="283"/>
              <w:rPr>
                <w:rFonts w:ascii="Times New Roman" w:hAnsi="Times New Roman"/>
                <w:sz w:val="20"/>
              </w:rPr>
            </w:pPr>
            <w:r>
              <w:rPr>
                <w:rFonts w:ascii="Times New Roman" w:hAnsi="Times New Roman"/>
                <w:sz w:val="20"/>
              </w:rPr>
              <w:t>Total partners capital excluding noncontrolling interests</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6,420</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6,420</w:t>
            </w:r>
          </w:p>
        </w:tc>
        <w:tc>
          <w:tcPr>
            <w:tcW w:w="123" w:type="dxa"/>
            <w:tcBorders/>
            <w:shd w:fill="CCEEFF" w:val="clear"/>
            <w:vAlign w:val="bottom"/>
          </w:tcPr>
          <w:p>
            <w:pPr>
              <w:pStyle w:val="TableContents"/>
              <w:spacing w:before="0" w:after="283"/>
              <w:rPr/>
            </w:pPr>
            <w:r>
              <w:rPr/>
              <w:t>  </w:t>
            </w:r>
          </w:p>
        </w:tc>
      </w:tr>
      <w:tr>
        <w:trPr/>
        <w:tc>
          <w:tcPr>
            <w:tcW w:w="5040" w:type="dxa"/>
            <w:tcBorders/>
            <w:shd w:fill="auto" w:val="clear"/>
          </w:tcPr>
          <w:p>
            <w:pPr>
              <w:pStyle w:val="TableContents"/>
              <w:spacing w:before="0" w:after="283"/>
              <w:rPr>
                <w:rFonts w:ascii="Times New Roman" w:hAnsi="Times New Roman"/>
                <w:sz w:val="20"/>
              </w:rPr>
            </w:pPr>
            <w:r>
              <w:rPr>
                <w:rFonts w:ascii="Times New Roman" w:hAnsi="Times New Roman"/>
                <w:sz w:val="20"/>
              </w:rPr>
              <w:t>Noncontrolling interests</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w:t>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w:t>
            </w:r>
          </w:p>
        </w:tc>
        <w:tc>
          <w:tcPr>
            <w:tcW w:w="123" w:type="dxa"/>
            <w:tcBorders/>
            <w:shd w:fill="auto" w:val="clear"/>
            <w:vAlign w:val="bottom"/>
          </w:tcPr>
          <w:p>
            <w:pPr>
              <w:pStyle w:val="TableContents"/>
              <w:spacing w:before="0" w:after="283"/>
              <w:rPr/>
            </w:pPr>
            <w:r>
              <w:rPr/>
              <w:t>  </w:t>
            </w:r>
          </w:p>
        </w:tc>
      </w:tr>
      <w:tr>
        <w:trPr/>
        <w:tc>
          <w:tcPr>
            <w:tcW w:w="504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single" w:sz="2" w:space="1" w:color="000000"/>
              </w:pBdr>
              <w:spacing w:before="0" w:after="283"/>
              <w:rPr/>
            </w:pPr>
            <w:r>
              <w:rPr/>
              <w:t> </w:t>
            </w:r>
          </w:p>
        </w:tc>
        <w:tc>
          <w:tcPr>
            <w:tcW w:w="1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single" w:sz="2" w:space="1" w:color="000000"/>
              </w:pBdr>
              <w:spacing w:before="0" w:after="283"/>
              <w:rPr/>
            </w:pPr>
            <w:r>
              <w:rPr/>
              <w:t> </w:t>
            </w:r>
          </w:p>
        </w:tc>
        <w:tc>
          <w:tcPr>
            <w:tcW w:w="159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040" w:type="dxa"/>
            <w:tcBorders/>
            <w:shd w:fill="CCEEFF" w:val="clear"/>
          </w:tcPr>
          <w:p>
            <w:pPr>
              <w:pStyle w:val="TableContents"/>
              <w:spacing w:before="0" w:after="283"/>
              <w:rPr>
                <w:rFonts w:ascii="Times New Roman" w:hAnsi="Times New Roman"/>
                <w:sz w:val="20"/>
              </w:rPr>
            </w:pPr>
            <w:r>
              <w:rPr>
                <w:rFonts w:ascii="Times New Roman" w:hAnsi="Times New Roman"/>
                <w:sz w:val="20"/>
              </w:rPr>
              <w:t>Total partners capital</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pPr>
            <w:r>
              <w:rPr/>
              <w:t>               </w:t>
            </w:r>
            <w:r>
              <w:rPr>
                <w:rFonts w:ascii="Times New Roman" w:hAnsi="Times New Roman"/>
                <w:sz w:val="20"/>
              </w:rPr>
              <w:t>6,925</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r>
              <w:rPr>
                <w:rFonts w:ascii="Times New Roman" w:hAnsi="Times New Roman"/>
                <w:sz w:val="20"/>
              </w:rPr>
              <w:t>$</w:t>
            </w:r>
          </w:p>
        </w:tc>
        <w:tc>
          <w:tcPr>
            <w:tcW w:w="1590" w:type="dxa"/>
            <w:tcBorders/>
            <w:shd w:fill="CCEEFF" w:val="clear"/>
            <w:vAlign w:val="bottom"/>
          </w:tcPr>
          <w:p>
            <w:pPr>
              <w:pStyle w:val="TableContents"/>
              <w:spacing w:before="0" w:after="283"/>
              <w:jc w:val="right"/>
              <w:rPr/>
            </w:pPr>
            <w:r>
              <w:rPr/>
              <w:t>               </w:t>
            </w:r>
            <w:r>
              <w:rPr>
                <w:rFonts w:ascii="Times New Roman" w:hAnsi="Times New Roman"/>
                <w:sz w:val="20"/>
              </w:rPr>
              <w:t>6,925</w:t>
            </w:r>
          </w:p>
        </w:tc>
        <w:tc>
          <w:tcPr>
            <w:tcW w:w="123" w:type="dxa"/>
            <w:tcBorders/>
            <w:shd w:fill="CCEEFF" w:val="clear"/>
            <w:vAlign w:val="bottom"/>
          </w:tcPr>
          <w:p>
            <w:pPr>
              <w:pStyle w:val="TableContents"/>
              <w:spacing w:before="0" w:after="283"/>
              <w:rPr/>
            </w:pPr>
            <w:r>
              <w:rPr/>
              <w:t>  </w:t>
            </w:r>
          </w:p>
        </w:tc>
      </w:tr>
      <w:tr>
        <w:trPr/>
        <w:tc>
          <w:tcPr>
            <w:tcW w:w="504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single" w:sz="2" w:space="1" w:color="000000"/>
              </w:pBdr>
              <w:spacing w:before="0" w:after="283"/>
              <w:rPr/>
            </w:pPr>
            <w:r>
              <w:rPr/>
              <w:t> </w:t>
            </w:r>
          </w:p>
        </w:tc>
        <w:tc>
          <w:tcPr>
            <w:tcW w:w="1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single" w:sz="2" w:space="1" w:color="000000"/>
              </w:pBdr>
              <w:spacing w:before="0" w:after="283"/>
              <w:rPr/>
            </w:pPr>
            <w:r>
              <w:rPr/>
              <w:t> </w:t>
            </w:r>
          </w:p>
        </w:tc>
        <w:tc>
          <w:tcPr>
            <w:tcW w:w="159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040" w:type="dxa"/>
            <w:tcBorders/>
            <w:shd w:fill="auto" w:val="clear"/>
          </w:tcPr>
          <w:p>
            <w:pPr>
              <w:pStyle w:val="TableContents"/>
              <w:spacing w:before="0" w:after="283"/>
              <w:rPr>
                <w:rFonts w:ascii="Times New Roman" w:hAnsi="Times New Roman"/>
                <w:sz w:val="20"/>
              </w:rPr>
            </w:pPr>
            <w:r>
              <w:rPr>
                <w:rFonts w:ascii="Times New Roman" w:hAnsi="Times New Roman"/>
                <w:sz w:val="20"/>
              </w:rPr>
              <w:t>Total capitalization</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r>
              <w:rPr>
                <w:rFonts w:ascii="Times New Roman" w:hAnsi="Times New Roman"/>
                <w:sz w:val="20"/>
              </w:rPr>
              <w:t>$</w:t>
            </w:r>
          </w:p>
        </w:tc>
        <w:tc>
          <w:tcPr>
            <w:tcW w:w="1590" w:type="dxa"/>
            <w:tcBorders/>
            <w:shd w:fill="auto" w:val="clear"/>
            <w:vAlign w:val="bottom"/>
          </w:tcPr>
          <w:p>
            <w:pPr>
              <w:pStyle w:val="TableContents"/>
              <w:spacing w:before="0" w:after="283"/>
              <w:jc w:val="right"/>
              <w:rPr/>
            </w:pPr>
            <w:r>
              <w:rPr/>
              <w:t>             </w:t>
            </w:r>
            <w:r>
              <w:rPr>
                <w:rFonts w:ascii="Times New Roman" w:hAnsi="Times New Roman"/>
                <w:sz w:val="20"/>
              </w:rPr>
              <w:t>12,736</w:t>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r>
              <w:rPr>
                <w:rFonts w:ascii="Times New Roman" w:hAnsi="Times New Roman"/>
                <w:sz w:val="20"/>
              </w:rPr>
              <w:t>$</w:t>
            </w:r>
          </w:p>
        </w:tc>
        <w:tc>
          <w:tcPr>
            <w:tcW w:w="1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13,485</w:t>
            </w:r>
          </w:p>
        </w:tc>
        <w:tc>
          <w:tcPr>
            <w:tcW w:w="123" w:type="dxa"/>
            <w:tcBorders/>
            <w:shd w:fill="auto" w:val="clear"/>
            <w:vAlign w:val="bottom"/>
          </w:tcPr>
          <w:p>
            <w:pPr>
              <w:pStyle w:val="TableContents"/>
              <w:spacing w:before="0" w:after="283"/>
              <w:rPr/>
            </w:pPr>
            <w:r>
              <w:rPr/>
              <w:t>  </w:t>
            </w:r>
          </w:p>
        </w:tc>
      </w:tr>
      <w:tr>
        <w:trPr/>
        <w:tc>
          <w:tcPr>
            <w:tcW w:w="504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double" w:sz="6" w:space="1" w:color="000000"/>
              </w:pBdr>
              <w:spacing w:before="0" w:after="283"/>
              <w:rPr/>
            </w:pPr>
            <w:r>
              <w:rPr/>
              <w:t> </w:t>
            </w:r>
          </w:p>
        </w:tc>
        <w:tc>
          <w:tcPr>
            <w:tcW w:w="159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pBdr>
                <w:top w:val="double" w:sz="6" w:space="1" w:color="000000"/>
              </w:pBdr>
              <w:spacing w:before="0" w:after="283"/>
              <w:rPr/>
            </w:pPr>
            <w:r>
              <w:rPr/>
              <w:t> </w:t>
            </w:r>
          </w:p>
        </w:tc>
        <w:tc>
          <w:tcPr>
            <w:tcW w:w="1590"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classify as short-term certain borrowings under the PAA senior unsecured revolving credit facility. These borrowings are primarily designated as working capital borrowings, must be repaid within one year and are primarily for hedged NGL and crude oil inventory and NYMEX and ICE margin deposits.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PNG classifies as short-term any borrowings under the PNG senior unsecured credit facility that have been designated as working capital borrowings and must be repaid within one year. Such borrowings are primarily related to a portion of PNGs hedged natural gas inventory.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prom447729_8"/>
      <w:bookmarkEnd w:id="10"/>
      <w:r>
        <w:rPr>
          <w:rFonts w:ascii="Times New Roman" w:hAnsi="Times New Roman"/>
          <w:b/>
          <w:sz w:val="20"/>
        </w:rPr>
        <w:t xml:space="preserve">DESCRIPTION OF NOTES </w:t>
      </w:r>
    </w:p>
    <w:p>
      <w:pPr>
        <w:pStyle w:val="TextBody"/>
        <w:spacing w:before="150" w:after="0"/>
        <w:rPr>
          <w:rFonts w:ascii="Times New Roman" w:hAnsi="Times New Roman"/>
          <w:sz w:val="20"/>
        </w:rPr>
      </w:pPr>
      <w:r>
        <w:rPr>
          <w:rFonts w:ascii="Times New Roman" w:hAnsi="Times New Roman"/>
          <w:sz w:val="20"/>
        </w:rPr>
        <w:t xml:space="preserve">We will issue the Notes under an indenture (the Base Indenture) dated as of September 25, 2002, among us, the subsidiary guarantors and U.S. Bank National Association, as successor trustee, and a supplemental indenture thereto with respect to each series of the Notes to be dated as of December 10, 2012 (each such supplemental indenture, together with the Base Indenture, the Indenture). Each series of the Notes will constitute a new series of debt securities under the Indenture, and 13 other series are now outstanding under the Base Indenture, each issued under a separate supplemental indenture. </w:t>
      </w:r>
    </w:p>
    <w:p>
      <w:pPr>
        <w:pStyle w:val="TextBody"/>
        <w:spacing w:before="150" w:after="0"/>
        <w:rPr>
          <w:rFonts w:ascii="Times New Roman" w:hAnsi="Times New Roman"/>
          <w:sz w:val="20"/>
        </w:rPr>
      </w:pPr>
      <w:r>
        <w:rPr>
          <w:rFonts w:ascii="Times New Roman" w:hAnsi="Times New Roman"/>
          <w:sz w:val="20"/>
        </w:rPr>
        <w:t xml:space="preserve">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 </w:t>
      </w:r>
    </w:p>
    <w:p>
      <w:pPr>
        <w:pStyle w:val="TextBody"/>
        <w:spacing w:before="150" w:after="0"/>
        <w:rPr>
          <w:rFonts w:ascii="Times New Roman" w:hAnsi="Times New Roman"/>
          <w:sz w:val="20"/>
        </w:rPr>
      </w:pPr>
      <w:r>
        <w:rPr>
          <w:rFonts w:ascii="Times New Roman" w:hAnsi="Times New Roman"/>
          <w:sz w:val="20"/>
        </w:rPr>
        <w:t xml:space="preserve">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 </w:t>
      </w:r>
    </w:p>
    <w:p>
      <w:pPr>
        <w:pStyle w:val="TextBody"/>
        <w:spacing w:before="150" w:after="0"/>
        <w:rPr>
          <w:rFonts w:ascii="Times New Roman" w:hAnsi="Times New Roman"/>
          <w:sz w:val="20"/>
        </w:rPr>
      </w:pPr>
      <w:r>
        <w:rPr>
          <w:rFonts w:ascii="Times New Roman" w:hAnsi="Times New Roman"/>
          <w:sz w:val="20"/>
        </w:rPr>
        <w:t xml:space="preserve">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 </w:t>
      </w:r>
    </w:p>
    <w:p>
      <w:pPr>
        <w:pStyle w:val="TextBody"/>
        <w:spacing w:before="150" w:after="0"/>
        <w:rPr>
          <w:rFonts w:ascii="Times New Roman" w:hAnsi="Times New Roman"/>
          <w:b/>
          <w:sz w:val="20"/>
        </w:rPr>
      </w:pPr>
      <w:r>
        <w:rPr>
          <w:rFonts w:ascii="Times New Roman" w:hAnsi="Times New Roman"/>
          <w:b/>
          <w:sz w:val="20"/>
        </w:rPr>
        <w:t xml:space="preserve">General Description of Each Series of the Notes </w:t>
      </w:r>
    </w:p>
    <w:p>
      <w:pPr>
        <w:pStyle w:val="TextBody"/>
        <w:spacing w:before="150" w:after="0"/>
        <w:rPr>
          <w:rFonts w:ascii="Times New Roman" w:hAnsi="Times New Roman"/>
          <w:sz w:val="20"/>
        </w:rPr>
      </w:pPr>
      <w:r>
        <w:rPr>
          <w:rFonts w:ascii="Times New Roman" w:hAnsi="Times New Roman"/>
          <w:sz w:val="20"/>
        </w:rPr>
        <w:t xml:space="preserve">The Notes of each series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0"/>
        <w:gridCol w:w="9496"/>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senior unsecured indebtedness ranking equally in right of payment with all of our existing and future unsubordinated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new series of debt securities issued under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non-recourse to our general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senior in right of payment to any of our future subordinated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effectively junior to any of our existing and future secured indebtedness, to the extent of the security for that debt;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effectively junior to existing and future indebtedness and other obligations of our subsidiaries, including trade payables, other than subsidiaries that may guarantee such Notes in the future. </w:t>
            </w:r>
          </w:p>
        </w:tc>
      </w:tr>
    </w:tbl>
    <w:p>
      <w:pPr>
        <w:pStyle w:val="TextBody"/>
        <w:spacing w:before="150" w:after="0"/>
        <w:rPr>
          <w:rFonts w:ascii="Times New Roman" w:hAnsi="Times New Roman"/>
          <w:sz w:val="20"/>
        </w:rPr>
      </w:pPr>
      <w:r>
        <w:rPr>
          <w:rFonts w:ascii="Times New Roman" w:hAnsi="Times New Roman"/>
          <w:sz w:val="20"/>
        </w:rPr>
        <w:t xml:space="preserve">As of September 30, 2012, on an as adjusted basis as described under Capitalization, the Notes would have been effectively subordinated to $10 million of short-term secured indebtedness and structurally subordinated to all of our subsidiaries outstanding indebtedness, which totaled approximately $375 million at that date.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Indenture does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 </w:t>
      </w:r>
    </w:p>
    <w:p>
      <w:pPr>
        <w:pStyle w:val="TextBody"/>
        <w:spacing w:before="150" w:after="0"/>
        <w:rPr>
          <w:rFonts w:ascii="Times New Roman" w:hAnsi="Times New Roman"/>
          <w:b/>
          <w:sz w:val="20"/>
        </w:rPr>
      </w:pPr>
      <w:r>
        <w:rPr>
          <w:rFonts w:ascii="Times New Roman" w:hAnsi="Times New Roman"/>
          <w:b/>
          <w:sz w:val="20"/>
        </w:rPr>
        <w:t xml:space="preserve">Further Issuances </w:t>
      </w:r>
    </w:p>
    <w:p>
      <w:pPr>
        <w:pStyle w:val="TextBody"/>
        <w:spacing w:before="150" w:after="0"/>
        <w:rPr>
          <w:rFonts w:ascii="Times New Roman" w:hAnsi="Times New Roman"/>
          <w:sz w:val="20"/>
        </w:rPr>
      </w:pPr>
      <w:r>
        <w:rPr>
          <w:rFonts w:ascii="Times New Roman" w:hAnsi="Times New Roman"/>
          <w:sz w:val="20"/>
        </w:rPr>
        <w:t xml:space="preserve">We may, from time to time, without notice to or the consent of the holders of the Notes of either series, create and issue additional Notes of the same series ranking equally and ratably with that same series of Notes in all respects, so that such additional Notes form a single series with such Notes and have the same terms as to status, redemption or otherwise as such Notes (except for the issue date, the initial payment date, if applicable, and the payment of interest accruing prior to the issue date of such additional Notes). </w:t>
      </w:r>
    </w:p>
    <w:p>
      <w:pPr>
        <w:pStyle w:val="TextBody"/>
        <w:spacing w:before="150" w:after="0"/>
        <w:rPr>
          <w:rFonts w:ascii="Times New Roman" w:hAnsi="Times New Roman"/>
          <w:b/>
          <w:sz w:val="20"/>
        </w:rPr>
      </w:pPr>
      <w:r>
        <w:rPr>
          <w:rFonts w:ascii="Times New Roman" w:hAnsi="Times New Roman"/>
          <w:b/>
          <w:sz w:val="20"/>
        </w:rPr>
        <w:t xml:space="preserve">Principal, Maturity and Interest </w:t>
      </w:r>
    </w:p>
    <w:p>
      <w:pPr>
        <w:pStyle w:val="TextBody"/>
        <w:spacing w:before="150" w:after="0"/>
        <w:rPr>
          <w:rFonts w:ascii="Times New Roman" w:hAnsi="Times New Roman"/>
          <w:sz w:val="20"/>
        </w:rPr>
      </w:pPr>
      <w:r>
        <w:rPr>
          <w:rFonts w:ascii="Times New Roman" w:hAnsi="Times New Roman"/>
          <w:sz w:val="20"/>
        </w:rPr>
        <w:t xml:space="preserve">We will issue the Notes in an initial aggregate principal amount of $750 million, consisting of $400 million aggregate principal amount of the 2.85% Senior Notes due 2023 and $350 million aggregate principal amount of the 4.30% Senior Notes due 2043. The 2023 Notes will mature on January 31, 2023, and the 2043 Notes will mature on January 31, 2043. The 2023 Notes will bear interest at the annual rate of 2.85%, and the 2043 Notes will bear interest at the annual rate of 4.30%. Interest on each series of the Notes will accrue from December 10, 2012 and will be payable semi-annually in arrears on January 31 and July 31 of each year, beginning July 31, 2013. We will make each interest payment to the holders of record at the close of business on the January 15 and July 15 preceding such interest payment dates. Interest will be computed on the basis of a 360-day year consisting of twelve 30-day months. We will issue the Notes in minimum denominations of $2,000 and integral multiples of $1,000 in excess thereof. </w:t>
      </w:r>
    </w:p>
    <w:p>
      <w:pPr>
        <w:pStyle w:val="TextBody"/>
        <w:spacing w:before="180" w:after="0"/>
        <w:rPr>
          <w:rFonts w:ascii="Times New Roman" w:hAnsi="Times New Roman"/>
          <w:sz w:val="20"/>
        </w:rPr>
      </w:pPr>
      <w:r>
        <w:rPr>
          <w:rFonts w:ascii="Times New Roman" w:hAnsi="Times New Roman"/>
          <w:sz w:val="20"/>
        </w:rPr>
        <w:t xml:space="preserve">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 </w:t>
      </w:r>
    </w:p>
    <w:p>
      <w:pPr>
        <w:pStyle w:val="TextBody"/>
        <w:spacing w:before="150" w:after="0"/>
        <w:rPr>
          <w:rFonts w:ascii="Times New Roman" w:hAnsi="Times New Roman"/>
          <w:b/>
          <w:sz w:val="20"/>
        </w:rPr>
      </w:pPr>
      <w:r>
        <w:rPr>
          <w:rFonts w:ascii="Times New Roman" w:hAnsi="Times New Roman"/>
          <w:b/>
          <w:sz w:val="20"/>
        </w:rPr>
        <w:t xml:space="preserve">No Liability of General Partner </w:t>
      </w:r>
    </w:p>
    <w:p>
      <w:pPr>
        <w:pStyle w:val="TextBody"/>
        <w:spacing w:before="150" w:after="0"/>
        <w:rPr>
          <w:rFonts w:ascii="Times New Roman" w:hAnsi="Times New Roman"/>
          <w:sz w:val="20"/>
        </w:rPr>
      </w:pPr>
      <w:r>
        <w:rPr>
          <w:rFonts w:ascii="Times New Roman" w:hAnsi="Times New Roman"/>
          <w:sz w:val="20"/>
        </w:rPr>
        <w:t xml:space="preserve">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 </w:t>
      </w:r>
    </w:p>
    <w:p>
      <w:pPr>
        <w:pStyle w:val="TextBody"/>
        <w:spacing w:before="150" w:after="0"/>
        <w:rPr>
          <w:rFonts w:ascii="Times New Roman" w:hAnsi="Times New Roman"/>
          <w:b/>
          <w:sz w:val="20"/>
        </w:rPr>
      </w:pPr>
      <w:r>
        <w:rPr>
          <w:rFonts w:ascii="Times New Roman" w:hAnsi="Times New Roman"/>
          <w:b/>
          <w:sz w:val="20"/>
        </w:rPr>
        <w:t xml:space="preserve">Possible Future Guarantees </w:t>
      </w:r>
    </w:p>
    <w:p>
      <w:pPr>
        <w:pStyle w:val="TextBody"/>
        <w:spacing w:before="150" w:after="0"/>
        <w:rPr>
          <w:rFonts w:ascii="Times New Roman" w:hAnsi="Times New Roman"/>
          <w:sz w:val="20"/>
        </w:rPr>
      </w:pPr>
      <w:r>
        <w:rPr>
          <w:rFonts w:ascii="Times New Roman" w:hAnsi="Times New Roman"/>
          <w:sz w:val="20"/>
        </w:rPr>
        <w:t xml:space="preserve">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 </w:t>
      </w:r>
    </w:p>
    <w:p>
      <w:pPr>
        <w:pStyle w:val="TextBody"/>
        <w:spacing w:before="150" w:after="0"/>
        <w:rPr>
          <w:rFonts w:ascii="Times New Roman" w:hAnsi="Times New Roman"/>
          <w:sz w:val="20"/>
        </w:rPr>
      </w:pPr>
      <w:r>
        <w:rPr>
          <w:rFonts w:ascii="Times New Roman" w:hAnsi="Times New Roman"/>
          <w:sz w:val="20"/>
        </w:rPr>
        <w:t xml:space="preserve">Provided that no default shall have occurred and shall be continuing under the Indenture, a future subsidiary guarantor will be unconditionally released and discharged from its guarantee: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upon any sale or other disposition of all or substantially all of the assets of that subsidiary guarantor, including by way of merger, consolidation or otherwise, to any person that is not our affiliate (provided such sale or other disposition is not prohibited by the Indenture);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upon any sale or other disposition of all of our direct or indirect equity interests in that subsidiary guarantor to any person that is not our affiliate;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following delivery of a written notice of the release from the guarantee by us to the trustee, upon the release of all guarantees by the subsidiary guarantor of any debt of ours (other than debt securities issued under the Indenture). </w:t>
            </w:r>
          </w:p>
        </w:tc>
      </w:tr>
    </w:tbl>
    <w:p>
      <w:pPr>
        <w:pStyle w:val="TextBody"/>
        <w:spacing w:before="150" w:after="0"/>
        <w:rPr>
          <w:rFonts w:ascii="Times New Roman" w:hAnsi="Times New Roman"/>
          <w:b/>
          <w:sz w:val="20"/>
        </w:rPr>
      </w:pPr>
      <w:r>
        <w:rPr>
          <w:rFonts w:ascii="Times New Roman" w:hAnsi="Times New Roman"/>
          <w:b/>
          <w:sz w:val="20"/>
        </w:rPr>
        <w:t xml:space="preserve">Optional Redemption </w:t>
      </w:r>
    </w:p>
    <w:p>
      <w:pPr>
        <w:pStyle w:val="TextBody"/>
        <w:spacing w:before="150" w:after="0"/>
        <w:rPr>
          <w:rFonts w:ascii="Times New Roman" w:hAnsi="Times New Roman"/>
          <w:sz w:val="20"/>
        </w:rPr>
      </w:pPr>
      <w:r>
        <w:rPr>
          <w:rFonts w:ascii="Times New Roman" w:hAnsi="Times New Roman"/>
          <w:sz w:val="20"/>
        </w:rPr>
        <w:t xml:space="preserve">The Notes will be redeemable, in whole or in part, at our option at any time and from time to time prior to maturity. If we redeem the 2023 Notes before October 31, 2022 (three months prior to their maturity date) or the 2043 Notes before July 31, 2042 (six months prior to their maturity date), such Notes may be redeemed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20 basis points for the 2023 Notes and 25 basis points for the 2043 Notes, in each case together with accrued interest to the date of redemption. </w:t>
      </w:r>
    </w:p>
    <w:p>
      <w:pPr>
        <w:pStyle w:val="TextBody"/>
        <w:spacing w:before="150" w:after="0"/>
        <w:rPr>
          <w:rFonts w:ascii="Times New Roman" w:hAnsi="Times New Roman"/>
          <w:sz w:val="20"/>
        </w:rPr>
      </w:pPr>
      <w:r>
        <w:rPr>
          <w:rFonts w:ascii="Times New Roman" w:hAnsi="Times New Roman"/>
          <w:sz w:val="20"/>
        </w:rPr>
        <w:t xml:space="preserve">If we redeem the 2023 Notes on or after October 31, 2022 (three months prior to their maturity date) or the 2043 Notes on or after July 31, 2042 (six months prior to their maturity date), the redemption price will equal 100% of the principal amount of the Notes to be redeemed plus accrued interest to the redemption date.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Adjusted Treasury Rate</w:t>
      </w:r>
      <w:r>
        <w:rPr>
          <w:rFonts w:ascii="Times New Roman" w:hAnsi="Times New Roman"/>
          <w:sz w:val="20"/>
        </w:rPr>
        <w:t xml:space="preserve">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Comparable Treasury Issue</w:t>
      </w:r>
      <w:r>
        <w:rPr>
          <w:rFonts w:ascii="Times New Roman" w:hAnsi="Times New Roman"/>
          <w:sz w:val="20"/>
        </w:rPr>
        <w:t xml:space="preserv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Comparable Treasury Price</w:t>
      </w:r>
      <w:r>
        <w:rPr>
          <w:rFonts w:ascii="Times New Roman" w:hAnsi="Times New Roman"/>
          <w:sz w:val="20"/>
        </w:rPr>
        <w:t xml:space="preserv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Quotation Agent</w:t>
      </w:r>
      <w:r>
        <w:rPr>
          <w:rFonts w:ascii="Times New Roman" w:hAnsi="Times New Roman"/>
          <w:sz w:val="20"/>
        </w:rPr>
        <w:t xml:space="preserve"> means a Primary Treasury Dealer (as defined below) appointed by us.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Reference Treasury Dealer</w:t>
      </w:r>
      <w:r>
        <w:rPr>
          <w:rFonts w:ascii="Times New Roman" w:hAnsi="Times New Roman"/>
          <w:sz w:val="20"/>
        </w:rPr>
        <w:t xml:space="preserve"> means each of Barclays Capital Inc., Citigroup Global Markets Inc., UBS Securities LLC and a Primary Treasury Dealer (as defined below) selected by each of Wells Fargo Securities, LLC and SunTrust Robinson Humphrey, Inc. and each of their successors; provided, however, that if any of the foregoing shall cease to be a primary U.S. government securities dealer in the United States (a Primary Treasury Dealer), we shall substitute another Primary Treasury Dealer.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Reference Treasury Dealer Quotations</w:t>
      </w:r>
      <w:r>
        <w:rPr>
          <w:rFonts w:ascii="Times New Roman" w:hAnsi="Times New Roman"/>
          <w:sz w:val="20"/>
        </w:rPr>
        <w:t xml:space="preserve">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150" w:after="0"/>
        <w:rPr>
          <w:rFonts w:ascii="Times New Roman" w:hAnsi="Times New Roman"/>
          <w:sz w:val="20"/>
        </w:rPr>
      </w:pPr>
      <w:r>
        <w:rPr>
          <w:rFonts w:ascii="Times New Roman" w:hAnsi="Times New Roman"/>
          <w:sz w:val="20"/>
        </w:rPr>
        <w:t xml:space="preserve">Unless we default in payment of the redemption price, on and after the date of redemption, interest will cease to accrue on the Notes or portions thereof called for redemption.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On or before a redemption date, we will deposit with a paying agent (or with the trustee) sufficient money to pay the redemption price and accrued interest on the Notes to be redeemed. </w:t>
      </w:r>
    </w:p>
    <w:p>
      <w:pPr>
        <w:pStyle w:val="TextBody"/>
        <w:spacing w:before="150" w:after="0"/>
        <w:rPr>
          <w:rFonts w:ascii="Times New Roman" w:hAnsi="Times New Roman"/>
          <w:sz w:val="20"/>
        </w:rPr>
      </w:pPr>
      <w:r>
        <w:rPr>
          <w:rFonts w:ascii="Times New Roman" w:hAnsi="Times New Roman"/>
          <w:sz w:val="20"/>
        </w:rPr>
        <w:t xml:space="preserve">If less than all of the Notes of either series are to be redeemed at any time, the trustee will select Notes (or any portion of Notes in integral multiples of $1,000) for redemption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such Notes are listed, in compliance with the requirements of the principal national securities exchange on which such Notes are listed;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such Notes are not so listed or there are no such requirements, on a pro rata basis, by lot or by such method as the trustee shall deem fair and appropriate. </w:t>
            </w:r>
          </w:p>
        </w:tc>
      </w:tr>
    </w:tbl>
    <w:p>
      <w:pPr>
        <w:pStyle w:val="TextBody"/>
        <w:spacing w:before="150" w:after="0"/>
        <w:rPr>
          <w:rFonts w:ascii="Times New Roman" w:hAnsi="Times New Roman"/>
          <w:sz w:val="20"/>
        </w:rPr>
      </w:pPr>
      <w:r>
        <w:rPr>
          <w:rFonts w:ascii="Times New Roman" w:hAnsi="Times New Roman"/>
          <w:sz w:val="20"/>
        </w:rPr>
        <w:t xml:space="preserve">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 </w:t>
      </w:r>
    </w:p>
    <w:p>
      <w:pPr>
        <w:pStyle w:val="TextBody"/>
        <w:spacing w:before="150" w:after="0"/>
        <w:rPr>
          <w:rFonts w:ascii="Times New Roman" w:hAnsi="Times New Roman"/>
          <w:b/>
          <w:sz w:val="20"/>
        </w:rPr>
      </w:pPr>
      <w:r>
        <w:rPr>
          <w:rFonts w:ascii="Times New Roman" w:hAnsi="Times New Roman"/>
          <w:b/>
          <w:sz w:val="20"/>
        </w:rPr>
        <w:t xml:space="preserve">Events of Default </w:t>
      </w:r>
    </w:p>
    <w:p>
      <w:pPr>
        <w:pStyle w:val="TextBody"/>
        <w:spacing w:before="150" w:after="0"/>
        <w:rPr>
          <w:rFonts w:ascii="Times New Roman" w:hAnsi="Times New Roman"/>
          <w:sz w:val="20"/>
        </w:rPr>
      </w:pPr>
      <w:r>
        <w:rPr>
          <w:rFonts w:ascii="Times New Roman" w:hAnsi="Times New Roman"/>
          <w:sz w:val="20"/>
        </w:rPr>
        <w:t xml:space="preserve">Each of the following is an Event of Default with respect to the Notes of either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in payment when due of the principal of or any premium on any Note of that series at maturity, upon redemption or otherwise;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for 60 days in the payment when due of interest on any Note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by us or, if and so long as the Notes of that series are guaranteed by a subsidiary guarantor, by such subsidiary guarantor, for 90 days after receipt of notice from the trustee or the holders to comply with any other term, covenant or warranty in the Indenture or such Notes (provided that notice need not be given, and an Event of Default will occur, 90 days after any breach of the covenants described under Consolidation, Merger or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specified events in bankruptcy, insolvency or reorganization of us or, if and so long as the Notes of that series are guaranteed by a subsidiary guarantor, by such subsidiary guarantor;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and so long as the Notes of that series are guaranteed by a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5"/>
        <w:gridCol w:w="101"/>
        <w:gridCol w:w="9086"/>
      </w:tblGrid>
      <w:tr>
        <w:trPr/>
        <w:tc>
          <w:tcPr>
            <w:tcW w:w="713"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ceases to be in full force and effect, except as otherwise provided in the Indenture;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713"/>
        <w:gridCol w:w="306"/>
        <w:gridCol w:w="101"/>
        <w:gridCol w:w="9085"/>
      </w:tblGrid>
      <w:tr>
        <w:trPr/>
        <w:tc>
          <w:tcPr>
            <w:tcW w:w="713"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is declared null and void in a judicial proceeding;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4"/>
        <w:gridCol w:w="306"/>
        <w:gridCol w:w="102"/>
        <w:gridCol w:w="9083"/>
      </w:tblGrid>
      <w:tr>
        <w:trPr/>
        <w:tc>
          <w:tcPr>
            <w:tcW w:w="714"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subsidiary guarantor denies or disaffirms its obligations under the Indenture or its guarantee. </w:t>
            </w:r>
          </w:p>
        </w:tc>
      </w:tr>
    </w:tbl>
    <w:p>
      <w:pPr>
        <w:pStyle w:val="TextBody"/>
        <w:spacing w:before="150" w:after="0"/>
        <w:rPr>
          <w:rFonts w:ascii="Times New Roman" w:hAnsi="Times New Roman"/>
          <w:sz w:val="20"/>
        </w:rPr>
      </w:pPr>
      <w:r>
        <w:rPr>
          <w:rFonts w:ascii="Times New Roman" w:hAnsi="Times New Roman"/>
          <w:sz w:val="20"/>
        </w:rPr>
        <w:t xml:space="preserve">An Event of Default regarding the Notes of either series will not necessarily constitute an Event of Default for the Notes of the other series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of either series, the trustee or the holders of at least 25% in principal amount of the then outstanding Notes of that series may declare all the Notes to be due and payable immediately. </w:t>
      </w:r>
    </w:p>
    <w:p>
      <w:pPr>
        <w:pStyle w:val="TextBody"/>
        <w:spacing w:before="150" w:after="0"/>
        <w:rPr>
          <w:rFonts w:ascii="Times New Roman" w:hAnsi="Times New Roman"/>
          <w:sz w:val="20"/>
        </w:rPr>
      </w:pPr>
      <w:r>
        <w:rPr>
          <w:rFonts w:ascii="Times New Roman" w:hAnsi="Times New Roman"/>
          <w:sz w:val="20"/>
        </w:rPr>
        <w:t xml:space="preserve">Within five days after any of our officers becomes aware of the occurrence of any Default (meaning an event that is, or after the giving of notice or passage of time or both would be, an Event of Default) or Event of Default with respect to the Notes,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 </w:t>
      </w:r>
    </w:p>
    <w:p>
      <w:pPr>
        <w:pStyle w:val="TextBody"/>
        <w:spacing w:before="150" w:after="0"/>
        <w:rPr>
          <w:rFonts w:ascii="Times New Roman" w:hAnsi="Times New Roman"/>
          <w:sz w:val="20"/>
        </w:rPr>
      </w:pPr>
      <w:r>
        <w:rPr>
          <w:rFonts w:ascii="Times New Roman" w:hAnsi="Times New Roman"/>
          <w:sz w:val="20"/>
        </w:rPr>
        <w:t xml:space="preserve">If a Default with respect to the Notes of either series occurs and is continuing and is known to the trustee, the trustee must mail to each holder of such series of Notes a notice of the Default within 90 days after the Default occurs. Except in the case of a Default in the payment of principal, premium, if any, or interest with respect to the Notes of either series, the trustee may withhold such notice, but only if and so long as a committee of responsible officers of the trustee in good faith determines that withholding such notice is in the interests of such holders. </w:t>
      </w:r>
    </w:p>
    <w:p>
      <w:pPr>
        <w:pStyle w:val="TextBody"/>
        <w:spacing w:before="150" w:after="0"/>
        <w:rPr>
          <w:rFonts w:ascii="Times New Roman" w:hAnsi="Times New Roman"/>
          <w:b/>
          <w:sz w:val="20"/>
        </w:rPr>
      </w:pPr>
      <w:r>
        <w:rPr>
          <w:rFonts w:ascii="Times New Roman" w:hAnsi="Times New Roman"/>
          <w:b/>
          <w:sz w:val="20"/>
        </w:rPr>
        <w:t xml:space="preserve">Consolidation, Merger or Sale </w:t>
      </w:r>
    </w:p>
    <w:p>
      <w:pPr>
        <w:pStyle w:val="TextBody"/>
        <w:spacing w:before="150" w:after="0"/>
        <w:rPr>
          <w:rFonts w:ascii="Times New Roman" w:hAnsi="Times New Roman"/>
          <w:sz w:val="20"/>
        </w:rPr>
      </w:pPr>
      <w:r>
        <w:rPr>
          <w:rFonts w:ascii="Times New Roman" w:hAnsi="Times New Roman"/>
          <w:sz w:val="20"/>
        </w:rPr>
        <w:t xml:space="preserve">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are the surviving Person in the case of a merger, or the surviving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5"/>
        <w:gridCol w:w="101"/>
        <w:gridCol w:w="9086"/>
      </w:tblGrid>
      <w:tr>
        <w:trPr/>
        <w:tc>
          <w:tcPr>
            <w:tcW w:w="713"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6"/>
        <w:gridCol w:w="102"/>
        <w:gridCol w:w="9084"/>
      </w:tblGrid>
      <w:tr>
        <w:trPr/>
        <w:tc>
          <w:tcPr>
            <w:tcW w:w="713"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0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or series of transactions, no Default or Event of Default has occurred and is continuing;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 </w:t>
            </w:r>
          </w:p>
        </w:tc>
      </w:tr>
    </w:tbl>
    <w:p>
      <w:pPr>
        <w:pStyle w:val="TextBody"/>
        <w:spacing w:before="150" w:after="0"/>
        <w:rPr>
          <w:rFonts w:ascii="Times New Roman" w:hAnsi="Times New Roman"/>
          <w:sz w:val="20"/>
        </w:rPr>
      </w:pPr>
      <w:r>
        <w:rPr>
          <w:rFonts w:ascii="Times New Roman" w:hAnsi="Times New Roman"/>
          <w:sz w:val="20"/>
        </w:rPr>
        <w:t xml:space="preserve">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 </w:t>
      </w:r>
    </w:p>
    <w:p>
      <w:pPr>
        <w:pStyle w:val="TextBody"/>
        <w:spacing w:before="150" w:after="0"/>
        <w:rPr>
          <w:rFonts w:ascii="Times New Roman" w:hAnsi="Times New Roman"/>
          <w:b/>
          <w:sz w:val="20"/>
        </w:rPr>
      </w:pPr>
      <w:r>
        <w:rPr>
          <w:rFonts w:ascii="Times New Roman" w:hAnsi="Times New Roman"/>
          <w:b/>
          <w:sz w:val="20"/>
        </w:rPr>
        <w:t xml:space="preserve">Modification of the Indenture </w:t>
      </w:r>
    </w:p>
    <w:p>
      <w:pPr>
        <w:pStyle w:val="TextBody"/>
        <w:spacing w:before="150" w:after="0"/>
        <w:rPr>
          <w:rFonts w:ascii="Times New Roman" w:hAnsi="Times New Roman"/>
          <w:sz w:val="20"/>
        </w:rPr>
      </w:pPr>
      <w:r>
        <w:rPr>
          <w:rFonts w:ascii="Times New Roman" w:hAnsi="Times New Roman"/>
          <w:sz w:val="20"/>
        </w:rPr>
        <w:t xml:space="preserve">Generally, we, any subsidiary guarantors and the trustee may amend or supplement the Indenture, any guarantees and the Notes with respect to each series of the Notes with the consent of the holders of at least a majority in principal amount of the then outstanding Notes of the applicable series. However, without the consent of each holder affected, an amendment, supplement or waiver may not (with respect to any Notes held by a nonconsenting 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Notes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other provisions with respect to the redemption of any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1"/>
        <w:gridCol w:w="9492"/>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release any security that may have been granted with respect to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note payable in currency other than that stated in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Notes to receive payments of principal of or premium, if any, or interest on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subsidiary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150" w:after="0"/>
        <w:rPr>
          <w:rFonts w:ascii="Times New Roman" w:hAnsi="Times New Roman"/>
          <w:sz w:val="20"/>
        </w:rPr>
      </w:pPr>
      <w:r>
        <w:rPr>
          <w:rFonts w:ascii="Times New Roman" w:hAnsi="Times New Roman"/>
          <w:sz w:val="20"/>
        </w:rPr>
        <w:t xml:space="preserve">Notwithstanding the preceding paragraph, without the consent of any holder of Notes, we, any subsidiary guarantors and the trustee may amend or supplement the Indenture or the Notes with respect to each series of the Notes: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certificated Notes;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our or the confirmation of any subsidiary guarantors obligations to holders of Notes in the case of a merger or consolidation or sale of all or substantially all of our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2"/>
        <w:gridCol w:w="9493"/>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any subsidiary guarantors as permitted pursuant to the terms of the Indenture (see Possible Future Guarantees);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Notes that do not, taken as a whole, adversely affect the rights under the Indenture of any holder of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Notes and/or any guarantees;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or terms of any other series of debt securities under the Base Indenture. </w:t>
            </w:r>
          </w:p>
        </w:tc>
      </w:tr>
    </w:tbl>
    <w:p>
      <w:pPr>
        <w:pStyle w:val="TextBody"/>
        <w:spacing w:before="150" w:after="0"/>
        <w:rPr>
          <w:rFonts w:ascii="Times New Roman" w:hAnsi="Times New Roman"/>
          <w:b/>
          <w:sz w:val="20"/>
        </w:rPr>
      </w:pPr>
      <w:r>
        <w:rPr>
          <w:rFonts w:ascii="Times New Roman" w:hAnsi="Times New Roman"/>
          <w:b/>
          <w:sz w:val="20"/>
        </w:rPr>
        <w:t xml:space="preserve">Covenants </w:t>
      </w:r>
    </w:p>
    <w:p>
      <w:pPr>
        <w:pStyle w:val="TextBody"/>
        <w:spacing w:before="150" w:after="0"/>
        <w:rPr>
          <w:rFonts w:ascii="Times New Roman" w:hAnsi="Times New Roman"/>
          <w:b/>
          <w:i/>
          <w:sz w:val="20"/>
        </w:rPr>
      </w:pPr>
      <w:r>
        <w:rPr>
          <w:rFonts w:ascii="Times New Roman" w:hAnsi="Times New Roman"/>
          <w:b/>
          <w:i/>
          <w:sz w:val="20"/>
        </w:rPr>
        <w:t xml:space="preserve">Limitations on Liens </w:t>
      </w:r>
    </w:p>
    <w:p>
      <w:pPr>
        <w:pStyle w:val="TextBody"/>
        <w:spacing w:before="150" w:after="0"/>
        <w:rPr>
          <w:rFonts w:ascii="Times New Roman" w:hAnsi="Times New Roman"/>
          <w:sz w:val="20"/>
        </w:rPr>
      </w:pPr>
      <w:r>
        <w:rPr>
          <w:rFonts w:ascii="Times New Roman" w:hAnsi="Times New Roman"/>
          <w:sz w:val="20"/>
        </w:rPr>
        <w:t xml:space="preserve">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Permitted Liens;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0"/>
        <w:gridCol w:w="9496"/>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of our property or assets or the property or assets of any Restricted Subsidiary in existence on December 10, 2003 or provided for pursuant to agreements existing on December 10, 2003;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resulting from the deposit of moneys or evidence of indebtedness in trust for the purpose of defeasing our debt or debt of any Restricted Subsidiary. </w:t>
            </w:r>
          </w:p>
        </w:tc>
      </w:tr>
    </w:tbl>
    <w:p>
      <w:pPr>
        <w:pStyle w:val="TextBody"/>
        <w:spacing w:before="150" w:after="0"/>
        <w:rPr>
          <w:rFonts w:ascii="Times New Roman" w:hAnsi="Times New Roman"/>
          <w:sz w:val="20"/>
        </w:rPr>
      </w:pPr>
      <w:r>
        <w:rPr>
          <w:rFonts w:ascii="Times New Roman" w:hAnsi="Times New Roman"/>
          <w:sz w:val="20"/>
        </w:rPr>
        <w:t xml:space="preserve">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 </w:t>
      </w:r>
    </w:p>
    <w:p>
      <w:pPr>
        <w:pStyle w:val="TextBody"/>
        <w:spacing w:before="150" w:after="0"/>
        <w:rPr>
          <w:rFonts w:ascii="Times New Roman" w:hAnsi="Times New Roman"/>
          <w:b/>
          <w:i/>
          <w:sz w:val="20"/>
        </w:rPr>
      </w:pPr>
      <w:r>
        <w:rPr>
          <w:rFonts w:ascii="Times New Roman" w:hAnsi="Times New Roman"/>
          <w:b/>
          <w:i/>
          <w:sz w:val="20"/>
        </w:rPr>
        <w:t xml:space="preserve">Limitations on Sale-Leasebacks </w:t>
      </w:r>
    </w:p>
    <w:p>
      <w:pPr>
        <w:pStyle w:val="TextBody"/>
        <w:spacing w:before="150" w:after="0"/>
        <w:rPr>
          <w:rFonts w:ascii="Times New Roman" w:hAnsi="Times New Roman"/>
          <w:sz w:val="20"/>
        </w:rPr>
      </w:pPr>
      <w:r>
        <w:rPr>
          <w:rFonts w:ascii="Times New Roman" w:hAnsi="Times New Roman"/>
          <w:sz w:val="20"/>
        </w:rPr>
        <w:t xml:space="preserve">We will not, and will not permit any Subsidiary to, engage in a Sale-leaseback Transaction,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0"/>
        <w:gridCol w:w="9496"/>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Sale-leaseback Transaction involves a lease for a period, including renewals, of not more than three years;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 </w:t>
            </w:r>
          </w:p>
        </w:tc>
      </w:tr>
    </w:tbl>
    <w:p>
      <w:pPr>
        <w:pStyle w:val="TextBody"/>
        <w:spacing w:before="150" w:after="0"/>
        <w:rPr>
          <w:rFonts w:ascii="Times New Roman" w:hAnsi="Times New Roman"/>
          <w:sz w:val="20"/>
        </w:rPr>
      </w:pPr>
      <w:r>
        <w:rPr>
          <w:rFonts w:ascii="Times New Roman" w:hAnsi="Times New Roman"/>
          <w:sz w:val="20"/>
        </w:rPr>
        <w:t xml:space="preserve">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Limitations on Liens, do not exceed 10% of Consolidated Net Tangible Assets.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SEC Reports </w:t>
      </w:r>
    </w:p>
    <w:p>
      <w:pPr>
        <w:pStyle w:val="TextBody"/>
        <w:spacing w:before="150" w:after="0"/>
        <w:rPr>
          <w:rFonts w:ascii="Times New Roman" w:hAnsi="Times New Roman"/>
          <w:sz w:val="20"/>
        </w:rPr>
      </w:pPr>
      <w:r>
        <w:rPr>
          <w:rFonts w:ascii="Times New Roman" w:hAnsi="Times New Roman"/>
          <w:sz w:val="20"/>
        </w:rPr>
        <w:t xml:space="preserve">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 </w:t>
      </w:r>
    </w:p>
    <w:p>
      <w:pPr>
        <w:pStyle w:val="TextBody"/>
        <w:spacing w:before="150" w:after="0"/>
        <w:rPr>
          <w:rFonts w:ascii="Times New Roman" w:hAnsi="Times New Roman"/>
          <w:sz w:val="20"/>
        </w:rPr>
      </w:pPr>
      <w:r>
        <w:rPr>
          <w:rFonts w:ascii="Times New Roman" w:hAnsi="Times New Roman"/>
          <w:sz w:val="20"/>
        </w:rPr>
        <w:t xml:space="preserve">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 </w:t>
      </w:r>
    </w:p>
    <w:p>
      <w:pPr>
        <w:pStyle w:val="TextBody"/>
        <w:spacing w:before="150" w:after="0"/>
        <w:rPr>
          <w:rFonts w:ascii="Times New Roman" w:hAnsi="Times New Roman"/>
          <w:b/>
          <w:sz w:val="20"/>
        </w:rPr>
      </w:pPr>
      <w:r>
        <w:rPr>
          <w:rFonts w:ascii="Times New Roman" w:hAnsi="Times New Roman"/>
          <w:b/>
          <w:sz w:val="20"/>
        </w:rPr>
        <w:t xml:space="preserve">Defeasance and Discharge </w:t>
      </w:r>
    </w:p>
    <w:p>
      <w:pPr>
        <w:pStyle w:val="TextBody"/>
        <w:spacing w:before="150" w:after="0"/>
        <w:rPr>
          <w:rFonts w:ascii="Times New Roman" w:hAnsi="Times New Roman"/>
          <w:sz w:val="20"/>
        </w:rPr>
      </w:pPr>
      <w:r>
        <w:rPr>
          <w:rFonts w:ascii="Times New Roman" w:hAnsi="Times New Roman"/>
          <w:sz w:val="20"/>
        </w:rPr>
        <w:t xml:space="preserve">At any time we may terminate all our obligations under the Indenture as they relate to either series of the Notes (legal defeasance), except for certain obligations, including those respecting the defeasance trust and timely payments therefrom and obligations to register the transfer of or exchange the Notes of that series, to replace mutilated, destroyed, lost or stolen Notes and to maintain a registrar and paying agent for such Notes. </w:t>
      </w:r>
    </w:p>
    <w:p>
      <w:pPr>
        <w:pStyle w:val="TextBody"/>
        <w:spacing w:before="150" w:after="0"/>
        <w:rPr>
          <w:rFonts w:ascii="Times New Roman" w:hAnsi="Times New Roman"/>
          <w:sz w:val="20"/>
        </w:rPr>
      </w:pPr>
      <w:r>
        <w:rPr>
          <w:rFonts w:ascii="Times New Roman" w:hAnsi="Times New Roman"/>
          <w:sz w:val="20"/>
        </w:rPr>
        <w:t xml:space="preserve">Also, at any time we may terminate our obligations under covenants described in the first paragraph of Possible Future Guarantees, under Covenants and under SEC Reports with respect to the Notes of the defeased series (covenant defeasance), and thereafter our failure to comply with any of such covenants would not constitute an Event of Default with respect to that series. </w:t>
      </w:r>
    </w:p>
    <w:p>
      <w:pPr>
        <w:pStyle w:val="TextBody"/>
        <w:spacing w:before="150" w:after="0"/>
        <w:rPr>
          <w:rFonts w:ascii="Times New Roman" w:hAnsi="Times New Roman"/>
          <w:sz w:val="20"/>
        </w:rPr>
      </w:pPr>
      <w:r>
        <w:rPr>
          <w:rFonts w:ascii="Times New Roman" w:hAnsi="Times New Roman"/>
          <w:sz w:val="20"/>
        </w:rPr>
        <w:t xml:space="preserve">We may exercise our legal defeasance option notwithstanding our prior exercise of our covenant defeasance option. If we exercise our legal defeasance option, any guarantee obligation will be deemed to have been discharged with respect to the Notes of the defeased series. </w:t>
      </w:r>
    </w:p>
    <w:p>
      <w:pPr>
        <w:pStyle w:val="TextBody"/>
        <w:spacing w:before="150" w:after="0"/>
        <w:rPr>
          <w:rFonts w:ascii="Times New Roman" w:hAnsi="Times New Roman"/>
          <w:sz w:val="20"/>
        </w:rPr>
      </w:pPr>
      <w:r>
        <w:rPr>
          <w:rFonts w:ascii="Times New Roman" w:hAnsi="Times New Roman"/>
          <w:sz w:val="20"/>
        </w:rPr>
        <w:t xml:space="preserve">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defeased series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 </w:t>
      </w:r>
    </w:p>
    <w:p>
      <w:pPr>
        <w:pStyle w:val="TextBody"/>
        <w:spacing w:before="150" w:after="0"/>
        <w:rPr>
          <w:rFonts w:ascii="Times New Roman" w:hAnsi="Times New Roman"/>
          <w:sz w:val="20"/>
        </w:rPr>
      </w:pPr>
      <w:r>
        <w:rPr>
          <w:rFonts w:ascii="Times New Roman" w:hAnsi="Times New Roman"/>
          <w:sz w:val="20"/>
        </w:rPr>
        <w:t xml:space="preserve">In the event of any legal defeasance, holders of the Notes of the defeased series would be entitled to look only to the trust for payment of principal of and any premium and interest on their Notes until maturity. </w:t>
      </w:r>
    </w:p>
    <w:p>
      <w:pPr>
        <w:pStyle w:val="TextBody"/>
        <w:spacing w:before="150" w:after="0"/>
        <w:rPr>
          <w:rFonts w:ascii="Times New Roman" w:hAnsi="Times New Roman"/>
          <w:sz w:val="20"/>
        </w:rPr>
      </w:pPr>
      <w:r>
        <w:rPr>
          <w:rFonts w:ascii="Times New Roman" w:hAnsi="Times New Roman"/>
          <w:sz w:val="20"/>
        </w:rPr>
        <w:t xml:space="preserve">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addition, we may satisfy and discharge all our obligations under the Indenture with respect to either series of the Notes, other than certain obligations to the trustee and our obligation to register the transfer of or exchange the Notes, provided that we either: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deliver all outstanding Notes of the applicable series to the trustee for cancellation;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Notes of the applicable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of the applicable series, including interest and premium, if any, to the stated maturity or applicable redemption date; </w:t>
            </w:r>
          </w:p>
        </w:tc>
      </w:tr>
    </w:tbl>
    <w:p>
      <w:pPr>
        <w:pStyle w:val="TextBody"/>
        <w:spacing w:before="150" w:after="0"/>
        <w:rPr>
          <w:rFonts w:ascii="Times New Roman" w:hAnsi="Times New Roman"/>
          <w:sz w:val="20"/>
        </w:rPr>
      </w:pPr>
      <w:r>
        <w:rPr>
          <w:rFonts w:ascii="Times New Roman" w:hAnsi="Times New Roman"/>
          <w:sz w:val="20"/>
        </w:rPr>
        <w:t xml:space="preserve">and comply with the other requirements of the Indenture in relation to satisfaction and discharge. </w:t>
      </w:r>
    </w:p>
    <w:p>
      <w:pPr>
        <w:pStyle w:val="TextBody"/>
        <w:spacing w:before="150" w:after="0"/>
        <w:rPr>
          <w:rFonts w:ascii="Times New Roman" w:hAnsi="Times New Roman"/>
          <w:b/>
          <w:sz w:val="20"/>
        </w:rPr>
      </w:pPr>
      <w:r>
        <w:rPr>
          <w:rFonts w:ascii="Times New Roman" w:hAnsi="Times New Roman"/>
          <w:b/>
          <w:sz w:val="20"/>
        </w:rPr>
        <w:t xml:space="preserve">Definitions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Attributable Indebtedness</w:t>
      </w:r>
      <w:r>
        <w:rPr>
          <w:rFonts w:ascii="Times New Roman" w:hAnsi="Times New Roman"/>
          <w:sz w:val="20"/>
        </w:rPr>
        <w:t xml:space="preserve">,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Board of Directors</w:t>
      </w:r>
      <w:r>
        <w:rPr>
          <w:rFonts w:ascii="Times New Roman" w:hAnsi="Times New Roman"/>
          <w:sz w:val="20"/>
        </w:rPr>
        <w:t xml:space="preserve">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Capital Interests</w:t>
      </w:r>
      <w:r>
        <w:rPr>
          <w:rFonts w:ascii="Times New Roman" w:hAnsi="Times New Roman"/>
          <w:sz w:val="20"/>
        </w:rPr>
        <w:t xml:space="preserve">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Consolidated Net Tangible Assets</w:t>
      </w:r>
      <w:r>
        <w:rPr>
          <w:rFonts w:ascii="Times New Roman" w:hAnsi="Times New Roman"/>
          <w:sz w:val="20"/>
        </w:rPr>
        <w:t xml:space="preserve"> means, at any date of determination, the total amount of assets after deducting therefrom: </w:t>
      </w:r>
    </w:p>
    <w:p>
      <w:pPr>
        <w:pStyle w:val="TextBody"/>
        <w:spacing w:before="150" w:after="0"/>
        <w:rPr>
          <w:rFonts w:ascii="Times New Roman" w:hAnsi="Times New Roman"/>
          <w:sz w:val="20"/>
        </w:rPr>
      </w:pPr>
      <w:r>
        <w:rPr>
          <w:rFonts w:ascii="Times New Roman" w:hAnsi="Times New Roman"/>
          <w:sz w:val="20"/>
        </w:rPr>
        <w:t xml:space="preserve">(1)    all current liabilities excluding: </w:t>
      </w:r>
    </w:p>
    <w:p>
      <w:pPr>
        <w:pStyle w:val="TextBody"/>
        <w:spacing w:before="150" w:after="0"/>
        <w:rPr>
          <w:rFonts w:ascii="Times New Roman" w:hAnsi="Times New Roman"/>
          <w:sz w:val="20"/>
        </w:rPr>
      </w:pPr>
      <w:r>
        <w:rPr>
          <w:rFonts w:ascii="Times New Roman" w:hAnsi="Times New Roman"/>
          <w:sz w:val="20"/>
        </w:rPr>
        <w:t xml:space="preserve">(a)    any current liabilities that by their terms are extendible or renewable at the option of the obligor thereon to a time more than 12 months after the time as of which the amount thereof is being computed; and </w:t>
      </w:r>
    </w:p>
    <w:p>
      <w:pPr>
        <w:pStyle w:val="TextBody"/>
        <w:spacing w:before="150" w:after="0"/>
        <w:rPr>
          <w:rFonts w:ascii="Times New Roman" w:hAnsi="Times New Roman"/>
          <w:sz w:val="20"/>
        </w:rPr>
      </w:pPr>
      <w:r>
        <w:rPr>
          <w:rFonts w:ascii="Times New Roman" w:hAnsi="Times New Roman"/>
          <w:sz w:val="20"/>
        </w:rPr>
        <w:t xml:space="preserve">(b)    current maturities of long-term debt; and </w:t>
      </w:r>
    </w:p>
    <w:p>
      <w:pPr>
        <w:pStyle w:val="TextBody"/>
        <w:spacing w:before="150" w:after="0"/>
        <w:rPr>
          <w:rFonts w:ascii="Times New Roman" w:hAnsi="Times New Roman"/>
          <w:sz w:val="20"/>
        </w:rPr>
      </w:pPr>
      <w:r>
        <w:rPr>
          <w:rFonts w:ascii="Times New Roman" w:hAnsi="Times New Roman"/>
          <w:sz w:val="20"/>
        </w:rPr>
        <w:t xml:space="preserve">(2)    the amount, net of any applicable reserves, of all goodwill, trade names, trademarks, patents and other like intangible assets, </w:t>
      </w:r>
    </w:p>
    <w:p>
      <w:pPr>
        <w:pStyle w:val="TextBody"/>
        <w:spacing w:before="150" w:after="0"/>
        <w:rPr>
          <w:rFonts w:ascii="Times New Roman" w:hAnsi="Times New Roman"/>
          <w:sz w:val="20"/>
        </w:rPr>
      </w:pPr>
      <w:r>
        <w:rPr>
          <w:rFonts w:ascii="Times New Roman" w:hAnsi="Times New Roman"/>
          <w:sz w:val="20"/>
        </w:rPr>
        <w:t xml:space="preserve">all as set forth on the consolidated balance sheet of Plains All American Pipeline for its most recently completed fiscal quarter, prepared in accordance with generally accepted accounting principles.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Funded Debt</w:t>
      </w:r>
      <w:r>
        <w:rPr>
          <w:rFonts w:ascii="Times New Roman" w:hAnsi="Times New Roman"/>
          <w:sz w:val="20"/>
        </w:rPr>
        <w:t xml:space="preserve">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Issue Date</w:t>
      </w:r>
      <w:r>
        <w:rPr>
          <w:rFonts w:ascii="Times New Roman" w:hAnsi="Times New Roman"/>
          <w:sz w:val="20"/>
        </w:rPr>
        <w:t xml:space="preserve"> means the date on which the Notes are initially issued.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Managing General Partner</w:t>
      </w:r>
      <w:r>
        <w:rPr>
          <w:rFonts w:ascii="Times New Roman" w:hAnsi="Times New Roman"/>
          <w:sz w:val="20"/>
        </w:rPr>
        <w:t xml:space="preserve">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Pari Passu Debt</w:t>
      </w:r>
      <w:r>
        <w:rPr>
          <w:rFonts w:ascii="Times New Roman" w:hAnsi="Times New Roman"/>
          <w:sz w:val="20"/>
        </w:rPr>
        <w:t xml:space="preserve">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Permitted Liens</w:t>
      </w:r>
      <w:r>
        <w:rPr>
          <w:rFonts w:ascii="Times New Roman" w:hAnsi="Times New Roman"/>
          <w:sz w:val="20"/>
        </w:rPr>
        <w:t xml:space="preserve"> means: </w:t>
      </w:r>
    </w:p>
    <w:p>
      <w:pPr>
        <w:pStyle w:val="TextBody"/>
        <w:spacing w:before="150" w:after="0"/>
        <w:rPr>
          <w:rFonts w:ascii="Times New Roman" w:hAnsi="Times New Roman"/>
          <w:sz w:val="20"/>
        </w:rPr>
      </w:pPr>
      <w:r>
        <w:rPr>
          <w:rFonts w:ascii="Times New Roman" w:hAnsi="Times New Roman"/>
          <w:sz w:val="20"/>
        </w:rPr>
        <w:t xml:space="preserve">(1)    Liens upon rights-of-way for pipeline purposes; </w:t>
      </w:r>
    </w:p>
    <w:p>
      <w:pPr>
        <w:pStyle w:val="TextBody"/>
        <w:spacing w:before="150" w:after="0"/>
        <w:rPr>
          <w:rFonts w:ascii="Times New Roman" w:hAnsi="Times New Roman"/>
          <w:sz w:val="20"/>
        </w:rPr>
      </w:pPr>
      <w:r>
        <w:rPr>
          <w:rFonts w:ascii="Times New Roman" w:hAnsi="Times New Roman"/>
          <w:sz w:val="20"/>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50" w:after="0"/>
        <w:rPr>
          <w:rFonts w:ascii="Times New Roman" w:hAnsi="Times New Roman"/>
          <w:sz w:val="20"/>
        </w:rPr>
      </w:pPr>
      <w:r>
        <w:rPr>
          <w:rFonts w:ascii="Times New Roman" w:hAnsi="Times New Roman"/>
          <w:sz w:val="20"/>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50" w:after="0"/>
        <w:rPr>
          <w:rFonts w:ascii="Times New Roman" w:hAnsi="Times New Roman"/>
          <w:sz w:val="20"/>
        </w:rPr>
      </w:pPr>
      <w:r>
        <w:rPr>
          <w:rFonts w:ascii="Times New Roman" w:hAnsi="Times New Roman"/>
          <w:sz w:val="20"/>
        </w:rPr>
        <w:t xml:space="preserve">(4)    liens of taxes and assessments which are: (a) for the then current year, (b) not at the time delinquent, or (c) delinquent but the validity of which is being contested at the time by us or any Restricted Subsidiary in good faith; </w:t>
      </w:r>
    </w:p>
    <w:p>
      <w:pPr>
        <w:pStyle w:val="TextBody"/>
        <w:spacing w:before="150" w:after="0"/>
        <w:rPr>
          <w:rFonts w:ascii="Times New Roman" w:hAnsi="Times New Roman"/>
          <w:sz w:val="20"/>
        </w:rPr>
      </w:pPr>
      <w:r>
        <w:rPr>
          <w:rFonts w:ascii="Times New Roman" w:hAnsi="Times New Roman"/>
          <w:sz w:val="20"/>
        </w:rPr>
        <w:t xml:space="preserve">(5)    liens of, or to secure performance of, leases, other than capital leases; </w:t>
      </w:r>
    </w:p>
    <w:p>
      <w:pPr>
        <w:pStyle w:val="TextBody"/>
        <w:spacing w:before="150" w:after="0"/>
        <w:rPr>
          <w:rFonts w:ascii="Times New Roman" w:hAnsi="Times New Roman"/>
          <w:sz w:val="20"/>
        </w:rPr>
      </w:pPr>
      <w:r>
        <w:rPr>
          <w:rFonts w:ascii="Times New Roman" w:hAnsi="Times New Roman"/>
          <w:sz w:val="20"/>
        </w:rPr>
        <w:t xml:space="preserve">(6) any lien upon, or deposits of, any assets in favor of any surety company or clerk of court for the purpose of obtaining indemnity or stay of judicial proceedings; </w:t>
      </w:r>
    </w:p>
    <w:p>
      <w:pPr>
        <w:pStyle w:val="TextBody"/>
        <w:spacing w:before="150" w:after="0"/>
        <w:rPr>
          <w:rFonts w:ascii="Times New Roman" w:hAnsi="Times New Roman"/>
          <w:sz w:val="20"/>
        </w:rPr>
      </w:pPr>
      <w:r>
        <w:rPr>
          <w:rFonts w:ascii="Times New Roman" w:hAnsi="Times New Roman"/>
          <w:sz w:val="20"/>
        </w:rPr>
        <w:t xml:space="preserve">(7)    any lien upon property or assets acquired or sold by us or any Restricted Subsidiary resulting from the exercise of any rights arising out of defaults on receivables; </w:t>
      </w:r>
    </w:p>
    <w:p>
      <w:pPr>
        <w:pStyle w:val="TextBody"/>
        <w:spacing w:before="150" w:after="0"/>
        <w:rPr>
          <w:rFonts w:ascii="Times New Roman" w:hAnsi="Times New Roman"/>
          <w:sz w:val="20"/>
        </w:rPr>
      </w:pPr>
      <w:r>
        <w:rPr>
          <w:rFonts w:ascii="Times New Roman" w:hAnsi="Times New Roman"/>
          <w:sz w:val="20"/>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150" w:after="0"/>
        <w:rPr>
          <w:rFonts w:ascii="Times New Roman" w:hAnsi="Times New Roman"/>
          <w:sz w:val="20"/>
        </w:rPr>
      </w:pPr>
      <w:r>
        <w:rPr>
          <w:rFonts w:ascii="Times New Roman" w:hAnsi="Times New Roman"/>
          <w:sz w:val="20"/>
        </w:rPr>
        <w:t xml:space="preserve">(9)    any lien in favor of us or any Restricted Subsidiary; </w:t>
      </w:r>
    </w:p>
    <w:p>
      <w:pPr>
        <w:pStyle w:val="TextBody"/>
        <w:spacing w:before="150" w:after="0"/>
        <w:rPr>
          <w:rFonts w:ascii="Times New Roman" w:hAnsi="Times New Roman"/>
          <w:sz w:val="20"/>
        </w:rPr>
      </w:pPr>
      <w:r>
        <w:rPr>
          <w:rFonts w:ascii="Times New Roman" w:hAnsi="Times New Roman"/>
          <w:sz w:val="20"/>
        </w:rPr>
        <w:t xml:space="preserve">(10)  any lien in favor of the United States of America or any state thereof, or any department, agency or instrumentality or political subdivision of the United States of America or any state thereof, to secure partial,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 </w:t>
      </w:r>
    </w:p>
    <w:p>
      <w:pPr>
        <w:pStyle w:val="TextBody"/>
        <w:spacing w:before="150" w:after="0"/>
        <w:rPr>
          <w:rFonts w:ascii="Times New Roman" w:hAnsi="Times New Roman"/>
          <w:sz w:val="20"/>
        </w:rPr>
      </w:pPr>
      <w:r>
        <w:rPr>
          <w:rFonts w:ascii="Times New Roman" w:hAnsi="Times New Roman"/>
          <w:sz w:val="20"/>
        </w:rPr>
        <w:t xml:space="preserve">(11)  any lien securing industrial development, pollution control or similar revenue bonds; </w:t>
      </w:r>
    </w:p>
    <w:p>
      <w:pPr>
        <w:pStyle w:val="TextBody"/>
        <w:spacing w:before="150" w:after="0"/>
        <w:rPr>
          <w:rFonts w:ascii="Times New Roman" w:hAnsi="Times New Roman"/>
          <w:sz w:val="20"/>
        </w:rPr>
      </w:pPr>
      <w:r>
        <w:rPr>
          <w:rFonts w:ascii="Times New Roman" w:hAnsi="Times New Roman"/>
          <w:sz w:val="20"/>
        </w:rPr>
        <w:t xml:space="preserve">(12)  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 </w:t>
      </w:r>
    </w:p>
    <w:p>
      <w:pPr>
        <w:pStyle w:val="TextBody"/>
        <w:spacing w:before="150" w:after="0"/>
        <w:rPr>
          <w:rFonts w:ascii="Times New Roman" w:hAnsi="Times New Roman"/>
          <w:sz w:val="20"/>
        </w:rPr>
      </w:pPr>
      <w:r>
        <w:rPr>
          <w:rFonts w:ascii="Times New Roman" w:hAnsi="Times New Roman"/>
          <w:sz w:val="20"/>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50" w:after="0"/>
        <w:rPr>
          <w:rFonts w:ascii="Times New Roman" w:hAnsi="Times New Roman"/>
          <w:sz w:val="20"/>
        </w:rPr>
      </w:pPr>
      <w:r>
        <w:rPr>
          <w:rFonts w:ascii="Times New Roman" w:hAnsi="Times New Roman"/>
          <w:sz w:val="20"/>
        </w:rPr>
        <w:t xml:space="preserve">(14)  any lien upon or deposits of any assets to secure performance of bids, trade contracts, leases or statutory obligations; </w:t>
      </w:r>
    </w:p>
    <w:p>
      <w:pPr>
        <w:pStyle w:val="TextBody"/>
        <w:spacing w:before="150" w:after="0"/>
        <w:rPr>
          <w:rFonts w:ascii="Times New Roman" w:hAnsi="Times New Roman"/>
          <w:sz w:val="20"/>
        </w:rPr>
      </w:pPr>
      <w:r>
        <w:rPr>
          <w:rFonts w:ascii="Times New Roman" w:hAnsi="Times New Roman"/>
          <w:sz w:val="20"/>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50" w:after="0"/>
        <w:rPr>
          <w:rFonts w:ascii="Times New Roman" w:hAnsi="Times New Roman"/>
          <w:sz w:val="20"/>
        </w:rPr>
      </w:pPr>
      <w:r>
        <w:rPr>
          <w:rFonts w:ascii="Times New Roman" w:hAnsi="Times New Roman"/>
          <w:sz w:val="20"/>
        </w:rPr>
        <w:t xml:space="preserve">(16)  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 </w:t>
      </w:r>
    </w:p>
    <w:p>
      <w:pPr>
        <w:pStyle w:val="TextBody"/>
        <w:spacing w:before="150" w:after="0"/>
        <w:rPr>
          <w:rFonts w:ascii="Times New Roman" w:hAnsi="Times New Roman"/>
          <w:sz w:val="20"/>
        </w:rPr>
      </w:pPr>
      <w:r>
        <w:rPr>
          <w:rFonts w:ascii="Times New Roman" w:hAnsi="Times New Roman"/>
          <w:sz w:val="20"/>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 </w:t>
      </w:r>
    </w:p>
    <w:p>
      <w:pPr>
        <w:pStyle w:val="TextBody"/>
        <w:spacing w:before="150" w:after="0"/>
        <w:rPr>
          <w:rFonts w:ascii="Times New Roman" w:hAnsi="Times New Roman"/>
          <w:sz w:val="20"/>
        </w:rPr>
      </w:pPr>
      <w:r>
        <w:rPr>
          <w:rFonts w:ascii="Times New Roman" w:hAnsi="Times New Roman"/>
          <w:sz w:val="20"/>
        </w:rPr>
        <w:t xml:space="preserve">(18)  any obligations or duties to any municipality or public authority with respect to any lease, easement, right-of-way, license, franchise, privilege, permit or grant.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Person</w:t>
      </w:r>
      <w:r>
        <w:rPr>
          <w:rFonts w:ascii="Times New Roman" w:hAnsi="Times New Roman"/>
          <w:sz w:val="20"/>
        </w:rPr>
        <w:t xml:space="preserve"> means any individual, corporation, partnership, joint venture, limited liability company, association, joint stock company, trust, other entity, unincorporated organization or government or any agency or political subdivision thereof.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Principal Property</w:t>
      </w:r>
      <w:r>
        <w:rPr>
          <w:rFonts w:ascii="Times New Roman" w:hAnsi="Times New Roman"/>
          <w:sz w:val="20"/>
        </w:rPr>
        <w:t xml:space="preserve"> means, whether owned or leased on the Issue Date or thereafter acquired: </w:t>
      </w:r>
    </w:p>
    <w:p>
      <w:pPr>
        <w:pStyle w:val="TextBody"/>
        <w:spacing w:before="150" w:after="0"/>
        <w:rPr>
          <w:rFonts w:ascii="Times New Roman" w:hAnsi="Times New Roman"/>
          <w:sz w:val="20"/>
        </w:rPr>
      </w:pPr>
      <w:r>
        <w:rPr>
          <w:rFonts w:ascii="Times New Roman" w:hAnsi="Times New Roman"/>
          <w:sz w:val="20"/>
        </w:rPr>
        <w:t xml:space="preserve">(1)    any of the pipeline assets of Plains All American Pipeline or the pipeline assets of any Subsidiary of Plains All American Pipeline, including any related facilities employed in the transportation,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terminalling, gathering, treating, processing, marketing or storage of crude oil or refined petroleum products, natural gas, natural gas liquids, fuel additives or petrochemicals; and </w:t>
      </w:r>
    </w:p>
    <w:p>
      <w:pPr>
        <w:pStyle w:val="TextBody"/>
        <w:spacing w:before="150" w:after="0"/>
        <w:rPr>
          <w:rFonts w:ascii="Times New Roman" w:hAnsi="Times New Roman"/>
          <w:sz w:val="20"/>
        </w:rPr>
      </w:pPr>
      <w:r>
        <w:rPr>
          <w:rFonts w:ascii="Times New Roman" w:hAnsi="Times New Roman"/>
          <w:sz w:val="20"/>
        </w:rPr>
        <w:t xml:space="preserve">(2)    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Restricted Subsidiary</w:t>
      </w:r>
      <w:r>
        <w:rPr>
          <w:rFonts w:ascii="Times New Roman" w:hAnsi="Times New Roman"/>
          <w:sz w:val="20"/>
        </w:rPr>
        <w:t xml:space="preserve"> means any Subsidiary of Plains All American Pipeline owning or leasing, directly or indirectly through ownership in another Subsidiary, any Principal Property.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Sale-leaseback Transaction</w:t>
      </w:r>
      <w:r>
        <w:rPr>
          <w:rFonts w:ascii="Times New Roman" w:hAnsi="Times New Roman"/>
          <w:sz w:val="20"/>
        </w:rPr>
        <w:t xml:space="preserve">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Subsidiary</w:t>
      </w:r>
      <w:r>
        <w:rPr>
          <w:rFonts w:ascii="Times New Roman" w:hAnsi="Times New Roman"/>
          <w:sz w:val="20"/>
        </w:rPr>
        <w:t xml:space="preserve"> means, with respect to any Person: </w:t>
      </w:r>
    </w:p>
    <w:p>
      <w:pPr>
        <w:pStyle w:val="TextBody"/>
        <w:spacing w:before="150" w:after="0"/>
        <w:rPr>
          <w:rFonts w:ascii="Times New Roman" w:hAnsi="Times New Roman"/>
          <w:sz w:val="20"/>
        </w:rPr>
      </w:pPr>
      <w:r>
        <w:rPr>
          <w:rFonts w:ascii="Times New Roman" w:hAnsi="Times New Roman"/>
          <w:sz w:val="20"/>
        </w:rPr>
        <w:t xml:space="preserve">(1)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w:t>
      </w:r>
    </w:p>
    <w:p>
      <w:pPr>
        <w:pStyle w:val="TextBody"/>
        <w:spacing w:before="150" w:after="0"/>
        <w:rPr>
          <w:rFonts w:ascii="Times New Roman" w:hAnsi="Times New Roman"/>
          <w:sz w:val="20"/>
        </w:rPr>
      </w:pPr>
      <w:r>
        <w:rPr>
          <w:rFonts w:ascii="Times New Roman" w:hAnsi="Times New Roman"/>
          <w:sz w:val="20"/>
        </w:rPr>
        <w:t xml:space="preserve">(2)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supprom447729_9"/>
      <w:bookmarkEnd w:id="11"/>
      <w:r>
        <w:rPr>
          <w:rFonts w:ascii="Times New Roman" w:hAnsi="Times New Roman"/>
          <w:b/>
          <w:sz w:val="20"/>
        </w:rPr>
        <w:t xml:space="preserve">BOOK ENTRY, DELIVERY AND FORM </w:t>
      </w:r>
    </w:p>
    <w:p>
      <w:pPr>
        <w:pStyle w:val="TextBody"/>
        <w:spacing w:before="150" w:after="0"/>
        <w:rPr>
          <w:rFonts w:ascii="Times New Roman" w:hAnsi="Times New Roman"/>
          <w:sz w:val="20"/>
        </w:rPr>
      </w:pPr>
      <w:r>
        <w:rPr>
          <w:rFonts w:ascii="Times New Roman" w:hAnsi="Times New Roman"/>
          <w:sz w:val="20"/>
        </w:rPr>
        <w:t xml:space="preserve">We will issue the Notes of each series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 </w:t>
      </w:r>
    </w:p>
    <w:p>
      <w:pPr>
        <w:pStyle w:val="TextBody"/>
        <w:spacing w:before="150" w:after="0"/>
        <w:rPr>
          <w:rFonts w:ascii="Times New Roman" w:hAnsi="Times New Roman"/>
          <w:sz w:val="20"/>
        </w:rPr>
      </w:pPr>
      <w:r>
        <w:rPr>
          <w:rFonts w:ascii="Times New Roman" w:hAnsi="Times New Roman"/>
          <w:sz w:val="20"/>
        </w:rPr>
        <w:t xml:space="preserve">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 </w:t>
      </w:r>
    </w:p>
    <w:p>
      <w:pPr>
        <w:pStyle w:val="TextBody"/>
        <w:spacing w:before="150" w:after="0"/>
        <w:rPr>
          <w:rFonts w:ascii="Times New Roman" w:hAnsi="Times New Roman"/>
          <w:sz w:val="20"/>
        </w:rPr>
      </w:pPr>
      <w:r>
        <w:rPr>
          <w:rFonts w:ascii="Times New Roman" w:hAnsi="Times New Roman"/>
          <w:sz w:val="20"/>
        </w:rPr>
        <w:t xml:space="preserve">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 </w:t>
      </w:r>
    </w:p>
    <w:p>
      <w:pPr>
        <w:pStyle w:val="TextBody"/>
        <w:spacing w:before="150" w:after="0"/>
        <w:rPr>
          <w:rFonts w:ascii="Times New Roman" w:hAnsi="Times New Roman"/>
          <w:b/>
          <w:sz w:val="20"/>
        </w:rPr>
      </w:pPr>
      <w:r>
        <w:rPr>
          <w:rFonts w:ascii="Times New Roman" w:hAnsi="Times New Roman"/>
          <w:b/>
          <w:sz w:val="20"/>
        </w:rPr>
        <w:t xml:space="preserve">Depository Procedures </w:t>
      </w:r>
    </w:p>
    <w:p>
      <w:pPr>
        <w:pStyle w:val="TextBody"/>
        <w:spacing w:before="150" w:after="0"/>
        <w:rPr>
          <w:rFonts w:ascii="Times New Roman" w:hAnsi="Times New Roman"/>
          <w:sz w:val="20"/>
        </w:rPr>
      </w:pPr>
      <w:r>
        <w:rPr>
          <w:rFonts w:ascii="Times New Roman" w:hAnsi="Times New Roman"/>
          <w:sz w:val="20"/>
        </w:rPr>
        <w:t xml:space="preserve">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 </w:t>
      </w:r>
    </w:p>
    <w:p>
      <w:pPr>
        <w:pStyle w:val="TextBody"/>
        <w:spacing w:before="150" w:after="0"/>
        <w:rPr>
          <w:rFonts w:ascii="Times New Roman" w:hAnsi="Times New Roman"/>
          <w:sz w:val="20"/>
        </w:rPr>
      </w:pPr>
      <w:r>
        <w:rPr>
          <w:rFonts w:ascii="Times New Roman" w:hAnsi="Times New Roman"/>
          <w:sz w:val="20"/>
        </w:rPr>
        <w:t xml:space="preserve">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ownership thereof will be effected only through, records maintained by DTC (with respect to the Participants) or by the Participants and the Indirect Participants (with respect to other owners of beneficial interests in the Global Notes). </w:t>
      </w:r>
    </w:p>
    <w:p>
      <w:pPr>
        <w:pStyle w:val="TextBody"/>
        <w:spacing w:before="150" w:after="0"/>
        <w:rPr>
          <w:rFonts w:ascii="Times New Roman" w:hAnsi="Times New Roman"/>
          <w:sz w:val="20"/>
        </w:rPr>
      </w:pPr>
      <w:r>
        <w:rPr>
          <w:rFonts w:ascii="Times New Roman" w:hAnsi="Times New Roman"/>
          <w:sz w:val="20"/>
        </w:rPr>
        <w:t xml:space="preserve">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 </w:t>
      </w:r>
    </w:p>
    <w:p>
      <w:pPr>
        <w:pStyle w:val="TextBody"/>
        <w:spacing w:before="150" w:after="0"/>
        <w:rPr>
          <w:rFonts w:ascii="Times New Roman" w:hAnsi="Times New Roman"/>
          <w:sz w:val="20"/>
        </w:rPr>
      </w:pPr>
      <w:r>
        <w:rPr>
          <w:rFonts w:ascii="Times New Roman" w:hAnsi="Times New Roman"/>
          <w:sz w:val="20"/>
        </w:rPr>
        <w:t xml:space="preserve">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 </w:t>
      </w:r>
    </w:p>
    <w:p>
      <w:pPr>
        <w:pStyle w:val="TextBody"/>
        <w:spacing w:before="150" w:after="0"/>
        <w:rPr>
          <w:rFonts w:ascii="Times New Roman" w:hAnsi="Times New Roman"/>
          <w:b/>
          <w:sz w:val="20"/>
        </w:rPr>
      </w:pPr>
      <w:r>
        <w:rPr>
          <w:rFonts w:ascii="Times New Roman" w:hAnsi="Times New Roman"/>
          <w:b/>
          <w:sz w:val="20"/>
        </w:rPr>
        <w:t xml:space="preserve">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 </w:t>
      </w:r>
    </w:p>
    <w:p>
      <w:pPr>
        <w:pStyle w:val="TextBody"/>
        <w:spacing w:before="150" w:after="0"/>
        <w:rPr>
          <w:rFonts w:ascii="Times New Roman" w:hAnsi="Times New Roman"/>
          <w:sz w:val="20"/>
        </w:rPr>
      </w:pPr>
      <w:r>
        <w:rPr>
          <w:rFonts w:ascii="Times New Roman" w:hAnsi="Times New Roman"/>
          <w:sz w:val="20"/>
        </w:rPr>
        <w:t xml:space="preserve">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 </w:t>
      </w:r>
    </w:p>
    <w:p>
      <w:pPr>
        <w:pStyle w:val="TextBody"/>
        <w:spacing w:before="150" w:after="0"/>
        <w:rPr>
          <w:rFonts w:ascii="Times New Roman" w:hAnsi="Times New Roman"/>
          <w:sz w:val="20"/>
        </w:rPr>
      </w:pPr>
      <w:r>
        <w:rPr>
          <w:rFonts w:ascii="Times New Roman" w:hAnsi="Times New Roman"/>
          <w:sz w:val="20"/>
        </w:rPr>
        <w:t xml:space="preserve">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 </w:t>
      </w:r>
    </w:p>
    <w:p>
      <w:pPr>
        <w:pStyle w:val="TextBody"/>
        <w:spacing w:before="150" w:after="0"/>
        <w:rPr>
          <w:rFonts w:ascii="Times New Roman" w:hAnsi="Times New Roman"/>
          <w:b/>
          <w:sz w:val="20"/>
        </w:rPr>
      </w:pPr>
      <w:r>
        <w:rPr>
          <w:rFonts w:ascii="Times New Roman" w:hAnsi="Times New Roman"/>
          <w:b/>
          <w:sz w:val="20"/>
        </w:rPr>
        <w:t xml:space="preserve">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 </w:t>
      </w:r>
    </w:p>
    <w:p>
      <w:pPr>
        <w:pStyle w:val="TextBody"/>
        <w:spacing w:before="150" w:after="0"/>
        <w:rPr>
          <w:rFonts w:ascii="Times New Roman" w:hAnsi="Times New Roman"/>
          <w:sz w:val="20"/>
        </w:rPr>
      </w:pPr>
      <w:r>
        <w:rPr>
          <w:rFonts w:ascii="Times New Roman" w:hAnsi="Times New Roman"/>
          <w:sz w:val="20"/>
        </w:rPr>
        <w:t xml:space="preserve">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 </w:t>
      </w:r>
    </w:p>
    <w:p>
      <w:pPr>
        <w:pStyle w:val="TextBody"/>
        <w:spacing w:before="150" w:after="0"/>
        <w:rPr>
          <w:rFonts w:ascii="Times New Roman" w:hAnsi="Times New Roman"/>
          <w:sz w:val="20"/>
        </w:rPr>
      </w:pPr>
      <w:r>
        <w:rPr>
          <w:rFonts w:ascii="Times New Roman" w:hAnsi="Times New Roman"/>
          <w:sz w:val="20"/>
        </w:rPr>
        <w:t xml:space="preserve">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spacing w:before="150" w:after="0"/>
        <w:rPr>
          <w:rFonts w:ascii="Times New Roman" w:hAnsi="Times New Roman"/>
          <w:sz w:val="20"/>
        </w:rPr>
      </w:pPr>
      <w:r>
        <w:rPr>
          <w:rFonts w:ascii="Times New Roman" w:hAnsi="Times New Roman"/>
          <w:sz w:val="20"/>
        </w:rPr>
        <w:t xml:space="preserve">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 </w:t>
      </w:r>
    </w:p>
    <w:p>
      <w:pPr>
        <w:pStyle w:val="TextBody"/>
        <w:spacing w:before="150" w:after="0"/>
        <w:rPr>
          <w:rFonts w:ascii="Times New Roman" w:hAnsi="Times New Roman"/>
          <w:sz w:val="20"/>
        </w:rPr>
      </w:pPr>
      <w:r>
        <w:rPr>
          <w:rFonts w:ascii="Times New Roman" w:hAnsi="Times New Roman"/>
          <w:sz w:val="20"/>
        </w:rPr>
        <w:t xml:space="preserve">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 </w:t>
      </w:r>
    </w:p>
    <w:p>
      <w:pPr>
        <w:pStyle w:val="TextBody"/>
        <w:spacing w:before="150" w:after="0"/>
        <w:rPr>
          <w:rFonts w:ascii="Times New Roman" w:hAnsi="Times New Roman"/>
          <w:b/>
          <w:sz w:val="20"/>
        </w:rPr>
      </w:pPr>
      <w:r>
        <w:rPr>
          <w:rFonts w:ascii="Times New Roman" w:hAnsi="Times New Roman"/>
          <w:b/>
          <w:sz w:val="20"/>
        </w:rPr>
        <w:t xml:space="preserve">Exchange of Book Entry Notes for Certificated Notes </w:t>
      </w:r>
    </w:p>
    <w:p>
      <w:pPr>
        <w:pStyle w:val="TextBody"/>
        <w:spacing w:before="150" w:after="0"/>
        <w:rPr>
          <w:rFonts w:ascii="Times New Roman" w:hAnsi="Times New Roman"/>
          <w:sz w:val="20"/>
        </w:rPr>
      </w:pPr>
      <w:r>
        <w:rPr>
          <w:rFonts w:ascii="Times New Roman" w:hAnsi="Times New Roman"/>
          <w:sz w:val="20"/>
        </w:rPr>
        <w:t xml:space="preserve">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supprom447729_10"/>
      <w:bookmarkEnd w:id="12"/>
      <w:r>
        <w:rPr>
          <w:rFonts w:ascii="Times New Roman" w:hAnsi="Times New Roman"/>
          <w:b/>
          <w:sz w:val="20"/>
        </w:rPr>
        <w:t xml:space="preserve">MATERIAL U.S. FEDERAL INCOME AND ESTATE TAX CONSEQUENCES </w:t>
      </w:r>
    </w:p>
    <w:p>
      <w:pPr>
        <w:pStyle w:val="TextBody"/>
        <w:spacing w:before="150" w:after="0"/>
        <w:rPr>
          <w:rFonts w:ascii="Times New Roman" w:hAnsi="Times New Roman"/>
          <w:sz w:val="20"/>
        </w:rPr>
      </w:pPr>
      <w:r>
        <w:rPr>
          <w:rFonts w:ascii="Times New Roman" w:hAnsi="Times New Roman"/>
          <w:sz w:val="20"/>
        </w:rPr>
        <w:t xml:space="preserve">The following discussion is a summary of the material U.S. federal income tax consequences, and in the case of a Non-U.S. Holder (as defined below), U.S. federal estate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the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 </w:t>
      </w:r>
    </w:p>
    <w:p>
      <w:pPr>
        <w:pStyle w:val="TextBody"/>
        <w:spacing w:before="150" w:after="0"/>
        <w:rPr>
          <w:rFonts w:ascii="Times New Roman" w:hAnsi="Times New Roman"/>
          <w:sz w:val="20"/>
        </w:rPr>
      </w:pPr>
      <w:r>
        <w:rPr>
          <w:rFonts w:ascii="Times New Roman" w:hAnsi="Times New Roman"/>
          <w:sz w:val="20"/>
        </w:rPr>
        <w:t xml:space="preserve">In this discussion, we do not purport to address all tax considerations that may be important to a particular holder in light of the holders special circumstances, or to certain categories of holders that may be subject to special rules, such as: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dealers in securities or currencies;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2"/>
        <w:gridCol w:w="9493"/>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former citizens or long-term residents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tax-exempt organizations;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regulated investment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real estate investment trusts;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holders subject to the alternative minimum tax;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persons holding Notes as part of a straddle transaction, hedging transaction, conversion transaction or other synthetic security or integrated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Holders (as defined below) whose functional currency is not the U.S. dollar;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partnerships and other pass-through entities and holders of interests therein. </w:t>
            </w:r>
          </w:p>
        </w:tc>
      </w:tr>
    </w:tbl>
    <w:p>
      <w:pPr>
        <w:pStyle w:val="TextBody"/>
        <w:spacing w:before="150" w:after="0"/>
        <w:rPr>
          <w:rFonts w:ascii="Times New Roman" w:hAnsi="Times New Roman"/>
          <w:sz w:val="20"/>
        </w:rPr>
      </w:pPr>
      <w:r>
        <w:rPr>
          <w:rFonts w:ascii="Times New Roman" w:hAnsi="Times New Roman"/>
          <w:sz w:val="20"/>
        </w:rPr>
        <w:t xml:space="preserve">In addition, the discussion does not consider the effect of U.S. federal estate tax laws (except in the case of a Non-U.S. Holder) or gift tax laws or of any applicable foreign, state, local or other tax laws or income tax treaties. </w:t>
      </w:r>
    </w:p>
    <w:p>
      <w:pPr>
        <w:pStyle w:val="TextBody"/>
        <w:spacing w:before="150" w:after="0"/>
        <w:rPr>
          <w:rFonts w:ascii="Times New Roman" w:hAnsi="Times New Roman"/>
          <w:sz w:val="20"/>
        </w:rPr>
      </w:pPr>
      <w:r>
        <w:rPr>
          <w:rFonts w:ascii="Times New Roman" w:hAnsi="Times New Roman"/>
          <w:sz w:val="20"/>
        </w:rPr>
        <w:t xml:space="preserve">If a partnership or other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should consult their tax advisors about the U.S. federal income tax consequences of acquiring, owning and disposing of the Notes. </w:t>
      </w:r>
    </w:p>
    <w:p>
      <w:pPr>
        <w:pStyle w:val="TextBody"/>
        <w:spacing w:before="150" w:after="0"/>
        <w:rPr>
          <w:rFonts w:ascii="Times New Roman" w:hAnsi="Times New Roman"/>
          <w:sz w:val="20"/>
        </w:rPr>
      </w:pPr>
      <w:r>
        <w:rPr>
          <w:rFonts w:ascii="Times New Roman" w:hAnsi="Times New Roman"/>
          <w:sz w:val="20"/>
        </w:rPr>
        <w:t xml:space="preserve">PROSPECTIVE INVESTORS ARE ADVISED TO CONSULT THEIR TAX ADVISORS WITH REGARD TO THE APPLICATION OF THE TAX CONSEQUENCES DISCUSSED BELOW TO THEIR PARTICULAR SITUATIONS, AS WELL AS THE APPLICATION OF U.S. FEDERAL ESTATE OR GIFT TAX LAWS OR OF ANY STATE, LOCAL, FOREIGN OR OTHER TAX LAWS OR INCOME TAX TREATIES.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Certain Additional Payments </w:t>
      </w:r>
    </w:p>
    <w:p>
      <w:pPr>
        <w:pStyle w:val="TextBody"/>
        <w:spacing w:before="150" w:after="0"/>
        <w:rPr>
          <w:rFonts w:ascii="Times New Roman" w:hAnsi="Times New Roman"/>
          <w:sz w:val="20"/>
        </w:rPr>
      </w:pPr>
      <w:r>
        <w:rPr>
          <w:rFonts w:ascii="Times New Roman" w:hAnsi="Times New Roman"/>
          <w:sz w:val="20"/>
        </w:rPr>
        <w:t xml:space="preserve">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 </w:t>
      </w:r>
    </w:p>
    <w:p>
      <w:pPr>
        <w:pStyle w:val="TextBody"/>
        <w:spacing w:before="150" w:after="0"/>
        <w:rPr>
          <w:rFonts w:ascii="Times New Roman" w:hAnsi="Times New Roman"/>
          <w:b/>
          <w:sz w:val="20"/>
        </w:rPr>
      </w:pPr>
      <w:r>
        <w:rPr>
          <w:rFonts w:ascii="Times New Roman" w:hAnsi="Times New Roman"/>
          <w:b/>
          <w:sz w:val="20"/>
        </w:rPr>
        <w:t xml:space="preserve">U.S. Federal Income Taxation of U.S. Holders </w:t>
      </w:r>
    </w:p>
    <w:p>
      <w:pPr>
        <w:pStyle w:val="TextBody"/>
        <w:spacing w:before="150" w:after="0"/>
        <w:rPr>
          <w:rFonts w:ascii="Times New Roman" w:hAnsi="Times New Roman"/>
          <w:sz w:val="20"/>
        </w:rPr>
      </w:pPr>
      <w:r>
        <w:rPr>
          <w:rFonts w:ascii="Times New Roman" w:hAnsi="Times New Roman"/>
          <w:sz w:val="20"/>
        </w:rPr>
        <w:t xml:space="preserve">As used herein, a U.S. Holder means a beneficial owner of a Note that 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individual who is a citizen or resident alien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or any political subdivision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 </w:t>
            </w:r>
          </w:p>
        </w:tc>
      </w:tr>
    </w:tbl>
    <w:p>
      <w:pPr>
        <w:pStyle w:val="TextBody"/>
        <w:spacing w:before="150" w:after="0"/>
        <w:rPr>
          <w:rFonts w:ascii="Times New Roman" w:hAnsi="Times New Roman"/>
          <w:b/>
          <w:i/>
          <w:sz w:val="20"/>
        </w:rPr>
      </w:pPr>
      <w:r>
        <w:rPr>
          <w:rFonts w:ascii="Times New Roman" w:hAnsi="Times New Roman"/>
          <w:b/>
          <w:i/>
          <w:sz w:val="20"/>
        </w:rPr>
        <w:t xml:space="preserve">Payments of Interest </w:t>
      </w:r>
    </w:p>
    <w:p>
      <w:pPr>
        <w:pStyle w:val="TextBody"/>
        <w:spacing w:before="150" w:after="0"/>
        <w:rPr>
          <w:rFonts w:ascii="Times New Roman" w:hAnsi="Times New Roman"/>
          <w:sz w:val="20"/>
        </w:rPr>
      </w:pPr>
      <w:r>
        <w:rPr>
          <w:rFonts w:ascii="Times New Roman" w:hAnsi="Times New Roman"/>
          <w:sz w:val="20"/>
        </w:rPr>
        <w:t xml:space="preserve">Interest paid on a Note generally will be taxable to a U.S. Holder as ordinary income at the time it accrues or is received in accordance with the U.S. Holders regular method of accounting for U.S. federal income tax purposes. </w:t>
      </w:r>
    </w:p>
    <w:p>
      <w:pPr>
        <w:pStyle w:val="TextBody"/>
        <w:spacing w:before="150" w:after="0"/>
        <w:rPr>
          <w:rFonts w:ascii="Times New Roman" w:hAnsi="Times New Roman"/>
          <w:b/>
          <w:i/>
          <w:sz w:val="20"/>
        </w:rPr>
      </w:pPr>
      <w:r>
        <w:rPr>
          <w:rFonts w:ascii="Times New Roman" w:hAnsi="Times New Roman"/>
          <w:b/>
          <w:i/>
          <w:sz w:val="20"/>
        </w:rPr>
        <w:t xml:space="preserve">Disposition of Notes </w:t>
      </w:r>
    </w:p>
    <w:p>
      <w:pPr>
        <w:pStyle w:val="TextBody"/>
        <w:spacing w:before="150" w:after="0"/>
        <w:rPr>
          <w:rFonts w:ascii="Times New Roman" w:hAnsi="Times New Roman"/>
          <w:sz w:val="20"/>
        </w:rPr>
      </w:pPr>
      <w:r>
        <w:rPr>
          <w:rFonts w:ascii="Times New Roman" w:hAnsi="Times New Roman"/>
          <w:sz w:val="20"/>
        </w:rPr>
        <w:t xml:space="preserve">Upon the sale, exchange, retirement, redemption or other taxable disposition of a Note, a U.S. Holder will generally recognize capital gain or loss equal to the difference between the amount realized on the disposition (not including any amount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 </w:t>
      </w:r>
    </w:p>
    <w:p>
      <w:pPr>
        <w:pStyle w:val="TextBody"/>
        <w:spacing w:before="150" w:after="0"/>
        <w:rPr>
          <w:rFonts w:ascii="Times New Roman" w:hAnsi="Times New Roman"/>
          <w:sz w:val="20"/>
        </w:rPr>
      </w:pPr>
      <w:r>
        <w:rPr>
          <w:rFonts w:ascii="Times New Roman" w:hAnsi="Times New Roman"/>
          <w:sz w:val="20"/>
        </w:rPr>
        <w:t xml:space="preserve">In general,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 </w:t>
      </w:r>
    </w:p>
    <w:p>
      <w:pPr>
        <w:pStyle w:val="TextBody"/>
        <w:spacing w:before="150" w:after="0"/>
        <w:rPr>
          <w:rFonts w:ascii="Times New Roman" w:hAnsi="Times New Roman"/>
          <w:b/>
          <w:i/>
          <w:sz w:val="20"/>
        </w:rPr>
      </w:pPr>
      <w:r>
        <w:rPr>
          <w:rFonts w:ascii="Times New Roman" w:hAnsi="Times New Roman"/>
          <w:b/>
          <w:i/>
          <w:sz w:val="20"/>
        </w:rPr>
        <w:t xml:space="preserve">Information Reporting and Backup Withholding </w:t>
      </w:r>
    </w:p>
    <w:p>
      <w:pPr>
        <w:pStyle w:val="TextBody"/>
        <w:spacing w:before="150" w:after="0"/>
        <w:rPr>
          <w:rFonts w:ascii="Times New Roman" w:hAnsi="Times New Roman"/>
          <w:sz w:val="20"/>
        </w:rPr>
      </w:pPr>
      <w:r>
        <w:rPr>
          <w:rFonts w:ascii="Times New Roman" w:hAnsi="Times New Roman"/>
          <w:sz w:val="20"/>
        </w:rPr>
        <w:t xml:space="preserve">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 number, certified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under penalties of perjury, as well as certain other information or otherwise establishes an 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timely provides the required information or appropriate claim form to the IRS. </w:t>
      </w:r>
    </w:p>
    <w:p>
      <w:pPr>
        <w:pStyle w:val="TextBody"/>
        <w:spacing w:before="150" w:after="0"/>
        <w:rPr>
          <w:rFonts w:ascii="Times New Roman" w:hAnsi="Times New Roman"/>
          <w:b/>
          <w:sz w:val="20"/>
        </w:rPr>
      </w:pPr>
      <w:r>
        <w:rPr>
          <w:rFonts w:ascii="Times New Roman" w:hAnsi="Times New Roman"/>
          <w:b/>
          <w:sz w:val="20"/>
        </w:rPr>
        <w:t xml:space="preserve">U.S. Federal Income Taxation of Non-U.S. Holders </w:t>
      </w:r>
    </w:p>
    <w:p>
      <w:pPr>
        <w:pStyle w:val="TextBody"/>
        <w:spacing w:before="150" w:after="0"/>
        <w:rPr>
          <w:rFonts w:ascii="Times New Roman" w:hAnsi="Times New Roman"/>
          <w:sz w:val="20"/>
        </w:rPr>
      </w:pPr>
      <w:r>
        <w:rPr>
          <w:rFonts w:ascii="Times New Roman" w:hAnsi="Times New Roman"/>
          <w:sz w:val="20"/>
        </w:rPr>
        <w:t xml:space="preserve">As used herein, a Non-U.S. Holder means a beneficial owner of a Note that is an individual, corporation, estate or trust that is not a U.S. Holder. </w:t>
      </w:r>
    </w:p>
    <w:p>
      <w:pPr>
        <w:pStyle w:val="TextBody"/>
        <w:spacing w:before="150" w:after="0"/>
        <w:rPr>
          <w:rFonts w:ascii="Times New Roman" w:hAnsi="Times New Roman"/>
          <w:b/>
          <w:i/>
          <w:sz w:val="20"/>
        </w:rPr>
      </w:pPr>
      <w:r>
        <w:rPr>
          <w:rFonts w:ascii="Times New Roman" w:hAnsi="Times New Roman"/>
          <w:b/>
          <w:i/>
          <w:sz w:val="20"/>
        </w:rPr>
        <w:t xml:space="preserve">Payments of Interest </w:t>
      </w:r>
    </w:p>
    <w:p>
      <w:pPr>
        <w:pStyle w:val="TextBody"/>
        <w:spacing w:before="150" w:after="0"/>
        <w:rPr>
          <w:rFonts w:ascii="Times New Roman" w:hAnsi="Times New Roman"/>
          <w:sz w:val="20"/>
        </w:rPr>
      </w:pPr>
      <w:r>
        <w:rPr>
          <w:rFonts w:ascii="Times New Roman" w:hAnsi="Times New Roman"/>
          <w:sz w:val="20"/>
        </w:rPr>
        <w:t xml:space="preserve">The payment to a Non-U.S. Holder of interest on a Note generally will be exempt from U.S. federal withholding tax under the portfolio interest exemption provided that interest on the Note is not effectively connected with a U.S. trade or business conducted by the Non-U.S. Holder and the Non-U.S. 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1"/>
        <w:gridCol w:w="9492"/>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does not actually or constructively own 10% or more of our capital or profits interests;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1"/>
        <w:gridCol w:w="9492"/>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not a controlled foreign corporation for U.S. federal income tax purposes that is actually or constructively related to 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not a bank whose receipt of interest on the Note is in connection with an extension of credit made pursuant to a loan agreement entered into in the ordinary course of business;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Non-U.S. Holder properly certifies as to his foreign status as described below. </w:t>
            </w:r>
          </w:p>
        </w:tc>
      </w:tr>
    </w:tbl>
    <w:p>
      <w:pPr>
        <w:pStyle w:val="TextBody"/>
        <w:spacing w:before="150" w:after="0"/>
        <w:rPr>
          <w:rFonts w:ascii="Times New Roman" w:hAnsi="Times New Roman"/>
          <w:sz w:val="20"/>
        </w:rPr>
      </w:pPr>
      <w:r>
        <w:rPr>
          <w:rFonts w:ascii="Times New Roman" w:hAnsi="Times New Roman"/>
          <w:sz w:val="20"/>
        </w:rPr>
        <w:t xml:space="preserve">The portfolio interest exemption and several of the special rules for Non-U.S. Holders described below generally apply only if a Non-U.S. Holder appropriately certifies as to his foreign status. A Non-U.S. Holder can generally meet this certification requirement by providing a properly executed IRS Form W-8BEN or appropriate substitute form to the applicable withholding agent. </w:t>
      </w:r>
    </w:p>
    <w:p>
      <w:pPr>
        <w:pStyle w:val="TextBody"/>
        <w:spacing w:before="150" w:after="0"/>
        <w:rPr>
          <w:rFonts w:ascii="Times New Roman" w:hAnsi="Times New Roman"/>
          <w:sz w:val="20"/>
        </w:rPr>
      </w:pPr>
      <w:r>
        <w:rPr>
          <w:rFonts w:ascii="Times New Roman" w:hAnsi="Times New Roman"/>
          <w:sz w:val="20"/>
        </w:rPr>
        <w:t xml:space="preserve">If a Non-U.S. Holder holds a Note through a financial institution or other agent acting on his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 </w:t>
      </w:r>
    </w:p>
    <w:p>
      <w:pPr>
        <w:pStyle w:val="TextBody"/>
        <w:spacing w:before="150" w:after="0"/>
        <w:rPr>
          <w:rFonts w:ascii="Times New Roman" w:hAnsi="Times New Roman"/>
          <w:sz w:val="20"/>
        </w:rPr>
      </w:pPr>
      <w:r>
        <w:rPr>
          <w:rFonts w:ascii="Times New Roman" w:hAnsi="Times New Roman"/>
          <w:sz w:val="20"/>
        </w:rPr>
        <w:t xml:space="preserve">If a Non-U.S. Holder cannot satisfy the requirements described in the preceding paragraphs, payments of interest made to the Non-U.S. Holder will be subject to a 30% U.S. federal withholding tax, unless the Non-U.S. Holder provides us with a properly executed (1) IRS Form W-8BEN (or successor form) claiming an exemption from or reduction of the rate of withholding under the benefit of an income tax treaty or (2) IRS Form W-8ECI (or successor form) stating that the interest paid on the Note is not subject to withholding tax because it is effectively connected with the Non-U.S. Holders conduct of a trade or business in the United States (and if required by an applicable income tax treaty, is treated as attributable to a permanent establishment maintained by the Non-U.S. Holder in the United States). See Income or Gain Effectively Connected with a U.S. Trade or Business.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Disposition of Notes </w:t>
      </w:r>
    </w:p>
    <w:p>
      <w:pPr>
        <w:pStyle w:val="TextBody"/>
        <w:spacing w:before="150" w:after="0"/>
        <w:rPr>
          <w:rFonts w:ascii="Times New Roman" w:hAnsi="Times New Roman"/>
          <w:sz w:val="20"/>
        </w:rPr>
      </w:pPr>
      <w:r>
        <w:rPr>
          <w:rFonts w:ascii="Times New Roman" w:hAnsi="Times New Roman"/>
          <w:sz w:val="20"/>
        </w:rPr>
        <w:t xml:space="preserve">Generally, a Non-U.S. Holder will not be subject to U.S. federal income tax with respect to gain realized on the sale, exchange, retirement, redemption or other disposition of a Note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gain is effectively connected with the conduct by the Non-U.S. Holder of a trade or business in the United States (and if an applicable income tax treaty so requires, is attributable to a permanent establishment maintained by the Non-U.S. Holder in the United States);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 Non-U.S. Holder who is a nonresident alien individual, such individual is present in the United States for 183 days or more in the taxable year of disposition and certain other conditions are met. </w:t>
            </w:r>
          </w:p>
        </w:tc>
      </w:tr>
    </w:tbl>
    <w:p>
      <w:pPr>
        <w:pStyle w:val="TextBody"/>
        <w:spacing w:before="150" w:after="0"/>
        <w:rPr>
          <w:rFonts w:ascii="Times New Roman" w:hAnsi="Times New Roman"/>
          <w:sz w:val="20"/>
        </w:rPr>
      </w:pPr>
      <w:r>
        <w:rPr>
          <w:rFonts w:ascii="Times New Roman" w:hAnsi="Times New Roman"/>
          <w:sz w:val="20"/>
        </w:rPr>
        <w:t xml:space="preserve">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applicable treaty rate) of U.S. federal income tax on the gain derived from the sale or other disposition, which may be offset by U.S. source capital losses. </w:t>
      </w:r>
    </w:p>
    <w:p>
      <w:pPr>
        <w:pStyle w:val="TextBody"/>
        <w:spacing w:before="150" w:after="0"/>
        <w:rPr>
          <w:rFonts w:ascii="Times New Roman" w:hAnsi="Times New Roman"/>
          <w:b/>
          <w:i/>
          <w:sz w:val="20"/>
        </w:rPr>
      </w:pPr>
      <w:r>
        <w:rPr>
          <w:rFonts w:ascii="Times New Roman" w:hAnsi="Times New Roman"/>
          <w:b/>
          <w:i/>
          <w:sz w:val="20"/>
        </w:rPr>
        <w:t xml:space="preserve">Income or Gain Effectively Connected with a U.S. Trade or Business </w:t>
      </w:r>
    </w:p>
    <w:p>
      <w:pPr>
        <w:pStyle w:val="TextBody"/>
        <w:spacing w:before="150" w:after="0"/>
        <w:rPr>
          <w:rFonts w:ascii="Times New Roman" w:hAnsi="Times New Roman"/>
          <w:sz w:val="20"/>
        </w:rPr>
      </w:pPr>
      <w:r>
        <w:rPr>
          <w:rFonts w:ascii="Times New Roman" w:hAnsi="Times New Roman"/>
          <w:sz w:val="20"/>
        </w:rPr>
        <w:t xml:space="preserve">If a Non-U.S. Holder of a Note is engaged in a trade or business in the United States and interest on the Note is effectively connected with the conduct of such trade or business, then the income or gain from the Note will generally be subject to U.S. federal income tax at regular graduated rates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 Non-U.S. Holder is a foreign corporation, it may be subject to a branch profits tax equal to 30% (or lower applicable treaty rate) of its earnings and profits for the taxable year, subject to adjustments, that are effectively connected with its conduct of a trade or business in the United States. A Non-U.S. Holder can generally meet the certification requirements by providing a properly executed IRS Form W-8ECI (or IRS Form W-8BEN claiming exemption under an applicable income tax treaty) or appropriate substitute form to the applicable withholding agent. </w:t>
      </w:r>
    </w:p>
    <w:p>
      <w:pPr>
        <w:pStyle w:val="TextBody"/>
        <w:spacing w:before="150" w:after="0"/>
        <w:rPr>
          <w:rFonts w:ascii="Times New Roman" w:hAnsi="Times New Roman"/>
          <w:b/>
          <w:i/>
          <w:sz w:val="20"/>
        </w:rPr>
      </w:pPr>
      <w:r>
        <w:rPr>
          <w:rFonts w:ascii="Times New Roman" w:hAnsi="Times New Roman"/>
          <w:b/>
          <w:i/>
          <w:sz w:val="20"/>
        </w:rPr>
        <w:t xml:space="preserve">U.S. Federal Estate Tax </w:t>
      </w:r>
    </w:p>
    <w:p>
      <w:pPr>
        <w:pStyle w:val="TextBody"/>
        <w:spacing w:before="150" w:after="0"/>
        <w:rPr>
          <w:rFonts w:ascii="Times New Roman" w:hAnsi="Times New Roman"/>
          <w:sz w:val="20"/>
        </w:rPr>
      </w:pPr>
      <w:r>
        <w:rPr>
          <w:rFonts w:ascii="Times New Roman" w:hAnsi="Times New Roman"/>
          <w:sz w:val="20"/>
        </w:rPr>
        <w:t xml:space="preserve">If an individual is not a resident of the United States (as specially defined for U.S. federal estate tax purposes) at the time of the individuals death, the Notes will not be included in the individuals estate for U.S. federal estate tax purposes provided that at the time of death, interest on the Notes owned by the individual qualifies for the portfolio interest exemption under the rules described above under Payments of Interest (without regard to the certification requirement required to qualify for the portfolio interest exemption). </w:t>
      </w:r>
    </w:p>
    <w:p>
      <w:pPr>
        <w:pStyle w:val="TextBody"/>
        <w:spacing w:before="150" w:after="0"/>
        <w:rPr>
          <w:rFonts w:ascii="Times New Roman" w:hAnsi="Times New Roman"/>
          <w:b/>
          <w:i/>
          <w:sz w:val="20"/>
        </w:rPr>
      </w:pPr>
      <w:r>
        <w:rPr>
          <w:rFonts w:ascii="Times New Roman" w:hAnsi="Times New Roman"/>
          <w:b/>
          <w:i/>
          <w:sz w:val="20"/>
        </w:rPr>
        <w:t xml:space="preserve">Information Reporting and Backup Withholding </w:t>
      </w:r>
    </w:p>
    <w:p>
      <w:pPr>
        <w:pStyle w:val="TextBody"/>
        <w:spacing w:before="150" w:after="0"/>
        <w:rPr>
          <w:rFonts w:ascii="Times New Roman" w:hAnsi="Times New Roman"/>
          <w:sz w:val="20"/>
        </w:rPr>
      </w:pPr>
      <w:r>
        <w:rPr>
          <w:rFonts w:ascii="Times New Roman" w:hAnsi="Times New Roman"/>
          <w:sz w:val="20"/>
        </w:rPr>
        <w:t xml:space="preserve">Payments to a Non-U.S. Holder of interest on a Note, and amounts withheld from such payments, if any, generally will be required to be reported to the IRS and to the Non-U.S. Holder. </w:t>
      </w:r>
    </w:p>
    <w:p>
      <w:pPr>
        <w:pStyle w:val="TextBody"/>
        <w:spacing w:before="150" w:after="0"/>
        <w:rPr>
          <w:rFonts w:ascii="Times New Roman" w:hAnsi="Times New Roman"/>
          <w:sz w:val="20"/>
        </w:rPr>
      </w:pPr>
      <w:r>
        <w:rPr>
          <w:rFonts w:ascii="Times New Roman" w:hAnsi="Times New Roman"/>
          <w:sz w:val="20"/>
        </w:rPr>
        <w:t xml:space="preserve">United States backup withholding generally will not apply to payments of interest and principal on a Note to a Non-U.S. Holder if the statement described in Payments of Interest is duly provided by the holder or the holder otherwise establishes an exemption, provided that the applicable withholding agent does not have actual knowledge or reason to know that the holder is a United States person. </w:t>
      </w:r>
    </w:p>
    <w:p>
      <w:pPr>
        <w:pStyle w:val="TextBody"/>
        <w:spacing w:before="150" w:after="0"/>
        <w:rPr>
          <w:rFonts w:ascii="Times New Roman" w:hAnsi="Times New Roman"/>
          <w:sz w:val="20"/>
        </w:rPr>
      </w:pPr>
      <w:r>
        <w:rPr>
          <w:rFonts w:ascii="Times New Roman" w:hAnsi="Times New Roman"/>
          <w:sz w:val="20"/>
        </w:rPr>
        <w:t xml:space="preserve">Payment of the proceeds of a sale of a Note effected by the U.S. office of a U.S. or foreign broker will be subject to information reporting requirements and backup withholding unless the Non-U.S. Holder properly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certifies under penalties of perjury as to his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0"/>
        <w:gridCol w:w="9494"/>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United States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person that derives 50% or more of its gross income for certain periods from the conduct of a trade or business in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controlled foreign corporation for U.S. federal income tax purposes;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partnership that, at any time during its taxable year, has more than 50% of its income or capital interests owned by United States persons or is engaged in the conduct of a U.S. trade or business. </w:t>
            </w:r>
          </w:p>
        </w:tc>
      </w:tr>
    </w:tbl>
    <w:p>
      <w:pPr>
        <w:pStyle w:val="TextBody"/>
        <w:spacing w:before="150" w:after="0"/>
        <w:rPr>
          <w:rFonts w:ascii="Times New Roman" w:hAnsi="Times New Roman"/>
          <w:sz w:val="20"/>
        </w:rPr>
      </w:pPr>
      <w:r>
        <w:rPr>
          <w:rFonts w:ascii="Times New Roman" w:hAnsi="Times New Roman"/>
          <w:sz w:val="20"/>
        </w:rPr>
        <w:t xml:space="preserve">Any amount withheld from payments to a Non-U.S. Holder under the backup withholding rules may be credited against such holders U.S. federal income tax liability, if any, and any excess may be refundable if the proper information is timely provided to the IRS. </w:t>
      </w:r>
    </w:p>
    <w:p>
      <w:pPr>
        <w:pStyle w:val="TextBody"/>
        <w:spacing w:before="150" w:after="0"/>
        <w:rPr>
          <w:rFonts w:ascii="Times New Roman" w:hAnsi="Times New Roman"/>
          <w:b/>
          <w:sz w:val="20"/>
        </w:rPr>
      </w:pPr>
      <w:r>
        <w:rPr>
          <w:rFonts w:ascii="Times New Roman" w:hAnsi="Times New Roman"/>
          <w:b/>
          <w:sz w:val="20"/>
        </w:rPr>
        <w:t xml:space="preserve">Legislation Involving Payments to Certain Foreign Entities </w:t>
      </w:r>
    </w:p>
    <w:p>
      <w:pPr>
        <w:pStyle w:val="TextBody"/>
        <w:spacing w:before="150" w:after="0"/>
        <w:rPr>
          <w:rFonts w:ascii="Times New Roman" w:hAnsi="Times New Roman"/>
          <w:sz w:val="20"/>
        </w:rPr>
      </w:pPr>
      <w:r>
        <w:rPr>
          <w:rFonts w:ascii="Times New Roman" w:hAnsi="Times New Roman"/>
          <w:sz w:val="20"/>
        </w:rPr>
        <w:t xml:space="preserve">Legislation enacted in March 2010 would impose a 30% withholding tax on any payments on our obligations made to a foreign financial institution or non-financial foreign entity (including, in some cases, when such foreign financial institution or entity is acting as an intermediary), and on the gross proceeds of the sale or other disposition of our obligations,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Under certain circumstances, a holder might be eligible for refunds or credits of such taxes. </w:t>
      </w:r>
    </w:p>
    <w:p>
      <w:pPr>
        <w:pStyle w:val="TextBody"/>
        <w:spacing w:before="150" w:after="0"/>
        <w:rPr>
          <w:rFonts w:ascii="Times New Roman" w:hAnsi="Times New Roman"/>
          <w:sz w:val="20"/>
        </w:rPr>
      </w:pPr>
      <w:r>
        <w:rPr>
          <w:rFonts w:ascii="Times New Roman" w:hAnsi="Times New Roman"/>
          <w:sz w:val="20"/>
        </w:rPr>
        <w:t xml:space="preserve">Although this legislation currently applies to payments made after December 31, 2012, the Treasury and the IRS have issued administrative guidance indicating that they plan to issue Treasury Regulations providing that withholding will only apply to payments of interest on debt obligations made on or after January 1, 2014 and to payments of gross proceeds from a sale or other disposition of debt securities made on or after January 1, 2017. Additionally, payments with respect to debt obligations that were outstanding on March 18, 2012 are not subject to these rules; however, proposed Treasury Regulations not yet in effect would, if adopted, extend this grandfathering date to debt securities issued before January 1, 2013 (and not materially modified after December 31, 2012). If these proposed Treasury Regulations are adopted, withholding under these rules would not be required on the notes. You are encouraged to consult with their own tax advisors regarding the possible implications of this legislation on an investment in the Notes. </w:t>
      </w:r>
    </w:p>
    <w:p>
      <w:pPr>
        <w:pStyle w:val="TextBody"/>
        <w:spacing w:before="150" w:after="0"/>
        <w:rPr>
          <w:rFonts w:ascii="Times New Roman" w:hAnsi="Times New Roman"/>
          <w:b/>
          <w:sz w:val="20"/>
        </w:rPr>
      </w:pPr>
      <w:r>
        <w:rPr>
          <w:rFonts w:ascii="Times New Roman" w:hAnsi="Times New Roman"/>
          <w:b/>
          <w:sz w:val="20"/>
        </w:rPr>
        <w:t xml:space="preserve">Additional Tax Relating to Net Investment Income </w:t>
      </w:r>
    </w:p>
    <w:p>
      <w:pPr>
        <w:pStyle w:val="TextBody"/>
        <w:spacing w:before="150" w:after="0"/>
        <w:rPr>
          <w:rFonts w:ascii="Times New Roman" w:hAnsi="Times New Roman"/>
          <w:sz w:val="20"/>
        </w:rPr>
      </w:pPr>
      <w:r>
        <w:rPr>
          <w:rFonts w:ascii="Times New Roman" w:hAnsi="Times New Roman"/>
          <w:sz w:val="20"/>
        </w:rPr>
        <w:t xml:space="preserve">For taxable years beginning after December 31, 2012, an additional 3.8% tax will be imposed on the net investment income of certain U.S. citizens and resident aliens, and on the undistributed net investment income of certain estates and trusts. Among other items, net investment income would generally include gross income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from interest and net gain from the sale, exchange, retirement, redemption or other taxable disposition of a Note, less certain deductions. Prospective investors should consult their own tax advisors with respect to the imposition of this additional tax. </w:t>
      </w:r>
    </w:p>
    <w:p>
      <w:pPr>
        <w:pStyle w:val="TextBody"/>
        <w:spacing w:before="150" w:after="0"/>
        <w:rPr>
          <w:rFonts w:ascii="Times New Roman" w:hAnsi="Times New Roman"/>
          <w:sz w:val="20"/>
        </w:rPr>
      </w:pPr>
      <w:r>
        <w:rPr>
          <w:rFonts w:ascii="Times New Roman" w:hAnsi="Times New Roman"/>
          <w:sz w:val="20"/>
        </w:rPr>
        <w:t xml:space="preserve">THE PRECEDING DISCUSSION OF MATERIAL U.S. FEDERAL INCOME AND ESTATE TAX CONSEQUENCES IS FOR GENERAL INFORMATION ONLY AND IS NOT TAX ADVICE. EACH PROSPECTIVE INVESTOR SHOULD CONSULT ITS OWN TAX ADVISOR REGARDING THE PARTICULAR U.S. FEDERAL, STATE, LOCAL AND FOREIGN TAX CONSEQUENCES OF PURCHASING, HOLDING AND DISPOSING OF THE NOTES, INCLUDING THE CONSEQUENCES OF ANY PROPOSED CHANGE IN APPLICABLE LAWS.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supprom447729_11"/>
      <w:bookmarkEnd w:id="13"/>
      <w:r>
        <w:rPr>
          <w:rFonts w:ascii="Times New Roman" w:hAnsi="Times New Roman"/>
          <w:b/>
          <w:sz w:val="20"/>
        </w:rPr>
        <w:t xml:space="preserve">UNDERWRITING (CONFLICTS OF INTEREST) </w:t>
      </w:r>
    </w:p>
    <w:p>
      <w:pPr>
        <w:pStyle w:val="TextBody"/>
        <w:spacing w:before="150" w:after="0"/>
        <w:rPr>
          <w:rFonts w:ascii="Times New Roman" w:hAnsi="Times New Roman"/>
          <w:sz w:val="20"/>
        </w:rPr>
      </w:pPr>
      <w:r>
        <w:rPr>
          <w:rFonts w:ascii="Times New Roman" w:hAnsi="Times New Roman"/>
          <w:sz w:val="20"/>
        </w:rPr>
        <w:t xml:space="preserve">Subject to the terms and conditions set forth in an underwriting agreement, dated the date of this prospectus supplement, between us and the underwriters named below, we have agreed to sell to each of the underwriters, for whom Wells Fargo Securities, LLC, Barclays Capital Inc., Citigroup Global Markets Inc., SunTrust Robinson Humphrey, Inc. and UBS Securities LLC are acting as representatives, and the underwriters have agreed, severally and not jointly, to purchase the principal amount of the Notes of each series set forth opposite their respective names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99"/>
        <w:gridCol w:w="395"/>
        <w:gridCol w:w="187"/>
        <w:gridCol w:w="1349"/>
        <w:gridCol w:w="120"/>
        <w:gridCol w:w="395"/>
        <w:gridCol w:w="187"/>
        <w:gridCol w:w="1349"/>
        <w:gridCol w:w="124"/>
      </w:tblGrid>
      <w:tr>
        <w:trPr/>
        <w:tc>
          <w:tcPr>
            <w:tcW w:w="609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6099"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358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Principal Amount</w:t>
            </w:r>
          </w:p>
        </w:tc>
        <w:tc>
          <w:tcPr>
            <w:tcW w:w="124" w:type="dxa"/>
            <w:tcBorders/>
            <w:shd w:fill="auto" w:val="clear"/>
            <w:vAlign w:val="bottom"/>
          </w:tcPr>
          <w:p>
            <w:pPr>
              <w:pStyle w:val="TableContents"/>
              <w:spacing w:before="0" w:after="283"/>
              <w:rPr/>
            </w:pPr>
            <w:r>
              <w:rPr/>
              <w:t> </w:t>
            </w:r>
          </w:p>
        </w:tc>
      </w:tr>
      <w:tr>
        <w:trPr/>
        <w:tc>
          <w:tcPr>
            <w:tcW w:w="6099"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Underwriter</w:t>
            </w:r>
          </w:p>
        </w:tc>
        <w:tc>
          <w:tcPr>
            <w:tcW w:w="395" w:type="dxa"/>
            <w:tcBorders/>
            <w:shd w:fill="auto" w:val="clear"/>
            <w:vAlign w:val="bottom"/>
          </w:tcPr>
          <w:p>
            <w:pPr>
              <w:pStyle w:val="TableContents"/>
              <w:spacing w:before="0" w:after="283"/>
              <w:rPr/>
            </w:pPr>
            <w:r>
              <w:rPr/>
              <w:t> </w:t>
            </w:r>
          </w:p>
        </w:tc>
        <w:tc>
          <w:tcPr>
            <w:tcW w:w="1536"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2023 Notes         </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36"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2043 Notes         </w:t>
            </w:r>
          </w:p>
        </w:tc>
        <w:tc>
          <w:tcPr>
            <w:tcW w:w="124" w:type="dxa"/>
            <w:tcBorders/>
            <w:shd w:fill="auto" w:val="clear"/>
            <w:vAlign w:val="bottom"/>
          </w:tcPr>
          <w:p>
            <w:pPr>
              <w:pStyle w:val="TableContents"/>
              <w:spacing w:before="0" w:after="283"/>
              <w:rPr/>
            </w:pPr>
            <w:r>
              <w:rPr/>
              <w:t> </w:t>
            </w:r>
          </w:p>
        </w:tc>
      </w:tr>
      <w:tr>
        <w:trPr/>
        <w:tc>
          <w:tcPr>
            <w:tcW w:w="6099" w:type="dxa"/>
            <w:tcBorders/>
            <w:shd w:fill="CCEEFF" w:val="clear"/>
          </w:tcPr>
          <w:p>
            <w:pPr>
              <w:pStyle w:val="TableContents"/>
              <w:spacing w:before="0" w:after="283"/>
              <w:rPr>
                <w:rFonts w:ascii="Times New Roman" w:hAnsi="Times New Roman"/>
                <w:sz w:val="20"/>
              </w:rPr>
            </w:pPr>
            <w:r>
              <w:rPr>
                <w:rFonts w:ascii="Times New Roman" w:hAnsi="Times New Roman"/>
                <w:sz w:val="20"/>
              </w:rPr>
              <w:t>Wells Fargo Securities, LLC</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r>
              <w:rPr>
                <w:rFonts w:ascii="Times New Roman" w:hAnsi="Times New Roman"/>
                <w:sz w:val="20"/>
              </w:rPr>
              <w:t>$</w:t>
            </w:r>
          </w:p>
        </w:tc>
        <w:tc>
          <w:tcPr>
            <w:tcW w:w="1349" w:type="dxa"/>
            <w:tcBorders/>
            <w:shd w:fill="CCEEFF" w:val="clear"/>
            <w:vAlign w:val="bottom"/>
          </w:tcPr>
          <w:p>
            <w:pPr>
              <w:pStyle w:val="TableContents"/>
              <w:spacing w:before="0" w:after="283"/>
              <w:jc w:val="right"/>
              <w:rPr/>
            </w:pPr>
            <w:r>
              <w:rPr/>
              <w:t>   </w:t>
            </w:r>
            <w:r>
              <w:rPr>
                <w:rFonts w:ascii="Times New Roman" w:hAnsi="Times New Roman"/>
                <w:sz w:val="20"/>
              </w:rPr>
              <w:t>60,000,000</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r>
              <w:rPr>
                <w:rFonts w:ascii="Times New Roman" w:hAnsi="Times New Roman"/>
                <w:sz w:val="20"/>
              </w:rPr>
              <w:t>$</w:t>
            </w:r>
          </w:p>
        </w:tc>
        <w:tc>
          <w:tcPr>
            <w:tcW w:w="1349" w:type="dxa"/>
            <w:tcBorders/>
            <w:shd w:fill="CCEEFF" w:val="clear"/>
            <w:vAlign w:val="bottom"/>
          </w:tcPr>
          <w:p>
            <w:pPr>
              <w:pStyle w:val="TableContents"/>
              <w:spacing w:before="0" w:after="283"/>
              <w:jc w:val="right"/>
              <w:rPr/>
            </w:pPr>
            <w:r>
              <w:rPr/>
              <w:t>   </w:t>
            </w:r>
            <w:r>
              <w:rPr>
                <w:rFonts w:ascii="Times New Roman" w:hAnsi="Times New Roman"/>
                <w:sz w:val="20"/>
              </w:rPr>
              <w:t>52,500,000</w:t>
            </w:r>
          </w:p>
        </w:tc>
        <w:tc>
          <w:tcPr>
            <w:tcW w:w="124" w:type="dxa"/>
            <w:tcBorders/>
            <w:shd w:fill="CCEEFF" w:val="clear"/>
            <w:vAlign w:val="bottom"/>
          </w:tcPr>
          <w:p>
            <w:pPr>
              <w:pStyle w:val="TableContents"/>
              <w:spacing w:before="0" w:after="283"/>
              <w:rPr/>
            </w:pPr>
            <w:r>
              <w:rPr/>
              <w:t>  </w:t>
            </w:r>
          </w:p>
        </w:tc>
      </w:tr>
      <w:tr>
        <w:trPr/>
        <w:tc>
          <w:tcPr>
            <w:tcW w:w="6099" w:type="dxa"/>
            <w:tcBorders/>
            <w:shd w:fill="auto" w:val="clear"/>
          </w:tcPr>
          <w:p>
            <w:pPr>
              <w:pStyle w:val="TableContents"/>
              <w:spacing w:before="0" w:after="283"/>
              <w:rPr>
                <w:rFonts w:ascii="Times New Roman" w:hAnsi="Times New Roman"/>
                <w:sz w:val="20"/>
              </w:rPr>
            </w:pPr>
            <w:r>
              <w:rPr>
                <w:rFonts w:ascii="Times New Roman" w:hAnsi="Times New Roman"/>
                <w:sz w:val="20"/>
              </w:rPr>
              <w:t>Barclays Capital Inc.</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60,000,000</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52,500,000</w:t>
            </w:r>
          </w:p>
        </w:tc>
        <w:tc>
          <w:tcPr>
            <w:tcW w:w="124" w:type="dxa"/>
            <w:tcBorders/>
            <w:shd w:fill="auto" w:val="clear"/>
            <w:vAlign w:val="bottom"/>
          </w:tcPr>
          <w:p>
            <w:pPr>
              <w:pStyle w:val="TableContents"/>
              <w:spacing w:before="0" w:after="283"/>
              <w:rPr/>
            </w:pPr>
            <w:r>
              <w:rPr/>
              <w:t>  </w:t>
            </w:r>
          </w:p>
        </w:tc>
      </w:tr>
      <w:tr>
        <w:trPr/>
        <w:tc>
          <w:tcPr>
            <w:tcW w:w="6099" w:type="dxa"/>
            <w:tcBorders/>
            <w:shd w:fill="CCEEFF" w:val="clear"/>
          </w:tcPr>
          <w:p>
            <w:pPr>
              <w:pStyle w:val="TableContents"/>
              <w:spacing w:before="0" w:after="283"/>
              <w:rPr>
                <w:rFonts w:ascii="Times New Roman" w:hAnsi="Times New Roman"/>
                <w:sz w:val="20"/>
              </w:rPr>
            </w:pPr>
            <w:r>
              <w:rPr>
                <w:rFonts w:ascii="Times New Roman" w:hAnsi="Times New Roman"/>
                <w:sz w:val="20"/>
              </w:rPr>
              <w:t>Citigroup Global Markets Inc.</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60,000,000</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52,500,000</w:t>
            </w:r>
          </w:p>
        </w:tc>
        <w:tc>
          <w:tcPr>
            <w:tcW w:w="124" w:type="dxa"/>
            <w:tcBorders/>
            <w:shd w:fill="CCEEFF" w:val="clear"/>
            <w:vAlign w:val="bottom"/>
          </w:tcPr>
          <w:p>
            <w:pPr>
              <w:pStyle w:val="TableContents"/>
              <w:spacing w:before="0" w:after="283"/>
              <w:rPr/>
            </w:pPr>
            <w:r>
              <w:rPr/>
              <w:t>  </w:t>
            </w:r>
          </w:p>
        </w:tc>
      </w:tr>
      <w:tr>
        <w:trPr/>
        <w:tc>
          <w:tcPr>
            <w:tcW w:w="6099" w:type="dxa"/>
            <w:tcBorders/>
            <w:shd w:fill="auto" w:val="clear"/>
          </w:tcPr>
          <w:p>
            <w:pPr>
              <w:pStyle w:val="TableContents"/>
              <w:spacing w:before="0" w:after="283"/>
              <w:rPr>
                <w:rFonts w:ascii="Times New Roman" w:hAnsi="Times New Roman"/>
                <w:sz w:val="20"/>
              </w:rPr>
            </w:pPr>
            <w:r>
              <w:rPr>
                <w:rFonts w:ascii="Times New Roman" w:hAnsi="Times New Roman"/>
                <w:sz w:val="20"/>
              </w:rPr>
              <w:t>SunTrust Robinson Humphrey, Inc.</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60,000,000</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52,500,000</w:t>
            </w:r>
          </w:p>
        </w:tc>
        <w:tc>
          <w:tcPr>
            <w:tcW w:w="124" w:type="dxa"/>
            <w:tcBorders/>
            <w:shd w:fill="auto" w:val="clear"/>
            <w:vAlign w:val="bottom"/>
          </w:tcPr>
          <w:p>
            <w:pPr>
              <w:pStyle w:val="TableContents"/>
              <w:spacing w:before="0" w:after="283"/>
              <w:rPr/>
            </w:pPr>
            <w:r>
              <w:rPr/>
              <w:t>  </w:t>
            </w:r>
          </w:p>
        </w:tc>
      </w:tr>
      <w:tr>
        <w:trPr/>
        <w:tc>
          <w:tcPr>
            <w:tcW w:w="6099" w:type="dxa"/>
            <w:tcBorders/>
            <w:shd w:fill="CCEEFF" w:val="clear"/>
          </w:tcPr>
          <w:p>
            <w:pPr>
              <w:pStyle w:val="TableContents"/>
              <w:spacing w:before="0" w:after="283"/>
              <w:rPr>
                <w:rFonts w:ascii="Times New Roman" w:hAnsi="Times New Roman"/>
                <w:sz w:val="20"/>
              </w:rPr>
            </w:pPr>
            <w:r>
              <w:rPr>
                <w:rFonts w:ascii="Times New Roman" w:hAnsi="Times New Roman"/>
                <w:sz w:val="20"/>
              </w:rPr>
              <w:t>UBS Securities LLC</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60,000,000</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52,500,000</w:t>
            </w:r>
          </w:p>
        </w:tc>
        <w:tc>
          <w:tcPr>
            <w:tcW w:w="124" w:type="dxa"/>
            <w:tcBorders/>
            <w:shd w:fill="CCEEFF" w:val="clear"/>
            <w:vAlign w:val="bottom"/>
          </w:tcPr>
          <w:p>
            <w:pPr>
              <w:pStyle w:val="TableContents"/>
              <w:spacing w:before="0" w:after="283"/>
              <w:rPr/>
            </w:pPr>
            <w:r>
              <w:rPr/>
              <w:t>  </w:t>
            </w:r>
          </w:p>
        </w:tc>
      </w:tr>
      <w:tr>
        <w:trPr/>
        <w:tc>
          <w:tcPr>
            <w:tcW w:w="6099" w:type="dxa"/>
            <w:tcBorders/>
            <w:shd w:fill="auto" w:val="clear"/>
          </w:tcPr>
          <w:p>
            <w:pPr>
              <w:pStyle w:val="TableContents"/>
              <w:spacing w:before="0" w:after="283"/>
              <w:rPr>
                <w:rFonts w:ascii="Times New Roman" w:hAnsi="Times New Roman"/>
                <w:sz w:val="20"/>
              </w:rPr>
            </w:pPr>
            <w:r>
              <w:rPr>
                <w:rFonts w:ascii="Times New Roman" w:hAnsi="Times New Roman"/>
                <w:sz w:val="20"/>
              </w:rPr>
              <w:t>Mitsubishi UFJ Securities (USA), Inc.</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18,000,000</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15,750,000</w:t>
            </w:r>
          </w:p>
        </w:tc>
        <w:tc>
          <w:tcPr>
            <w:tcW w:w="124" w:type="dxa"/>
            <w:tcBorders/>
            <w:shd w:fill="auto" w:val="clear"/>
            <w:vAlign w:val="bottom"/>
          </w:tcPr>
          <w:p>
            <w:pPr>
              <w:pStyle w:val="TableContents"/>
              <w:spacing w:before="0" w:after="283"/>
              <w:rPr/>
            </w:pPr>
            <w:r>
              <w:rPr/>
              <w:t>  </w:t>
            </w:r>
          </w:p>
        </w:tc>
      </w:tr>
      <w:tr>
        <w:trPr/>
        <w:tc>
          <w:tcPr>
            <w:tcW w:w="6099" w:type="dxa"/>
            <w:tcBorders/>
            <w:shd w:fill="CCEEFF" w:val="clear"/>
          </w:tcPr>
          <w:p>
            <w:pPr>
              <w:pStyle w:val="TableContents"/>
              <w:spacing w:before="0" w:after="283"/>
              <w:rPr>
                <w:rFonts w:ascii="Times New Roman" w:hAnsi="Times New Roman"/>
                <w:sz w:val="20"/>
              </w:rPr>
            </w:pPr>
            <w:r>
              <w:rPr>
                <w:rFonts w:ascii="Times New Roman" w:hAnsi="Times New Roman"/>
                <w:sz w:val="20"/>
              </w:rPr>
              <w:t>Scotia Capital (USA) Inc.</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18,000,000</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15,750,000</w:t>
            </w:r>
          </w:p>
        </w:tc>
        <w:tc>
          <w:tcPr>
            <w:tcW w:w="124" w:type="dxa"/>
            <w:tcBorders/>
            <w:shd w:fill="CCEEFF" w:val="clear"/>
            <w:vAlign w:val="bottom"/>
          </w:tcPr>
          <w:p>
            <w:pPr>
              <w:pStyle w:val="TableContents"/>
              <w:spacing w:before="0" w:after="283"/>
              <w:rPr/>
            </w:pPr>
            <w:r>
              <w:rPr/>
              <w:t>  </w:t>
            </w:r>
          </w:p>
        </w:tc>
      </w:tr>
      <w:tr>
        <w:trPr/>
        <w:tc>
          <w:tcPr>
            <w:tcW w:w="6099" w:type="dxa"/>
            <w:tcBorders/>
            <w:shd w:fill="auto" w:val="clear"/>
          </w:tcPr>
          <w:p>
            <w:pPr>
              <w:pStyle w:val="TableContents"/>
              <w:spacing w:before="0" w:after="283"/>
              <w:rPr>
                <w:rFonts w:ascii="Times New Roman" w:hAnsi="Times New Roman"/>
                <w:sz w:val="20"/>
              </w:rPr>
            </w:pPr>
            <w:r>
              <w:rPr>
                <w:rFonts w:ascii="Times New Roman" w:hAnsi="Times New Roman"/>
                <w:sz w:val="20"/>
              </w:rPr>
              <w:t>SMBC Nikko Capital Markets Limited</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11,000,000</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9,625,000</w:t>
            </w:r>
          </w:p>
        </w:tc>
        <w:tc>
          <w:tcPr>
            <w:tcW w:w="124" w:type="dxa"/>
            <w:tcBorders/>
            <w:shd w:fill="auto" w:val="clear"/>
            <w:vAlign w:val="bottom"/>
          </w:tcPr>
          <w:p>
            <w:pPr>
              <w:pStyle w:val="TableContents"/>
              <w:spacing w:before="0" w:after="283"/>
              <w:rPr/>
            </w:pPr>
            <w:r>
              <w:rPr/>
              <w:t>  </w:t>
            </w:r>
          </w:p>
        </w:tc>
      </w:tr>
      <w:tr>
        <w:trPr/>
        <w:tc>
          <w:tcPr>
            <w:tcW w:w="6099" w:type="dxa"/>
            <w:tcBorders/>
            <w:shd w:fill="CCEEFF" w:val="clear"/>
          </w:tcPr>
          <w:p>
            <w:pPr>
              <w:pStyle w:val="TableContents"/>
              <w:spacing w:before="0" w:after="283"/>
              <w:rPr>
                <w:rFonts w:ascii="Times New Roman" w:hAnsi="Times New Roman"/>
                <w:sz w:val="20"/>
              </w:rPr>
            </w:pPr>
            <w:r>
              <w:rPr>
                <w:rFonts w:ascii="Times New Roman" w:hAnsi="Times New Roman"/>
                <w:sz w:val="20"/>
              </w:rPr>
              <w:t>SG Americas Securities, LLC</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11,000,000</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9,625,000</w:t>
            </w:r>
          </w:p>
        </w:tc>
        <w:tc>
          <w:tcPr>
            <w:tcW w:w="124" w:type="dxa"/>
            <w:tcBorders/>
            <w:shd w:fill="CCEEFF" w:val="clear"/>
            <w:vAlign w:val="bottom"/>
          </w:tcPr>
          <w:p>
            <w:pPr>
              <w:pStyle w:val="TableContents"/>
              <w:spacing w:before="0" w:after="283"/>
              <w:rPr/>
            </w:pPr>
            <w:r>
              <w:rPr/>
              <w:t>  </w:t>
            </w:r>
          </w:p>
        </w:tc>
      </w:tr>
      <w:tr>
        <w:trPr/>
        <w:tc>
          <w:tcPr>
            <w:tcW w:w="6099" w:type="dxa"/>
            <w:tcBorders/>
            <w:shd w:fill="auto" w:val="clear"/>
          </w:tcPr>
          <w:p>
            <w:pPr>
              <w:pStyle w:val="TableContents"/>
              <w:spacing w:before="0" w:after="283"/>
              <w:rPr>
                <w:rFonts w:ascii="Times New Roman" w:hAnsi="Times New Roman"/>
                <w:sz w:val="20"/>
              </w:rPr>
            </w:pPr>
            <w:r>
              <w:rPr>
                <w:rFonts w:ascii="Times New Roman" w:hAnsi="Times New Roman"/>
                <w:sz w:val="20"/>
              </w:rPr>
              <w:t>BB&amp;T Capital Markets, a division of Scott &amp; Stringfellow, LLC</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6,000,000</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5,250,000</w:t>
            </w:r>
          </w:p>
        </w:tc>
        <w:tc>
          <w:tcPr>
            <w:tcW w:w="124" w:type="dxa"/>
            <w:tcBorders/>
            <w:shd w:fill="auto" w:val="clear"/>
            <w:vAlign w:val="bottom"/>
          </w:tcPr>
          <w:p>
            <w:pPr>
              <w:pStyle w:val="TableContents"/>
              <w:spacing w:before="0" w:after="283"/>
              <w:rPr/>
            </w:pPr>
            <w:r>
              <w:rPr/>
              <w:t>  </w:t>
            </w:r>
          </w:p>
        </w:tc>
      </w:tr>
      <w:tr>
        <w:trPr/>
        <w:tc>
          <w:tcPr>
            <w:tcW w:w="6099" w:type="dxa"/>
            <w:tcBorders/>
            <w:shd w:fill="CCEEFF" w:val="clear"/>
          </w:tcPr>
          <w:p>
            <w:pPr>
              <w:pStyle w:val="TableContents"/>
              <w:spacing w:before="0" w:after="283"/>
              <w:rPr>
                <w:rFonts w:ascii="Times New Roman" w:hAnsi="Times New Roman"/>
                <w:sz w:val="20"/>
              </w:rPr>
            </w:pPr>
            <w:r>
              <w:rPr>
                <w:rFonts w:ascii="Times New Roman" w:hAnsi="Times New Roman"/>
                <w:sz w:val="20"/>
              </w:rPr>
              <w:t>BMO Capital Markets Corp.</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6,000,000</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5,250,000</w:t>
            </w:r>
          </w:p>
        </w:tc>
        <w:tc>
          <w:tcPr>
            <w:tcW w:w="124" w:type="dxa"/>
            <w:tcBorders/>
            <w:shd w:fill="CCEEFF" w:val="clear"/>
            <w:vAlign w:val="bottom"/>
          </w:tcPr>
          <w:p>
            <w:pPr>
              <w:pStyle w:val="TableContents"/>
              <w:spacing w:before="0" w:after="283"/>
              <w:rPr/>
            </w:pPr>
            <w:r>
              <w:rPr/>
              <w:t>  </w:t>
            </w:r>
          </w:p>
        </w:tc>
      </w:tr>
      <w:tr>
        <w:trPr/>
        <w:tc>
          <w:tcPr>
            <w:tcW w:w="6099" w:type="dxa"/>
            <w:tcBorders/>
            <w:shd w:fill="auto" w:val="clear"/>
          </w:tcPr>
          <w:p>
            <w:pPr>
              <w:pStyle w:val="TableContents"/>
              <w:spacing w:before="0" w:after="283"/>
              <w:rPr>
                <w:rFonts w:ascii="Times New Roman" w:hAnsi="Times New Roman"/>
                <w:sz w:val="20"/>
              </w:rPr>
            </w:pPr>
            <w:r>
              <w:rPr>
                <w:rFonts w:ascii="Times New Roman" w:hAnsi="Times New Roman"/>
                <w:sz w:val="20"/>
              </w:rPr>
              <w:t>CIBC World Markets Corp.</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6,000,000</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5,250,000</w:t>
            </w:r>
          </w:p>
        </w:tc>
        <w:tc>
          <w:tcPr>
            <w:tcW w:w="124" w:type="dxa"/>
            <w:tcBorders/>
            <w:shd w:fill="auto" w:val="clear"/>
            <w:vAlign w:val="bottom"/>
          </w:tcPr>
          <w:p>
            <w:pPr>
              <w:pStyle w:val="TableContents"/>
              <w:spacing w:before="0" w:after="283"/>
              <w:rPr/>
            </w:pPr>
            <w:r>
              <w:rPr/>
              <w:t>  </w:t>
            </w:r>
          </w:p>
        </w:tc>
      </w:tr>
      <w:tr>
        <w:trPr/>
        <w:tc>
          <w:tcPr>
            <w:tcW w:w="6099" w:type="dxa"/>
            <w:tcBorders/>
            <w:shd w:fill="CCEEFF" w:val="clear"/>
          </w:tcPr>
          <w:p>
            <w:pPr>
              <w:pStyle w:val="TableContents"/>
              <w:spacing w:before="0" w:after="283"/>
              <w:rPr>
                <w:rFonts w:ascii="Times New Roman" w:hAnsi="Times New Roman"/>
                <w:sz w:val="20"/>
              </w:rPr>
            </w:pPr>
            <w:r>
              <w:rPr>
                <w:rFonts w:ascii="Times New Roman" w:hAnsi="Times New Roman"/>
                <w:sz w:val="20"/>
              </w:rPr>
              <w:t>Fifth Third Securities, Inc.</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6,000,000</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5,250,000</w:t>
            </w:r>
          </w:p>
        </w:tc>
        <w:tc>
          <w:tcPr>
            <w:tcW w:w="124" w:type="dxa"/>
            <w:tcBorders/>
            <w:shd w:fill="CCEEFF" w:val="clear"/>
            <w:vAlign w:val="bottom"/>
          </w:tcPr>
          <w:p>
            <w:pPr>
              <w:pStyle w:val="TableContents"/>
              <w:spacing w:before="0" w:after="283"/>
              <w:rPr/>
            </w:pPr>
            <w:r>
              <w:rPr/>
              <w:t>  </w:t>
            </w:r>
          </w:p>
        </w:tc>
      </w:tr>
      <w:tr>
        <w:trPr/>
        <w:tc>
          <w:tcPr>
            <w:tcW w:w="6099" w:type="dxa"/>
            <w:tcBorders/>
            <w:shd w:fill="auto" w:val="clear"/>
          </w:tcPr>
          <w:p>
            <w:pPr>
              <w:pStyle w:val="TableContents"/>
              <w:spacing w:before="0" w:after="283"/>
              <w:rPr>
                <w:rFonts w:ascii="Times New Roman" w:hAnsi="Times New Roman"/>
                <w:sz w:val="20"/>
              </w:rPr>
            </w:pPr>
            <w:r>
              <w:rPr>
                <w:rFonts w:ascii="Times New Roman" w:hAnsi="Times New Roman"/>
                <w:sz w:val="20"/>
              </w:rPr>
              <w:t>ING Financial Markets LLC</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6,000,000</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5,250,000</w:t>
            </w:r>
          </w:p>
        </w:tc>
        <w:tc>
          <w:tcPr>
            <w:tcW w:w="124" w:type="dxa"/>
            <w:tcBorders/>
            <w:shd w:fill="auto" w:val="clear"/>
            <w:vAlign w:val="bottom"/>
          </w:tcPr>
          <w:p>
            <w:pPr>
              <w:pStyle w:val="TableContents"/>
              <w:spacing w:before="0" w:after="283"/>
              <w:rPr/>
            </w:pPr>
            <w:r>
              <w:rPr/>
              <w:t>  </w:t>
            </w:r>
          </w:p>
        </w:tc>
      </w:tr>
      <w:tr>
        <w:trPr/>
        <w:tc>
          <w:tcPr>
            <w:tcW w:w="6099" w:type="dxa"/>
            <w:tcBorders/>
            <w:shd w:fill="CCEEFF" w:val="clear"/>
          </w:tcPr>
          <w:p>
            <w:pPr>
              <w:pStyle w:val="TableContents"/>
              <w:spacing w:before="0" w:after="283"/>
              <w:rPr>
                <w:rFonts w:ascii="Times New Roman" w:hAnsi="Times New Roman"/>
                <w:sz w:val="20"/>
              </w:rPr>
            </w:pPr>
            <w:r>
              <w:rPr>
                <w:rFonts w:ascii="Times New Roman" w:hAnsi="Times New Roman"/>
                <w:sz w:val="20"/>
              </w:rPr>
              <w:t>PNC Capital Markets LLC</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6,000,000</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5,250,000</w:t>
            </w:r>
          </w:p>
        </w:tc>
        <w:tc>
          <w:tcPr>
            <w:tcW w:w="124" w:type="dxa"/>
            <w:tcBorders/>
            <w:shd w:fill="CCEEFF" w:val="clear"/>
            <w:vAlign w:val="bottom"/>
          </w:tcPr>
          <w:p>
            <w:pPr>
              <w:pStyle w:val="TableContents"/>
              <w:spacing w:before="0" w:after="283"/>
              <w:rPr/>
            </w:pPr>
            <w:r>
              <w:rPr/>
              <w:t>  </w:t>
            </w:r>
          </w:p>
        </w:tc>
      </w:tr>
      <w:tr>
        <w:trPr/>
        <w:tc>
          <w:tcPr>
            <w:tcW w:w="6099" w:type="dxa"/>
            <w:tcBorders/>
            <w:shd w:fill="auto" w:val="clear"/>
          </w:tcPr>
          <w:p>
            <w:pPr>
              <w:pStyle w:val="TableContents"/>
              <w:spacing w:before="0" w:after="283"/>
              <w:rPr>
                <w:rFonts w:ascii="Times New Roman" w:hAnsi="Times New Roman"/>
                <w:sz w:val="20"/>
              </w:rPr>
            </w:pPr>
            <w:r>
              <w:rPr>
                <w:rFonts w:ascii="Times New Roman" w:hAnsi="Times New Roman"/>
                <w:sz w:val="20"/>
              </w:rPr>
              <w:t>U.S. Bancorp Investments, Inc.</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6,000,000</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5,250,000</w:t>
            </w:r>
          </w:p>
        </w:tc>
        <w:tc>
          <w:tcPr>
            <w:tcW w:w="124" w:type="dxa"/>
            <w:tcBorders/>
            <w:shd w:fill="auto" w:val="clear"/>
            <w:vAlign w:val="bottom"/>
          </w:tcPr>
          <w:p>
            <w:pPr>
              <w:pStyle w:val="TableContents"/>
              <w:spacing w:before="0" w:after="283"/>
              <w:rPr/>
            </w:pPr>
            <w:r>
              <w:rPr/>
              <w:t>  </w:t>
            </w:r>
          </w:p>
        </w:tc>
      </w:tr>
      <w:tr>
        <w:trPr/>
        <w:tc>
          <w:tcPr>
            <w:tcW w:w="6099"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283"/>
              <w:rPr/>
            </w:pPr>
            <w:r>
              <w:rPr/>
              <w:t> </w:t>
            </w:r>
          </w:p>
        </w:tc>
        <w:tc>
          <w:tcPr>
            <w:tcW w:w="134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283"/>
              <w:rPr/>
            </w:pPr>
            <w:r>
              <w:rPr/>
              <w:t> </w:t>
            </w:r>
          </w:p>
        </w:tc>
        <w:tc>
          <w:tcPr>
            <w:tcW w:w="1349"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099"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r>
              <w:rPr>
                <w:rFonts w:ascii="Times New Roman" w:hAnsi="Times New Roman"/>
                <w:sz w:val="20"/>
              </w:rPr>
              <w:t>$</w:t>
            </w:r>
          </w:p>
        </w:tc>
        <w:tc>
          <w:tcPr>
            <w:tcW w:w="1349" w:type="dxa"/>
            <w:tcBorders/>
            <w:shd w:fill="CCEEFF" w:val="clear"/>
            <w:vAlign w:val="bottom"/>
          </w:tcPr>
          <w:p>
            <w:pPr>
              <w:pStyle w:val="TableContents"/>
              <w:spacing w:before="0" w:after="283"/>
              <w:jc w:val="right"/>
              <w:rPr/>
            </w:pPr>
            <w:r>
              <w:rPr/>
              <w:t>   </w:t>
            </w:r>
            <w:r>
              <w:rPr>
                <w:rFonts w:ascii="Times New Roman" w:hAnsi="Times New Roman"/>
                <w:sz w:val="20"/>
              </w:rPr>
              <w:t>400,000,000</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r>
              <w:rPr>
                <w:rFonts w:ascii="Times New Roman" w:hAnsi="Times New Roman"/>
                <w:sz w:val="20"/>
              </w:rPr>
              <w:t>$</w:t>
            </w:r>
          </w:p>
        </w:tc>
        <w:tc>
          <w:tcPr>
            <w:tcW w:w="1349" w:type="dxa"/>
            <w:tcBorders/>
            <w:shd w:fill="CCEEFF" w:val="clear"/>
            <w:vAlign w:val="bottom"/>
          </w:tcPr>
          <w:p>
            <w:pPr>
              <w:pStyle w:val="TableContents"/>
              <w:spacing w:before="0" w:after="283"/>
              <w:jc w:val="right"/>
              <w:rPr/>
            </w:pPr>
            <w:r>
              <w:rPr/>
              <w:t>   </w:t>
            </w:r>
            <w:r>
              <w:rPr>
                <w:rFonts w:ascii="Times New Roman" w:hAnsi="Times New Roman"/>
                <w:sz w:val="20"/>
              </w:rPr>
              <w:t>350,000,000</w:t>
            </w:r>
          </w:p>
        </w:tc>
        <w:tc>
          <w:tcPr>
            <w:tcW w:w="124" w:type="dxa"/>
            <w:tcBorders/>
            <w:shd w:fill="CCEEFF" w:val="clear"/>
            <w:vAlign w:val="bottom"/>
          </w:tcPr>
          <w:p>
            <w:pPr>
              <w:pStyle w:val="TableContents"/>
              <w:spacing w:before="0" w:after="283"/>
              <w:rPr/>
            </w:pPr>
            <w:r>
              <w:rPr/>
              <w:t>  </w:t>
            </w:r>
          </w:p>
        </w:tc>
      </w:tr>
      <w:tr>
        <w:trPr/>
        <w:tc>
          <w:tcPr>
            <w:tcW w:w="6099"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double" w:sz="6" w:space="1" w:color="000000"/>
              </w:pBdr>
              <w:spacing w:before="0" w:after="283"/>
              <w:rPr/>
            </w:pPr>
            <w:r>
              <w:rPr/>
              <w:t> </w:t>
            </w:r>
          </w:p>
        </w:tc>
        <w:tc>
          <w:tcPr>
            <w:tcW w:w="134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double" w:sz="6" w:space="1" w:color="000000"/>
              </w:pBdr>
              <w:spacing w:before="0" w:after="283"/>
              <w:rPr/>
            </w:pPr>
            <w:r>
              <w:rPr/>
              <w:t> </w:t>
            </w:r>
          </w:p>
        </w:tc>
        <w:tc>
          <w:tcPr>
            <w:tcW w:w="1349"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150" w:after="0"/>
        <w:rPr>
          <w:rFonts w:ascii="Times New Roman" w:hAnsi="Times New Roman"/>
          <w:sz w:val="20"/>
        </w:rPr>
      </w:pPr>
      <w:r>
        <w:rPr>
          <w:rFonts w:ascii="Times New Roman" w:hAnsi="Times New Roman"/>
          <w:sz w:val="20"/>
        </w:rPr>
        <w:t xml:space="preserve">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 </w:t>
      </w:r>
    </w:p>
    <w:p>
      <w:pPr>
        <w:pStyle w:val="TextBody"/>
        <w:spacing w:before="150" w:after="0"/>
        <w:rPr>
          <w:rFonts w:ascii="Times New Roman" w:hAnsi="Times New Roman"/>
          <w:sz w:val="20"/>
        </w:rPr>
      </w:pPr>
      <w:r>
        <w:rPr>
          <w:rFonts w:ascii="Times New Roman" w:hAnsi="Times New Roman"/>
          <w:sz w:val="20"/>
        </w:rPr>
        <w:t xml:space="preserve">SMBC Nikko Capital Markets Limited is not a U.S. registered broker-dealer and, therefore, intends to participate in the offering outside of the United States and, to the extent that the offering is within the United States, as facilitated by an affiliated U.S. registered broker-dealer, SMBC Nikko Securities America, Inc. (SMBC Nikko-SI), as permitted under applicable law. To that end, SMBC Nikko Capital Markets Limited and SMBC Nikko-SI have entered into an agreement pursuant to which SMBC Nikko-SI provides certain advisory and/or other services with respect to this offering. In return for the provision of such services by SMBC Nikko-SI, SMBC Nikko Capital Markets Limited will pay to SMBC Nikko-SI a mutually agreed-fee. </w:t>
      </w:r>
    </w:p>
    <w:p>
      <w:pPr>
        <w:pStyle w:val="TextBody"/>
        <w:spacing w:before="150" w:after="0"/>
        <w:rPr>
          <w:rFonts w:ascii="Times New Roman" w:hAnsi="Times New Roman"/>
          <w:b/>
          <w:sz w:val="20"/>
        </w:rPr>
      </w:pPr>
      <w:r>
        <w:rPr>
          <w:rFonts w:ascii="Times New Roman" w:hAnsi="Times New Roman"/>
          <w:b/>
          <w:sz w:val="20"/>
        </w:rPr>
        <w:t xml:space="preserve">Underwriting Discounts </w:t>
      </w:r>
    </w:p>
    <w:p>
      <w:pPr>
        <w:pStyle w:val="TextBody"/>
        <w:spacing w:before="150" w:after="0"/>
        <w:rPr>
          <w:rFonts w:ascii="Times New Roman" w:hAnsi="Times New Roman"/>
          <w:sz w:val="20"/>
        </w:rPr>
      </w:pPr>
      <w:r>
        <w:rPr>
          <w:rFonts w:ascii="Times New Roman" w:hAnsi="Times New Roman"/>
          <w:sz w:val="20"/>
        </w:rPr>
        <w:t xml:space="preserve">The underwriters propose initially to offer the Notes to the public at the public offering price set forth on the cover page of this prospectus supplement and may offer the 2023 Notes to certain dealers at such price less a concession not in excess of 0.40% of the principal amount of the 2023 Notes and the 2043 Notes at such price less a concession not in excess of 0.50% of the principal amount of the 2043 Notes. The underwriters may allow a discount with respect to the 2023 Notes not in excess of 0.25% of the principal amount of the 2023 Notes and with respect to the 2043 Notes not in excess of 0.30% of the principal amount of the 2043 Notes, in each case on sales to certain other brokers and dealers. After this initial public offering, the public offering price, concession and discount may be changed.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table summarizes the compensation to be paid by us to the underwriters.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743"/>
        <w:gridCol w:w="703"/>
        <w:gridCol w:w="125"/>
        <w:gridCol w:w="947"/>
        <w:gridCol w:w="237"/>
      </w:tblGrid>
      <w:tr>
        <w:trPr/>
        <w:tc>
          <w:tcPr>
            <w:tcW w:w="574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5743"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07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Underwriting</w:t>
              <w:br/>
              <w:t xml:space="preserve">      Discount       </w:t>
            </w:r>
          </w:p>
        </w:tc>
        <w:tc>
          <w:tcPr>
            <w:tcW w:w="237" w:type="dxa"/>
            <w:tcBorders/>
            <w:shd w:fill="auto" w:val="clear"/>
            <w:vAlign w:val="bottom"/>
          </w:tcPr>
          <w:p>
            <w:pPr>
              <w:pStyle w:val="TableContents"/>
              <w:spacing w:before="0" w:after="283"/>
              <w:rPr/>
            </w:pPr>
            <w:r>
              <w:rPr/>
              <w:t> </w:t>
            </w:r>
          </w:p>
        </w:tc>
      </w:tr>
      <w:tr>
        <w:trPr/>
        <w:tc>
          <w:tcPr>
            <w:tcW w:w="5743" w:type="dxa"/>
            <w:tcBorders/>
            <w:shd w:fill="CCEEFF" w:val="clear"/>
          </w:tcPr>
          <w:p>
            <w:pPr>
              <w:pStyle w:val="TableContents"/>
              <w:spacing w:before="0" w:after="283"/>
              <w:rPr>
                <w:rFonts w:ascii="Times New Roman" w:hAnsi="Times New Roman"/>
                <w:sz w:val="20"/>
              </w:rPr>
            </w:pPr>
            <w:r>
              <w:rPr>
                <w:rFonts w:ascii="Times New Roman" w:hAnsi="Times New Roman"/>
                <w:sz w:val="20"/>
              </w:rPr>
              <w:t>Per 2023 Note</w:t>
            </w:r>
          </w:p>
        </w:tc>
        <w:tc>
          <w:tcPr>
            <w:tcW w:w="7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0.650</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43"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7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2,600,000</w:t>
            </w:r>
          </w:p>
        </w:tc>
        <w:tc>
          <w:tcPr>
            <w:tcW w:w="237" w:type="dxa"/>
            <w:tcBorders/>
            <w:shd w:fill="auto" w:val="clear"/>
            <w:vAlign w:val="bottom"/>
          </w:tcPr>
          <w:p>
            <w:pPr>
              <w:pStyle w:val="TableContents"/>
              <w:spacing w:before="0" w:after="283"/>
              <w:rPr/>
            </w:pPr>
            <w:r>
              <w:rPr/>
              <w:t>  </w:t>
            </w:r>
          </w:p>
        </w:tc>
      </w:tr>
      <w:tr>
        <w:trPr/>
        <w:tc>
          <w:tcPr>
            <w:tcW w:w="5743" w:type="dxa"/>
            <w:tcBorders/>
            <w:shd w:fill="CCEEFF" w:val="clear"/>
          </w:tcPr>
          <w:p>
            <w:pPr>
              <w:pStyle w:val="TableContents"/>
              <w:spacing w:before="0" w:after="283"/>
              <w:rPr>
                <w:rFonts w:ascii="Times New Roman" w:hAnsi="Times New Roman"/>
                <w:sz w:val="20"/>
              </w:rPr>
            </w:pPr>
            <w:r>
              <w:rPr>
                <w:rFonts w:ascii="Times New Roman" w:hAnsi="Times New Roman"/>
                <w:sz w:val="20"/>
              </w:rPr>
              <w:t>Per 2043 Note</w:t>
            </w:r>
          </w:p>
        </w:tc>
        <w:tc>
          <w:tcPr>
            <w:tcW w:w="7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0.875</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43"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7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3,062,500</w:t>
            </w:r>
          </w:p>
        </w:tc>
        <w:tc>
          <w:tcPr>
            <w:tcW w:w="237" w:type="dxa"/>
            <w:tcBorders/>
            <w:shd w:fill="auto" w:val="clear"/>
            <w:vAlign w:val="bottom"/>
          </w:tcPr>
          <w:p>
            <w:pPr>
              <w:pStyle w:val="TableContents"/>
              <w:spacing w:before="0" w:after="283"/>
              <w:rPr/>
            </w:pPr>
            <w:r>
              <w:rPr/>
              <w:t>  </w:t>
            </w:r>
          </w:p>
        </w:tc>
      </w:tr>
    </w:tbl>
    <w:p>
      <w:pPr>
        <w:pStyle w:val="TextBody"/>
        <w:spacing w:before="150" w:after="0"/>
        <w:rPr>
          <w:rFonts w:ascii="Times New Roman" w:hAnsi="Times New Roman"/>
          <w:sz w:val="20"/>
        </w:rPr>
      </w:pPr>
      <w:r>
        <w:rPr>
          <w:rFonts w:ascii="Times New Roman" w:hAnsi="Times New Roman"/>
          <w:sz w:val="20"/>
        </w:rPr>
        <w:t xml:space="preserve">We estimate that our share of the total expenses of the offering, excluding the underwriting discount, will be approximately $1.1 million. </w:t>
      </w:r>
    </w:p>
    <w:p>
      <w:pPr>
        <w:pStyle w:val="TextBody"/>
        <w:spacing w:before="150" w:after="0"/>
        <w:rPr>
          <w:rFonts w:ascii="Times New Roman" w:hAnsi="Times New Roman"/>
          <w:b/>
          <w:sz w:val="20"/>
        </w:rPr>
      </w:pPr>
      <w:r>
        <w:rPr>
          <w:rFonts w:ascii="Times New Roman" w:hAnsi="Times New Roman"/>
          <w:b/>
          <w:sz w:val="20"/>
        </w:rPr>
        <w:t xml:space="preserve">New Issues of Notes </w:t>
      </w:r>
    </w:p>
    <w:p>
      <w:pPr>
        <w:pStyle w:val="TextBody"/>
        <w:spacing w:before="150" w:after="0"/>
        <w:rPr>
          <w:rFonts w:ascii="Times New Roman" w:hAnsi="Times New Roman"/>
          <w:sz w:val="20"/>
        </w:rPr>
      </w:pPr>
      <w:r>
        <w:rPr>
          <w:rFonts w:ascii="Times New Roman" w:hAnsi="Times New Roman"/>
          <w:sz w:val="20"/>
        </w:rPr>
        <w:t xml:space="preserve">Each series of Notes is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 </w:t>
      </w:r>
    </w:p>
    <w:p>
      <w:pPr>
        <w:pStyle w:val="TextBody"/>
        <w:spacing w:before="150" w:after="0"/>
        <w:rPr>
          <w:rFonts w:ascii="Times New Roman" w:hAnsi="Times New Roman"/>
          <w:b/>
          <w:sz w:val="20"/>
        </w:rPr>
      </w:pPr>
      <w:r>
        <w:rPr>
          <w:rFonts w:ascii="Times New Roman" w:hAnsi="Times New Roman"/>
          <w:b/>
          <w:sz w:val="20"/>
        </w:rPr>
        <w:t xml:space="preserve">Stabilization and Short Positions </w:t>
      </w:r>
    </w:p>
    <w:p>
      <w:pPr>
        <w:pStyle w:val="TextBody"/>
        <w:spacing w:before="150" w:after="0"/>
        <w:rPr>
          <w:rFonts w:ascii="Times New Roman" w:hAnsi="Times New Roman"/>
          <w:sz w:val="20"/>
        </w:rPr>
      </w:pPr>
      <w:r>
        <w:rPr>
          <w:rFonts w:ascii="Times New Roman" w:hAnsi="Times New Roman"/>
          <w:sz w:val="20"/>
        </w:rPr>
        <w:t xml:space="preserve">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 </w:t>
      </w:r>
    </w:p>
    <w:p>
      <w:pPr>
        <w:pStyle w:val="TextBody"/>
        <w:spacing w:before="150" w:after="0"/>
        <w:rPr>
          <w:rFonts w:ascii="Times New Roman" w:hAnsi="Times New Roman"/>
          <w:b/>
          <w:sz w:val="20"/>
        </w:rPr>
      </w:pPr>
      <w:r>
        <w:rPr>
          <w:rFonts w:ascii="Times New Roman" w:hAnsi="Times New Roman"/>
          <w:b/>
          <w:sz w:val="20"/>
        </w:rPr>
        <w:t xml:space="preserve">Settlement </w:t>
      </w:r>
    </w:p>
    <w:p>
      <w:pPr>
        <w:pStyle w:val="TextBody"/>
        <w:spacing w:before="150" w:after="0"/>
        <w:rPr>
          <w:rFonts w:ascii="Times New Roman" w:hAnsi="Times New Roman"/>
          <w:sz w:val="20"/>
        </w:rPr>
      </w:pPr>
      <w:r>
        <w:rPr>
          <w:rFonts w:ascii="Times New Roman" w:hAnsi="Times New Roman"/>
          <w:sz w:val="20"/>
        </w:rPr>
        <w:t xml:space="preserve">We expect delivery of the Notes will be made against payment therefor on or about December 10, 2012, which is the fifth business day following the date of pricing of the Notes (such settlement being referred to as T+5). Under Rule 15c6-1 of the Securities Exchange Act of 1934,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 </w:t>
      </w:r>
    </w:p>
    <w:p>
      <w:pPr>
        <w:pStyle w:val="TextBody"/>
        <w:spacing w:before="150" w:after="0"/>
        <w:rPr>
          <w:rFonts w:ascii="Times New Roman" w:hAnsi="Times New Roman"/>
          <w:b/>
          <w:sz w:val="20"/>
        </w:rPr>
      </w:pPr>
      <w:r>
        <w:rPr>
          <w:rFonts w:ascii="Times New Roman" w:hAnsi="Times New Roman"/>
          <w:b/>
          <w:sz w:val="20"/>
        </w:rPr>
        <w:t xml:space="preserve">Conflicts of Interest </w:t>
      </w:r>
    </w:p>
    <w:p>
      <w:pPr>
        <w:pStyle w:val="TextBody"/>
        <w:spacing w:before="150" w:after="0"/>
        <w:rPr>
          <w:rFonts w:ascii="Times New Roman" w:hAnsi="Times New Roman"/>
          <w:sz w:val="20"/>
        </w:rPr>
      </w:pPr>
      <w:r>
        <w:rPr>
          <w:rFonts w:ascii="Times New Roman" w:hAnsi="Times New Roman"/>
          <w:sz w:val="20"/>
        </w:rPr>
        <w:t xml:space="preserve">Affiliates of each of the underwriters are lenders under our credit facilities, and, accordingly, may receive a portion of the net proceeds from this offering pursuant to any repayment of borrowings under our credit facilities.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Selling Restrictions </w:t>
      </w:r>
    </w:p>
    <w:p>
      <w:pPr>
        <w:pStyle w:val="TextBody"/>
        <w:spacing w:before="150" w:after="0"/>
        <w:rPr>
          <w:rFonts w:ascii="Times New Roman" w:hAnsi="Times New Roman"/>
          <w:b/>
          <w:i/>
          <w:sz w:val="20"/>
        </w:rPr>
      </w:pPr>
      <w:r>
        <w:rPr>
          <w:rFonts w:ascii="Times New Roman" w:hAnsi="Times New Roman"/>
          <w:b/>
          <w:i/>
          <w:sz w:val="20"/>
        </w:rPr>
        <w:t xml:space="preserve">Notice to Prospective Investors in the United Kingdom </w:t>
      </w:r>
    </w:p>
    <w:p>
      <w:pPr>
        <w:pStyle w:val="TextBody"/>
        <w:spacing w:before="150" w:after="0"/>
        <w:rPr>
          <w:rFonts w:ascii="Times New Roman" w:hAnsi="Times New Roman"/>
          <w:sz w:val="20"/>
        </w:rPr>
      </w:pPr>
      <w:r>
        <w:rPr>
          <w:rFonts w:ascii="Times New Roman" w:hAnsi="Times New Roman"/>
          <w:sz w:val="20"/>
        </w:rPr>
        <w:t xml:space="preserve">This prospectus supplement and the accompanying base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 </w:t>
      </w:r>
    </w:p>
    <w:p>
      <w:pPr>
        <w:pStyle w:val="TextBody"/>
        <w:spacing w:before="150" w:after="0"/>
        <w:rPr>
          <w:rFonts w:ascii="Times New Roman" w:hAnsi="Times New Roman"/>
          <w:sz w:val="20"/>
        </w:rPr>
      </w:pPr>
      <w:r>
        <w:rPr>
          <w:rFonts w:ascii="Times New Roman" w:hAnsi="Times New Roman"/>
          <w:sz w:val="20"/>
        </w:rPr>
        <w:t xml:space="preserve">The Notes are only available to, and any invitation, offer or agreement to subscribe, purchase or otherwise acquire such notes will be engaged in only with, relevant persons. Any person who is not a relevant person should not act or rely on this document or any of its contents. </w:t>
      </w:r>
    </w:p>
    <w:p>
      <w:pPr>
        <w:pStyle w:val="TextBody"/>
        <w:spacing w:before="150" w:after="0"/>
        <w:rPr>
          <w:rFonts w:ascii="Times New Roman" w:hAnsi="Times New Roman"/>
          <w:sz w:val="20"/>
        </w:rPr>
      </w:pPr>
      <w:r>
        <w:rPr>
          <w:rFonts w:ascii="Times New Roman" w:hAnsi="Times New Roman"/>
          <w:sz w:val="20"/>
        </w:rPr>
        <w:t xml:space="preserve">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 </w:t>
      </w:r>
    </w:p>
    <w:p>
      <w:pPr>
        <w:pStyle w:val="TextBody"/>
        <w:spacing w:before="150" w:after="0"/>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spacing w:before="150" w:after="0"/>
        <w:rPr>
          <w:rFonts w:ascii="Times New Roman" w:hAnsi="Times New Roman"/>
          <w:sz w:val="20"/>
        </w:rPr>
      </w:pPr>
      <w:r>
        <w:rPr>
          <w:rFonts w:ascii="Times New Roman" w:hAnsi="Times New Roman"/>
          <w:sz w:val="20"/>
        </w:rPr>
        <w:t xml:space="preserve">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supplement may not be made to the public in that relevant member state other than: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any legal entity which is a qualified investor as defined in the Prospectus Directive;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any other circumstances falling within Article 3(2) of the Prospectus Directive; </w:t>
            </w:r>
          </w:p>
        </w:tc>
      </w:tr>
    </w:tbl>
    <w:p>
      <w:pPr>
        <w:pStyle w:val="TextBody"/>
        <w:spacing w:before="150" w:after="0"/>
        <w:rPr>
          <w:rFonts w:ascii="Times New Roman" w:hAnsi="Times New Roman"/>
          <w:sz w:val="20"/>
        </w:rPr>
      </w:pPr>
      <w:r>
        <w:rPr>
          <w:rFonts w:ascii="Times New Roman" w:hAnsi="Times New Roman"/>
          <w:sz w:val="20"/>
        </w:rPr>
        <w:t xml:space="preserve">provided that no such offer of securities shall require us or any underwriter to publish a prospectus pursuant to Article 3 of the Prospectus Directive. </w:t>
      </w:r>
    </w:p>
    <w:p>
      <w:pPr>
        <w:pStyle w:val="TextBody"/>
        <w:spacing w:before="150" w:after="0"/>
        <w:rPr>
          <w:rFonts w:ascii="Times New Roman" w:hAnsi="Times New Roman"/>
          <w:sz w:val="20"/>
        </w:rPr>
      </w:pPr>
      <w:r>
        <w:rPr>
          <w:rFonts w:ascii="Times New Roman" w:hAnsi="Times New Roman"/>
          <w:sz w:val="20"/>
        </w:rPr>
        <w:t xml:space="preserve">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 </w:t>
      </w:r>
    </w:p>
    <w:p>
      <w:pPr>
        <w:pStyle w:val="TextBody"/>
        <w:spacing w:before="150" w:after="0"/>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supplement. Accordingly, no purchaser of the securities, other than the underwriters, is authorized to make any further offer of the securities on behalf of us or the underwriters.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Other Relationships </w:t>
      </w:r>
    </w:p>
    <w:p>
      <w:pPr>
        <w:pStyle w:val="TextBody"/>
        <w:spacing w:before="150" w:after="0"/>
        <w:rPr>
          <w:rFonts w:ascii="Times New Roman" w:hAnsi="Times New Roman"/>
          <w:sz w:val="20"/>
        </w:rPr>
      </w:pPr>
      <w:r>
        <w:rPr>
          <w:rFonts w:ascii="Times New Roman" w:hAnsi="Times New Roman"/>
          <w:sz w:val="20"/>
        </w:rPr>
        <w:t xml:space="preserve">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w:t>
      </w:r>
    </w:p>
    <w:p>
      <w:pPr>
        <w:pStyle w:val="TextBody"/>
        <w:spacing w:before="150" w:after="0"/>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spacing w:before="150" w:after="0"/>
        <w:rPr>
          <w:rFonts w:ascii="Times New Roman" w:hAnsi="Times New Roman"/>
          <w:b/>
          <w:sz w:val="20"/>
        </w:rPr>
      </w:pPr>
      <w:r>
        <w:rPr>
          <w:rFonts w:ascii="Times New Roman" w:hAnsi="Times New Roman"/>
          <w:b/>
          <w:sz w:val="20"/>
        </w:rPr>
        <w:t xml:space="preserve">Indemnification </w:t>
      </w:r>
    </w:p>
    <w:p>
      <w:pPr>
        <w:pStyle w:val="TextBody"/>
        <w:spacing w:before="150" w:after="0"/>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supprom447729_12"/>
      <w:bookmarkEnd w:id="14"/>
      <w:r>
        <w:rPr>
          <w:rFonts w:ascii="Times New Roman" w:hAnsi="Times New Roman"/>
          <w:b/>
          <w:sz w:val="20"/>
        </w:rPr>
        <w:t xml:space="preserve">LEGAL MATTERS </w:t>
      </w:r>
    </w:p>
    <w:p>
      <w:pPr>
        <w:pStyle w:val="TextBody"/>
        <w:spacing w:before="150" w:after="0"/>
        <w:rPr>
          <w:rFonts w:ascii="Times New Roman" w:hAnsi="Times New Roman"/>
          <w:sz w:val="20"/>
        </w:rPr>
      </w:pPr>
      <w:r>
        <w:rPr>
          <w:rFonts w:ascii="Times New Roman" w:hAnsi="Times New Roman"/>
          <w:sz w:val="20"/>
        </w:rPr>
        <w:t xml:space="preserve">Certain legal matters in connection with the Notes being offered hereby will be passed upon for us by Vinson &amp; Elkins L.L.P., Houston, Texas and for the underwriters by Baker Botts L.L.P., Houston, Texas. </w:t>
      </w:r>
    </w:p>
    <w:p>
      <w:pPr>
        <w:pStyle w:val="TextBody"/>
        <w:spacing w:before="150" w:after="0"/>
        <w:jc w:val="center"/>
        <w:rPr>
          <w:rFonts w:ascii="Times New Roman" w:hAnsi="Times New Roman"/>
          <w:b/>
          <w:sz w:val="20"/>
        </w:rPr>
      </w:pPr>
      <w:bookmarkStart w:id="15" w:name="supprom447729_13"/>
      <w:bookmarkEnd w:id="15"/>
      <w:r>
        <w:rPr>
          <w:rFonts w:ascii="Times New Roman" w:hAnsi="Times New Roman"/>
          <w:b/>
          <w:sz w:val="20"/>
        </w:rPr>
        <w:t xml:space="preserve">EXPERTS </w:t>
      </w:r>
    </w:p>
    <w:p>
      <w:pPr>
        <w:pStyle w:val="TextBody"/>
        <w:spacing w:before="15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150" w:after="0"/>
        <w:rPr>
          <w:rFonts w:ascii="Times New Roman" w:hAnsi="Times New Roman"/>
          <w:sz w:val="20"/>
        </w:rPr>
      </w:pPr>
      <w:r>
        <w:rPr>
          <w:rFonts w:ascii="Times New Roman" w:hAnsi="Times New Roman"/>
          <w:sz w:val="20"/>
        </w:rPr>
        <w:t xml:space="preserve">The audited consolidated financial statements of Project Argyle, a business owned by BP p.l.c. and affiliates, as of December 31, 2011 and for the years ended December 31, 2010 and 2011, incorporated by reference into this prospectus supplement from our Current Report on Form 8-K/A dated May 29, 2012, have been so incorporated by reference in reliance upon the report of Ernst &amp; Young, LLP, independent registered public accountants, given upon the authority of said firm as experts in accounting and auditing in giving said report. </w:t>
      </w:r>
    </w:p>
    <w:p>
      <w:pPr>
        <w:pStyle w:val="TextBody"/>
        <w:spacing w:before="150" w:after="0"/>
        <w:jc w:val="center"/>
        <w:rPr>
          <w:rFonts w:ascii="Times New Roman" w:hAnsi="Times New Roman"/>
          <w:b/>
          <w:sz w:val="20"/>
        </w:rPr>
      </w:pPr>
      <w:bookmarkStart w:id="16" w:name="supprom447729_14"/>
      <w:bookmarkEnd w:id="16"/>
      <w:r>
        <w:rPr>
          <w:rFonts w:ascii="Times New Roman" w:hAnsi="Times New Roman"/>
          <w:b/>
          <w:sz w:val="20"/>
        </w:rPr>
        <w:t xml:space="preserve">WHERE YOU CAN FIND MORE INFORMATION </w:t>
      </w:r>
    </w:p>
    <w:p>
      <w:pPr>
        <w:pStyle w:val="TextBody"/>
        <w:spacing w:before="150" w:after="0"/>
        <w:rPr>
          <w:rFonts w:ascii="Times New Roman" w:hAnsi="Times New Roman"/>
          <w:sz w:val="20"/>
        </w:rPr>
      </w:pPr>
      <w:r>
        <w:rPr>
          <w:rFonts w:ascii="Times New Roman" w:hAnsi="Times New Roman"/>
          <w:sz w:val="20"/>
        </w:rPr>
        <w:t xml:space="preserve">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fiscal year ended December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 on Form 10-Q for the quarterly period ended March 31,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 on Form 10-Q for the quarterly period ended June 30,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 on Form 10-Q for the quarterly period ended September 30,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19,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26,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5, 2012 (completion of acquisition of BP Canada Energy Company; amendment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17, 2012 (announcement to withdraw offer to acquire SemGroup Corporation);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9,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23, 2012 (amendment and restatement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8-K/A filed with the SEC on May 29, 2012 (financial statements and unaudited pro forma financial information related to the acquisition of BP Canada Energy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3, 2012 (amendments to the senior secured hedged inventory facility and senior unsecured revolving credit facility);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13,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27, 2012 (unaudited pro forma financial information related to the acquisition of BP Canada Energy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October 2, 2012 (amendment of Limited Partnership Agreement of Plains All American Pipeline, L.P.);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November 8, 2012 (announcement regarding filing of prospectus supplement relating to equity distribution agreement). </w:t>
            </w:r>
          </w:p>
        </w:tc>
      </w:tr>
    </w:tbl>
    <w:p>
      <w:pPr>
        <w:pStyle w:val="TextBody"/>
        <w:spacing w:before="150" w:after="0"/>
        <w:rPr>
          <w:rFonts w:ascii="Times New Roman" w:hAnsi="Times New Roman"/>
          <w:sz w:val="20"/>
        </w:rPr>
      </w:pPr>
      <w:r>
        <w:rPr>
          <w:rFonts w:ascii="Times New Roman" w:hAnsi="Times New Roman"/>
          <w:sz w:val="20"/>
        </w:rPr>
        <w:t xml:space="preserve">You may request a copy of these filings (other than any exhibits unless specifically incorporated by reference into this prospectus supplement and the accompanying base prospectus) at no cost by making written or telephone requests for copies to: </w:t>
      </w:r>
    </w:p>
    <w:p>
      <w:pPr>
        <w:pStyle w:val="TextBody"/>
        <w:spacing w:before="15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150" w:after="0"/>
        <w:rPr>
          <w:rFonts w:ascii="Times New Roman" w:hAnsi="Times New Roman"/>
          <w:sz w:val="20"/>
        </w:rPr>
      </w:pPr>
      <w:r>
        <w:rPr>
          <w:rFonts w:ascii="Times New Roman" w:hAnsi="Times New Roman"/>
          <w:sz w:val="20"/>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 w:hAnsi="Times New Roman"/>
          <w:i/>
          <w:sz w:val="20"/>
        </w:rPr>
        <w:t>www.sec.gov</w:t>
      </w:r>
      <w:r>
        <w:rPr>
          <w:rFonts w:ascii="Times New Roman" w:hAnsi="Times New Roman"/>
          <w:sz w:val="20"/>
        </w:rPr>
        <w:t xml:space="preserve">. </w:t>
      </w:r>
    </w:p>
    <w:p>
      <w:pPr>
        <w:pStyle w:val="TextBody"/>
        <w:spacing w:before="150" w:after="0"/>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PROSPECTUS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48"/>
        </w:rPr>
      </w:pPr>
      <w:r>
        <w:rPr>
          <w:rFonts w:ascii="Times New Roman" w:hAnsi="Times New Roman"/>
          <w:b/>
          <w:sz w:val="48"/>
        </w:rPr>
        <w:t xml:space="preserve">PAA Finance Corp. </w:t>
      </w:r>
    </w:p>
    <w:p>
      <w:pPr>
        <w:pStyle w:val="TextBody"/>
        <w:spacing w:before="180" w:after="0"/>
        <w:jc w:val="center"/>
        <w:rPr>
          <w:rFonts w:ascii="Times New Roman" w:hAnsi="Times New Roman"/>
          <w:b/>
          <w:sz w:val="36"/>
        </w:rPr>
      </w:pPr>
      <w:r>
        <w:rPr>
          <w:rFonts w:ascii="Times New Roman" w:hAnsi="Times New Roman"/>
          <w:b/>
          <w:sz w:val="36"/>
        </w:rPr>
        <w:t xml:space="preserve">Common Units </w:t>
      </w:r>
    </w:p>
    <w:p>
      <w:pPr>
        <w:pStyle w:val="TextBody"/>
        <w:spacing w:before="90" w:after="0"/>
        <w:jc w:val="center"/>
        <w:rPr>
          <w:rFonts w:ascii="Times New Roman" w:hAnsi="Times New Roman"/>
          <w:b/>
          <w:sz w:val="36"/>
        </w:rPr>
      </w:pPr>
      <w:r>
        <w:rPr>
          <w:rFonts w:ascii="Times New Roman" w:hAnsi="Times New Roman"/>
          <w:b/>
          <w:sz w:val="36"/>
        </w:rPr>
        <w:t xml:space="preserve">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pPr>
      <w:r>
        <w:rPr>
          <w:rFonts w:ascii="Times New Roman" w:hAnsi="Times New Roman"/>
          <w:b/>
          <w:sz w:val="20"/>
        </w:rPr>
        <w:t>Investing in our common units and the debt securities involves risks. Limited partnerships are inherently different from corporations. You should carefully consider the risk factors described under </w:t>
      </w:r>
      <w:hyperlink w:anchor="rom447729_5">
        <w:r>
          <w:rPr>
            <w:rStyle w:val="InternetLink"/>
            <w:rFonts w:ascii="Times New Roman" w:hAnsi="Times New Roman"/>
            <w:b/>
            <w:sz w:val="20"/>
          </w:rPr>
          <w:t>Risk Factors</w:t>
        </w:r>
      </w:hyperlink>
      <w:r>
        <w:rPr>
          <w:rFonts w:ascii="Times New Roman" w:hAnsi="Times New Roman"/>
          <w:b/>
          <w:sz w:val="20"/>
        </w:rPr>
        <w:t xml:space="preserve"> beginning on page 2 of this prospectus before you make an investment in our securities. </w:t>
      </w:r>
    </w:p>
    <w:p>
      <w:pPr>
        <w:pStyle w:val="TextBody"/>
        <w:spacing w:before="180" w:after="0"/>
        <w:rPr>
          <w:rFonts w:ascii="Times New Roman" w:hAnsi="Times New Roman"/>
          <w:sz w:val="20"/>
        </w:rPr>
      </w:pPr>
      <w:r>
        <w:rPr>
          <w:rFonts w:ascii="Times New Roman" w:hAnsi="Times New Roman"/>
          <w:sz w:val="20"/>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18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The date of this prospectus is September 27,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2"/>
        <w:gridCol w:w="255"/>
        <w:gridCol w:w="60"/>
        <w:gridCol w:w="235"/>
        <w:gridCol w:w="123"/>
      </w:tblGrid>
      <w:tr>
        <w:trPr/>
        <w:tc>
          <w:tcPr>
            <w:tcW w:w="9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32" w:type="dxa"/>
            <w:tcBorders/>
            <w:shd w:fill="auto" w:val="clear"/>
          </w:tcPr>
          <w:p>
            <w:pPr>
              <w:pStyle w:val="TableContents"/>
              <w:spacing w:before="0" w:after="283"/>
              <w:rPr/>
            </w:pPr>
            <w:hyperlink w:anchor="rom447729_1">
              <w:r>
                <w:rPr>
                  <w:rStyle w:val="InternetLink"/>
                  <w:rFonts w:ascii="Times New Roman" w:hAnsi="Times New Roman"/>
                  <w:sz w:val="20"/>
                </w:rPr>
                <w:t>About This Prospectus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2">
              <w:r>
                <w:rPr>
                  <w:rStyle w:val="InternetLink"/>
                  <w:rFonts w:ascii="Times New Roman" w:hAnsi="Times New Roman"/>
                  <w:sz w:val="20"/>
                </w:rPr>
                <w:t>Where You Can Find More Information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3">
              <w:r>
                <w:rPr>
                  <w:rStyle w:val="InternetLink"/>
                  <w:rFonts w:ascii="Times New Roman" w:hAnsi="Times New Roman"/>
                  <w:sz w:val="20"/>
                </w:rPr>
                <w:t>Forward-Looking Statements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iv</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4">
              <w:r>
                <w:rPr>
                  <w:rStyle w:val="InternetLink"/>
                  <w:rFonts w:ascii="Times New Roman" w:hAnsi="Times New Roman"/>
                  <w:sz w:val="20"/>
                </w:rPr>
                <w:t>Who We Are</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5">
              <w:r>
                <w:rPr>
                  <w:rStyle w:val="InternetLink"/>
                  <w:rFonts w:ascii="Times New Roman" w:hAnsi="Times New Roman"/>
                  <w:sz w:val="20"/>
                </w:rPr>
                <w:t>Risk Factors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6">
              <w:r>
                <w:rPr>
                  <w:rStyle w:val="InternetLink"/>
                  <w:rFonts w:ascii="Times New Roman" w:hAnsi="Times New Roman"/>
                  <w:sz w:val="20"/>
                </w:rPr>
                <w:t>Use Of Proceeds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7">
              <w:r>
                <w:rPr>
                  <w:rStyle w:val="InternetLink"/>
                  <w:rFonts w:ascii="Times New Roman" w:hAnsi="Times New Roman"/>
                  <w:sz w:val="20"/>
                </w:rPr>
                <w:t>Ratio Of Earnings To Fixed Charges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8">
              <w:r>
                <w:rPr>
                  <w:rStyle w:val="InternetLink"/>
                  <w:rFonts w:ascii="Times New Roman" w:hAnsi="Times New Roman"/>
                  <w:sz w:val="20"/>
                </w:rPr>
                <w:t>Description of Our Debt Securities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9">
              <w:r>
                <w:rPr>
                  <w:rStyle w:val="InternetLink"/>
                  <w:rFonts w:ascii="Times New Roman" w:hAnsi="Times New Roman"/>
                  <w:sz w:val="20"/>
                </w:rPr>
                <w:t>Description of Our Common Units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10">
              <w:r>
                <w:rPr>
                  <w:rStyle w:val="InternetLink"/>
                  <w:rFonts w:ascii="Times New Roman" w:hAnsi="Times New Roman"/>
                  <w:sz w:val="20"/>
                </w:rPr>
                <w:t>Cash Distribution Policy</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11">
              <w:r>
                <w:rPr>
                  <w:rStyle w:val="InternetLink"/>
                  <w:rFonts w:ascii="Times New Roman" w:hAnsi="Times New Roman"/>
                  <w:sz w:val="20"/>
                </w:rPr>
                <w:t>Description of Our Partnership Agreement</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12">
              <w:r>
                <w:rPr>
                  <w:rStyle w:val="InternetLink"/>
                  <w:rFonts w:ascii="Times New Roman" w:hAnsi="Times New Roman"/>
                  <w:sz w:val="20"/>
                </w:rPr>
                <w:t>Material U.S. Federal Income Tax Consequences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13">
              <w:r>
                <w:rPr>
                  <w:rStyle w:val="InternetLink"/>
                  <w:rFonts w:ascii="Times New Roman" w:hAnsi="Times New Roman"/>
                  <w:sz w:val="20"/>
                </w:rPr>
                <w:t>Plan of Distribution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14">
              <w:r>
                <w:rPr>
                  <w:rStyle w:val="InternetLink"/>
                  <w:rFonts w:ascii="Times New Roman" w:hAnsi="Times New Roman"/>
                  <w:sz w:val="20"/>
                </w:rPr>
                <w:t>Legal Matters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15">
              <w:r>
                <w:rPr>
                  <w:rStyle w:val="InternetLink"/>
                  <w:rFonts w:ascii="Times New Roman" w:hAnsi="Times New Roman"/>
                  <w:sz w:val="20"/>
                </w:rPr>
                <w:t>Experts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b/>
          <w:sz w:val="20"/>
        </w:rPr>
      </w:pPr>
      <w:r>
        <w:rPr>
          <w:rFonts w:ascii="Times New Roman" w:hAnsi="Times New Roman"/>
          <w:b/>
          <w:sz w:val="20"/>
        </w:rPr>
        <w:t xml:space="preserve">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spacing w:before="180" w:after="0"/>
        <w:rPr>
          <w:rFonts w:ascii="Times New Roman" w:hAnsi="Times New Roman"/>
          <w:b/>
          <w:sz w:val="20"/>
        </w:rPr>
      </w:pPr>
      <w:r>
        <w:rPr>
          <w:rFonts w:ascii="Times New Roman" w:hAnsi="Times New Roman"/>
          <w:b/>
          <w:sz w:val="20"/>
        </w:rPr>
        <w:t xml:space="preserve">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 </w:t>
      </w:r>
    </w:p>
    <w:p>
      <w:pPr>
        <w:pStyle w:val="TextBody"/>
        <w:spacing w:before="360" w:after="0"/>
        <w:jc w:val="center"/>
        <w:rPr>
          <w:rFonts w:ascii="Times New Roman" w:hAnsi="Times New Roman"/>
          <w:b/>
          <w:sz w:val="20"/>
        </w:rPr>
      </w:pPr>
      <w:bookmarkStart w:id="18" w:name="rom447729_1"/>
      <w:bookmarkEnd w:id="18"/>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rom447729_2"/>
      <w:bookmarkEnd w:id="19"/>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80" w:after="0"/>
        <w:rPr>
          <w:rFonts w:ascii="Times New Roman" w:hAnsi="Times New Roman"/>
          <w:sz w:val="20"/>
        </w:rPr>
      </w:pPr>
      <w:r>
        <w:rPr>
          <w:rFonts w:ascii="Times New Roman" w:hAnsi="Times New Roman"/>
          <w:sz w:val="20"/>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Times New Roman" w:hAnsi="Times New Roman"/>
          <w:i/>
          <w:sz w:val="20"/>
        </w:rPr>
        <w:t>www.sec.gov</w:t>
      </w:r>
      <w:r>
        <w:rPr>
          <w:rFonts w:ascii="Times New Roman" w:hAnsi="Times New Roman"/>
          <w:sz w:val="20"/>
        </w:rPr>
        <w:t xml:space="preserve">. We also make available free of charge on our website, at </w:t>
      </w:r>
      <w:r>
        <w:rPr>
          <w:rFonts w:ascii="Times New Roman" w:hAnsi="Times New Roman"/>
          <w:i/>
          <w:sz w:val="20"/>
        </w:rPr>
        <w:t>www.paalp.com</w:t>
      </w:r>
      <w:r>
        <w:rPr>
          <w:rFonts w:ascii="Times New Roman" w:hAnsi="Times New Roman"/>
          <w:sz w:val="20"/>
        </w:rPr>
        <w:t xml:space="preserve">,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fiscal year ended December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quarterly periods ended March 31, 2012 and June 30,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19,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26,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5, 2012 (completion of acquisition of BP Canada Energy Company; amendment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17, 2012 (announcement to withdraw offer to acquire SemGroup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9,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23, 2012 (amendment and restatement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8-K/A filed with the SEC on May 29, 2012 (financial statements and unaudited pro forma financial information related to the acquisition of BP Canada Energy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3, 2012 (amendments to the senior secured hedged inventory facility and senior unsecured revolving credit facility);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13,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27, 2012 (unaudited pro forma financial information related to the acquisition of BP Canada Energy Company);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units contained in our Form 8-A/A dated November 3, 1998 and any subsequent amendment thereto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333 Clay Street, Suite 1600 Houston, Texas 77002 Attention: Corporate Secretary 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rom447729_3"/>
      <w:bookmarkEnd w:id="20"/>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or delays in implementing or capitalizing,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rom447729_4"/>
      <w:bookmarkEnd w:id="21"/>
      <w:r>
        <w:rPr>
          <w:rFonts w:ascii="Times New Roman" w:hAnsi="Times New Roman"/>
          <w:b/>
          <w:sz w:val="20"/>
        </w:rPr>
        <w:t xml:space="preserve">WHO WE ARE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 </w:t>
      </w:r>
    </w:p>
    <w:p>
      <w:pPr>
        <w:pStyle w:val="TextBody"/>
        <w:spacing w:before="180" w:after="0"/>
        <w:rPr>
          <w:rFonts w:ascii="Times New Roman" w:hAnsi="Times New Roman"/>
          <w:sz w:val="20"/>
        </w:rPr>
      </w:pPr>
      <w:r>
        <w:rPr>
          <w:rFonts w:ascii="Times New Roman" w:hAnsi="Times New Roman"/>
          <w:sz w:val="20"/>
        </w:rPr>
        <w:t xml:space="preserve">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 </w:t>
      </w:r>
    </w:p>
    <w:p>
      <w:pPr>
        <w:pStyle w:val="TextBody"/>
        <w:spacing w:before="180" w:after="0"/>
        <w:rPr>
          <w:rFonts w:ascii="Times New Roman" w:hAnsi="Times New Roman"/>
          <w:sz w:val="20"/>
        </w:rPr>
      </w:pPr>
      <w:r>
        <w:rPr>
          <w:rFonts w:ascii="Times New Roman" w:hAnsi="Times New Roman"/>
          <w:sz w:val="20"/>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80" w:after="0"/>
        <w:rPr>
          <w:rFonts w:ascii="Times New Roman" w:hAnsi="Times New Roman"/>
          <w:sz w:val="20"/>
        </w:rPr>
      </w:pPr>
      <w:r>
        <w:rPr>
          <w:rFonts w:ascii="Times New Roman" w:hAnsi="Times New Roman"/>
          <w:sz w:val="20"/>
        </w:rPr>
        <w:t xml:space="preserve">Our executive offices are located at 333 Clay Street, Suite 1600, Houston, Texas 77002 and our telephone number is (713) 646-4100. </w:t>
      </w:r>
    </w:p>
    <w:p>
      <w:pPr>
        <w:pStyle w:val="TextBody"/>
        <w:spacing w:before="180" w:after="0"/>
        <w:rPr>
          <w:rFonts w:ascii="Times New Roman" w:hAnsi="Times New Roman"/>
          <w:sz w:val="20"/>
        </w:rPr>
      </w:pPr>
      <w:r>
        <w:rPr>
          <w:rFonts w:ascii="Times New Roman" w:hAnsi="Times New Roman"/>
          <w:sz w:val="20"/>
        </w:rPr>
        <w:t xml:space="preserve">For additional information as to our business, properties and financial condition please refer to the documents cited in Where You Can Find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rom447729_5"/>
      <w:bookmarkEnd w:id="22"/>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rom447729_6"/>
      <w:bookmarkEnd w:id="23"/>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 </w:t>
      </w:r>
    </w:p>
    <w:p>
      <w:pPr>
        <w:pStyle w:val="TextBody"/>
        <w:spacing w:before="180" w:after="0"/>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a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rom447729_7"/>
      <w:bookmarkEnd w:id="24"/>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63"/>
        <w:gridCol w:w="222"/>
        <w:gridCol w:w="60"/>
        <w:gridCol w:w="487"/>
        <w:gridCol w:w="120"/>
        <w:gridCol w:w="222"/>
        <w:gridCol w:w="60"/>
        <w:gridCol w:w="487"/>
        <w:gridCol w:w="120"/>
        <w:gridCol w:w="222"/>
        <w:gridCol w:w="60"/>
        <w:gridCol w:w="487"/>
        <w:gridCol w:w="119"/>
        <w:gridCol w:w="222"/>
        <w:gridCol w:w="60"/>
        <w:gridCol w:w="487"/>
        <w:gridCol w:w="120"/>
        <w:gridCol w:w="222"/>
        <w:gridCol w:w="60"/>
        <w:gridCol w:w="487"/>
        <w:gridCol w:w="120"/>
        <w:gridCol w:w="222"/>
        <w:gridCol w:w="60"/>
        <w:gridCol w:w="487"/>
        <w:gridCol w:w="129"/>
      </w:tblGrid>
      <w:tr>
        <w:trPr/>
        <w:tc>
          <w:tcPr>
            <w:tcW w:w="486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w:t>
              <w:br/>
              <w:t>Months</w:t>
            </w:r>
            <w:r>
              <w:rPr/>
              <w:br/>
            </w:r>
            <w:r>
              <w:rPr>
                <w:rFonts w:ascii="Times New Roman" w:hAnsi="Times New Roman"/>
                <w:b/>
                <w:sz w:val="14"/>
              </w:rPr>
              <w:t>Ended</w:t>
            </w:r>
            <w:r>
              <w:rPr/>
              <w:br/>
            </w:r>
            <w:r>
              <w:rPr>
                <w:rFonts w:ascii="Times New Roman" w:hAnsi="Times New Roman"/>
                <w:b/>
                <w:sz w:val="14"/>
              </w:rPr>
              <w:t>June 30,</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10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29" w:type="dxa"/>
            <w:tcBorders/>
            <w:shd w:fill="auto"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9" w:type="dxa"/>
            <w:tcBorders/>
            <w:shd w:fill="auto" w:val="clear"/>
            <w:vAlign w:val="bottom"/>
          </w:tcPr>
          <w:p>
            <w:pPr>
              <w:pStyle w:val="TableContents"/>
              <w:spacing w:before="0" w:after="283"/>
              <w:rPr/>
            </w:pPr>
            <w:r>
              <w:rPr/>
              <w:t> </w:t>
            </w:r>
          </w:p>
        </w:tc>
      </w:tr>
      <w:tr>
        <w:trPr/>
        <w:tc>
          <w:tcPr>
            <w:tcW w:w="4863"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Charges(1)</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2.57x</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2.45x</w:t>
            </w:r>
          </w:p>
        </w:tc>
        <w:tc>
          <w:tcPr>
            <w:tcW w:w="129" w:type="dxa"/>
            <w:tcBorders/>
            <w:shd w:fill="CCEEFF"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hedged inventory purchases of $6 million for the six months ended June 30, 2012 and $20 million, $17 million, $11 million, $21 million and $44 million for the years ended December 31, 2011, 2010, 2009, 2008 and 2007,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rom447729_8"/>
      <w:bookmarkEnd w:id="25"/>
      <w:r>
        <w:rPr>
          <w:rFonts w:ascii="Times New Roman" w:hAnsi="Times New Roman"/>
          <w:b/>
          <w:sz w:val="20"/>
        </w:rPr>
        <w:t xml:space="preserve">DESCRIPTION OF OUR DEBT SECURITIES </w:t>
      </w:r>
    </w:p>
    <w:p>
      <w:pPr>
        <w:pStyle w:val="TextBody"/>
        <w:spacing w:before="27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debt securities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direct general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senior debt securities or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issued under separate indentures (which may be existing indentures) among Plains All American Pipeline, PAA Finance and U.S. Bank National Association, as successor Trustee. </w:t>
            </w:r>
          </w:p>
        </w:tc>
      </w:tr>
    </w:tbl>
    <w:p>
      <w:pPr>
        <w:pStyle w:val="TextBody"/>
        <w:spacing w:before="180" w:after="0"/>
        <w:rPr>
          <w:rFonts w:ascii="Times New Roman" w:hAnsi="Times New Roman"/>
          <w:sz w:val="20"/>
        </w:rPr>
      </w:pPr>
      <w:r>
        <w:rPr>
          <w:rFonts w:ascii="Times New Roman" w:hAnsi="Times New Roman"/>
          <w:sz w:val="20"/>
        </w:rPr>
        <w:t xml:space="preserve">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80" w:after="0"/>
        <w:rPr>
          <w:rFonts w:ascii="Times New Roman" w:hAnsi="Times New Roman"/>
          <w:sz w:val="20"/>
        </w:rPr>
      </w:pPr>
      <w:r>
        <w:rPr>
          <w:rFonts w:ascii="Times New Roman" w:hAnsi="Times New Roman"/>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Specific Terms of Each Series of Debt Securities in the Prospectus Supplement </w:t>
      </w:r>
    </w:p>
    <w:p>
      <w:pPr>
        <w:pStyle w:val="TextBody"/>
        <w:spacing w:before="90" w:after="0"/>
        <w:rPr>
          <w:rFonts w:ascii="Times New Roman" w:hAnsi="Times New Roman"/>
          <w:sz w:val="20"/>
        </w:rPr>
      </w:pPr>
      <w:r>
        <w:rPr>
          <w:rFonts w:ascii="Times New Roman" w:hAnsi="Times New Roman"/>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PAA Finance will be a co-issuer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or subordinated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assets, if any, that are pledged as security for the payment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we will issue the debt securities in individual certificates to each holder in registered form, or in the form of temporary or permanent global securities held by a depository on behalf of 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prices at which we will issue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that will be payable if the maturity of the debt securities is accelerated;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 in which the debt securities will be payable, if not U.S. dollars;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conversion or exchange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changes to or additional events of default or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w:t>
            </w:r>
          </w:p>
        </w:tc>
      </w:tr>
    </w:tbl>
    <w:p>
      <w:pPr>
        <w:pStyle w:val="TextBody"/>
        <w:spacing w:before="180" w:after="0"/>
        <w:rPr>
          <w:rFonts w:ascii="Times New Roman" w:hAnsi="Times New Roman"/>
          <w:sz w:val="20"/>
        </w:rPr>
      </w:pPr>
      <w:r>
        <w:rPr>
          <w:rFonts w:ascii="Times New Roman" w:hAnsi="Times New Roman"/>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70" w:after="0"/>
        <w:rPr>
          <w:rFonts w:ascii="Times New Roman" w:hAnsi="Times New Roman"/>
          <w:b/>
          <w:sz w:val="20"/>
        </w:rPr>
      </w:pPr>
      <w:r>
        <w:rPr>
          <w:rFonts w:ascii="Times New Roman" w:hAnsi="Times New Roman"/>
          <w:b/>
          <w:sz w:val="20"/>
        </w:rPr>
        <w:t xml:space="preserve">Possible Future Guarantees </w:t>
      </w:r>
    </w:p>
    <w:p>
      <w:pPr>
        <w:pStyle w:val="TextBody"/>
        <w:spacing w:before="90" w:after="0"/>
        <w:rPr>
          <w:rFonts w:ascii="Times New Roman" w:hAnsi="Times New Roman"/>
          <w:sz w:val="20"/>
        </w:rPr>
      </w:pPr>
      <w:r>
        <w:rPr>
          <w:rFonts w:ascii="Times New Roman" w:hAnsi="Times New Roman"/>
          <w:sz w:val="20"/>
        </w:rPr>
        <w:t xml:space="preserve">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 </w:t>
      </w:r>
    </w:p>
    <w:p>
      <w:pPr>
        <w:pStyle w:val="TextBody"/>
        <w:spacing w:before="180" w:after="0"/>
        <w:rPr>
          <w:rFonts w:ascii="Times New Roman" w:hAnsi="Times New Roman"/>
          <w:sz w:val="20"/>
        </w:rPr>
      </w:pPr>
      <w:r>
        <w:rPr>
          <w:rFonts w:ascii="Times New Roman" w:hAnsi="Times New Roman"/>
          <w:sz w:val="20"/>
        </w:rPr>
        <w:t xml:space="preserve">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 </w:t>
      </w:r>
    </w:p>
    <w:p>
      <w:pPr>
        <w:pStyle w:val="TextBody"/>
        <w:spacing w:before="180" w:after="0"/>
        <w:rPr>
          <w:rFonts w:ascii="Times New Roman" w:hAnsi="Times New Roman"/>
          <w:sz w:val="20"/>
        </w:rPr>
      </w:pPr>
      <w:r>
        <w:rPr>
          <w:rFonts w:ascii="Times New Roman" w:hAnsi="Times New Roman"/>
          <w:sz w:val="20"/>
        </w:rPr>
        <w:t xml:space="preserve">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 </w:t>
      </w:r>
    </w:p>
    <w:p>
      <w:pPr>
        <w:pStyle w:val="TextBody"/>
        <w:spacing w:before="270" w:after="0"/>
        <w:rPr>
          <w:rFonts w:ascii="Times New Roman" w:hAnsi="Times New Roman"/>
          <w:b/>
          <w:sz w:val="20"/>
        </w:rPr>
      </w:pPr>
      <w:r>
        <w:rPr>
          <w:rFonts w:ascii="Times New Roman" w:hAnsi="Times New Roman"/>
          <w:b/>
          <w:sz w:val="20"/>
        </w:rPr>
        <w:t xml:space="preserve">Consolidation, Merger or Asset Sale </w:t>
      </w:r>
    </w:p>
    <w:p>
      <w:pPr>
        <w:pStyle w:val="TextBody"/>
        <w:spacing w:before="90" w:after="0"/>
        <w:rPr>
          <w:rFonts w:ascii="Times New Roman" w:hAnsi="Times New Roman"/>
          <w:sz w:val="20"/>
        </w:rPr>
      </w:pPr>
      <w:r>
        <w:rPr>
          <w:rFonts w:ascii="Times New Roman" w:hAnsi="Times New Roman"/>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80" w:after="0"/>
        <w:rPr>
          <w:rFonts w:ascii="Times New Roman" w:hAnsi="Times New Roman"/>
          <w:sz w:val="20"/>
        </w:rPr>
      </w:pPr>
      <w:r>
        <w:rPr>
          <w:rFonts w:ascii="Times New Roman" w:hAnsi="Times New Roman"/>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assume the issuers obligations under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under  Events of Default and Remedies below) may exist.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70" w:after="0"/>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90" w:after="0"/>
        <w:rPr>
          <w:rFonts w:ascii="Times New Roman" w:hAnsi="Times New Roman"/>
          <w:sz w:val="20"/>
        </w:rPr>
      </w:pPr>
      <w:r>
        <w:rPr>
          <w:rFonts w:ascii="Times New Roman" w:hAnsi="Times New Roman"/>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70" w:after="0"/>
        <w:rPr>
          <w:rFonts w:ascii="Times New Roman" w:hAnsi="Times New Roman"/>
          <w:b/>
          <w:sz w:val="20"/>
        </w:rPr>
      </w:pPr>
      <w:r>
        <w:rPr>
          <w:rFonts w:ascii="Times New Roman" w:hAnsi="Times New Roman"/>
          <w:b/>
          <w:sz w:val="20"/>
        </w:rPr>
        <w:t xml:space="preserve">Modification of Indentures </w:t>
      </w:r>
    </w:p>
    <w:p>
      <w:pPr>
        <w:pStyle w:val="TextBody"/>
        <w:spacing w:before="90" w:after="0"/>
        <w:rPr>
          <w:rFonts w:ascii="Times New Roman" w:hAnsi="Times New Roman"/>
          <w:sz w:val="20"/>
        </w:rPr>
      </w:pPr>
      <w:r>
        <w:rPr>
          <w:rFonts w:ascii="Times New Roman" w:hAnsi="Times New Roman"/>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debt securities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provisions with respect to the redemption of the debt securities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under the indenture, release any security that may have been granted with respect to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debt security payable in currency other than that stated in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make any change in the subordination provisions that adversely affects the rights of any holder under those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debt securities to receive payments of principal of or premium, if any, or interest on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debt security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may supplement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of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an issuers or any guarantors obligations to holders of debt securities in the case of a merger or consolidation or disposition of all or substantially all of such issuers or guarantors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Indebtedness of Plains All American Pipeline;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any guarantors pursuant to the terms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and/or any guarantees. </w:t>
            </w:r>
          </w:p>
        </w:tc>
      </w:tr>
    </w:tbl>
    <w:p>
      <w:pPr>
        <w:pStyle w:val="TextBody"/>
        <w:spacing w:before="270" w:after="0"/>
        <w:rPr>
          <w:rFonts w:ascii="Times New Roman" w:hAnsi="Times New Roman"/>
          <w:b/>
          <w:sz w:val="20"/>
        </w:rPr>
      </w:pPr>
      <w:r>
        <w:rPr>
          <w:rFonts w:ascii="Times New Roman" w:hAnsi="Times New Roman"/>
          <w:b/>
          <w:sz w:val="20"/>
        </w:rPr>
        <w:t xml:space="preserve">Events of Default and Remedies </w:t>
      </w:r>
    </w:p>
    <w:p>
      <w:pPr>
        <w:pStyle w:val="TextBody"/>
        <w:spacing w:before="90" w:after="0"/>
        <w:rPr>
          <w:rFonts w:ascii="Times New Roman" w:hAnsi="Times New Roman"/>
          <w:sz w:val="20"/>
        </w:rPr>
      </w:pPr>
      <w:r>
        <w:rPr>
          <w:rFonts w:ascii="Times New Roman" w:hAnsi="Times New Roman"/>
          <w:sz w:val="20"/>
        </w:rPr>
        <w:t xml:space="preserve">Event of Default, when used in an indenture, will mean any of the following with respect to the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the principal of or any premium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within 60 days of the due date, interest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any sinking fund payment with respect to any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on the part of the issuers to comply with the covenant described under  Consolidation, Merger or Asset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other covenant in the indenture that continues for 30 days after written notice is given to the issuers;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an issuer;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Event of Default provided under the terms of the debt securities of that series. </w:t>
            </w:r>
          </w:p>
        </w:tc>
      </w:tr>
    </w:tbl>
    <w:p>
      <w:pPr>
        <w:pStyle w:val="TextBody"/>
        <w:spacing w:before="180" w:after="0"/>
        <w:rPr>
          <w:rFonts w:ascii="Times New Roman" w:hAnsi="Times New Roman"/>
          <w:sz w:val="20"/>
        </w:rPr>
      </w:pPr>
      <w:r>
        <w:rPr>
          <w:rFonts w:ascii="Times New Roman" w:hAnsi="Times New Roman"/>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80" w:after="0"/>
        <w:rPr>
          <w:rFonts w:ascii="Times New Roman" w:hAnsi="Times New Roman"/>
          <w:sz w:val="20"/>
        </w:rPr>
      </w:pPr>
      <w:r>
        <w:rPr>
          <w:rFonts w:ascii="Times New Roman" w:hAnsi="Times New Roman"/>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70" w:after="0"/>
        <w:rPr>
          <w:rFonts w:ascii="Times New Roman" w:hAnsi="Times New Roman"/>
          <w:b/>
          <w:sz w:val="20"/>
        </w:rPr>
      </w:pPr>
      <w:r>
        <w:rPr>
          <w:rFonts w:ascii="Times New Roman" w:hAnsi="Times New Roman"/>
          <w:b/>
          <w:sz w:val="20"/>
        </w:rPr>
        <w:t xml:space="preserve">No Limit on Amount of Debt Securities </w:t>
      </w:r>
    </w:p>
    <w:p>
      <w:pPr>
        <w:pStyle w:val="TextBody"/>
        <w:spacing w:before="90" w:after="0"/>
        <w:rPr>
          <w:rFonts w:ascii="Times New Roman" w:hAnsi="Times New Roman"/>
          <w:sz w:val="20"/>
        </w:rPr>
      </w:pPr>
      <w:r>
        <w:rPr>
          <w:rFonts w:ascii="Times New Roman" w:hAnsi="Times New Roman"/>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70" w:after="0"/>
        <w:rPr>
          <w:rFonts w:ascii="Times New Roman" w:hAnsi="Times New Roman"/>
          <w:b/>
          <w:sz w:val="20"/>
        </w:rPr>
      </w:pPr>
      <w:r>
        <w:rPr>
          <w:rFonts w:ascii="Times New Roman" w:hAnsi="Times New Roman"/>
          <w:b/>
          <w:sz w:val="20"/>
        </w:rPr>
        <w:t xml:space="preserve">Registration of Notes </w:t>
      </w:r>
    </w:p>
    <w:p>
      <w:pPr>
        <w:pStyle w:val="TextBody"/>
        <w:spacing w:before="90" w:after="0"/>
        <w:rPr>
          <w:rFonts w:ascii="Times New Roman" w:hAnsi="Times New Roman"/>
          <w:sz w:val="20"/>
        </w:rPr>
      </w:pPr>
      <w:r>
        <w:rPr>
          <w:rFonts w:ascii="Times New Roman" w:hAnsi="Times New Roman"/>
          <w:sz w:val="20"/>
        </w:rPr>
        <w:t xml:space="preserve">We will issue debt securities of a series only in registered form, without coupons,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Minimum Denominations </w:t>
      </w:r>
    </w:p>
    <w:p>
      <w:pPr>
        <w:pStyle w:val="TextBody"/>
        <w:spacing w:before="90" w:after="0"/>
        <w:rPr>
          <w:rFonts w:ascii="Times New Roman" w:hAnsi="Times New Roman"/>
          <w:sz w:val="20"/>
        </w:rPr>
      </w:pPr>
      <w:r>
        <w:rPr>
          <w:rFonts w:ascii="Times New Roman" w:hAnsi="Times New Roman"/>
          <w:sz w:val="20"/>
        </w:rPr>
        <w:t xml:space="preserve">Unless the prospectus supplement states otherwise, the debt securities will be issued only in principal amounts of $1,000 each or integral multiples of $1,000. </w:t>
      </w:r>
    </w:p>
    <w:p>
      <w:pPr>
        <w:pStyle w:val="TextBody"/>
        <w:spacing w:before="270" w:after="0"/>
        <w:rPr>
          <w:rFonts w:ascii="Times New Roman" w:hAnsi="Times New Roman"/>
          <w:b/>
          <w:sz w:val="20"/>
        </w:rPr>
      </w:pPr>
      <w:r>
        <w:rPr>
          <w:rFonts w:ascii="Times New Roman" w:hAnsi="Times New Roman"/>
          <w:b/>
          <w:sz w:val="20"/>
        </w:rPr>
        <w:t xml:space="preserve">No Personal Liability </w:t>
      </w:r>
    </w:p>
    <w:p>
      <w:pPr>
        <w:pStyle w:val="TextBody"/>
        <w:spacing w:before="90" w:after="0"/>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70" w:after="0"/>
        <w:rPr>
          <w:rFonts w:ascii="Times New Roman" w:hAnsi="Times New Roman"/>
          <w:b/>
          <w:sz w:val="20"/>
        </w:rPr>
      </w:pPr>
      <w:r>
        <w:rPr>
          <w:rFonts w:ascii="Times New Roman" w:hAnsi="Times New Roman"/>
          <w:b/>
          <w:sz w:val="20"/>
        </w:rPr>
        <w:t xml:space="preserve">Payment and Transfer </w:t>
      </w:r>
    </w:p>
    <w:p>
      <w:pPr>
        <w:pStyle w:val="TextBody"/>
        <w:spacing w:before="90" w:after="0"/>
        <w:rPr>
          <w:rFonts w:ascii="Times New Roman" w:hAnsi="Times New Roman"/>
          <w:sz w:val="20"/>
        </w:rPr>
      </w:pPr>
      <w:r>
        <w:rPr>
          <w:rFonts w:ascii="Times New Roman" w:hAnsi="Times New Roman"/>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80" w:after="0"/>
        <w:rPr>
          <w:rFonts w:ascii="Times New Roman" w:hAnsi="Times New Roman"/>
          <w:sz w:val="20"/>
        </w:rPr>
      </w:pPr>
      <w:r>
        <w:rPr>
          <w:rFonts w:ascii="Times New Roman" w:hAnsi="Times New Roman"/>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80" w:after="0"/>
        <w:rPr>
          <w:rFonts w:ascii="Times New Roman" w:hAnsi="Times New Roman"/>
          <w:sz w:val="20"/>
        </w:rPr>
      </w:pPr>
      <w:r>
        <w:rPr>
          <w:rFonts w:ascii="Times New Roman" w:hAnsi="Times New Roman"/>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270" w:after="0"/>
        <w:rPr>
          <w:rFonts w:ascii="Times New Roman" w:hAnsi="Times New Roman"/>
          <w:b/>
          <w:sz w:val="20"/>
        </w:rPr>
      </w:pPr>
      <w:r>
        <w:rPr>
          <w:rFonts w:ascii="Times New Roman" w:hAnsi="Times New Roman"/>
          <w:b/>
          <w:sz w:val="20"/>
        </w:rPr>
        <w:t xml:space="preserve">Exchange, Registration and Transfer </w:t>
      </w:r>
    </w:p>
    <w:p>
      <w:pPr>
        <w:pStyle w:val="TextBody"/>
        <w:spacing w:before="90" w:after="0"/>
        <w:rPr>
          <w:rFonts w:ascii="Times New Roman" w:hAnsi="Times New Roman"/>
          <w:sz w:val="20"/>
        </w:rPr>
      </w:pPr>
      <w:r>
        <w:rPr>
          <w:rFonts w:ascii="Times New Roman" w:hAnsi="Times New Roman"/>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180" w:after="0"/>
        <w:rPr>
          <w:rFonts w:ascii="Times New Roman" w:hAnsi="Times New Roman"/>
          <w:sz w:val="20"/>
        </w:rPr>
      </w:pPr>
      <w:r>
        <w:rPr>
          <w:rFonts w:ascii="Times New Roman" w:hAnsi="Times New Roman"/>
          <w:sz w:val="20"/>
        </w:rPr>
        <w:t xml:space="preserve">We will not be required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register the transfer of or exchange any debt security called for redemption or repurchase, except the unredeemed portion of any debt security we are redeeming or repurchasing in part. </w:t>
            </w:r>
          </w:p>
        </w:tc>
      </w:tr>
    </w:tbl>
    <w:p>
      <w:pPr>
        <w:pStyle w:val="TextBody"/>
        <w:spacing w:before="270" w:after="0"/>
        <w:rPr>
          <w:rFonts w:ascii="Times New Roman" w:hAnsi="Times New Roman"/>
          <w:b/>
          <w:sz w:val="20"/>
        </w:rPr>
      </w:pPr>
      <w:r>
        <w:rPr>
          <w:rFonts w:ascii="Times New Roman" w:hAnsi="Times New Roman"/>
          <w:b/>
          <w:sz w:val="20"/>
        </w:rPr>
        <w:t xml:space="preserve">Provisions Relating only to the Senior Debt Securities </w:t>
      </w:r>
    </w:p>
    <w:p>
      <w:pPr>
        <w:pStyle w:val="TextBody"/>
        <w:spacing w:before="90" w:after="0"/>
        <w:rPr>
          <w:rFonts w:ascii="Times New Roman" w:hAnsi="Times New Roman"/>
          <w:sz w:val="20"/>
        </w:rPr>
      </w:pPr>
      <w:r>
        <w:rPr>
          <w:rFonts w:ascii="Times New Roman" w:hAnsi="Times New Roman"/>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70" w:after="0"/>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spacing w:before="90" w:after="0"/>
        <w:rPr>
          <w:rFonts w:ascii="Times New Roman" w:hAnsi="Times New Roman"/>
          <w:b/>
          <w:i/>
          <w:sz w:val="20"/>
        </w:rPr>
      </w:pPr>
      <w:r>
        <w:rPr>
          <w:rFonts w:ascii="Times New Roman" w:hAnsi="Times New Roman"/>
          <w:b/>
          <w:i/>
          <w:sz w:val="20"/>
        </w:rPr>
        <w:t xml:space="preserve">Subordinated Debt Securities Subordinated to Senior Indebtedness </w:t>
      </w:r>
    </w:p>
    <w:p>
      <w:pPr>
        <w:pStyle w:val="TextBody"/>
        <w:spacing w:before="90" w:after="0"/>
        <w:rPr>
          <w:rFonts w:ascii="Times New Roman" w:hAnsi="Times New Roman"/>
          <w:sz w:val="20"/>
        </w:rPr>
      </w:pPr>
      <w:r>
        <w:rPr>
          <w:rFonts w:ascii="Times New Roman" w:hAnsi="Times New Roman"/>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70" w:after="0"/>
        <w:rPr>
          <w:rFonts w:ascii="Times New Roman" w:hAnsi="Times New Roman"/>
          <w:b/>
          <w:i/>
          <w:sz w:val="20"/>
        </w:rPr>
      </w:pPr>
      <w:r>
        <w:rPr>
          <w:rFonts w:ascii="Times New Roman" w:hAnsi="Times New Roman"/>
          <w:b/>
          <w:i/>
          <w:sz w:val="20"/>
        </w:rPr>
        <w:t xml:space="preserve">Payment Blockages </w:t>
      </w:r>
    </w:p>
    <w:p>
      <w:pPr>
        <w:pStyle w:val="TextBody"/>
        <w:spacing w:before="90" w:after="0"/>
        <w:rPr>
          <w:rFonts w:ascii="Times New Roman" w:hAnsi="Times New Roman"/>
          <w:sz w:val="20"/>
        </w:rPr>
      </w:pPr>
      <w:r>
        <w:rPr>
          <w:rFonts w:ascii="Times New Roman" w:hAnsi="Times New Roman"/>
          <w:sz w:val="20"/>
        </w:rPr>
        <w:t xml:space="preserve">The subordinated indenture will provide that no payment of principal, interest and any premium on the subordinated debt securities may be made in the event: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our property is involved in any voluntary or involuntary liquidation or bankruptcy;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70" w:after="0"/>
        <w:rPr>
          <w:rFonts w:ascii="Times New Roman" w:hAnsi="Times New Roman"/>
          <w:b/>
          <w:i/>
          <w:sz w:val="20"/>
        </w:rPr>
      </w:pPr>
      <w:r>
        <w:rPr>
          <w:rFonts w:ascii="Times New Roman" w:hAnsi="Times New Roman"/>
          <w:b/>
          <w:i/>
          <w:sz w:val="20"/>
        </w:rPr>
        <w:t xml:space="preserve">No Limitation on Amount of Senior Debt </w:t>
      </w:r>
    </w:p>
    <w:p>
      <w:pPr>
        <w:pStyle w:val="TextBody"/>
        <w:spacing w:before="90" w:after="0"/>
        <w:rPr>
          <w:rFonts w:ascii="Times New Roman" w:hAnsi="Times New Roman"/>
          <w:sz w:val="20"/>
        </w:rPr>
      </w:pPr>
      <w:r>
        <w:rPr>
          <w:rFonts w:ascii="Times New Roman" w:hAnsi="Times New Roman"/>
          <w:sz w:val="20"/>
        </w:rPr>
        <w:t xml:space="preserve">The subordinated indenture will not limit the amount of Senior Indebtedness that Plains All American Pipeline may incur,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Book Entry, Delivery and Form </w:t>
      </w:r>
    </w:p>
    <w:p>
      <w:pPr>
        <w:pStyle w:val="TextBody"/>
        <w:spacing w:before="90" w:after="0"/>
        <w:rPr>
          <w:rFonts w:ascii="Times New Roman" w:hAnsi="Times New Roman"/>
          <w:sz w:val="20"/>
        </w:rPr>
      </w:pPr>
      <w:r>
        <w:rPr>
          <w:rFonts w:ascii="Times New Roman" w:hAnsi="Times New Roman"/>
          <w:sz w:val="20"/>
        </w:rPr>
        <w:t xml:space="preserve">The debt securities of a particular series may be issued in whole or in part in the form of one or more global certificates that will be deposited with the Trustee as custodian for The Depository Trust Company,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80" w:after="0"/>
        <w:rPr>
          <w:rFonts w:ascii="Times New Roman" w:hAnsi="Times New Roman"/>
          <w:sz w:val="20"/>
        </w:rPr>
      </w:pPr>
      <w:r>
        <w:rPr>
          <w:rFonts w:ascii="Times New Roman" w:hAnsi="Times New Roman"/>
          <w:sz w:val="20"/>
        </w:rPr>
        <w:t xml:space="preserve">Beneficial interests in global debt securities will be shown on, and transfers of global debt securities will be made only through, records maintained by DTC and its participants. </w:t>
      </w:r>
    </w:p>
    <w:p>
      <w:pPr>
        <w:pStyle w:val="TextBody"/>
        <w:spacing w:before="180" w:after="0"/>
        <w:rPr>
          <w:rFonts w:ascii="Times New Roman" w:hAnsi="Times New Roman"/>
          <w:sz w:val="20"/>
        </w:rPr>
      </w:pPr>
      <w:r>
        <w:rPr>
          <w:rFonts w:ascii="Times New Roman" w:hAnsi="Times New Roman"/>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80" w:after="0"/>
        <w:rPr>
          <w:rFonts w:ascii="Times New Roman" w:hAnsi="Times New Roman"/>
          <w:sz w:val="20"/>
        </w:rPr>
      </w:pPr>
      <w:r>
        <w:rPr>
          <w:rFonts w:ascii="Times New Roman" w:hAnsi="Times New Roman"/>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80" w:after="0"/>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Inc. and the Financial Industry Regulatory Authority (FINRA). </w:t>
      </w:r>
    </w:p>
    <w:p>
      <w:pPr>
        <w:pStyle w:val="TextBody"/>
        <w:spacing w:before="180" w:after="0"/>
        <w:rPr>
          <w:rFonts w:ascii="Times New Roman" w:hAnsi="Times New Roman"/>
          <w:sz w:val="20"/>
        </w:rPr>
      </w:pPr>
      <w:r>
        <w:rPr>
          <w:rFonts w:ascii="Times New Roman" w:hAnsi="Times New Roman"/>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80" w:after="0"/>
        <w:rPr>
          <w:rFonts w:ascii="Times New Roman" w:hAnsi="Times New Roman"/>
          <w:sz w:val="20"/>
        </w:rPr>
      </w:pPr>
      <w:r>
        <w:rPr>
          <w:rFonts w:ascii="Times New Roman" w:hAnsi="Times New Roman"/>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80" w:after="0"/>
        <w:rPr>
          <w:rFonts w:ascii="Times New Roman" w:hAnsi="Times New Roman"/>
          <w:sz w:val="20"/>
        </w:rPr>
      </w:pPr>
      <w:r>
        <w:rPr>
          <w:rFonts w:ascii="Times New Roman" w:hAnsi="Times New Roman"/>
          <w:sz w:val="20"/>
        </w:rPr>
        <w:t xml:space="preserve">Debt securities represented by a global debt security will be exchangeable for certificated debt securities with the same terms in authorized denominations only if: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DTC notifies us that it is unwilling or unable to continue as depositary or if DTC ceases to be a clearing agency registered under applicable law and in either event a successor depositary is not appointed by us within 90 days;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determine not to require all of the debt securities of a series to be represented by a global debt security. </w:t>
            </w:r>
          </w:p>
        </w:tc>
      </w:tr>
    </w:tbl>
    <w:p>
      <w:pPr>
        <w:pStyle w:val="TextBody"/>
        <w:spacing w:before="270" w:after="0"/>
        <w:rPr>
          <w:rFonts w:ascii="Times New Roman" w:hAnsi="Times New Roman"/>
          <w:b/>
          <w:sz w:val="20"/>
        </w:rPr>
      </w:pPr>
      <w:r>
        <w:rPr>
          <w:rFonts w:ascii="Times New Roman" w:hAnsi="Times New Roman"/>
          <w:b/>
          <w:sz w:val="20"/>
        </w:rPr>
        <w:t xml:space="preserve">Satisfaction and Discharge; Defeasance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either: </w:t>
      </w:r>
    </w:p>
    <w:p>
      <w:pPr>
        <w:pStyle w:val="TextBody"/>
        <w:spacing w:before="180" w:after="0"/>
        <w:rPr>
          <w:rFonts w:ascii="Times New Roman" w:hAnsi="Times New Roman"/>
          <w:sz w:val="20"/>
        </w:rPr>
      </w:pPr>
      <w:r>
        <w:rPr>
          <w:rFonts w:ascii="Times New Roman" w:hAnsi="Times New Roman"/>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180" w:after="0"/>
        <w:rPr>
          <w:rFonts w:ascii="Times New Roman" w:hAnsi="Times New Roman"/>
          <w:sz w:val="20"/>
        </w:rPr>
      </w:pPr>
      <w:r>
        <w:rPr>
          <w:rFonts w:ascii="Times New Roman" w:hAnsi="Times New Roman"/>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180" w:after="0"/>
        <w:rPr>
          <w:rFonts w:ascii="Times New Roman" w:hAnsi="Times New Roman"/>
          <w:sz w:val="20"/>
        </w:rPr>
      </w:pPr>
      <w:r>
        <w:rPr>
          <w:rFonts w:ascii="Times New Roman" w:hAnsi="Times New Roman"/>
          <w:sz w:val="20"/>
        </w:rPr>
        <w:t xml:space="preserve">(b) we have paid or caused to be paid all other sums payable by us under the indenture; and </w:t>
      </w:r>
    </w:p>
    <w:p>
      <w:pPr>
        <w:pStyle w:val="TextBody"/>
        <w:spacing w:before="180" w:after="0"/>
        <w:rPr>
          <w:rFonts w:ascii="Times New Roman" w:hAnsi="Times New Roman"/>
          <w:sz w:val="20"/>
        </w:rPr>
      </w:pPr>
      <w:r>
        <w:rPr>
          <w:rFonts w:ascii="Times New Roman" w:hAnsi="Times New Roman"/>
          <w:sz w:val="20"/>
        </w:rPr>
        <w:t xml:space="preserve">(c) we have delivered an officers certificate and an opinion of counsel to the Trustee stating that all conditions precedent to satisfaction and discharge have been satisfied. </w:t>
      </w:r>
    </w:p>
    <w:p>
      <w:pPr>
        <w:pStyle w:val="TextBody"/>
        <w:spacing w:before="180" w:after="0"/>
        <w:rPr>
          <w:rFonts w:ascii="Times New Roman" w:hAnsi="Times New Roman"/>
          <w:sz w:val="20"/>
        </w:rPr>
      </w:pPr>
      <w:r>
        <w:rPr>
          <w:rFonts w:ascii="Times New Roman" w:hAnsi="Times New Roman"/>
          <w:sz w:val="20"/>
        </w:rPr>
        <w:t xml:space="preserve">The debt securities of a particular series will be subject to legal or covenant defeasance to the extent, and upon the terms and conditions, set forth in the prospectus supplement.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70" w:after="0"/>
        <w:rPr>
          <w:rFonts w:ascii="Times New Roman" w:hAnsi="Times New Roman"/>
          <w:b/>
          <w:i/>
          <w:sz w:val="20"/>
        </w:rPr>
      </w:pPr>
      <w:r>
        <w:rPr>
          <w:rFonts w:ascii="Times New Roman" w:hAnsi="Times New Roman"/>
          <w:b/>
          <w:i/>
          <w:sz w:val="20"/>
        </w:rPr>
        <w:t xml:space="preserve">Resignation or Removal of Trustee </w:t>
      </w:r>
    </w:p>
    <w:p>
      <w:pPr>
        <w:pStyle w:val="TextBody"/>
        <w:spacing w:before="90" w:after="0"/>
        <w:rPr>
          <w:rFonts w:ascii="Times New Roman" w:hAnsi="Times New Roman"/>
          <w:sz w:val="20"/>
        </w:rPr>
      </w:pPr>
      <w:r>
        <w:rPr>
          <w:rFonts w:ascii="Times New Roman" w:hAnsi="Times New Roman"/>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80" w:after="0"/>
        <w:rPr>
          <w:rFonts w:ascii="Times New Roman" w:hAnsi="Times New Roman"/>
          <w:sz w:val="20"/>
        </w:rPr>
      </w:pPr>
      <w:r>
        <w:rPr>
          <w:rFonts w:ascii="Times New Roman" w:hAnsi="Times New Roman"/>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270" w:after="0"/>
        <w:rPr>
          <w:rFonts w:ascii="Times New Roman" w:hAnsi="Times New Roman"/>
          <w:b/>
          <w:i/>
          <w:sz w:val="20"/>
        </w:rPr>
      </w:pPr>
      <w:r>
        <w:rPr>
          <w:rFonts w:ascii="Times New Roman" w:hAnsi="Times New Roman"/>
          <w:b/>
          <w:i/>
          <w:sz w:val="20"/>
        </w:rPr>
        <w:t xml:space="preserve">Limitations on Trustee if it is a Creditor </w:t>
      </w:r>
    </w:p>
    <w:p>
      <w:pPr>
        <w:pStyle w:val="TextBody"/>
        <w:spacing w:before="90" w:after="0"/>
        <w:rPr>
          <w:rFonts w:ascii="Times New Roman" w:hAnsi="Times New Roman"/>
          <w:sz w:val="20"/>
        </w:rPr>
      </w:pPr>
      <w:r>
        <w:rPr>
          <w:rFonts w:ascii="Times New Roman" w:hAnsi="Times New Roman"/>
          <w:sz w:val="20"/>
        </w:rPr>
        <w:t xml:space="preserve">Each indenture will limit the right of the Trustee thereunder, in the event that it becomes a creditor of an issuer or any guarantor, to obtain payment of claims in certain cases, or to realize on certain property received in respect of any such claim as security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Certificates and Opinions to be Furnished to Trustee </w:t>
      </w:r>
    </w:p>
    <w:p>
      <w:pPr>
        <w:pStyle w:val="TextBody"/>
        <w:spacing w:before="90" w:after="0"/>
        <w:rPr>
          <w:rFonts w:ascii="Times New Roman" w:hAnsi="Times New Roman"/>
          <w:sz w:val="20"/>
        </w:rPr>
      </w:pPr>
      <w:r>
        <w:rPr>
          <w:rFonts w:ascii="Times New Roman" w:hAnsi="Times New Roman"/>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Each indenture and all of the debt securities will be governed by the laws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rom447729_9"/>
      <w:bookmarkEnd w:id="26"/>
      <w:r>
        <w:rPr>
          <w:rFonts w:ascii="Times New Roman" w:hAnsi="Times New Roman"/>
          <w:b/>
          <w:sz w:val="20"/>
        </w:rPr>
        <w:t xml:space="preserve">DESCRIPTION OF OUR COMMON UNITS </w:t>
      </w:r>
    </w:p>
    <w:p>
      <w:pPr>
        <w:pStyle w:val="TextBody"/>
        <w:spacing w:before="180" w:after="0"/>
        <w:rPr>
          <w:rFonts w:ascii="Times New Roman" w:hAnsi="Times New Roman"/>
          <w:sz w:val="20"/>
        </w:rPr>
      </w:pPr>
      <w:r>
        <w:rPr>
          <w:rFonts w:ascii="Times New Roman" w:hAnsi="Times New Roman"/>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80" w:after="0"/>
        <w:rPr>
          <w:rFonts w:ascii="Times New Roman" w:hAnsi="Times New Roman"/>
          <w:sz w:val="20"/>
        </w:rPr>
      </w:pPr>
      <w:r>
        <w:rPr>
          <w:rFonts w:ascii="Times New Roman" w:hAnsi="Times New Roman"/>
          <w:sz w:val="20"/>
        </w:rPr>
        <w:t xml:space="preserve">Our outstanding common units are listed on the NYSE under the symbol PAA. Any additional common units we issue will also be listed on the NYSE. </w:t>
      </w:r>
    </w:p>
    <w:p>
      <w:pPr>
        <w:pStyle w:val="TextBody"/>
        <w:spacing w:before="180" w:after="0"/>
        <w:rPr>
          <w:rFonts w:ascii="Times New Roman" w:hAnsi="Times New Roman"/>
          <w:sz w:val="20"/>
        </w:rPr>
      </w:pPr>
      <w:r>
        <w:rPr>
          <w:rFonts w:ascii="Times New Roman" w:hAnsi="Times New Roman"/>
          <w:sz w:val="20"/>
        </w:rPr>
        <w:t xml:space="preserve">The transfer agent and registrar for our common units is American Stock Transfer &amp; Trust Company. </w:t>
      </w:r>
    </w:p>
    <w:p>
      <w:pPr>
        <w:pStyle w:val="TextBody"/>
        <w:spacing w:before="270" w:after="0"/>
        <w:rPr>
          <w:rFonts w:ascii="Times New Roman" w:hAnsi="Times New Roman"/>
          <w:b/>
          <w:sz w:val="20"/>
        </w:rPr>
      </w:pPr>
      <w:r>
        <w:rPr>
          <w:rFonts w:ascii="Times New Roman" w:hAnsi="Times New Roman"/>
          <w:b/>
          <w:sz w:val="20"/>
        </w:rPr>
        <w:t xml:space="preserve">Meetings/Voting </w:t>
      </w:r>
    </w:p>
    <w:p>
      <w:pPr>
        <w:pStyle w:val="TextBody"/>
        <w:spacing w:before="90" w:after="0"/>
        <w:rPr>
          <w:rFonts w:ascii="Times New Roman" w:hAnsi="Times New Roman"/>
          <w:sz w:val="20"/>
        </w:rPr>
      </w:pPr>
      <w:r>
        <w:rPr>
          <w:rFonts w:ascii="Times New Roman" w:hAnsi="Times New Roman"/>
          <w:sz w:val="20"/>
        </w:rPr>
        <w:t xml:space="preserve">Each holder of common units is entitled to one vote for each common unit on all matters submitted to a vote of the unitholders. </w:t>
      </w:r>
    </w:p>
    <w:p>
      <w:pPr>
        <w:pStyle w:val="TextBody"/>
        <w:spacing w:before="270" w:after="0"/>
        <w:rPr>
          <w:rFonts w:ascii="Times New Roman" w:hAnsi="Times New Roman"/>
          <w:b/>
          <w:sz w:val="20"/>
        </w:rPr>
      </w:pPr>
      <w:r>
        <w:rPr>
          <w:rFonts w:ascii="Times New Roman" w:hAnsi="Times New Roman"/>
          <w:b/>
          <w:sz w:val="20"/>
        </w:rPr>
        <w:t xml:space="preserve">Status as Limited Partner or Assignee </w:t>
      </w:r>
    </w:p>
    <w:p>
      <w:pPr>
        <w:pStyle w:val="TextBody"/>
        <w:spacing w:before="90" w:after="0"/>
        <w:rPr>
          <w:rFonts w:ascii="Times New Roman" w:hAnsi="Times New Roman"/>
          <w:sz w:val="20"/>
        </w:rPr>
      </w:pPr>
      <w:r>
        <w:rPr>
          <w:rFonts w:ascii="Times New Roman" w:hAnsi="Times New Roman"/>
          <w:sz w:val="20"/>
        </w:rPr>
        <w:t xml:space="preserve">Except as described below under  Limited Liability, the common units will be fully paid, and unitholders will not be required to make additional capital contributions to us. </w:t>
      </w:r>
    </w:p>
    <w:p>
      <w:pPr>
        <w:pStyle w:val="TextBody"/>
        <w:spacing w:before="180" w:after="0"/>
        <w:rPr>
          <w:rFonts w:ascii="Times New Roman" w:hAnsi="Times New Roman"/>
          <w:sz w:val="20"/>
        </w:rPr>
      </w:pPr>
      <w:r>
        <w:rPr>
          <w:rFonts w:ascii="Times New Roman" w:hAnsi="Times New Roman"/>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80" w:after="0"/>
        <w:rPr>
          <w:rFonts w:ascii="Times New Roman" w:hAnsi="Times New Roman"/>
          <w:sz w:val="20"/>
        </w:rPr>
      </w:pPr>
      <w:r>
        <w:rPr>
          <w:rFonts w:ascii="Times New Roman" w:hAnsi="Times New Roman"/>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70" w:after="0"/>
        <w:rPr>
          <w:rFonts w:ascii="Times New Roman" w:hAnsi="Times New Roman"/>
          <w:b/>
          <w:sz w:val="20"/>
        </w:rPr>
      </w:pPr>
      <w:r>
        <w:rPr>
          <w:rFonts w:ascii="Times New Roman" w:hAnsi="Times New Roman"/>
          <w:b/>
          <w:sz w:val="20"/>
        </w:rPr>
        <w:t xml:space="preserve">Limited Liability </w:t>
      </w:r>
    </w:p>
    <w:p>
      <w:pPr>
        <w:pStyle w:val="TextBody"/>
        <w:spacing w:before="90" w:after="0"/>
        <w:rPr>
          <w:rFonts w:ascii="Times New Roman" w:hAnsi="Times New Roman"/>
          <w:sz w:val="20"/>
        </w:rPr>
      </w:pPr>
      <w:r>
        <w:rPr>
          <w:rFonts w:ascii="Times New Roman" w:hAnsi="Times New Roman"/>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80" w:after="0"/>
        <w:rPr>
          <w:rFonts w:ascii="Times New Roman" w:hAnsi="Times New Roman"/>
          <w:sz w:val="20"/>
        </w:rPr>
      </w:pPr>
      <w:r>
        <w:rPr>
          <w:rFonts w:ascii="Times New Roman" w:hAnsi="Times New Roman"/>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Reports and Records </w:t>
      </w:r>
    </w:p>
    <w:p>
      <w:pPr>
        <w:pStyle w:val="TextBody"/>
        <w:spacing w:before="90" w:after="0"/>
        <w:rPr>
          <w:rFonts w:ascii="Times New Roman" w:hAnsi="Times New Roman"/>
          <w:sz w:val="20"/>
        </w:rPr>
      </w:pPr>
      <w:r>
        <w:rPr>
          <w:rFonts w:ascii="Times New Roman" w:hAnsi="Times New Roman"/>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80" w:after="0"/>
        <w:rPr>
          <w:rFonts w:ascii="Times New Roman" w:hAnsi="Times New Roman"/>
          <w:sz w:val="20"/>
        </w:rPr>
      </w:pPr>
      <w:r>
        <w:rPr>
          <w:rFonts w:ascii="Times New Roman" w:hAnsi="Times New Roman"/>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80" w:after="0"/>
        <w:rPr>
          <w:rFonts w:ascii="Times New Roman" w:hAnsi="Times New Roman"/>
          <w:sz w:val="20"/>
        </w:rPr>
      </w:pPr>
      <w:r>
        <w:rPr>
          <w:rFonts w:ascii="Times New Roman" w:hAnsi="Times New Roman"/>
          <w:sz w:val="20"/>
        </w:rPr>
        <w:t xml:space="preserve">A limited partner can, for a purpose reasonably related to the limited partners interest as a limited partner, upon reasonable demand and at his own expense, have furnished to him: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current list of the name and last known address of each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our tax returns;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as to the amount of cash and a description and statement of the agreed value of any other property or services, contributed or to be contributed by each partner and the date on which each became a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copies of our partnership agreement, our certificate of limited partnership, amendments to either of them and powers of attorney which have been executed under our partnership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regarding the status of our business and financial condition;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regarding our affairs as is just and reasonable. </w:t>
            </w:r>
          </w:p>
        </w:tc>
      </w:tr>
    </w:tbl>
    <w:p>
      <w:pPr>
        <w:pStyle w:val="TextBody"/>
        <w:spacing w:before="180" w:after="0"/>
        <w:rPr>
          <w:rFonts w:ascii="Times New Roman" w:hAnsi="Times New Roman"/>
          <w:sz w:val="20"/>
        </w:rPr>
      </w:pPr>
      <w:r>
        <w:rPr>
          <w:rFonts w:ascii="Times New Roman" w:hAnsi="Times New Roman"/>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rom447729_10"/>
      <w:bookmarkEnd w:id="27"/>
      <w:r>
        <w:rPr>
          <w:rFonts w:ascii="Times New Roman" w:hAnsi="Times New Roman"/>
          <w:b/>
          <w:sz w:val="20"/>
        </w:rPr>
        <w:t xml:space="preserve">CASH DISTRIBUTION POLICY </w:t>
      </w:r>
    </w:p>
    <w:p>
      <w:pPr>
        <w:pStyle w:val="TextBody"/>
        <w:spacing w:before="270" w:after="0"/>
        <w:rPr>
          <w:rFonts w:ascii="Times New Roman" w:hAnsi="Times New Roman"/>
          <w:b/>
          <w:sz w:val="20"/>
        </w:rPr>
      </w:pPr>
      <w:r>
        <w:rPr>
          <w:rFonts w:ascii="Times New Roman" w:hAnsi="Times New Roman"/>
          <w:b/>
          <w:sz w:val="20"/>
        </w:rPr>
        <w:t xml:space="preserve">Distributions of Available Cash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will distribute to our unitholders, on a quarterly basis, all of our available cash in the manner described below. </w:t>
      </w:r>
    </w:p>
    <w:p>
      <w:pPr>
        <w:pStyle w:val="TextBody"/>
        <w:spacing w:before="180" w:after="0"/>
        <w:rPr>
          <w:rFonts w:ascii="Times New Roman" w:hAnsi="Times New Roman"/>
          <w:sz w:val="20"/>
        </w:rPr>
      </w:pPr>
      <w:r>
        <w:rPr>
          <w:rFonts w:ascii="Times New Roman" w:hAnsi="Times New Roman"/>
          <w:i/>
          <w:sz w:val="20"/>
        </w:rPr>
        <w:t>Definition of Available Cash</w:t>
      </w:r>
      <w:r>
        <w:rPr>
          <w:rFonts w:ascii="Times New Roman" w:hAnsi="Times New Roman"/>
          <w:sz w:val="20"/>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for the proper conduct of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applicable law or any partnership debt instrument or other agreement;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funds for distributions to unitholders and the general partner in respect of any one or more of the next four quarters. </w:t>
            </w:r>
          </w:p>
        </w:tc>
      </w:tr>
    </w:tbl>
    <w:p>
      <w:pPr>
        <w:pStyle w:val="TextBody"/>
        <w:spacing w:before="270" w:after="0"/>
        <w:rPr>
          <w:rFonts w:ascii="Times New Roman" w:hAnsi="Times New Roman"/>
          <w:b/>
          <w:sz w:val="20"/>
        </w:rPr>
      </w:pPr>
      <w:r>
        <w:rPr>
          <w:rFonts w:ascii="Times New Roman" w:hAnsi="Times New Roman"/>
          <w:b/>
          <w:sz w:val="20"/>
        </w:rPr>
        <w:t xml:space="preserve">Operating Surplus and Capital Surplus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80" w:after="0"/>
        <w:rPr>
          <w:rFonts w:ascii="Times New Roman" w:hAnsi="Times New Roman"/>
          <w:sz w:val="20"/>
        </w:rPr>
      </w:pPr>
      <w:r>
        <w:rPr>
          <w:rFonts w:ascii="Times New Roman" w:hAnsi="Times New Roman"/>
          <w:i/>
          <w:sz w:val="20"/>
        </w:rPr>
        <w:t>Definition of Operating Surplus</w:t>
      </w:r>
      <w:r>
        <w:rPr>
          <w:rFonts w:ascii="Times New Roman" w:hAnsi="Times New Roman"/>
          <w:sz w:val="20"/>
        </w:rPr>
        <w:t xml:space="preserve">. Operating surplus refers generally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cash balances on the closing date of our initial public offering;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million;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cash receipts from operations, excluding cash that is capital surplus; 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80" w:after="0"/>
        <w:rPr>
          <w:rFonts w:ascii="Times New Roman" w:hAnsi="Times New Roman"/>
          <w:sz w:val="20"/>
        </w:rPr>
      </w:pPr>
      <w:r>
        <w:rPr>
          <w:rFonts w:ascii="Times New Roman" w:hAnsi="Times New Roman"/>
          <w:i/>
          <w:sz w:val="20"/>
        </w:rPr>
        <w:t>Definition of Capital Surplus</w:t>
      </w:r>
      <w:r>
        <w:rPr>
          <w:rFonts w:ascii="Times New Roman" w:hAnsi="Times New Roman"/>
          <w:sz w:val="20"/>
        </w:rPr>
        <w:t xml:space="preserve">. Capital surplus will generally be generated only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debt and equity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80" w:after="0"/>
        <w:rPr>
          <w:rFonts w:ascii="Times New Roman" w:hAnsi="Times New Roman"/>
          <w:sz w:val="20"/>
        </w:rPr>
      </w:pPr>
      <w:r>
        <w:rPr>
          <w:rFonts w:ascii="Times New Roman" w:hAnsi="Times New Roman"/>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The incentive distribution rights represent the right to receive an increasing percentage of quarterly distributions of available cash from operating surplus after the minimum quarterly distribution and the target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pacing w:before="270" w:after="0"/>
        <w:rPr>
          <w:rFonts w:ascii="Times New Roman" w:hAnsi="Times New Roman"/>
          <w:b/>
          <w:sz w:val="20"/>
        </w:rPr>
      </w:pPr>
      <w:r>
        <w:rPr>
          <w:rFonts w:ascii="Times New Roman" w:hAnsi="Times New Roman"/>
          <w:b/>
          <w:sz w:val="20"/>
        </w:rPr>
        <w:t xml:space="preserve">Effect of Issuance of Additional Units </w:t>
      </w:r>
    </w:p>
    <w:p>
      <w:pPr>
        <w:pStyle w:val="TextBody"/>
        <w:spacing w:before="90" w:after="0"/>
        <w:rPr>
          <w:rFonts w:ascii="Times New Roman" w:hAnsi="Times New Roman"/>
          <w:sz w:val="20"/>
        </w:rPr>
      </w:pPr>
      <w:r>
        <w:rPr>
          <w:rFonts w:ascii="Times New Roman" w:hAnsi="Times New Roman"/>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80" w:after="0"/>
        <w:rPr>
          <w:rFonts w:ascii="Times New Roman" w:hAnsi="Times New Roman"/>
          <w:sz w:val="20"/>
        </w:rPr>
      </w:pPr>
      <w:r>
        <w:rPr>
          <w:rFonts w:ascii="Times New Roman" w:hAnsi="Times New Roman"/>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70" w:after="0"/>
        <w:rPr>
          <w:rFonts w:ascii="Times New Roman" w:hAnsi="Times New Roman"/>
          <w:b/>
          <w:sz w:val="20"/>
        </w:rPr>
      </w:pPr>
      <w:r>
        <w:rPr>
          <w:rFonts w:ascii="Times New Roman" w:hAnsi="Times New Roman"/>
          <w:b/>
          <w:sz w:val="20"/>
        </w:rPr>
        <w:t xml:space="preserve">Quarterly Distributions of Available Cash </w:t>
      </w:r>
    </w:p>
    <w:p>
      <w:pPr>
        <w:pStyle w:val="TextBody"/>
        <w:spacing w:before="90" w:after="0"/>
        <w:rPr>
          <w:rFonts w:ascii="Times New Roman" w:hAnsi="Times New Roman"/>
          <w:sz w:val="20"/>
        </w:rPr>
      </w:pPr>
      <w:r>
        <w:rPr>
          <w:rFonts w:ascii="Times New Roman" w:hAnsi="Times New Roman"/>
          <w:sz w:val="20"/>
        </w:rPr>
        <w:t xml:space="preserve">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70" w:after="0"/>
        <w:rPr>
          <w:rFonts w:ascii="Times New Roman" w:hAnsi="Times New Roman"/>
          <w:b/>
          <w:sz w:val="20"/>
        </w:rPr>
      </w:pPr>
      <w:r>
        <w:rPr>
          <w:rFonts w:ascii="Times New Roman" w:hAnsi="Times New Roman"/>
          <w:b/>
          <w:sz w:val="20"/>
        </w:rPr>
        <w:t xml:space="preserve">Distributions From Operating Surplus </w:t>
      </w:r>
    </w:p>
    <w:p>
      <w:pPr>
        <w:pStyle w:val="TextBody"/>
        <w:spacing w:before="90" w:after="0"/>
        <w:rPr>
          <w:rFonts w:ascii="Times New Roman" w:hAnsi="Times New Roman"/>
          <w:sz w:val="20"/>
        </w:rPr>
      </w:pPr>
      <w:r>
        <w:rPr>
          <w:rFonts w:ascii="Times New Roman" w:hAnsi="Times New Roman"/>
          <w:sz w:val="20"/>
        </w:rPr>
        <w:t xml:space="preserve">We will make distributions of available cash from operating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unit an amount equal to the minimum quarterly distribution for that quarter;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in the manner described in  Incentive Distribution Rights below. </w:t>
            </w:r>
          </w:p>
        </w:tc>
      </w:tr>
    </w:tbl>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85% to all unitholders, pro rata, and 15% to the general partner, until each unitholder receives a total of $0.495 for that quarter for each outstanding unit (the first target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Second, 75% to all unitholders, pro rata, and 25% to the general partner, until each unitholder receives a total of $0.675 for that quarter for each outstanding unit (the second target distribution);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50% to all unitholders, pro rata, and 50% to the general partner. </w:t>
            </w:r>
          </w:p>
        </w:tc>
      </w:tr>
    </w:tbl>
    <w:p>
      <w:pPr>
        <w:pStyle w:val="TextBody"/>
        <w:spacing w:before="180" w:after="0"/>
        <w:rPr>
          <w:rFonts w:ascii="Times New Roman" w:hAnsi="Times New Roman"/>
          <w:sz w:val="20"/>
        </w:rPr>
      </w:pPr>
      <w:r>
        <w:rPr>
          <w:rFonts w:ascii="Times New Roman" w:hAnsi="Times New Roman"/>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Adjustments to Incentive Distribution Rights </w:t>
      </w:r>
    </w:p>
    <w:p>
      <w:pPr>
        <w:pStyle w:val="TextBody"/>
        <w:spacing w:before="90" w:after="0"/>
        <w:rPr>
          <w:rFonts w:ascii="Times New Roman" w:hAnsi="Times New Roman"/>
          <w:sz w:val="20"/>
        </w:rPr>
      </w:pPr>
      <w:r>
        <w:rPr>
          <w:rFonts w:ascii="Times New Roman" w:hAnsi="Times New Roman"/>
          <w:sz w:val="20"/>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180" w:after="0"/>
        <w:rPr>
          <w:rFonts w:ascii="Times New Roman" w:hAnsi="Times New Roman"/>
          <w:sz w:val="20"/>
        </w:rPr>
      </w:pPr>
      <w:r>
        <w:rPr>
          <w:rFonts w:ascii="Times New Roman" w:hAnsi="Times New Roman"/>
          <w:sz w:val="20"/>
        </w:rPr>
        <w:t xml:space="preserve">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 </w:t>
      </w:r>
    </w:p>
    <w:p>
      <w:pPr>
        <w:pStyle w:val="TextBody"/>
        <w:spacing w:before="270" w:after="0"/>
        <w:rPr>
          <w:rFonts w:ascii="Times New Roman" w:hAnsi="Times New Roman"/>
          <w:b/>
          <w:sz w:val="20"/>
        </w:rPr>
      </w:pPr>
      <w:r>
        <w:rPr>
          <w:rFonts w:ascii="Times New Roman" w:hAnsi="Times New Roman"/>
          <w:b/>
          <w:sz w:val="20"/>
        </w:rPr>
        <w:t xml:space="preserve">Distributions from Capital Surplus </w:t>
      </w:r>
    </w:p>
    <w:p>
      <w:pPr>
        <w:pStyle w:val="TextBody"/>
        <w:spacing w:before="90" w:after="0"/>
        <w:rPr>
          <w:rFonts w:ascii="Times New Roman" w:hAnsi="Times New Roman"/>
          <w:sz w:val="20"/>
        </w:rPr>
      </w:pPr>
      <w:r>
        <w:rPr>
          <w:rFonts w:ascii="Times New Roman" w:hAnsi="Times New Roman"/>
          <w:i/>
          <w:sz w:val="20"/>
        </w:rPr>
        <w:t>How Distributions from Capital Surplus Will Be Made.</w:t>
      </w:r>
      <w:r>
        <w:rPr>
          <w:rFonts w:ascii="Times New Roman" w:hAnsi="Times New Roman"/>
          <w:sz w:val="20"/>
        </w:rPr>
        <w:t xml:space="preserve"> We will make distributions of available cash from capital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we will make all distributions of available cash from capital surplus as if they were from operating surplus. </w:t>
            </w:r>
          </w:p>
        </w:tc>
      </w:tr>
    </w:tbl>
    <w:p>
      <w:pPr>
        <w:pStyle w:val="TextBody"/>
        <w:spacing w:before="180" w:after="0"/>
        <w:rPr>
          <w:rFonts w:ascii="Times New Roman" w:hAnsi="Times New Roman"/>
          <w:sz w:val="20"/>
        </w:rPr>
      </w:pPr>
      <w:r>
        <w:rPr>
          <w:rFonts w:ascii="Times New Roman" w:hAnsi="Times New Roman"/>
          <w:i/>
          <w:sz w:val="20"/>
        </w:rPr>
        <w:t>Effect of a Distribution from Capital Surplus</w:t>
      </w:r>
      <w:r>
        <w:rPr>
          <w:rFonts w:ascii="Times New Roman" w:hAnsi="Times New Roman"/>
          <w:sz w:val="20"/>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80" w:after="0"/>
        <w:rPr>
          <w:rFonts w:ascii="Times New Roman" w:hAnsi="Times New Roman"/>
          <w:sz w:val="20"/>
        </w:rPr>
      </w:pPr>
      <w:r>
        <w:rPr>
          <w:rFonts w:ascii="Times New Roman" w:hAnsi="Times New Roman"/>
          <w:i/>
          <w:sz w:val="20"/>
        </w:rPr>
        <w:t>When Payback Occurs</w:t>
      </w:r>
      <w:r>
        <w:rPr>
          <w:rFonts w:ascii="Times New Roman" w:hAnsi="Times New Roman"/>
          <w:sz w:val="20"/>
        </w:rPr>
        <w:t xml:space="preserve">. When payback of the reduced initial unit price has occurred, i.e., when the unrecovered capital of the common units is zero, then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and the target distribution levels will be reduced to zero for subsequent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distributions of available cash will be treated as operating surplus;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will be entitled to receive 50% of distributions of available cash in its capacities as general partner and as holder of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Distributions of available cash from capital surplus will not reduce the minimum quarterly distribution or target distribution levels for the quarter in which they are distributed. </w:t>
      </w:r>
    </w:p>
    <w:p>
      <w:pPr>
        <w:pStyle w:val="TextBody"/>
        <w:spacing w:before="270" w:after="0"/>
        <w:rPr>
          <w:rFonts w:ascii="Times New Roman" w:hAnsi="Times New Roman"/>
          <w:b/>
          <w:sz w:val="20"/>
        </w:rPr>
      </w:pPr>
      <w:r>
        <w:rPr>
          <w:rFonts w:ascii="Times New Roman" w:hAnsi="Times New Roman"/>
          <w:b/>
          <w:sz w:val="20"/>
        </w:rPr>
        <w:t xml:space="preserve">Adjustment to the Minimum Quarterly Distribution and Target Distribution Levels </w:t>
      </w:r>
    </w:p>
    <w:p>
      <w:pPr>
        <w:pStyle w:val="TextBody"/>
        <w:spacing w:before="90" w:after="0"/>
        <w:rPr>
          <w:rFonts w:ascii="Times New Roman" w:hAnsi="Times New Roman"/>
          <w:sz w:val="20"/>
        </w:rPr>
      </w:pPr>
      <w:r>
        <w:rPr>
          <w:rFonts w:ascii="Times New Roman" w:hAnsi="Times New Roman"/>
          <w:i/>
          <w:sz w:val="20"/>
        </w:rPr>
        <w:t>How We Adjust the Minimum Quarterly Distribution and Target Distribution Levels</w:t>
      </w:r>
      <w:r>
        <w:rPr>
          <w:rFonts w:ascii="Times New Roman" w:hAnsi="Times New Roman"/>
          <w:sz w:val="20"/>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target distribution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unrecovered capital;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amounts calculated on a per unit basis.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80" w:after="0"/>
        <w:rPr>
          <w:rFonts w:ascii="Times New Roman" w:hAnsi="Times New Roman"/>
          <w:sz w:val="20"/>
        </w:rPr>
      </w:pPr>
      <w:r>
        <w:rPr>
          <w:rFonts w:ascii="Times New Roman" w:hAnsi="Times New Roman"/>
          <w:i/>
          <w:sz w:val="20"/>
        </w:rPr>
        <w:t>If We Became Subject to Taxation</w:t>
      </w:r>
      <w:r>
        <w:rPr>
          <w:rFonts w:ascii="Times New Roman" w:hAnsi="Times New Roman"/>
          <w:sz w:val="20"/>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80" w:after="0"/>
        <w:rPr>
          <w:rFonts w:ascii="Times New Roman" w:hAnsi="Times New Roman"/>
          <w:sz w:val="20"/>
        </w:rPr>
      </w:pPr>
      <w:r>
        <w:rPr>
          <w:rFonts w:ascii="Times New Roman" w:hAnsi="Times New Roman"/>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70" w:after="0"/>
        <w:rPr>
          <w:rFonts w:ascii="Times New Roman" w:hAnsi="Times New Roman"/>
          <w:b/>
          <w:sz w:val="20"/>
        </w:rPr>
      </w:pPr>
      <w:r>
        <w:rPr>
          <w:rFonts w:ascii="Times New Roman" w:hAnsi="Times New Roman"/>
          <w:b/>
          <w:sz w:val="20"/>
        </w:rPr>
        <w:t xml:space="preserve">Distribution of Cash Upon Liquidation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80" w:after="0"/>
        <w:rPr>
          <w:rFonts w:ascii="Times New Roman" w:hAnsi="Times New Roman"/>
          <w:sz w:val="20"/>
        </w:rPr>
      </w:pPr>
      <w:r>
        <w:rPr>
          <w:rFonts w:ascii="Times New Roman" w:hAnsi="Times New Roman"/>
          <w:i/>
          <w:sz w:val="20"/>
        </w:rPr>
        <w:t>Manner of Adjustment</w:t>
      </w:r>
      <w:r>
        <w:rPr>
          <w:rFonts w:ascii="Times New Roman" w:hAnsi="Times New Roman"/>
          <w:sz w:val="20"/>
        </w:rPr>
        <w:t xml:space="preserve">. If we liquidate, we would allocate any loss to the general partner and each unitholder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100% to the general partner. </w:t>
            </w:r>
          </w:p>
        </w:tc>
      </w:tr>
    </w:tbl>
    <w:p>
      <w:pPr>
        <w:pStyle w:val="TextBody"/>
        <w:spacing w:before="180" w:after="0"/>
        <w:rPr>
          <w:rFonts w:ascii="Times New Roman" w:hAnsi="Times New Roman"/>
          <w:sz w:val="20"/>
        </w:rPr>
      </w:pPr>
      <w:r>
        <w:rPr>
          <w:rFonts w:ascii="Times New Roman" w:hAnsi="Times New Roman"/>
          <w:i/>
          <w:sz w:val="20"/>
        </w:rPr>
        <w:t>Interim Adjustments to Capital Accounts</w:t>
      </w:r>
      <w:r>
        <w:rPr>
          <w:rFonts w:ascii="Times New Roman" w:hAnsi="Times New Roman"/>
          <w:sz w:val="20"/>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rom447729_11"/>
      <w:bookmarkEnd w:id="28"/>
      <w:r>
        <w:rPr>
          <w:rFonts w:ascii="Times New Roman" w:hAnsi="Times New Roman"/>
          <w:b/>
          <w:sz w:val="20"/>
        </w:rPr>
        <w:t xml:space="preserve">DESCRIPTION OF OUR PARTNERSHIP AGREEMENT </w:t>
      </w:r>
    </w:p>
    <w:p>
      <w:pPr>
        <w:pStyle w:val="TextBody"/>
        <w:spacing w:before="180" w:after="0"/>
        <w:rPr>
          <w:rFonts w:ascii="Times New Roman" w:hAnsi="Times New Roman"/>
          <w:sz w:val="20"/>
        </w:rPr>
      </w:pPr>
      <w:r>
        <w:rPr>
          <w:rFonts w:ascii="Times New Roman" w:hAnsi="Times New Roman"/>
          <w:sz w:val="20"/>
        </w:rPr>
        <w:t xml:space="preserve">The following is a summary of the material provisions of our partnership agreement. The following provisions of our partnership agreement are summarized elsewhere in this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of our available cash are described under Cash Distribution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allocations of taxable income and other tax matters are described under Material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rights of holders of common units are described under Description of Our Common Units. </w:t>
            </w:r>
          </w:p>
        </w:tc>
      </w:tr>
    </w:tbl>
    <w:p>
      <w:pPr>
        <w:pStyle w:val="TextBody"/>
        <w:spacing w:before="270" w:after="0"/>
        <w:rPr>
          <w:rFonts w:ascii="Times New Roman" w:hAnsi="Times New Roman"/>
          <w:b/>
          <w:sz w:val="20"/>
        </w:rPr>
      </w:pPr>
      <w:r>
        <w:rPr>
          <w:rFonts w:ascii="Times New Roman" w:hAnsi="Times New Roman"/>
          <w:b/>
          <w:sz w:val="20"/>
        </w:rPr>
        <w:t xml:space="preserve">Purpose </w:t>
      </w:r>
    </w:p>
    <w:p>
      <w:pPr>
        <w:pStyle w:val="TextBody"/>
        <w:spacing w:before="90" w:after="0"/>
        <w:rPr>
          <w:rFonts w:ascii="Times New Roman" w:hAnsi="Times New Roman"/>
          <w:sz w:val="20"/>
        </w:rPr>
      </w:pPr>
      <w:r>
        <w:rPr>
          <w:rFonts w:ascii="Times New Roman" w:hAnsi="Times New Roman"/>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70" w:after="0"/>
        <w:rPr>
          <w:rFonts w:ascii="Times New Roman" w:hAnsi="Times New Roman"/>
          <w:b/>
          <w:sz w:val="20"/>
        </w:rPr>
      </w:pPr>
      <w:r>
        <w:rPr>
          <w:rFonts w:ascii="Times New Roman" w:hAnsi="Times New Roman"/>
          <w:b/>
          <w:sz w:val="20"/>
        </w:rPr>
        <w:t xml:space="preserve">Power of Attorney </w:t>
      </w:r>
    </w:p>
    <w:p>
      <w:pPr>
        <w:pStyle w:val="TextBody"/>
        <w:spacing w:before="90" w:after="0"/>
        <w:rPr>
          <w:rFonts w:ascii="Times New Roman" w:hAnsi="Times New Roman"/>
          <w:sz w:val="20"/>
        </w:rPr>
      </w:pPr>
      <w:r>
        <w:rPr>
          <w:rFonts w:ascii="Times New Roman" w:hAnsi="Times New Roman"/>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Reimbursements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70" w:after="0"/>
        <w:rPr>
          <w:rFonts w:ascii="Times New Roman" w:hAnsi="Times New Roman"/>
          <w:b/>
          <w:sz w:val="20"/>
        </w:rPr>
      </w:pPr>
      <w:r>
        <w:rPr>
          <w:rFonts w:ascii="Times New Roman" w:hAnsi="Times New Roman"/>
          <w:b/>
          <w:sz w:val="20"/>
        </w:rPr>
        <w:t xml:space="preserve">Issuance of Additional Securities </w:t>
      </w:r>
    </w:p>
    <w:p>
      <w:pPr>
        <w:pStyle w:val="TextBody"/>
        <w:spacing w:before="90" w:after="0"/>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80" w:after="0"/>
        <w:rPr>
          <w:rFonts w:ascii="Times New Roman" w:hAnsi="Times New Roman"/>
          <w:sz w:val="20"/>
        </w:rPr>
      </w:pPr>
      <w:r>
        <w:rPr>
          <w:rFonts w:ascii="Times New Roman" w:hAnsi="Times New Roman"/>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80" w:after="0"/>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80" w:after="0"/>
        <w:rPr>
          <w:rFonts w:ascii="Times New Roman" w:hAnsi="Times New Roman"/>
          <w:sz w:val="20"/>
        </w:rPr>
      </w:pPr>
      <w:r>
        <w:rPr>
          <w:rFonts w:ascii="Times New Roman" w:hAnsi="Times New Roman"/>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Amendments to Our Partnership Agreement </w:t>
      </w:r>
    </w:p>
    <w:p>
      <w:pPr>
        <w:pStyle w:val="TextBody"/>
        <w:spacing w:before="90" w:after="0"/>
        <w:rPr>
          <w:rFonts w:ascii="Times New Roman" w:hAnsi="Times New Roman"/>
          <w:sz w:val="20"/>
        </w:rPr>
      </w:pPr>
      <w:r>
        <w:rPr>
          <w:rFonts w:ascii="Times New Roman" w:hAnsi="Times New Roman"/>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70" w:after="0"/>
        <w:rPr>
          <w:rFonts w:ascii="Times New Roman" w:hAnsi="Times New Roman"/>
          <w:b/>
          <w:sz w:val="20"/>
        </w:rPr>
      </w:pPr>
      <w:r>
        <w:rPr>
          <w:rFonts w:ascii="Times New Roman" w:hAnsi="Times New Roman"/>
          <w:b/>
          <w:sz w:val="20"/>
        </w:rPr>
        <w:t xml:space="preserve">Withdrawal or Removal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80" w:after="0"/>
        <w:rPr>
          <w:rFonts w:ascii="Times New Roman" w:hAnsi="Times New Roman"/>
          <w:sz w:val="20"/>
        </w:rPr>
      </w:pPr>
      <w:r>
        <w:rPr>
          <w:rFonts w:ascii="Times New Roman" w:hAnsi="Times New Roman"/>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80" w:after="0"/>
        <w:rPr>
          <w:rFonts w:ascii="Times New Roman" w:hAnsi="Times New Roman"/>
          <w:sz w:val="20"/>
        </w:rPr>
      </w:pPr>
      <w:r>
        <w:rPr>
          <w:rFonts w:ascii="Times New Roman" w:hAnsi="Times New Roman"/>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80" w:after="0"/>
        <w:rPr>
          <w:rFonts w:ascii="Times New Roman" w:hAnsi="Times New Roman"/>
          <w:sz w:val="20"/>
        </w:rPr>
      </w:pPr>
      <w:r>
        <w:rPr>
          <w:rFonts w:ascii="Times New Roman" w:hAnsi="Times New Roman"/>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80" w:after="0"/>
        <w:rPr>
          <w:rFonts w:ascii="Times New Roman" w:hAnsi="Times New Roman"/>
          <w:sz w:val="20"/>
        </w:rPr>
      </w:pPr>
      <w:r>
        <w:rPr>
          <w:rFonts w:ascii="Times New Roman" w:hAnsi="Times New Roman"/>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70" w:after="0"/>
        <w:rPr>
          <w:rFonts w:ascii="Times New Roman" w:hAnsi="Times New Roman"/>
          <w:b/>
          <w:sz w:val="20"/>
        </w:rPr>
      </w:pPr>
      <w:r>
        <w:rPr>
          <w:rFonts w:ascii="Times New Roman" w:hAnsi="Times New Roman"/>
          <w:b/>
          <w:sz w:val="20"/>
        </w:rPr>
        <w:t xml:space="preserve">Liquidation and Distribution of Proceeds </w:t>
      </w:r>
    </w:p>
    <w:p>
      <w:pPr>
        <w:pStyle w:val="TextBody"/>
        <w:spacing w:before="90" w:after="0"/>
        <w:rPr>
          <w:rFonts w:ascii="Times New Roman" w:hAnsi="Times New Roman"/>
          <w:sz w:val="20"/>
        </w:rPr>
      </w:pPr>
      <w:r>
        <w:rPr>
          <w:rFonts w:ascii="Times New Roman" w:hAnsi="Times New Roman"/>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towards the payment of all of our creditors and the creation of a reserve for contingent liabilities;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then, to all partners in accordance with the positive balance in the respective capital accounts. </w:t>
            </w:r>
          </w:p>
        </w:tc>
      </w:tr>
    </w:tbl>
    <w:p>
      <w:pPr>
        <w:pStyle w:val="TextBody"/>
        <w:spacing w:before="180" w:after="0"/>
        <w:rPr>
          <w:rFonts w:ascii="Times New Roman" w:hAnsi="Times New Roman"/>
          <w:sz w:val="20"/>
        </w:rPr>
      </w:pPr>
      <w:r>
        <w:rPr>
          <w:rFonts w:ascii="Times New Roman" w:hAnsi="Times New Roman"/>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Change of Management Provisions </w:t>
      </w:r>
    </w:p>
    <w:p>
      <w:pPr>
        <w:pStyle w:val="TextBody"/>
        <w:spacing w:before="90" w:after="0"/>
        <w:rPr>
          <w:rFonts w:ascii="Times New Roman" w:hAnsi="Times New Roman"/>
          <w:sz w:val="20"/>
        </w:rPr>
      </w:pPr>
      <w:r>
        <w:rPr>
          <w:rFonts w:ascii="Times New Roman" w:hAnsi="Times New Roman"/>
          <w:sz w:val="20"/>
        </w:rPr>
        <w:t xml:space="preserve">Our partnership agreement contains the following specific provisions that are intended to discourage a person or group from attempting to remove our general partner or otherwise change management: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if a person acquires 20% or more of any class of units then outstanding other than from our general partner or its affiliates, the units owned by such person cannot be voted on any matter;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70" w:after="0"/>
        <w:rPr>
          <w:rFonts w:ascii="Times New Roman" w:hAnsi="Times New Roman"/>
          <w:b/>
          <w:sz w:val="20"/>
        </w:rPr>
      </w:pPr>
      <w:r>
        <w:rPr>
          <w:rFonts w:ascii="Times New Roman" w:hAnsi="Times New Roman"/>
          <w:b/>
          <w:sz w:val="20"/>
        </w:rPr>
        <w:t xml:space="preserve">Limited Call Right </w:t>
      </w:r>
    </w:p>
    <w:p>
      <w:pPr>
        <w:pStyle w:val="TextBody"/>
        <w:spacing w:before="90" w:after="0"/>
        <w:rPr>
          <w:rFonts w:ascii="Times New Roman" w:hAnsi="Times New Roman"/>
          <w:sz w:val="20"/>
        </w:rPr>
      </w:pPr>
      <w:r>
        <w:rPr>
          <w:rFonts w:ascii="Times New Roman" w:hAnsi="Times New Roman"/>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80" w:after="0"/>
        <w:rPr>
          <w:rFonts w:ascii="Times New Roman" w:hAnsi="Times New Roman"/>
          <w:sz w:val="20"/>
        </w:rPr>
      </w:pPr>
      <w:r>
        <w:rPr>
          <w:rFonts w:ascii="Times New Roman" w:hAnsi="Times New Roman"/>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Registration Rights </w:t>
      </w:r>
    </w:p>
    <w:p>
      <w:pPr>
        <w:pStyle w:val="TextBody"/>
        <w:spacing w:before="90" w:after="0"/>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rom447729_12"/>
      <w:bookmarkEnd w:id="29"/>
      <w:r>
        <w:rPr>
          <w:rFonts w:ascii="Times New Roman" w:hAnsi="Times New Roman"/>
          <w:b/>
          <w:sz w:val="20"/>
        </w:rPr>
        <w:t xml:space="preserve">MATERIAL U.S. FEDERAL INCOME TAX CONSEQUENCES </w:t>
      </w:r>
    </w:p>
    <w:p>
      <w:pPr>
        <w:pStyle w:val="TextBody"/>
        <w:spacing w:before="180" w:after="0"/>
        <w:rPr>
          <w:rFonts w:ascii="Times New Roman" w:hAnsi="Times New Roman"/>
          <w:sz w:val="20"/>
        </w:rPr>
      </w:pPr>
      <w:r>
        <w:rPr>
          <w:rFonts w:ascii="Times New Roman" w:hAnsi="Times New Roman"/>
          <w:sz w:val="20"/>
        </w:rPr>
        <w:t xml:space="preserve">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 </w:t>
      </w:r>
    </w:p>
    <w:p>
      <w:pPr>
        <w:pStyle w:val="TextBody"/>
        <w:spacing w:before="180" w:after="0"/>
        <w:rPr>
          <w:rFonts w:ascii="Times New Roman" w:hAnsi="Times New Roman"/>
          <w:sz w:val="20"/>
        </w:rPr>
      </w:pPr>
      <w:r>
        <w:rPr>
          <w:rFonts w:ascii="Times New Roman" w:hAnsi="Times New Roman"/>
          <w:sz w:val="20"/>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Times New Roman" w:hAnsi="Times New Roman"/>
          <w:b/>
          <w:i/>
          <w:sz w:val="20"/>
        </w:rPr>
        <w:t>Accordingly, we encourage each unitholder to consult the unitholders own tax advisor in analyzing the federal, state, local and non-U.S. tax consequences particular to that unitholder resulting from ownership or disposition of units.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spacing w:before="180" w:after="0"/>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 </w:t>
      </w:r>
    </w:p>
    <w:p>
      <w:pPr>
        <w:pStyle w:val="TextBody"/>
        <w:spacing w:before="270" w:after="0"/>
        <w:rPr>
          <w:rFonts w:ascii="Times New Roman" w:hAnsi="Times New Roman"/>
          <w:b/>
          <w:i/>
          <w:sz w:val="20"/>
        </w:rPr>
      </w:pPr>
      <w:r>
        <w:rPr>
          <w:rFonts w:ascii="Times New Roman" w:hAnsi="Times New Roman"/>
          <w:b/>
          <w:i/>
          <w:sz w:val="20"/>
        </w:rPr>
        <w:t xml:space="preserve">Taxation of the Partnership </w:t>
      </w:r>
    </w:p>
    <w:p>
      <w:pPr>
        <w:pStyle w:val="TextBody"/>
        <w:spacing w:before="90" w:after="0"/>
        <w:rPr>
          <w:rFonts w:ascii="Times New Roman" w:hAnsi="Times New Roman"/>
          <w:b/>
          <w:i/>
          <w:sz w:val="20"/>
        </w:rPr>
      </w:pPr>
      <w:r>
        <w:rPr>
          <w:rFonts w:ascii="Times New Roman" w:hAnsi="Times New Roman"/>
          <w:b/>
          <w:i/>
          <w:sz w:val="20"/>
        </w:rPr>
        <w:t xml:space="preserve">Partnership Status </w:t>
      </w:r>
    </w:p>
    <w:p>
      <w:pPr>
        <w:pStyle w:val="TextBody"/>
        <w:spacing w:before="90" w:after="0"/>
        <w:rPr>
          <w:rFonts w:ascii="Times New Roman" w:hAnsi="Times New Roman"/>
          <w:sz w:val="20"/>
        </w:rPr>
      </w:pPr>
      <w:r>
        <w:rPr>
          <w:rFonts w:ascii="Times New Roman" w:hAnsi="Times New Roman"/>
          <w:sz w:val="20"/>
        </w:rPr>
        <w:t xml:space="preserve">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 </w:t>
      </w:r>
    </w:p>
    <w:p>
      <w:pPr>
        <w:pStyle w:val="TextBody"/>
        <w:spacing w:before="180" w:after="0"/>
        <w:rPr>
          <w:rFonts w:ascii="Times New Roman" w:hAnsi="Times New Roman"/>
          <w:sz w:val="20"/>
        </w:rPr>
      </w:pPr>
      <w:r>
        <w:rPr>
          <w:rFonts w:ascii="Times New Roman" w:hAnsi="Times New Roman"/>
          <w:sz w:val="20"/>
        </w:rPr>
        <w:t xml:space="preserve">Section 7704 of the Code generally provides that publicly-traded partnerships will be treated as corporations for federal income tax purposes. However, if 90% or more of a partnerships gross income for every taxable year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 </w:t>
      </w:r>
    </w:p>
    <w:p>
      <w:pPr>
        <w:pStyle w:val="TextBody"/>
        <w:spacing w:before="180" w:after="0"/>
        <w:rPr>
          <w:rFonts w:ascii="Times New Roman" w:hAnsi="Times New Roman"/>
          <w:sz w:val="20"/>
        </w:rPr>
      </w:pPr>
      <w:r>
        <w:rPr>
          <w:rFonts w:ascii="Times New Roman" w:hAnsi="Times New Roman"/>
          <w:sz w:val="20"/>
        </w:rPr>
        <w:t xml:space="preserve">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 </w:t>
      </w:r>
    </w:p>
    <w:p>
      <w:pPr>
        <w:pStyle w:val="TextBody"/>
        <w:spacing w:before="180" w:after="0"/>
        <w:rPr>
          <w:rFonts w:ascii="Times New Roman" w:hAnsi="Times New Roman"/>
          <w:sz w:val="20"/>
        </w:rPr>
      </w:pPr>
      <w:r>
        <w:rPr>
          <w:rFonts w:ascii="Times New Roman" w:hAnsi="Times New Roman"/>
          <w:sz w:val="20"/>
        </w:rPr>
        <w:t xml:space="preserve">(a) Neither we nor any of our partnership or limited liability company subsidiaries has elected to be treated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(b) For each taxable year since and including the year of our initial public offering, more than 90% of our gross income has been and will be income of a character that Vinson &amp; Elkins L.L.P. has opined is qualifying income within the meaning of Section 7704(d) of the Code; and </w:t>
      </w:r>
    </w:p>
    <w:p>
      <w:pPr>
        <w:pStyle w:val="TextBody"/>
        <w:spacing w:before="180" w:after="0"/>
        <w:rPr>
          <w:rFonts w:ascii="Times New Roman" w:hAnsi="Times New Roman"/>
          <w:sz w:val="20"/>
        </w:rPr>
      </w:pPr>
      <w:r>
        <w:rPr>
          <w:rFonts w:ascii="Times New Roman" w:hAnsi="Times New Roman"/>
          <w:sz w:val="20"/>
        </w:rPr>
        <w:t xml:space="preserve">(c) 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p>
      <w:pPr>
        <w:pStyle w:val="TextBody"/>
        <w:spacing w:before="180" w:after="0"/>
        <w:rPr>
          <w:rFonts w:ascii="Times New Roman" w:hAnsi="Times New Roman"/>
          <w:sz w:val="20"/>
        </w:rPr>
      </w:pPr>
      <w:r>
        <w:rPr>
          <w:rFonts w:ascii="Times New Roman" w:hAnsi="Times New Roman"/>
          <w:sz w:val="20"/>
        </w:rPr>
        <w:t xml:space="preserve">We believe that these representations are true and will be true in the future. </w:t>
      </w:r>
    </w:p>
    <w:p>
      <w:pPr>
        <w:pStyle w:val="TextBody"/>
        <w:spacing w:before="180" w:after="0"/>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 </w:t>
      </w:r>
    </w:p>
    <w:p>
      <w:pPr>
        <w:pStyle w:val="TextBody"/>
        <w:spacing w:before="180" w:after="0"/>
        <w:rPr>
          <w:rFonts w:ascii="Times New Roman" w:hAnsi="Times New Roman"/>
          <w:sz w:val="20"/>
        </w:rPr>
      </w:pPr>
      <w:r>
        <w:rPr>
          <w:rFonts w:ascii="Times New Roman" w:hAnsi="Times New Roman"/>
          <w:sz w:val="20"/>
        </w:rPr>
        <w:t xml:space="preserve">The remainder of this discussion is based on Vinson &amp; Elkins L.L.P.s opinion that we will be treated as a partnership for federal income tax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Tax Consequences of Unit Ownership </w:t>
      </w:r>
    </w:p>
    <w:p>
      <w:pPr>
        <w:pStyle w:val="TextBody"/>
        <w:spacing w:before="90" w:after="0"/>
        <w:rPr>
          <w:rFonts w:ascii="Times New Roman" w:hAnsi="Times New Roman"/>
          <w:b/>
          <w:i/>
          <w:sz w:val="20"/>
        </w:rPr>
      </w:pPr>
      <w:r>
        <w:rPr>
          <w:rFonts w:ascii="Times New Roman" w:hAnsi="Times New Roman"/>
          <w:b/>
          <w:i/>
          <w:sz w:val="20"/>
        </w:rPr>
        <w:t xml:space="preserve">Limited Partner Status </w:t>
      </w:r>
    </w:p>
    <w:p>
      <w:pPr>
        <w:pStyle w:val="TextBody"/>
        <w:spacing w:before="90" w:after="0"/>
        <w:rPr>
          <w:rFonts w:ascii="Times New Roman" w:hAnsi="Times New Roman"/>
          <w:sz w:val="20"/>
        </w:rPr>
      </w:pPr>
      <w:r>
        <w:rPr>
          <w:rFonts w:ascii="Times New Roman" w:hAnsi="Times New Roman"/>
          <w:sz w:val="20"/>
        </w:rPr>
        <w:t xml:space="preserve">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assignees who have executed and delivered transfer applications, and are awaiting admission as limited partners,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80" w:after="0"/>
        <w:rPr>
          <w:rFonts w:ascii="Times New Roman" w:hAnsi="Times New Roman"/>
          <w:sz w:val="20"/>
        </w:rPr>
      </w:pPr>
      <w:r>
        <w:rPr>
          <w:rFonts w:ascii="Times New Roman" w:hAnsi="Times New Roman"/>
          <w:sz w:val="20"/>
        </w:rPr>
        <w:t xml:space="preserve">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80" w:after="0"/>
        <w:rPr>
          <w:rFonts w:ascii="Times New Roman" w:hAnsi="Times New Roman"/>
          <w:sz w:val="20"/>
        </w:rPr>
      </w:pPr>
      <w:r>
        <w:rPr>
          <w:rFonts w:ascii="Times New Roman" w:hAnsi="Times New Roman"/>
          <w:sz w:val="20"/>
        </w:rPr>
        <w:t xml:space="preserve">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 </w:t>
      </w:r>
    </w:p>
    <w:p>
      <w:pPr>
        <w:pStyle w:val="TextBody"/>
        <w:spacing w:before="270" w:after="0"/>
        <w:rPr>
          <w:rFonts w:ascii="Times New Roman" w:hAnsi="Times New Roman"/>
          <w:b/>
          <w:i/>
          <w:sz w:val="20"/>
        </w:rPr>
      </w:pPr>
      <w:r>
        <w:rPr>
          <w:rFonts w:ascii="Times New Roman" w:hAnsi="Times New Roman"/>
          <w:b/>
          <w:i/>
          <w:sz w:val="20"/>
        </w:rPr>
        <w:t xml:space="preserve">Flow-Through of Taxable Income </w:t>
      </w:r>
    </w:p>
    <w:p>
      <w:pPr>
        <w:pStyle w:val="TextBody"/>
        <w:spacing w:before="90" w:after="0"/>
        <w:rPr>
          <w:rFonts w:ascii="Times New Roman" w:hAnsi="Times New Roman"/>
          <w:sz w:val="20"/>
        </w:rPr>
      </w:pPr>
      <w:r>
        <w:rPr>
          <w:rFonts w:ascii="Times New Roman" w:hAnsi="Times New Roman"/>
          <w:sz w:val="20"/>
        </w:rPr>
        <w:t xml:space="preserve">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 </w:t>
      </w:r>
    </w:p>
    <w:p>
      <w:pPr>
        <w:pStyle w:val="TextBody"/>
        <w:spacing w:before="270" w:after="0"/>
        <w:rPr>
          <w:rFonts w:ascii="Times New Roman" w:hAnsi="Times New Roman"/>
          <w:b/>
          <w:i/>
          <w:sz w:val="20"/>
        </w:rPr>
      </w:pPr>
      <w:r>
        <w:rPr>
          <w:rFonts w:ascii="Times New Roman" w:hAnsi="Times New Roman"/>
          <w:b/>
          <w:i/>
          <w:sz w:val="20"/>
        </w:rPr>
        <w:t xml:space="preserve">Basis of Units </w:t>
      </w:r>
    </w:p>
    <w:p>
      <w:pPr>
        <w:pStyle w:val="TextBody"/>
        <w:spacing w:before="90" w:after="0"/>
        <w:rPr>
          <w:rFonts w:ascii="Times New Roman" w:hAnsi="Times New Roman"/>
          <w:sz w:val="20"/>
        </w:rPr>
      </w:pPr>
      <w:r>
        <w:rPr>
          <w:rFonts w:ascii="Times New Roman" w:hAnsi="Times New Roman"/>
          <w:sz w:val="20"/>
        </w:rPr>
        <w:t xml:space="preserve">A unitholders tax basis in its units initially will be the amount paid for those units plus the unitholders share of our liabilities. That basis generally will be (i) increased by the unitholders share of our income and any increases in such unitholders share of our liabilities, and (ii) decreased, but not below zero, by the amount of all distributions, the unitholders share of our losses, and any decreases in its share of our liabilities. </w:t>
      </w:r>
    </w:p>
    <w:p>
      <w:pPr>
        <w:pStyle w:val="TextBody"/>
        <w:spacing w:before="270" w:after="0"/>
        <w:rPr>
          <w:rFonts w:ascii="Times New Roman" w:hAnsi="Times New Roman"/>
          <w:b/>
          <w:i/>
          <w:sz w:val="20"/>
        </w:rPr>
      </w:pPr>
      <w:r>
        <w:rPr>
          <w:rFonts w:ascii="Times New Roman" w:hAnsi="Times New Roman"/>
          <w:b/>
          <w:i/>
          <w:sz w:val="20"/>
        </w:rPr>
        <w:t xml:space="preserve">Treatment of Distributions </w:t>
      </w:r>
    </w:p>
    <w:p>
      <w:pPr>
        <w:pStyle w:val="TextBody"/>
        <w:spacing w:before="90" w:after="0"/>
        <w:rPr>
          <w:rFonts w:ascii="Times New Roman" w:hAnsi="Times New Roman"/>
          <w:sz w:val="20"/>
        </w:rPr>
      </w:pPr>
      <w:r>
        <w:rPr>
          <w:rFonts w:ascii="Times New Roman" w:hAnsi="Times New Roman"/>
          <w:sz w:val="20"/>
        </w:rPr>
        <w:t xml:space="preserve">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 </w:t>
      </w:r>
    </w:p>
    <w:p>
      <w:pPr>
        <w:pStyle w:val="TextBody"/>
        <w:spacing w:before="180" w:after="0"/>
        <w:rPr>
          <w:rFonts w:ascii="Times New Roman" w:hAnsi="Times New Roman"/>
          <w:sz w:val="20"/>
        </w:rPr>
      </w:pPr>
      <w:r>
        <w:rPr>
          <w:rFonts w:ascii="Times New Roman" w:hAnsi="Times New Roman"/>
          <w:sz w:val="20"/>
        </w:rPr>
        <w:t xml:space="preserve">Any reduction in a unitholders share of our liabilities will be treated as a distribution by us of cash to that unitholder. A decrease in a unitholders percentage interest in us because of our issuance of additional units may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 </w:t>
      </w:r>
    </w:p>
    <w:p>
      <w:pPr>
        <w:pStyle w:val="TextBody"/>
        <w:spacing w:before="180" w:after="0"/>
        <w:rPr>
          <w:rFonts w:ascii="Times New Roman" w:hAnsi="Times New Roman"/>
          <w:sz w:val="20"/>
        </w:rPr>
      </w:pPr>
      <w:r>
        <w:rPr>
          <w:rFonts w:ascii="Times New Roman" w:hAnsi="Times New Roman"/>
          <w:sz w:val="20"/>
        </w:rPr>
        <w:t xml:space="preserve">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 </w:t>
      </w:r>
    </w:p>
    <w:p>
      <w:pPr>
        <w:pStyle w:val="TextBody"/>
        <w:spacing w:before="270" w:after="0"/>
        <w:rPr>
          <w:rFonts w:ascii="Times New Roman" w:hAnsi="Times New Roman"/>
          <w:b/>
          <w:i/>
          <w:sz w:val="20"/>
        </w:rPr>
      </w:pPr>
      <w:r>
        <w:rPr>
          <w:rFonts w:ascii="Times New Roman" w:hAnsi="Times New Roman"/>
          <w:b/>
          <w:i/>
          <w:sz w:val="20"/>
        </w:rPr>
        <w:t xml:space="preserve">Limitations on Deductibility of Losses </w:t>
      </w:r>
    </w:p>
    <w:p>
      <w:pPr>
        <w:pStyle w:val="TextBody"/>
        <w:spacing w:before="90" w:after="0"/>
        <w:rPr>
          <w:rFonts w:ascii="Times New Roman" w:hAnsi="Times New Roman"/>
          <w:sz w:val="20"/>
        </w:rPr>
      </w:pPr>
      <w:r>
        <w:rPr>
          <w:rFonts w:ascii="Times New Roman" w:hAnsi="Times New Roman"/>
          <w:sz w:val="20"/>
        </w:rPr>
        <w:t xml:space="preserve">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spacing w:before="180" w:after="0"/>
        <w:rPr>
          <w:rFonts w:ascii="Times New Roman" w:hAnsi="Times New Roman"/>
          <w:sz w:val="20"/>
        </w:rPr>
      </w:pPr>
      <w:r>
        <w:rPr>
          <w:rFonts w:ascii="Times New Roman" w:hAnsi="Times New Roman"/>
          <w:sz w:val="20"/>
        </w:rPr>
        <w:t xml:space="preserve">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w:t>
      </w:r>
    </w:p>
    <w:p>
      <w:pPr>
        <w:pStyle w:val="TextBody"/>
        <w:spacing w:before="180" w:after="0"/>
        <w:rPr>
          <w:rFonts w:ascii="Times New Roman" w:hAnsi="Times New Roman"/>
          <w:sz w:val="20"/>
        </w:rPr>
      </w:pPr>
      <w:r>
        <w:rPr>
          <w:rFonts w:ascii="Times New Roman" w:hAnsi="Times New Roman"/>
          <w:sz w:val="20"/>
        </w:rPr>
        <w:t xml:space="preserve">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Limitations on Interest Deductions </w:t>
      </w:r>
    </w:p>
    <w:p>
      <w:pPr>
        <w:pStyle w:val="TextBody"/>
        <w:spacing w:before="90" w:after="0"/>
        <w:rPr>
          <w:rFonts w:ascii="Times New Roman" w:hAnsi="Times New Roman"/>
          <w:sz w:val="20"/>
        </w:rPr>
      </w:pPr>
      <w:r>
        <w:rPr>
          <w:rFonts w:ascii="Times New Roman" w:hAnsi="Times New Roman"/>
          <w:sz w:val="20"/>
        </w:rPr>
        <w:t xml:space="preserve">The deductibility of a non-corporate taxpayers investment interest expense generally is limited to the amount of that taxpayers net investment income. Investment interest expense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indebtedness allocable to property held for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expense allocated against portfolio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allocable against portfolio income. </w:t>
            </w:r>
          </w:p>
        </w:tc>
      </w:tr>
    </w:tbl>
    <w:p>
      <w:pPr>
        <w:pStyle w:val="TextBody"/>
        <w:spacing w:before="180" w:after="0"/>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 </w:t>
      </w:r>
    </w:p>
    <w:p>
      <w:pPr>
        <w:pStyle w:val="TextBody"/>
        <w:spacing w:before="270" w:after="0"/>
        <w:rPr>
          <w:rFonts w:ascii="Times New Roman" w:hAnsi="Times New Roman"/>
          <w:b/>
          <w:i/>
          <w:sz w:val="20"/>
        </w:rPr>
      </w:pPr>
      <w:r>
        <w:rPr>
          <w:rFonts w:ascii="Times New Roman" w:hAnsi="Times New Roman"/>
          <w:b/>
          <w:i/>
          <w:sz w:val="20"/>
        </w:rPr>
        <w:t xml:space="preserve">Entity-Level Collections of Unitholder Taxes </w:t>
      </w:r>
    </w:p>
    <w:p>
      <w:pPr>
        <w:pStyle w:val="TextBody"/>
        <w:spacing w:before="90" w:after="0"/>
        <w:rPr>
          <w:rFonts w:ascii="Times New Roman" w:hAnsi="Times New Roman"/>
          <w:sz w:val="20"/>
        </w:rPr>
      </w:pPr>
      <w:r>
        <w:rPr>
          <w:rFonts w:ascii="Times New Roman" w:hAnsi="Times New Roman"/>
          <w:sz w:val="20"/>
        </w:rPr>
        <w:t xml:space="preserve">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 </w:t>
      </w:r>
    </w:p>
    <w:p>
      <w:pPr>
        <w:pStyle w:val="TextBody"/>
        <w:spacing w:before="270" w:after="0"/>
        <w:rPr>
          <w:rFonts w:ascii="Times New Roman" w:hAnsi="Times New Roman"/>
          <w:b/>
          <w:i/>
          <w:sz w:val="20"/>
        </w:rPr>
      </w:pPr>
      <w:r>
        <w:rPr>
          <w:rFonts w:ascii="Times New Roman" w:hAnsi="Times New Roman"/>
          <w:b/>
          <w:i/>
          <w:sz w:val="20"/>
        </w:rPr>
        <w:t xml:space="preserve">Allocation of Income, Gain, Loss and Deduction </w:t>
      </w:r>
    </w:p>
    <w:p>
      <w:pPr>
        <w:pStyle w:val="TextBody"/>
        <w:spacing w:before="90" w:after="0"/>
        <w:rPr>
          <w:rFonts w:ascii="Times New Roman" w:hAnsi="Times New Roman"/>
          <w:sz w:val="20"/>
        </w:rPr>
      </w:pPr>
      <w:r>
        <w:rPr>
          <w:rFonts w:ascii="Times New Roman" w:hAnsi="Times New Roman"/>
          <w:sz w:val="20"/>
        </w:rPr>
        <w:t xml:space="preserve">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 </w:t>
      </w:r>
    </w:p>
    <w:p>
      <w:pPr>
        <w:pStyle w:val="TextBody"/>
        <w:spacing w:before="180" w:after="0"/>
        <w:rPr>
          <w:rFonts w:ascii="Times New Roman" w:hAnsi="Times New Roman"/>
          <w:sz w:val="20"/>
        </w:rPr>
      </w:pPr>
      <w:r>
        <w:rPr>
          <w:rFonts w:ascii="Times New Roman" w:hAnsi="Times New Roman"/>
          <w:sz w:val="20"/>
        </w:rPr>
        <w:t xml:space="preserve">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 </w:t>
      </w:r>
    </w:p>
    <w:p>
      <w:pPr>
        <w:pStyle w:val="TextBody"/>
        <w:spacing w:before="270" w:after="0"/>
        <w:rPr>
          <w:rFonts w:ascii="Times New Roman" w:hAnsi="Times New Roman"/>
          <w:b/>
          <w:i/>
          <w:sz w:val="20"/>
        </w:rPr>
      </w:pPr>
      <w:r>
        <w:rPr>
          <w:rFonts w:ascii="Times New Roman" w:hAnsi="Times New Roman"/>
          <w:b/>
          <w:i/>
          <w:sz w:val="20"/>
        </w:rPr>
        <w:t xml:space="preserve">Treatment of Securities Loans </w:t>
      </w:r>
    </w:p>
    <w:p>
      <w:pPr>
        <w:pStyle w:val="TextBody"/>
        <w:spacing w:before="90" w:after="0"/>
        <w:rPr>
          <w:rFonts w:ascii="Times New Roman" w:hAnsi="Times New Roman"/>
          <w:sz w:val="20"/>
        </w:rPr>
      </w:pPr>
      <w:r>
        <w:rPr>
          <w:rFonts w:ascii="Times New Roman" w:hAnsi="Times New Roman"/>
          <w:sz w:val="20"/>
        </w:rPr>
        <w:t xml:space="preserve">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 </w:t>
      </w:r>
    </w:p>
    <w:p>
      <w:pPr>
        <w:pStyle w:val="TextBody"/>
        <w:spacing w:before="270" w:after="0"/>
        <w:rPr>
          <w:rFonts w:ascii="Times New Roman" w:hAnsi="Times New Roman"/>
          <w:b/>
          <w:i/>
          <w:sz w:val="20"/>
        </w:rPr>
      </w:pPr>
      <w:r>
        <w:rPr>
          <w:rFonts w:ascii="Times New Roman" w:hAnsi="Times New Roman"/>
          <w:b/>
          <w:i/>
          <w:sz w:val="20"/>
        </w:rPr>
        <w:t xml:space="preserve">Tax Rates </w:t>
      </w:r>
    </w:p>
    <w:p>
      <w:pPr>
        <w:pStyle w:val="TextBody"/>
        <w:spacing w:before="90" w:after="0"/>
        <w:rPr>
          <w:rFonts w:ascii="Times New Roman" w:hAnsi="Times New Roman"/>
          <w:sz w:val="20"/>
        </w:rPr>
      </w:pPr>
      <w:r>
        <w:rPr>
          <w:rFonts w:ascii="Times New Roman" w:hAnsi="Times New Roman"/>
          <w:sz w:val="20"/>
        </w:rPr>
        <w:t xml:space="preserve">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 </w:t>
      </w:r>
    </w:p>
    <w:p>
      <w:pPr>
        <w:pStyle w:val="TextBody"/>
        <w:spacing w:before="180" w:after="0"/>
        <w:rPr>
          <w:rFonts w:ascii="Times New Roman" w:hAnsi="Times New Roman"/>
          <w:sz w:val="20"/>
        </w:rPr>
      </w:pPr>
      <w:r>
        <w:rPr>
          <w:rFonts w:ascii="Times New Roman" w:hAnsi="Times New Roman"/>
          <w:sz w:val="20"/>
        </w:rPr>
        <w:t xml:space="preserve">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spacing w:before="270" w:after="0"/>
        <w:rPr>
          <w:rFonts w:ascii="Times New Roman" w:hAnsi="Times New Roman"/>
          <w:b/>
          <w:i/>
          <w:sz w:val="20"/>
        </w:rPr>
      </w:pPr>
      <w:r>
        <w:rPr>
          <w:rFonts w:ascii="Times New Roman" w:hAnsi="Times New Roman"/>
          <w:b/>
          <w:i/>
          <w:sz w:val="20"/>
        </w:rPr>
        <w:t xml:space="preserve">Section 754 Election </w:t>
      </w:r>
    </w:p>
    <w:p>
      <w:pPr>
        <w:pStyle w:val="TextBody"/>
        <w:spacing w:before="90" w:after="0"/>
        <w:rPr>
          <w:rFonts w:ascii="Times New Roman" w:hAnsi="Times New Roman"/>
          <w:sz w:val="20"/>
        </w:rPr>
      </w:pPr>
      <w:r>
        <w:rPr>
          <w:rFonts w:ascii="Times New Roman" w:hAnsi="Times New Roman"/>
          <w:sz w:val="20"/>
        </w:rPr>
        <w:t xml:space="preserve">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 </w:t>
      </w:r>
    </w:p>
    <w:p>
      <w:pPr>
        <w:pStyle w:val="TextBody"/>
        <w:spacing w:before="180" w:after="0"/>
        <w:rPr>
          <w:rFonts w:ascii="Times New Roman" w:hAnsi="Times New Roman"/>
          <w:sz w:val="20"/>
        </w:rPr>
      </w:pPr>
      <w:r>
        <w:rPr>
          <w:rFonts w:ascii="Times New Roman" w:hAnsi="Times New Roman"/>
          <w:sz w:val="20"/>
        </w:rPr>
        <w:t xml:space="preserve">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 </w:t>
      </w:r>
    </w:p>
    <w:p>
      <w:pPr>
        <w:pStyle w:val="TextBody"/>
        <w:spacing w:before="180" w:after="0"/>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Tax Treatment of Operations </w:t>
      </w:r>
    </w:p>
    <w:p>
      <w:pPr>
        <w:pStyle w:val="TextBody"/>
        <w:spacing w:before="90" w:after="0"/>
        <w:rPr>
          <w:rFonts w:ascii="Times New Roman" w:hAnsi="Times New Roman"/>
          <w:b/>
          <w:i/>
          <w:sz w:val="20"/>
        </w:rPr>
      </w:pPr>
      <w:r>
        <w:rPr>
          <w:rFonts w:ascii="Times New Roman" w:hAnsi="Times New Roman"/>
          <w:b/>
          <w:i/>
          <w:sz w:val="20"/>
        </w:rPr>
        <w:t xml:space="preserve">Accounting Method and Taxable Year </w:t>
      </w:r>
    </w:p>
    <w:p>
      <w:pPr>
        <w:pStyle w:val="TextBody"/>
        <w:spacing w:before="90" w:after="0"/>
        <w:rPr>
          <w:rFonts w:ascii="Times New Roman" w:hAnsi="Times New Roman"/>
          <w:sz w:val="20"/>
        </w:rPr>
      </w:pPr>
      <w:r>
        <w:rPr>
          <w:rFonts w:ascii="Times New Roman" w:hAnsi="Times New Roman"/>
          <w:sz w:val="20"/>
        </w:rPr>
        <w:t xml:space="preserve">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 </w:t>
      </w:r>
    </w:p>
    <w:p>
      <w:pPr>
        <w:pStyle w:val="TextBody"/>
        <w:spacing w:before="270" w:after="0"/>
        <w:rPr>
          <w:rFonts w:ascii="Times New Roman" w:hAnsi="Times New Roman"/>
          <w:b/>
          <w:i/>
          <w:sz w:val="20"/>
        </w:rPr>
      </w:pPr>
      <w:r>
        <w:rPr>
          <w:rFonts w:ascii="Times New Roman" w:hAnsi="Times New Roman"/>
          <w:b/>
          <w:i/>
          <w:sz w:val="20"/>
        </w:rPr>
        <w:t xml:space="preserve">Tax Basis, Depreciation and Amortization </w:t>
      </w:r>
    </w:p>
    <w:p>
      <w:pPr>
        <w:pStyle w:val="TextBody"/>
        <w:spacing w:before="90" w:after="0"/>
        <w:rPr>
          <w:rFonts w:ascii="Times New Roman" w:hAnsi="Times New Roman"/>
          <w:sz w:val="20"/>
        </w:rPr>
      </w:pPr>
      <w:r>
        <w:rPr>
          <w:rFonts w:ascii="Times New Roman" w:hAnsi="Times New Roman"/>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 </w:t>
      </w:r>
    </w:p>
    <w:p>
      <w:pPr>
        <w:pStyle w:val="TextBody"/>
        <w:spacing w:before="180" w:after="0"/>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 </w:t>
      </w:r>
    </w:p>
    <w:p>
      <w:pPr>
        <w:pStyle w:val="TextBody"/>
        <w:spacing w:before="180" w:after="0"/>
        <w:rPr>
          <w:rFonts w:ascii="Times New Roman" w:hAnsi="Times New Roman"/>
          <w:sz w:val="20"/>
        </w:rPr>
      </w:pPr>
      <w:r>
        <w:rPr>
          <w:rFonts w:ascii="Times New Roman" w:hAnsi="Times New Roman"/>
          <w:sz w:val="20"/>
        </w:rPr>
        <w:t xml:space="preserve">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270" w:after="0"/>
        <w:rPr>
          <w:rFonts w:ascii="Times New Roman" w:hAnsi="Times New Roman"/>
          <w:b/>
          <w:i/>
          <w:sz w:val="20"/>
        </w:rPr>
      </w:pPr>
      <w:r>
        <w:rPr>
          <w:rFonts w:ascii="Times New Roman" w:hAnsi="Times New Roman"/>
          <w:b/>
          <w:i/>
          <w:sz w:val="20"/>
        </w:rPr>
        <w:t xml:space="preserve">Valuation and Tax Basis of Our Properties </w:t>
      </w:r>
    </w:p>
    <w:p>
      <w:pPr>
        <w:pStyle w:val="TextBody"/>
        <w:spacing w:before="90" w:after="0"/>
        <w:rPr>
          <w:rFonts w:ascii="Times New Roman" w:hAnsi="Times New Roman"/>
          <w:sz w:val="20"/>
        </w:rPr>
      </w:pPr>
      <w:r>
        <w:rPr>
          <w:rFonts w:ascii="Times New Roman" w:hAnsi="Times New Roman"/>
          <w:sz w:val="20"/>
        </w:rPr>
        <w:t xml:space="preserve">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 </w:t>
      </w:r>
    </w:p>
    <w:p>
      <w:pPr>
        <w:pStyle w:val="TextBody"/>
        <w:spacing w:before="270" w:after="0"/>
        <w:rPr>
          <w:rFonts w:ascii="Times New Roman" w:hAnsi="Times New Roman"/>
          <w:b/>
          <w:i/>
          <w:sz w:val="20"/>
        </w:rPr>
      </w:pPr>
      <w:r>
        <w:rPr>
          <w:rFonts w:ascii="Times New Roman" w:hAnsi="Times New Roman"/>
          <w:b/>
          <w:i/>
          <w:sz w:val="20"/>
        </w:rPr>
        <w:t xml:space="preserve">Disposition of Units </w:t>
      </w:r>
    </w:p>
    <w:p>
      <w:pPr>
        <w:pStyle w:val="TextBody"/>
        <w:spacing w:before="90" w:after="0"/>
        <w:rPr>
          <w:rFonts w:ascii="Times New Roman" w:hAnsi="Times New Roman"/>
          <w:b/>
          <w:i/>
          <w:sz w:val="20"/>
        </w:rPr>
      </w:pPr>
      <w:r>
        <w:rPr>
          <w:rFonts w:ascii="Times New Roman" w:hAnsi="Times New Roman"/>
          <w:b/>
          <w:i/>
          <w:sz w:val="20"/>
        </w:rPr>
        <w:t xml:space="preserve">Recognition of Gain or Loss </w:t>
      </w:r>
    </w:p>
    <w:p>
      <w:pPr>
        <w:pStyle w:val="TextBody"/>
        <w:spacing w:before="90" w:after="0"/>
        <w:rPr>
          <w:rFonts w:ascii="Times New Roman" w:hAnsi="Times New Roman"/>
          <w:sz w:val="20"/>
        </w:rPr>
      </w:pPr>
      <w:r>
        <w:rPr>
          <w:rFonts w:ascii="Times New Roman" w:hAnsi="Times New Roman"/>
          <w:sz w:val="20"/>
        </w:rPr>
        <w:t xml:space="preserve">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 </w:t>
      </w:r>
    </w:p>
    <w:p>
      <w:pPr>
        <w:pStyle w:val="TextBody"/>
        <w:spacing w:before="180" w:after="0"/>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 </w:t>
      </w:r>
    </w:p>
    <w:p>
      <w:pPr>
        <w:pStyle w:val="TextBody"/>
        <w:spacing w:before="180" w:after="0"/>
        <w:rPr>
          <w:rFonts w:ascii="Times New Roman" w:hAnsi="Times New Roman"/>
          <w:sz w:val="20"/>
        </w:rPr>
      </w:pPr>
      <w:r>
        <w:rPr>
          <w:rFonts w:ascii="Times New Roman" w:hAnsi="Times New Roman"/>
          <w:sz w:val="20"/>
        </w:rPr>
        <w:t xml:space="preserve">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 </w:t>
      </w:r>
    </w:p>
    <w:p>
      <w:pPr>
        <w:pStyle w:val="TextBody"/>
        <w:spacing w:before="180" w:after="0"/>
        <w:rPr>
          <w:rFonts w:ascii="Times New Roman" w:hAnsi="Times New Roman"/>
          <w:sz w:val="20"/>
        </w:rPr>
      </w:pPr>
      <w:r>
        <w:rPr>
          <w:rFonts w:ascii="Times New Roman" w:hAnsi="Times New Roman"/>
          <w:sz w:val="20"/>
        </w:rPr>
        <w:t xml:space="preserve">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short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spacing w:before="180" w:after="0"/>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 </w:t>
      </w:r>
    </w:p>
    <w:p>
      <w:pPr>
        <w:pStyle w:val="TextBody"/>
        <w:spacing w:before="270" w:after="0"/>
        <w:rPr>
          <w:rFonts w:ascii="Times New Roman" w:hAnsi="Times New Roman"/>
          <w:b/>
          <w:i/>
          <w:sz w:val="20"/>
        </w:rPr>
      </w:pPr>
      <w:r>
        <w:rPr>
          <w:rFonts w:ascii="Times New Roman" w:hAnsi="Times New Roman"/>
          <w:b/>
          <w:i/>
          <w:sz w:val="20"/>
        </w:rPr>
        <w:t xml:space="preserve">Allocations Between Transferors and Transferee </w:t>
      </w:r>
    </w:p>
    <w:p>
      <w:pPr>
        <w:pStyle w:val="TextBody"/>
        <w:spacing w:before="90" w:after="0"/>
        <w:rPr>
          <w:rFonts w:ascii="Times New Roman" w:hAnsi="Times New Roman"/>
          <w:sz w:val="20"/>
        </w:rPr>
      </w:pPr>
      <w:r>
        <w:rPr>
          <w:rFonts w:ascii="Times New Roman" w:hAnsi="Times New Roman"/>
          <w:sz w:val="20"/>
        </w:rPr>
        <w:t xml:space="preserve">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 </w:t>
      </w:r>
    </w:p>
    <w:p>
      <w:pPr>
        <w:pStyle w:val="TextBody"/>
        <w:spacing w:before="180" w:after="0"/>
        <w:rPr>
          <w:rFonts w:ascii="Times New Roman" w:hAnsi="Times New Roman"/>
          <w:sz w:val="20"/>
        </w:rPr>
      </w:pPr>
      <w:r>
        <w:rPr>
          <w:rFonts w:ascii="Times New Roman" w:hAnsi="Times New Roman"/>
          <w:sz w:val="20"/>
        </w:rPr>
        <w:t xml:space="preserve">A unitholder who disposes of units prior to the record date set for a cash distribution for that quarter will be allocated items of our income, gain, loss and deduction attributable to the month of disposition but will not be entitled to receive a cash distribution for that period. </w:t>
      </w:r>
    </w:p>
    <w:p>
      <w:pPr>
        <w:pStyle w:val="TextBody"/>
        <w:spacing w:before="270" w:after="0"/>
        <w:rPr>
          <w:rFonts w:ascii="Times New Roman" w:hAnsi="Times New Roman"/>
          <w:b/>
          <w:i/>
          <w:sz w:val="20"/>
        </w:rPr>
      </w:pPr>
      <w:r>
        <w:rPr>
          <w:rFonts w:ascii="Times New Roman" w:hAnsi="Times New Roman"/>
          <w:b/>
          <w:i/>
          <w:sz w:val="20"/>
        </w:rPr>
        <w:t xml:space="preserve">Notification Requirements </w:t>
      </w:r>
    </w:p>
    <w:p>
      <w:pPr>
        <w:pStyle w:val="TextBody"/>
        <w:spacing w:before="90" w:after="0"/>
        <w:rPr>
          <w:rFonts w:ascii="Times New Roman" w:hAnsi="Times New Roman"/>
          <w:sz w:val="20"/>
        </w:rPr>
      </w:pPr>
      <w:r>
        <w:rPr>
          <w:rFonts w:ascii="Times New Roman" w:hAnsi="Times New Roman"/>
          <w:sz w:val="20"/>
        </w:rPr>
        <w:t xml:space="preserve">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 </w:t>
      </w:r>
    </w:p>
    <w:p>
      <w:pPr>
        <w:pStyle w:val="TextBody"/>
        <w:spacing w:before="270" w:after="0"/>
        <w:rPr>
          <w:rFonts w:ascii="Times New Roman" w:hAnsi="Times New Roman"/>
          <w:b/>
          <w:i/>
          <w:sz w:val="20"/>
        </w:rPr>
      </w:pPr>
      <w:r>
        <w:rPr>
          <w:rFonts w:ascii="Times New Roman" w:hAnsi="Times New Roman"/>
          <w:b/>
          <w:i/>
          <w:sz w:val="20"/>
        </w:rPr>
        <w:t xml:space="preserve">Constructive Termination </w:t>
      </w:r>
    </w:p>
    <w:p>
      <w:pPr>
        <w:pStyle w:val="TextBody"/>
        <w:spacing w:before="90" w:after="0"/>
        <w:rPr>
          <w:rFonts w:ascii="Times New Roman" w:hAnsi="Times New Roman"/>
          <w:sz w:val="20"/>
        </w:rPr>
      </w:pPr>
      <w:r>
        <w:rPr>
          <w:rFonts w:ascii="Times New Roman" w:hAnsi="Times New Roman"/>
          <w:sz w:val="20"/>
        </w:rPr>
        <w:t xml:space="preserve">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 </w:t>
      </w:r>
    </w:p>
    <w:p>
      <w:pPr>
        <w:pStyle w:val="TextBody"/>
        <w:spacing w:before="180" w:after="0"/>
        <w:rPr>
          <w:rFonts w:ascii="Times New Roman" w:hAnsi="Times New Roman"/>
          <w:sz w:val="20"/>
        </w:rPr>
      </w:pPr>
      <w:r>
        <w:rPr>
          <w:rFonts w:ascii="Times New Roman" w:hAnsi="Times New Roman"/>
          <w:sz w:val="20"/>
        </w:rPr>
        <w:t xml:space="preserve">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 </w:t>
      </w:r>
    </w:p>
    <w:p>
      <w:pPr>
        <w:pStyle w:val="TextBody"/>
        <w:spacing w:before="270" w:after="0"/>
        <w:rPr>
          <w:rFonts w:ascii="Times New Roman" w:hAnsi="Times New Roman"/>
          <w:b/>
          <w:i/>
          <w:sz w:val="20"/>
        </w:rPr>
      </w:pPr>
      <w:r>
        <w:rPr>
          <w:rFonts w:ascii="Times New Roman" w:hAnsi="Times New Roman"/>
          <w:b/>
          <w:i/>
          <w:sz w:val="20"/>
        </w:rPr>
        <w:t xml:space="preserve">Uniformity of Units </w:t>
      </w:r>
    </w:p>
    <w:p>
      <w:pPr>
        <w:pStyle w:val="TextBody"/>
        <w:spacing w:before="90" w:after="0"/>
        <w:rPr>
          <w:rFonts w:ascii="Times New Roman" w:hAnsi="Times New Roman"/>
          <w:sz w:val="20"/>
        </w:rPr>
      </w:pPr>
      <w:r>
        <w:rPr>
          <w:rFonts w:ascii="Times New Roman" w:hAnsi="Times New Roman"/>
          <w:sz w:val="20"/>
        </w:rPr>
        <w:t xml:space="preserve">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 </w:t>
      </w:r>
    </w:p>
    <w:p>
      <w:pPr>
        <w:pStyle w:val="TextBody"/>
        <w:spacing w:before="180" w:after="0"/>
        <w:rPr>
          <w:rFonts w:ascii="Times New Roman" w:hAnsi="Times New Roman"/>
          <w:sz w:val="20"/>
        </w:rPr>
      </w:pPr>
      <w:r>
        <w:rPr>
          <w:rFonts w:ascii="Times New Roman" w:hAnsi="Times New Roman"/>
          <w:sz w:val="20"/>
        </w:rPr>
        <w:t xml:space="preserve">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 </w:t>
      </w:r>
    </w:p>
    <w:p>
      <w:pPr>
        <w:pStyle w:val="TextBody"/>
        <w:spacing w:before="270" w:after="0"/>
        <w:rPr>
          <w:rFonts w:ascii="Times New Roman" w:hAnsi="Times New Roman"/>
          <w:b/>
          <w:i/>
          <w:sz w:val="20"/>
        </w:rPr>
      </w:pPr>
      <w:r>
        <w:rPr>
          <w:rFonts w:ascii="Times New Roman" w:hAnsi="Times New Roman"/>
          <w:b/>
          <w:i/>
          <w:sz w:val="20"/>
        </w:rPr>
        <w:t xml:space="preserve">Tax-Exempt Organizations and Other Investors </w:t>
      </w:r>
    </w:p>
    <w:p>
      <w:pPr>
        <w:pStyle w:val="TextBody"/>
        <w:spacing w:before="90" w:after="0"/>
        <w:rPr>
          <w:rFonts w:ascii="Times New Roman" w:hAnsi="Times New Roman"/>
          <w:sz w:val="20"/>
        </w:rPr>
      </w:pPr>
      <w:r>
        <w:rPr>
          <w:rFonts w:ascii="Times New Roman" w:hAnsi="Times New Roman"/>
          <w:sz w:val="20"/>
        </w:rPr>
        <w:t xml:space="preserve">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w:t>
      </w:r>
    </w:p>
    <w:p>
      <w:pPr>
        <w:pStyle w:val="TextBody"/>
        <w:spacing w:before="180" w:after="0"/>
        <w:rPr>
          <w:rFonts w:ascii="Times New Roman" w:hAnsi="Times New Roman"/>
          <w:sz w:val="20"/>
        </w:rPr>
      </w:pPr>
      <w:r>
        <w:rPr>
          <w:rFonts w:ascii="Times New Roman" w:hAnsi="Times New Roman"/>
          <w:sz w:val="20"/>
        </w:rPr>
        <w:t xml:space="preserve">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 </w:t>
      </w:r>
    </w:p>
    <w:p>
      <w:pPr>
        <w:pStyle w:val="TextBody"/>
        <w:spacing w:before="180" w:after="0"/>
        <w:rPr>
          <w:rFonts w:ascii="Times New Roman" w:hAnsi="Times New Roman"/>
          <w:sz w:val="20"/>
        </w:rPr>
      </w:pPr>
      <w:r>
        <w:rPr>
          <w:rFonts w:ascii="Times New Roman" w:hAnsi="Times New Roman"/>
          <w:sz w:val="20"/>
        </w:rPr>
        <w:t xml:space="preserve">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spacing w:before="180" w:after="0"/>
        <w:rPr>
          <w:rFonts w:ascii="Times New Roman" w:hAnsi="Times New Roman"/>
          <w:sz w:val="20"/>
        </w:rPr>
      </w:pPr>
      <w:r>
        <w:rPr>
          <w:rFonts w:ascii="Times New Roman" w:hAnsi="Times New Roman"/>
          <w:sz w:val="20"/>
        </w:rPr>
        <w:t xml:space="preserve">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disposition. More than 50% of our assets may consist of U.S. real property interests. Therefore, non-U.S. unitholders may be subject to federal income tax on gain from the sale or disposition of their units. </w:t>
      </w:r>
    </w:p>
    <w:p>
      <w:pPr>
        <w:pStyle w:val="TextBody"/>
        <w:spacing w:before="270" w:after="0"/>
        <w:rPr>
          <w:rFonts w:ascii="Times New Roman" w:hAnsi="Times New Roman"/>
          <w:b/>
          <w:i/>
          <w:sz w:val="20"/>
        </w:rPr>
      </w:pPr>
      <w:r>
        <w:rPr>
          <w:rFonts w:ascii="Times New Roman" w:hAnsi="Times New Roman"/>
          <w:b/>
          <w:i/>
          <w:sz w:val="20"/>
        </w:rPr>
        <w:t xml:space="preserve">Administrative Matters </w:t>
      </w:r>
    </w:p>
    <w:p>
      <w:pPr>
        <w:pStyle w:val="TextBody"/>
        <w:spacing w:before="90" w:after="0"/>
        <w:rPr>
          <w:rFonts w:ascii="Times New Roman" w:hAnsi="Times New Roman"/>
          <w:b/>
          <w:i/>
          <w:sz w:val="20"/>
        </w:rPr>
      </w:pPr>
      <w:r>
        <w:rPr>
          <w:rFonts w:ascii="Times New Roman" w:hAnsi="Times New Roman"/>
          <w:b/>
          <w:i/>
          <w:sz w:val="20"/>
        </w:rPr>
        <w:t xml:space="preserve">Information Returns and Audit Procedures </w:t>
      </w:r>
    </w:p>
    <w:p>
      <w:pPr>
        <w:pStyle w:val="TextBody"/>
        <w:spacing w:before="90" w:after="0"/>
        <w:rPr>
          <w:rFonts w:ascii="Times New Roman" w:hAnsi="Times New Roman"/>
          <w:sz w:val="20"/>
        </w:rPr>
      </w:pPr>
      <w:r>
        <w:rPr>
          <w:rFonts w:ascii="Times New Roman" w:hAnsi="Times New Roman"/>
          <w:sz w:val="20"/>
        </w:rPr>
        <w:t xml:space="preserve">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 </w:t>
      </w:r>
    </w:p>
    <w:p>
      <w:pPr>
        <w:pStyle w:val="TextBody"/>
        <w:spacing w:before="180" w:after="0"/>
        <w:rPr>
          <w:rFonts w:ascii="Times New Roman" w:hAnsi="Times New Roman"/>
          <w:sz w:val="20"/>
        </w:rPr>
      </w:pPr>
      <w:r>
        <w:rPr>
          <w:rFonts w:ascii="Times New Roman" w:hAnsi="Times New Roman"/>
          <w:sz w:val="20"/>
        </w:rPr>
        <w:t xml:space="preserve">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 </w:t>
      </w:r>
    </w:p>
    <w:p>
      <w:pPr>
        <w:pStyle w:val="TextBody"/>
        <w:spacing w:before="180" w:after="0"/>
        <w:rPr>
          <w:rFonts w:ascii="Times New Roman" w:hAnsi="Times New Roman"/>
          <w:sz w:val="20"/>
        </w:rPr>
      </w:pPr>
      <w:r>
        <w:rPr>
          <w:rFonts w:ascii="Times New Roman" w:hAnsi="Times New Roman"/>
          <w:sz w:val="20"/>
        </w:rPr>
        <w:t xml:space="preserve">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 </w:t>
      </w:r>
    </w:p>
    <w:p>
      <w:pPr>
        <w:pStyle w:val="TextBody"/>
        <w:spacing w:before="180" w:after="0"/>
        <w:rPr>
          <w:rFonts w:ascii="Times New Roman" w:hAnsi="Times New Roman"/>
          <w:sz w:val="20"/>
        </w:rPr>
      </w:pPr>
      <w:r>
        <w:rPr>
          <w:rFonts w:ascii="Times New Roman" w:hAnsi="Times New Roman"/>
          <w:sz w:val="20"/>
        </w:rPr>
        <w:t xml:space="preserve">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 </w:t>
      </w:r>
    </w:p>
    <w:p>
      <w:pPr>
        <w:pStyle w:val="TextBody"/>
        <w:spacing w:before="180" w:after="0"/>
        <w:rPr>
          <w:rFonts w:ascii="Times New Roman" w:hAnsi="Times New Roman"/>
          <w:sz w:val="20"/>
        </w:rPr>
      </w:pPr>
      <w:r>
        <w:rPr>
          <w:rFonts w:ascii="Times New Roman" w:hAnsi="Times New Roman"/>
          <w:sz w:val="20"/>
        </w:rPr>
        <w:t xml:space="preserve">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 </w:t>
      </w:r>
    </w:p>
    <w:p>
      <w:pPr>
        <w:pStyle w:val="TextBody"/>
        <w:spacing w:before="270" w:after="0"/>
        <w:rPr>
          <w:rFonts w:ascii="Times New Roman" w:hAnsi="Times New Roman"/>
          <w:b/>
          <w:i/>
          <w:sz w:val="20"/>
        </w:rPr>
      </w:pPr>
      <w:r>
        <w:rPr>
          <w:rFonts w:ascii="Times New Roman" w:hAnsi="Times New Roman"/>
          <w:b/>
          <w:i/>
          <w:sz w:val="20"/>
        </w:rPr>
        <w:t xml:space="preserve">Nominee Reporting </w:t>
      </w:r>
    </w:p>
    <w:p>
      <w:pPr>
        <w:pStyle w:val="TextBody"/>
        <w:spacing w:before="90" w:after="0"/>
        <w:rPr>
          <w:rFonts w:ascii="Times New Roman" w:hAnsi="Times New Roman"/>
          <w:sz w:val="20"/>
        </w:rPr>
      </w:pPr>
      <w:r>
        <w:rPr>
          <w:rFonts w:ascii="Times New Roman" w:hAnsi="Times New Roman"/>
          <w:sz w:val="20"/>
        </w:rPr>
        <w:t xml:space="preserve">Persons who hold an interest in us as a nominee for another person are required to furnish to us: </w:t>
      </w:r>
    </w:p>
    <w:p>
      <w:pPr>
        <w:pStyle w:val="TextBody"/>
        <w:spacing w:before="180" w:after="0"/>
        <w:rPr>
          <w:rFonts w:ascii="Times New Roman" w:hAnsi="Times New Roman"/>
          <w:sz w:val="20"/>
        </w:rPr>
      </w:pPr>
      <w:r>
        <w:rPr>
          <w:rFonts w:ascii="Times New Roman" w:hAnsi="Times New Roman"/>
          <w:sz w:val="20"/>
        </w:rPr>
        <w:t xml:space="preserve">(1) the name, address and taxpayer identification number of the beneficial owner and the nominee; </w:t>
      </w:r>
    </w:p>
    <w:p>
      <w:pPr>
        <w:pStyle w:val="TextBody"/>
        <w:spacing w:before="180" w:after="0"/>
        <w:rPr>
          <w:rFonts w:ascii="Times New Roman" w:hAnsi="Times New Roman"/>
          <w:sz w:val="20"/>
        </w:rPr>
      </w:pPr>
      <w:r>
        <w:rPr>
          <w:rFonts w:ascii="Times New Roman" w:hAnsi="Times New Roman"/>
          <w:sz w:val="20"/>
        </w:rPr>
        <w:t xml:space="preserve">(2) a statement regarding whether the beneficial owner is: </w:t>
      </w:r>
    </w:p>
    <w:p>
      <w:pPr>
        <w:pStyle w:val="TextBody"/>
        <w:spacing w:before="180" w:after="0"/>
        <w:rPr>
          <w:rFonts w:ascii="Times New Roman" w:hAnsi="Times New Roman"/>
          <w:sz w:val="20"/>
        </w:rPr>
      </w:pPr>
      <w:r>
        <w:rPr>
          <w:rFonts w:ascii="Times New Roman" w:hAnsi="Times New Roman"/>
          <w:sz w:val="20"/>
        </w:rPr>
        <w:t xml:space="preserve">(a) a non-U.S. person; </w:t>
      </w:r>
    </w:p>
    <w:p>
      <w:pPr>
        <w:pStyle w:val="TextBody"/>
        <w:spacing w:before="180" w:after="0"/>
        <w:rPr>
          <w:rFonts w:ascii="Times New Roman" w:hAnsi="Times New Roman"/>
          <w:sz w:val="20"/>
        </w:rPr>
      </w:pPr>
      <w:r>
        <w:rPr>
          <w:rFonts w:ascii="Times New Roman" w:hAnsi="Times New Roman"/>
          <w:sz w:val="20"/>
        </w:rPr>
        <w:t xml:space="preserve">(b) a non-U.S. government, an international organization or any wholly owned agency or instrumentality of either of the foregoing;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 a tax-exempt entity; </w:t>
      </w:r>
    </w:p>
    <w:p>
      <w:pPr>
        <w:pStyle w:val="TextBody"/>
        <w:spacing w:before="180" w:after="0"/>
        <w:rPr>
          <w:rFonts w:ascii="Times New Roman" w:hAnsi="Times New Roman"/>
          <w:sz w:val="20"/>
        </w:rPr>
      </w:pPr>
      <w:r>
        <w:rPr>
          <w:rFonts w:ascii="Times New Roman" w:hAnsi="Times New Roman"/>
          <w:sz w:val="20"/>
        </w:rPr>
        <w:t xml:space="preserve">(3) the amount and description of units held, acquired or transferred for the beneficial owner; and </w:t>
      </w:r>
    </w:p>
    <w:p>
      <w:pPr>
        <w:pStyle w:val="TextBody"/>
        <w:spacing w:before="180" w:after="0"/>
        <w:rPr>
          <w:rFonts w:ascii="Times New Roman" w:hAnsi="Times New Roman"/>
          <w:sz w:val="20"/>
        </w:rPr>
      </w:pPr>
      <w:r>
        <w:rPr>
          <w:rFonts w:ascii="Times New Roman" w:hAnsi="Times New Roman"/>
          <w:sz w:val="20"/>
        </w:rPr>
        <w:t xml:space="preserve">(4) specific information including the dates of acquisitions and transfers, means of acquisitions and transfers, and acquisition cost for purchases, as well as the amount of net proceeds from sales. </w:t>
      </w:r>
    </w:p>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 </w:t>
      </w:r>
    </w:p>
    <w:p>
      <w:pPr>
        <w:pStyle w:val="TextBody"/>
        <w:spacing w:before="270" w:after="0"/>
        <w:rPr>
          <w:rFonts w:ascii="Times New Roman" w:hAnsi="Times New Roman"/>
          <w:b/>
          <w:i/>
          <w:sz w:val="20"/>
        </w:rPr>
      </w:pPr>
      <w:r>
        <w:rPr>
          <w:rFonts w:ascii="Times New Roman" w:hAnsi="Times New Roman"/>
          <w:b/>
          <w:i/>
          <w:sz w:val="20"/>
        </w:rPr>
        <w:t xml:space="preserve">Accuracy-Related Penalties </w:t>
      </w:r>
    </w:p>
    <w:p>
      <w:pPr>
        <w:pStyle w:val="TextBody"/>
        <w:spacing w:before="90" w:after="0"/>
        <w:rPr>
          <w:rFonts w:ascii="Times New Roman" w:hAnsi="Times New Roman"/>
          <w:sz w:val="20"/>
        </w:rPr>
      </w:pPr>
      <w:r>
        <w:rPr>
          <w:rFonts w:ascii="Times New Roman" w:hAnsi="Times New Roman"/>
          <w:sz w:val="20"/>
        </w:rPr>
        <w:t xml:space="preserve">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 </w:t>
      </w:r>
    </w:p>
    <w:p>
      <w:pPr>
        <w:pStyle w:val="TextBody"/>
        <w:spacing w:before="270" w:after="0"/>
        <w:rPr>
          <w:rFonts w:ascii="Times New Roman" w:hAnsi="Times New Roman"/>
          <w:b/>
          <w:i/>
          <w:sz w:val="20"/>
        </w:rPr>
      </w:pPr>
      <w:r>
        <w:rPr>
          <w:rFonts w:ascii="Times New Roman" w:hAnsi="Times New Roman"/>
          <w:b/>
          <w:i/>
          <w:sz w:val="20"/>
        </w:rPr>
        <w:t xml:space="preserve">State, Local and Other Tax Considerations </w:t>
      </w:r>
    </w:p>
    <w:p>
      <w:pPr>
        <w:pStyle w:val="TextBody"/>
        <w:spacing w:before="90" w:after="0"/>
        <w:rPr>
          <w:rFonts w:ascii="Times New Roman" w:hAnsi="Times New Roman"/>
          <w:sz w:val="20"/>
        </w:rPr>
      </w:pPr>
      <w:r>
        <w:rPr>
          <w:rFonts w:ascii="Times New Roman" w:hAnsi="Times New Roman"/>
          <w:sz w:val="20"/>
        </w:rPr>
        <w:t xml:space="preserve">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 </w:t>
      </w:r>
    </w:p>
    <w:p>
      <w:pPr>
        <w:pStyle w:val="TextBody"/>
        <w:spacing w:before="270" w:after="0"/>
        <w:rPr>
          <w:rFonts w:ascii="Times New Roman" w:hAnsi="Times New Roman"/>
          <w:b/>
          <w:i/>
          <w:sz w:val="20"/>
        </w:rPr>
      </w:pPr>
      <w:r>
        <w:rPr>
          <w:rFonts w:ascii="Times New Roman" w:hAnsi="Times New Roman"/>
          <w:b/>
          <w:i/>
          <w:sz w:val="20"/>
        </w:rPr>
        <w:t xml:space="preserve">Tax Consequences of Ownership of Debt Securities </w:t>
      </w:r>
    </w:p>
    <w:p>
      <w:pPr>
        <w:pStyle w:val="TextBody"/>
        <w:spacing w:before="90" w:after="0"/>
        <w:rPr>
          <w:rFonts w:ascii="Times New Roman" w:hAnsi="Times New Roman"/>
          <w:sz w:val="20"/>
        </w:rPr>
      </w:pPr>
      <w:r>
        <w:rPr>
          <w:rFonts w:ascii="Times New Roman" w:hAnsi="Times New Roman"/>
          <w:sz w:val="20"/>
        </w:rPr>
        <w:t xml:space="preserve">A description of the material U.S. federal income tax consequences of the acquisition, ownership, and disposition of any series of debt securities will be set forth in the prospectus supplement relating to the offering of such debt securities. </w:t>
      </w:r>
    </w:p>
    <w:p>
      <w:pPr>
        <w:pStyle w:val="TextBody"/>
        <w:spacing w:before="180" w:after="0"/>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rom447729_13"/>
      <w:bookmarkEnd w:id="30"/>
      <w:r>
        <w:rPr>
          <w:rFonts w:ascii="Times New Roman" w:hAnsi="Times New Roman"/>
          <w:b/>
          <w:sz w:val="20"/>
        </w:rPr>
        <w:t xml:space="preserve">PLAN OF DISTRIBUTION </w:t>
      </w:r>
    </w:p>
    <w:p>
      <w:pPr>
        <w:pStyle w:val="TextBody"/>
        <w:spacing w:before="180" w:after="0"/>
        <w:rPr>
          <w:rFonts w:ascii="Times New Roman" w:hAnsi="Times New Roman"/>
          <w:sz w:val="20"/>
        </w:rPr>
      </w:pPr>
      <w:r>
        <w:rPr>
          <w:rFonts w:ascii="Times New Roman" w:hAnsi="Times New Roman"/>
          <w:sz w:val="20"/>
        </w:rPr>
        <w:t xml:space="preserve">Under this prospectus, we intend to offer our securities to the public: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one or more broker-dealers;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underwriters;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directly to investors. </w:t>
            </w:r>
          </w:p>
        </w:tc>
      </w:tr>
    </w:tbl>
    <w:p>
      <w:pPr>
        <w:pStyle w:val="TextBody"/>
        <w:spacing w:before="180" w:after="0"/>
        <w:rPr>
          <w:rFonts w:ascii="Times New Roman" w:hAnsi="Times New Roman"/>
          <w:sz w:val="20"/>
        </w:rPr>
      </w:pPr>
      <w:r>
        <w:rPr>
          <w:rFonts w:ascii="Times New Roman" w:hAnsi="Times New Roman"/>
          <w:sz w:val="20"/>
        </w:rPr>
        <w:t xml:space="preserve">We will fix a price or prices of our securities 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market prices prevailing at the time of any sale under this registration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prices related to market prices;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negotiated prices. </w:t>
            </w:r>
          </w:p>
        </w:tc>
      </w:tr>
    </w:tbl>
    <w:p>
      <w:pPr>
        <w:pStyle w:val="TextBody"/>
        <w:spacing w:before="180" w:after="0"/>
        <w:rPr>
          <w:rFonts w:ascii="Times New Roman" w:hAnsi="Times New Roman"/>
          <w:sz w:val="20"/>
        </w:rPr>
      </w:pPr>
      <w:r>
        <w:rPr>
          <w:rFonts w:ascii="Times New Roman" w:hAnsi="Times New Roman"/>
          <w:sz w:val="20"/>
        </w:rPr>
        <w:t xml:space="preserve">We may change the price of the securities offered from time to time. </w:t>
      </w:r>
    </w:p>
    <w:p>
      <w:pPr>
        <w:pStyle w:val="TextBody"/>
        <w:spacing w:before="180" w:after="0"/>
        <w:rPr>
          <w:rFonts w:ascii="Times New Roman" w:hAnsi="Times New Roman"/>
          <w:sz w:val="20"/>
        </w:rPr>
      </w:pPr>
      <w:r>
        <w:rPr>
          <w:rFonts w:ascii="Times New Roman" w:hAnsi="Times New Roman"/>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or through one or more transactions (which may involve crosses and block transactions) or distributions;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the New York Stock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over-the-counter market;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private transactions. </w:t>
            </w:r>
          </w:p>
        </w:tc>
      </w:tr>
    </w:tbl>
    <w:p>
      <w:pPr>
        <w:pStyle w:val="TextBody"/>
        <w:spacing w:before="180" w:after="0"/>
        <w:rPr>
          <w:rFonts w:ascii="Times New Roman" w:hAnsi="Times New Roman"/>
          <w:sz w:val="20"/>
        </w:rPr>
      </w:pPr>
      <w:r>
        <w:rPr>
          <w:rFonts w:ascii="Times New Roman" w:hAnsi="Times New Roman"/>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80" w:after="0"/>
        <w:rPr>
          <w:rFonts w:ascii="Times New Roman" w:hAnsi="Times New Roman"/>
          <w:sz w:val="20"/>
        </w:rPr>
      </w:pPr>
      <w:r>
        <w:rPr>
          <w:rFonts w:ascii="Times New Roman" w:hAnsi="Times New Roman"/>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80" w:after="0"/>
        <w:rPr>
          <w:rFonts w:ascii="Times New Roman" w:hAnsi="Times New Roman"/>
          <w:sz w:val="20"/>
        </w:rPr>
      </w:pPr>
      <w:r>
        <w:rPr>
          <w:rFonts w:ascii="Times New Roman" w:hAnsi="Times New Roman"/>
          <w:sz w:val="20"/>
        </w:rPr>
        <w:t xml:space="preserve">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 </w:t>
      </w:r>
    </w:p>
    <w:p>
      <w:pPr>
        <w:pStyle w:val="TextBody"/>
        <w:spacing w:before="180" w:after="0"/>
        <w:rPr>
          <w:rFonts w:ascii="Times New Roman" w:hAnsi="Times New Roman"/>
          <w:sz w:val="20"/>
        </w:rPr>
      </w:pPr>
      <w:r>
        <w:rPr>
          <w:rFonts w:ascii="Times New Roman" w:hAnsi="Times New Roman"/>
          <w:sz w:val="20"/>
        </w:rPr>
        <w:t xml:space="preserve">We may offer our units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aggregate maximum compensation the underwriters will receive in connection with the sale of any securities under this prospectus and the registration statement of which it forms a part will not exceed 8% of the gross proceeds from the sale. </w:t>
      </w:r>
    </w:p>
    <w:p>
      <w:pPr>
        <w:pStyle w:val="TextBody"/>
        <w:spacing w:before="180" w:after="0"/>
        <w:rPr>
          <w:rFonts w:ascii="Times New Roman" w:hAnsi="Times New Roman"/>
          <w:sz w:val="20"/>
        </w:rPr>
      </w:pPr>
      <w:r>
        <w:rPr>
          <w:rFonts w:ascii="Times New Roman" w:hAnsi="Times New Roman"/>
          <w:sz w:val="20"/>
        </w:rPr>
        <w:t xml:space="preserve">Because FINRA views our common units as interests in a direct participation program, any offering of common units under the registration statement of which this prospectus forms a part will be made in compliance with Rule 2310 of the FINRA Rules. </w:t>
      </w:r>
    </w:p>
    <w:p>
      <w:pPr>
        <w:pStyle w:val="TextBody"/>
        <w:spacing w:before="180" w:after="0"/>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spacing w:before="180" w:after="0"/>
        <w:rPr>
          <w:rFonts w:ascii="Times New Roman" w:hAnsi="Times New Roman"/>
          <w:sz w:val="20"/>
        </w:rPr>
      </w:pPr>
      <w:r>
        <w:rPr>
          <w:rFonts w:ascii="Times New Roman" w:hAnsi="Times New Roman"/>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1" w:name="rom447729_14"/>
      <w:bookmarkEnd w:id="31"/>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360" w:after="0"/>
        <w:jc w:val="center"/>
        <w:rPr>
          <w:rFonts w:ascii="Times New Roman" w:hAnsi="Times New Roman"/>
          <w:b/>
          <w:sz w:val="20"/>
        </w:rPr>
      </w:pPr>
      <w:bookmarkStart w:id="32" w:name="rom447729_15"/>
      <w:bookmarkEnd w:id="32"/>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p>
      <w:pPr>
        <w:pStyle w:val="TextBody"/>
        <w:spacing w:before="825" w:after="0"/>
        <w:jc w:val="center"/>
        <w:rPr/>
      </w:pPr>
      <w:r>
        <w:rPr/>
        <w:drawing>
          <wp:inline distT="0" distB="0" distL="0" distR="0">
            <wp:extent cx="188595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609600"/>
                    </a:xfrm>
                    <a:prstGeom prst="rect">
                      <a:avLst/>
                    </a:prstGeom>
                  </pic:spPr>
                </pic:pic>
              </a:graphicData>
            </a:graphic>
          </wp:inline>
        </w:drawing>
      </w:r>
      <w:r>
        <w:rPr/>
        <w:t xml:space="preserve"> </w:t>
      </w:r>
    </w:p>
    <w:p>
      <w:pPr>
        <w:pStyle w:val="TextBody"/>
        <w:spacing w:before="210" w:after="0"/>
        <w:jc w:val="center"/>
        <w:rPr>
          <w:rFonts w:ascii="Times New Roman" w:hAnsi="Times New Roman"/>
          <w:b/>
          <w:sz w:val="28"/>
        </w:rPr>
      </w:pPr>
      <w:r>
        <w:rPr>
          <w:rFonts w:ascii="Times New Roman" w:hAnsi="Times New Roman"/>
          <w:b/>
          <w:sz w:val="28"/>
        </w:rPr>
        <w:t xml:space="preserve">$400,000,000 2.85% Senior Notes due 2023 </w:t>
      </w:r>
    </w:p>
    <w:p>
      <w:pPr>
        <w:pStyle w:val="TextBody"/>
        <w:spacing w:before="30" w:after="0"/>
        <w:jc w:val="center"/>
        <w:rPr>
          <w:rFonts w:ascii="Times New Roman" w:hAnsi="Times New Roman"/>
          <w:b/>
          <w:sz w:val="28"/>
        </w:rPr>
      </w:pPr>
      <w:r>
        <w:rPr>
          <w:rFonts w:ascii="Times New Roman" w:hAnsi="Times New Roman"/>
          <w:b/>
          <w:sz w:val="28"/>
        </w:rPr>
        <w:t xml:space="preserve">$350,000,000 4.30% Senior Notes due 2043 </w:t>
      </w:r>
    </w:p>
    <w:p>
      <w:pPr>
        <w:pStyle w:val="TextBody"/>
        <w:spacing w:before="0" w:after="0"/>
        <w:rPr/>
      </w:pPr>
      <w:r>
        <w:rPr/>
        <w:t> </w:t>
      </w:r>
    </w:p>
    <w:p>
      <w:pPr>
        <w:pStyle w:val="TextBody"/>
        <w:pBdr>
          <w:bottom w:val="single" w:sz="3" w:space="1" w:color="000000"/>
        </w:pBdr>
        <w:spacing w:lineRule="atLeast" w:line="141" w:before="0" w:after="30"/>
        <w:jc w:val="center"/>
        <w:rPr/>
      </w:pPr>
      <w:r>
        <w:rPr/>
        <w:t> </w:t>
      </w:r>
    </w:p>
    <w:p>
      <w:pPr>
        <w:pStyle w:val="TextBody"/>
        <w:spacing w:before="15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180" w:after="0"/>
        <w:jc w:val="center"/>
        <w:rPr>
          <w:rFonts w:ascii="Times New Roman" w:hAnsi="Times New Roman"/>
          <w:b/>
          <w:sz w:val="20"/>
        </w:rPr>
      </w:pPr>
      <w:r>
        <w:rPr>
          <w:rFonts w:ascii="Times New Roman" w:hAnsi="Times New Roman"/>
          <w:b/>
          <w:sz w:val="20"/>
        </w:rPr>
        <w:t xml:space="preserve">December 3, 2012 </w:t>
      </w:r>
    </w:p>
    <w:p>
      <w:pPr>
        <w:pStyle w:val="TextBody"/>
        <w:spacing w:before="0" w:after="0"/>
        <w:rPr/>
      </w:pPr>
      <w:r>
        <w:rPr/>
        <w:t> </w:t>
      </w:r>
    </w:p>
    <w:p>
      <w:pPr>
        <w:pStyle w:val="TextBody"/>
        <w:pBdr>
          <w:bottom w:val="single" w:sz="3" w:space="1" w:color="000000"/>
        </w:pBdr>
        <w:spacing w:lineRule="atLeast" w:line="141" w:before="0" w:after="30"/>
        <w:jc w:val="center"/>
        <w:rPr/>
      </w:pPr>
      <w:r>
        <w:rPr/>
        <w:t> </w:t>
      </w:r>
    </w:p>
    <w:p>
      <w:pPr>
        <w:pStyle w:val="TextBody"/>
        <w:spacing w:before="300" w:after="0"/>
        <w:jc w:val="center"/>
        <w:rPr>
          <w:rFonts w:ascii="Times New Roman" w:hAnsi="Times New Roman"/>
          <w:i/>
          <w:sz w:val="20"/>
        </w:rPr>
      </w:pPr>
      <w:r>
        <w:rPr>
          <w:rFonts w:ascii="Times New Roman" w:hAnsi="Times New Roman"/>
          <w:i/>
          <w:sz w:val="20"/>
        </w:rPr>
        <w:t xml:space="preserve">Joint Book-Running Managers </w:t>
      </w:r>
    </w:p>
    <w:p>
      <w:pPr>
        <w:pStyle w:val="TextBody"/>
        <w:spacing w:before="150" w:after="0"/>
        <w:jc w:val="center"/>
        <w:rPr>
          <w:rFonts w:ascii="Times New Roman" w:hAnsi="Times New Roman"/>
          <w:b/>
          <w:sz w:val="28"/>
        </w:rPr>
      </w:pPr>
      <w:r>
        <w:rPr>
          <w:rFonts w:ascii="Times New Roman" w:hAnsi="Times New Roman"/>
          <w:b/>
          <w:sz w:val="28"/>
        </w:rPr>
        <w:t xml:space="preserve">Wells Fargo Securities </w:t>
      </w:r>
    </w:p>
    <w:p>
      <w:pPr>
        <w:pStyle w:val="TextBody"/>
        <w:spacing w:before="0" w:after="0"/>
        <w:jc w:val="center"/>
        <w:rPr>
          <w:rFonts w:ascii="Times New Roman" w:hAnsi="Times New Roman"/>
          <w:b/>
          <w:sz w:val="28"/>
        </w:rPr>
      </w:pPr>
      <w:r>
        <w:rPr>
          <w:rFonts w:ascii="Times New Roman" w:hAnsi="Times New Roman"/>
          <w:b/>
          <w:sz w:val="28"/>
        </w:rPr>
        <w:t xml:space="preserve">Barclays </w:t>
      </w:r>
    </w:p>
    <w:p>
      <w:pPr>
        <w:pStyle w:val="TextBody"/>
        <w:spacing w:before="0" w:after="0"/>
        <w:jc w:val="center"/>
        <w:rPr>
          <w:rFonts w:ascii="Times New Roman" w:hAnsi="Times New Roman"/>
          <w:b/>
          <w:sz w:val="28"/>
        </w:rPr>
      </w:pPr>
      <w:r>
        <w:rPr>
          <w:rFonts w:ascii="Times New Roman" w:hAnsi="Times New Roman"/>
          <w:b/>
          <w:sz w:val="28"/>
        </w:rPr>
        <w:t xml:space="preserve">Citigroup </w:t>
      </w:r>
    </w:p>
    <w:p>
      <w:pPr>
        <w:pStyle w:val="TextBody"/>
        <w:spacing w:before="0" w:after="0"/>
        <w:jc w:val="center"/>
        <w:rPr>
          <w:rFonts w:ascii="Times New Roman" w:hAnsi="Times New Roman"/>
          <w:b/>
          <w:sz w:val="28"/>
        </w:rPr>
      </w:pPr>
      <w:r>
        <w:rPr>
          <w:rFonts w:ascii="Times New Roman" w:hAnsi="Times New Roman"/>
          <w:b/>
          <w:sz w:val="28"/>
        </w:rPr>
        <w:t xml:space="preserve">SunTrust Robinson Humphrey </w:t>
      </w:r>
    </w:p>
    <w:p>
      <w:pPr>
        <w:pStyle w:val="TextBody"/>
        <w:spacing w:before="0" w:after="0"/>
        <w:jc w:val="center"/>
        <w:rPr>
          <w:rFonts w:ascii="Times New Roman" w:hAnsi="Times New Roman"/>
          <w:b/>
          <w:sz w:val="28"/>
        </w:rPr>
      </w:pPr>
      <w:r>
        <w:rPr>
          <w:rFonts w:ascii="Times New Roman" w:hAnsi="Times New Roman"/>
          <w:b/>
          <w:sz w:val="28"/>
        </w:rPr>
        <w:t xml:space="preserve">UBS Investment Bank </w:t>
      </w:r>
    </w:p>
    <w:p>
      <w:pPr>
        <w:pStyle w:val="TextBody"/>
        <w:spacing w:before="180" w:after="0"/>
        <w:jc w:val="center"/>
        <w:rPr>
          <w:rFonts w:ascii="Times New Roman" w:hAnsi="Times New Roman"/>
          <w:sz w:val="20"/>
        </w:rPr>
      </w:pPr>
      <w:r>
        <w:rPr>
          <w:rFonts w:ascii="Times New Roman" w:hAnsi="Times New Roman"/>
          <w:i/>
          <w:sz w:val="20"/>
        </w:rPr>
        <w:t>Co-Managers</w:t>
      </w:r>
      <w:r>
        <w:rPr>
          <w:rFonts w:ascii="Times New Roman" w:hAnsi="Times New Roman"/>
          <w:sz w:val="20"/>
        </w:rPr>
        <w:t xml:space="preserve"> </w:t>
      </w:r>
    </w:p>
    <w:p>
      <w:pPr>
        <w:pStyle w:val="TextBody"/>
        <w:spacing w:before="180" w:after="0"/>
        <w:jc w:val="center"/>
        <w:rPr>
          <w:rFonts w:ascii="Times New Roman" w:hAnsi="Times New Roman"/>
          <w:b/>
          <w:sz w:val="24"/>
        </w:rPr>
      </w:pPr>
      <w:r>
        <w:rPr>
          <w:rFonts w:ascii="Times New Roman" w:hAnsi="Times New Roman"/>
          <w:b/>
          <w:sz w:val="24"/>
        </w:rPr>
        <w:t xml:space="preserve">Mitsubishi UFJ Securities </w:t>
      </w:r>
    </w:p>
    <w:p>
      <w:pPr>
        <w:pStyle w:val="TextBody"/>
        <w:spacing w:before="0" w:after="0"/>
        <w:jc w:val="center"/>
        <w:rPr>
          <w:rFonts w:ascii="Times New Roman" w:hAnsi="Times New Roman"/>
          <w:b/>
          <w:sz w:val="24"/>
        </w:rPr>
      </w:pPr>
      <w:r>
        <w:rPr>
          <w:rFonts w:ascii="Times New Roman" w:hAnsi="Times New Roman"/>
          <w:b/>
          <w:sz w:val="24"/>
        </w:rPr>
        <w:t xml:space="preserve">Scotiabank </w:t>
      </w:r>
    </w:p>
    <w:p>
      <w:pPr>
        <w:pStyle w:val="TextBody"/>
        <w:spacing w:before="0" w:after="0"/>
        <w:jc w:val="center"/>
        <w:rPr>
          <w:rFonts w:ascii="Times New Roman" w:hAnsi="Times New Roman"/>
          <w:b/>
          <w:sz w:val="24"/>
        </w:rPr>
      </w:pPr>
      <w:r>
        <w:rPr>
          <w:rFonts w:ascii="Times New Roman" w:hAnsi="Times New Roman"/>
          <w:b/>
          <w:sz w:val="24"/>
        </w:rPr>
        <w:t xml:space="preserve">SMBC Nikko </w:t>
      </w:r>
    </w:p>
    <w:p>
      <w:pPr>
        <w:pStyle w:val="TextBody"/>
        <w:spacing w:before="0" w:after="0"/>
        <w:jc w:val="center"/>
        <w:rPr>
          <w:rFonts w:ascii="Times New Roman" w:hAnsi="Times New Roman"/>
          <w:b/>
          <w:sz w:val="24"/>
        </w:rPr>
      </w:pPr>
      <w:r>
        <w:rPr>
          <w:rFonts w:ascii="Times New Roman" w:hAnsi="Times New Roman"/>
          <w:b/>
          <w:sz w:val="24"/>
        </w:rPr>
        <w:t xml:space="preserve">SOCIETE GENERALE </w:t>
      </w:r>
    </w:p>
    <w:p>
      <w:pPr>
        <w:pStyle w:val="TextBody"/>
        <w:spacing w:before="0" w:after="0"/>
        <w:jc w:val="center"/>
        <w:rPr>
          <w:rFonts w:ascii="Times New Roman" w:hAnsi="Times New Roman"/>
          <w:b/>
          <w:sz w:val="24"/>
        </w:rPr>
      </w:pPr>
      <w:r>
        <w:rPr>
          <w:rFonts w:ascii="Times New Roman" w:hAnsi="Times New Roman"/>
          <w:b/>
          <w:sz w:val="24"/>
        </w:rPr>
        <w:t xml:space="preserve">BB&amp;T Capital Markets </w:t>
      </w:r>
    </w:p>
    <w:p>
      <w:pPr>
        <w:pStyle w:val="TextBody"/>
        <w:spacing w:before="0" w:after="0"/>
        <w:jc w:val="center"/>
        <w:rPr>
          <w:rFonts w:ascii="Times New Roman" w:hAnsi="Times New Roman"/>
          <w:b/>
          <w:sz w:val="24"/>
        </w:rPr>
      </w:pPr>
      <w:r>
        <w:rPr>
          <w:rFonts w:ascii="Times New Roman" w:hAnsi="Times New Roman"/>
          <w:b/>
          <w:sz w:val="24"/>
        </w:rPr>
        <w:t xml:space="preserve">BMO Capital Markets </w:t>
      </w:r>
    </w:p>
    <w:p>
      <w:pPr>
        <w:pStyle w:val="TextBody"/>
        <w:spacing w:before="0" w:after="0"/>
        <w:jc w:val="center"/>
        <w:rPr>
          <w:rFonts w:ascii="Times New Roman" w:hAnsi="Times New Roman"/>
          <w:b/>
          <w:sz w:val="24"/>
        </w:rPr>
      </w:pPr>
      <w:r>
        <w:rPr>
          <w:rFonts w:ascii="Times New Roman" w:hAnsi="Times New Roman"/>
          <w:b/>
          <w:sz w:val="24"/>
        </w:rPr>
        <w:t xml:space="preserve">CIBC </w:t>
      </w:r>
    </w:p>
    <w:p>
      <w:pPr>
        <w:pStyle w:val="TextBody"/>
        <w:spacing w:before="0" w:after="0"/>
        <w:jc w:val="center"/>
        <w:rPr>
          <w:rFonts w:ascii="Times New Roman" w:hAnsi="Times New Roman"/>
          <w:b/>
          <w:sz w:val="24"/>
        </w:rPr>
      </w:pPr>
      <w:r>
        <w:rPr>
          <w:rFonts w:ascii="Times New Roman" w:hAnsi="Times New Roman"/>
          <w:b/>
          <w:sz w:val="24"/>
        </w:rPr>
        <w:t xml:space="preserve">Fifth Third Securities, Inc. </w:t>
      </w:r>
    </w:p>
    <w:p>
      <w:pPr>
        <w:pStyle w:val="TextBody"/>
        <w:spacing w:before="0" w:after="0"/>
        <w:jc w:val="center"/>
        <w:rPr>
          <w:rFonts w:ascii="Times New Roman" w:hAnsi="Times New Roman"/>
          <w:b/>
          <w:sz w:val="24"/>
        </w:rPr>
      </w:pPr>
      <w:r>
        <w:rPr>
          <w:rFonts w:ascii="Times New Roman" w:hAnsi="Times New Roman"/>
          <w:b/>
          <w:sz w:val="24"/>
        </w:rPr>
        <w:t xml:space="preserve">ING </w:t>
      </w:r>
    </w:p>
    <w:p>
      <w:pPr>
        <w:pStyle w:val="TextBody"/>
        <w:spacing w:before="0" w:after="0"/>
        <w:jc w:val="center"/>
        <w:rPr>
          <w:rFonts w:ascii="Times New Roman" w:hAnsi="Times New Roman"/>
          <w:b/>
          <w:sz w:val="24"/>
        </w:rPr>
      </w:pPr>
      <w:r>
        <w:rPr>
          <w:rFonts w:ascii="Times New Roman" w:hAnsi="Times New Roman"/>
          <w:b/>
          <w:sz w:val="24"/>
        </w:rPr>
        <w:t xml:space="preserve">PNC Capital Markets LLC </w:t>
      </w:r>
    </w:p>
    <w:p>
      <w:pPr>
        <w:pStyle w:val="TextBody"/>
        <w:spacing w:before="0" w:after="0"/>
        <w:jc w:val="center"/>
        <w:rPr>
          <w:rFonts w:ascii="Times New Roman" w:hAnsi="Times New Roman"/>
          <w:b/>
          <w:sz w:val="24"/>
        </w:rPr>
      </w:pPr>
      <w:r>
        <w:rPr>
          <w:rFonts w:ascii="Times New Roman" w:hAnsi="Times New Roman"/>
          <w:b/>
          <w:sz w:val="24"/>
        </w:rPr>
        <w:t xml:space="preserve">US Bancorp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88</Pages>
  <Words>44325</Words>
  <CharactersWithSpaces>272838</CharactersWithSpaces>
  <Paragraphs>3392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Definitive Prospectus Supplement</dc:title>
</cp:coreProperties>
</file>