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1948180</wp:posOffset>
            </wp:positionH>
            <wp:positionV relativeFrom="page">
              <wp:posOffset>311785</wp:posOffset>
            </wp:positionV>
            <wp:extent cx="3660140"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660140" cy="86550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June 15,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ectPr>
          <w:pgSz w:w="11900" w:h="16838" w:orient="portrait"/>
          <w:cols w:equalWidth="0" w:num="1">
            <w:col w:w="11240"/>
          </w:cols>
          <w:pgMar w:left="320" w:top="1440" w:right="3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Plains GP Holdings, L.P.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Fiscal Year Ended December 31, 2021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1,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001-36132</w:t>
      </w:r>
    </w:p>
    <w:p>
      <w:pPr>
        <w:spacing w:after="0" w:line="200" w:lineRule="exact"/>
        <w:rPr>
          <w:sz w:val="24"/>
          <w:szCs w:val="24"/>
          <w:color w:val="auto"/>
        </w:rPr>
      </w:pPr>
    </w:p>
    <w:p>
      <w:pPr>
        <w:sectPr>
          <w:pgSz w:w="11900" w:h="16838" w:orient="portrait"/>
          <w:cols w:equalWidth="0" w:num="2">
            <w:col w:w="280" w:space="380"/>
            <w:col w:w="10580"/>
          </w:cols>
          <w:pgMar w:left="32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Majmudar and Ms. Dorin:</w:t>
      </w:r>
    </w:p>
    <w:p>
      <w:pPr>
        <w:spacing w:after="0" w:line="225"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Plains GP Holdings, L.P.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or “</w:t>
      </w:r>
      <w:r>
        <w:rPr>
          <w:rFonts w:ascii="Arial" w:cs="Arial" w:eastAsia="Arial" w:hAnsi="Arial"/>
          <w:sz w:val="18"/>
          <w:szCs w:val="18"/>
          <w:b w:val="1"/>
          <w:bCs w:val="1"/>
          <w:i w:val="1"/>
          <w:iCs w:val="1"/>
          <w:color w:val="auto"/>
        </w:rPr>
        <w:t>our</w:t>
      </w:r>
      <w:r>
        <w:rPr>
          <w:rFonts w:ascii="Arial" w:cs="Arial" w:eastAsia="Arial" w:hAnsi="Arial"/>
          <w:sz w:val="18"/>
          <w:szCs w:val="18"/>
          <w:color w:val="auto"/>
        </w:rPr>
        <w:t>”) acknowledges receipt of the letter dated June 8, 2022 containing comments of the staff of the Division of Corporation Finance Office of Energy &amp; Transportation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with respect to the Company’s Form 10-K for Fiscal Year Ended December 31, 2021, File No. 001-36132, filed with the Commission on March 1, 2022 (the “</w:t>
      </w:r>
      <w:r>
        <w:rPr>
          <w:rFonts w:ascii="Arial" w:cs="Arial" w:eastAsia="Arial" w:hAnsi="Arial"/>
          <w:sz w:val="18"/>
          <w:szCs w:val="18"/>
          <w:b w:val="1"/>
          <w:bCs w:val="1"/>
          <w:i w:val="1"/>
          <w:iCs w:val="1"/>
          <w:color w:val="auto"/>
        </w:rPr>
        <w:t>Comment Letter</w:t>
      </w:r>
      <w:r>
        <w:rPr>
          <w:rFonts w:ascii="Arial" w:cs="Arial" w:eastAsia="Arial" w:hAnsi="Arial"/>
          <w:sz w:val="18"/>
          <w:szCs w:val="18"/>
          <w:color w:val="auto"/>
        </w:rPr>
        <w:t>”).</w:t>
      </w:r>
    </w:p>
    <w:p>
      <w:pPr>
        <w:spacing w:after="0" w:line="187" w:lineRule="exact"/>
        <w:rPr>
          <w:sz w:val="24"/>
          <w:szCs w:val="24"/>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Comment Letter requests that we respond to the Staff’s comments within ten business days or advise the Staff when we will provide the Staff with our responses. We respectfully request an extension of time to respond to the Comment Letter so that we can devote appropriate time and resources to consider the Staff’s comments and to complete our responses. We expect to provide our responses to the Comment Letter no later than July 8, 2022.</w:t>
      </w:r>
    </w:p>
    <w:p>
      <w:pPr>
        <w:spacing w:after="0" w:line="149" w:lineRule="exact"/>
        <w:rPr>
          <w:sz w:val="24"/>
          <w:szCs w:val="24"/>
          <w:color w:val="auto"/>
        </w:rPr>
      </w:pPr>
    </w:p>
    <w:p>
      <w:pPr>
        <w:ind w:left="4680"/>
        <w:spacing w:after="0"/>
        <w:tabs>
          <w:tab w:leader="none" w:pos="5100" w:val="left"/>
          <w:tab w:leader="none" w:pos="5560" w:val="left"/>
          <w:tab w:leader="none" w:pos="6000" w:val="left"/>
          <w:tab w:leader="none" w:pos="6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Please contact Alan Beck of Vinson &amp; Elkins L.L.P. at (713) 758-3638 if you have any questions with respect to the foregoing.</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PAA GP Holdings LLC, its general partner</w:t>
      </w:r>
    </w:p>
    <w:p>
      <w:pPr>
        <w:spacing w:after="0" w:line="225"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214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11" w:lineRule="exact"/>
        <w:rPr>
          <w:sz w:val="20"/>
          <w:szCs w:val="20"/>
          <w:color w:val="auto"/>
        </w:rPr>
      </w:pPr>
    </w:p>
    <w:p>
      <w:pPr>
        <w:jc w:val="both"/>
        <w:ind w:left="660" w:right="6499" w:hanging="652"/>
        <w:spacing w:after="0" w:line="34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Ann F. Gullion, Plains GP Holdings, L.P. David P. Oelman,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2022-11-07T00:46:18Z</dcterms:created>
  <dcterms:modified xsi:type="dcterms:W3CDTF">2022-11-07T00:46:18Z</dcterms:modified>
</cp:coreProperties>
</file>