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December 31, 2013</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217170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45" w:right="239" w:bottom="853" w:gutter="0" w:footer="0" w:header="0"/>
        </w:sectPr>
      </w:pPr>
    </w:p>
    <w:p>
      <w:pPr>
        <w:spacing w:after="0" w:line="20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1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60" w:space="720"/>
            <w:col w:w="3440"/>
          </w:cols>
          <w:pgMar w:left="240" w:top="445" w:right="239" w:bottom="853"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445" w:right="239" w:bottom="853"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PLAINS GP HOLDINGS, L.P. LONG TERM INCENTIVE PLAN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 McGee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copy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P. Oelman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 Alan Beck, Jr.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Vinson &amp; Elkins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(713) 758-2222</w:t>
      </w:r>
    </w:p>
    <w:p>
      <w:pPr>
        <w:spacing w:after="0" w:line="21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Large accelerated filer o</w:t>
            </w:r>
          </w:p>
        </w:tc>
        <w:tc>
          <w:tcPr>
            <w:tcW w:w="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Accelerated filer o</w:t>
            </w: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Non-accelerated filer x</w:t>
            </w:r>
          </w:p>
        </w:tc>
        <w:tc>
          <w:tcPr>
            <w:tcW w:w="3400" w:type="dxa"/>
            <w:vAlign w:val="bottom"/>
            <w:gridSpan w:val="3"/>
          </w:tcPr>
          <w:p>
            <w:pPr>
              <w:jc w:val="right"/>
              <w:spacing w:after="0"/>
              <w:rPr>
                <w:sz w:val="20"/>
                <w:szCs w:val="20"/>
                <w:color w:val="auto"/>
              </w:rPr>
            </w:pPr>
            <w:r>
              <w:rPr>
                <w:rFonts w:ascii="Arial" w:cs="Arial" w:eastAsia="Arial" w:hAnsi="Arial"/>
                <w:sz w:val="18"/>
                <w:szCs w:val="18"/>
                <w:color w:val="auto"/>
                <w:w w:val="96"/>
              </w:rPr>
              <w:t>(Do not check if smaller reporting company)</w:t>
            </w:r>
          </w:p>
        </w:tc>
        <w:tc>
          <w:tcPr>
            <w:tcW w:w="2020" w:type="dxa"/>
            <w:vAlign w:val="bottom"/>
          </w:tcPr>
          <w:p>
            <w:pPr>
              <w:spacing w:after="0"/>
              <w:rPr>
                <w:sz w:val="20"/>
                <w:szCs w:val="20"/>
                <w:color w:val="auto"/>
              </w:rPr>
            </w:pP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Smaller Reporting Company o</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0" w:type="dxa"/>
            <w:vAlign w:val="bottom"/>
            <w:gridSpan w:val="3"/>
          </w:tcPr>
          <w:p>
            <w:pPr>
              <w:jc w:val="right"/>
              <w:ind w:right="166"/>
              <w:spacing w:after="0"/>
              <w:rPr>
                <w:sz w:val="20"/>
                <w:szCs w:val="20"/>
                <w:color w:val="auto"/>
              </w:rPr>
            </w:pPr>
            <w:r>
              <w:rPr>
                <w:rFonts w:ascii="Arial" w:cs="Arial" w:eastAsia="Arial" w:hAnsi="Arial"/>
                <w:sz w:val="18"/>
                <w:szCs w:val="18"/>
                <w:b w:val="1"/>
                <w:bCs w:val="1"/>
                <w:color w:val="auto"/>
              </w:rPr>
              <w:t>CALCULATION OF REGISTRATION FEE</w:t>
            </w:r>
          </w:p>
        </w:tc>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vMerge w:val="restart"/>
          </w:tcPr>
          <w:p>
            <w:pPr>
              <w:jc w:val="center"/>
              <w:ind w:left="739"/>
              <w:spacing w:after="0"/>
              <w:rPr>
                <w:sz w:val="20"/>
                <w:szCs w:val="20"/>
                <w:color w:val="auto"/>
              </w:rPr>
            </w:pPr>
            <w:r>
              <w:rPr>
                <w:rFonts w:ascii="Arial" w:cs="Arial" w:eastAsia="Arial" w:hAnsi="Arial"/>
                <w:sz w:val="14"/>
                <w:szCs w:val="14"/>
                <w:b w:val="1"/>
                <w:bCs w:val="1"/>
                <w:color w:val="auto"/>
                <w:w w:val="92"/>
              </w:rPr>
              <w:t>Title of securities</w:t>
            </w:r>
          </w:p>
        </w:tc>
        <w:tc>
          <w:tcPr>
            <w:tcW w:w="820" w:type="dxa"/>
            <w:vAlign w:val="bottom"/>
          </w:tcPr>
          <w:p>
            <w:pPr>
              <w:spacing w:after="0"/>
              <w:rPr>
                <w:sz w:val="9"/>
                <w:szCs w:val="9"/>
                <w:color w:val="auto"/>
              </w:rPr>
            </w:pPr>
          </w:p>
        </w:tc>
        <w:tc>
          <w:tcPr>
            <w:tcW w:w="2100" w:type="dxa"/>
            <w:vAlign w:val="bottom"/>
            <w:vMerge w:val="restart"/>
          </w:tcPr>
          <w:p>
            <w:pPr>
              <w:jc w:val="center"/>
              <w:ind w:left="177"/>
              <w:spacing w:after="0"/>
              <w:rPr>
                <w:sz w:val="20"/>
                <w:szCs w:val="20"/>
                <w:color w:val="auto"/>
              </w:rPr>
            </w:pPr>
            <w:r>
              <w:rPr>
                <w:rFonts w:ascii="Arial" w:cs="Arial" w:eastAsia="Arial" w:hAnsi="Arial"/>
                <w:sz w:val="14"/>
                <w:szCs w:val="14"/>
                <w:b w:val="1"/>
                <w:bCs w:val="1"/>
                <w:color w:val="auto"/>
                <w:w w:val="93"/>
              </w:rPr>
              <w:t>Amount to be</w:t>
            </w:r>
          </w:p>
        </w:tc>
        <w:tc>
          <w:tcPr>
            <w:tcW w:w="480" w:type="dxa"/>
            <w:vAlign w:val="bottom"/>
          </w:tcPr>
          <w:p>
            <w:pPr>
              <w:spacing w:after="0"/>
              <w:rPr>
                <w:sz w:val="9"/>
                <w:szCs w:val="9"/>
                <w:color w:val="auto"/>
              </w:rPr>
            </w:pPr>
          </w:p>
        </w:tc>
        <w:tc>
          <w:tcPr>
            <w:tcW w:w="2020" w:type="dxa"/>
            <w:vAlign w:val="bottom"/>
          </w:tcPr>
          <w:p>
            <w:pPr>
              <w:jc w:val="center"/>
              <w:ind w:right="726"/>
              <w:spacing w:after="0" w:line="106" w:lineRule="exact"/>
              <w:rPr>
                <w:sz w:val="20"/>
                <w:szCs w:val="20"/>
                <w:color w:val="auto"/>
              </w:rPr>
            </w:pPr>
            <w:r>
              <w:rPr>
                <w:rFonts w:ascii="Arial" w:cs="Arial" w:eastAsia="Arial" w:hAnsi="Arial"/>
                <w:sz w:val="12"/>
                <w:szCs w:val="12"/>
                <w:b w:val="1"/>
                <w:bCs w:val="1"/>
                <w:color w:val="auto"/>
              </w:rPr>
              <w:t>Proposed</w:t>
            </w:r>
          </w:p>
        </w:tc>
        <w:tc>
          <w:tcPr>
            <w:tcW w:w="2180" w:type="dxa"/>
            <w:vAlign w:val="bottom"/>
          </w:tcPr>
          <w:p>
            <w:pPr>
              <w:jc w:val="center"/>
              <w:ind w:right="703"/>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20" w:type="dxa"/>
            <w:vAlign w:val="bottom"/>
          </w:tcPr>
          <w:p>
            <w:pPr>
              <w:jc w:val="center"/>
              <w:ind w:right="726"/>
              <w:spacing w:after="0" w:line="149" w:lineRule="exact"/>
              <w:rPr>
                <w:sz w:val="20"/>
                <w:szCs w:val="20"/>
                <w:color w:val="auto"/>
              </w:rPr>
            </w:pPr>
            <w:r>
              <w:rPr>
                <w:rFonts w:ascii="Arial" w:cs="Arial" w:eastAsia="Arial" w:hAnsi="Arial"/>
                <w:sz w:val="14"/>
                <w:szCs w:val="14"/>
                <w:b w:val="1"/>
                <w:bCs w:val="1"/>
                <w:color w:val="auto"/>
                <w:w w:val="93"/>
              </w:rPr>
              <w:t>maximum offering</w:t>
            </w:r>
          </w:p>
        </w:tc>
        <w:tc>
          <w:tcPr>
            <w:tcW w:w="2180" w:type="dxa"/>
            <w:vAlign w:val="bottom"/>
          </w:tcPr>
          <w:p>
            <w:pPr>
              <w:jc w:val="center"/>
              <w:ind w:right="703"/>
              <w:spacing w:after="0" w:line="149" w:lineRule="exact"/>
              <w:rPr>
                <w:sz w:val="20"/>
                <w:szCs w:val="20"/>
                <w:color w:val="auto"/>
              </w:rPr>
            </w:pPr>
            <w:r>
              <w:rPr>
                <w:rFonts w:ascii="Arial" w:cs="Arial" w:eastAsia="Arial" w:hAnsi="Arial"/>
                <w:sz w:val="14"/>
                <w:szCs w:val="14"/>
                <w:b w:val="1"/>
                <w:bCs w:val="1"/>
                <w:color w:val="auto"/>
                <w:w w:val="91"/>
              </w:rPr>
              <w:t>maximum 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Borders>
              <w:bottom w:val="single" w:sz="8" w:color="auto"/>
            </w:tcBorders>
          </w:tcPr>
          <w:p>
            <w:pPr>
              <w:jc w:val="center"/>
              <w:ind w:left="739"/>
              <w:spacing w:after="0"/>
              <w:rPr>
                <w:sz w:val="20"/>
                <w:szCs w:val="20"/>
                <w:color w:val="auto"/>
              </w:rPr>
            </w:pPr>
            <w:r>
              <w:rPr>
                <w:rFonts w:ascii="Arial" w:cs="Arial" w:eastAsia="Arial" w:hAnsi="Arial"/>
                <w:sz w:val="14"/>
                <w:szCs w:val="14"/>
                <w:b w:val="1"/>
                <w:bCs w:val="1"/>
                <w:color w:val="auto"/>
                <w:w w:val="89"/>
              </w:rPr>
              <w:t>to be registered</w:t>
            </w:r>
          </w:p>
        </w:tc>
        <w:tc>
          <w:tcPr>
            <w:tcW w:w="8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center"/>
              <w:ind w:left="157"/>
              <w:spacing w:after="0"/>
              <w:rPr>
                <w:sz w:val="20"/>
                <w:szCs w:val="20"/>
                <w:color w:val="auto"/>
              </w:rPr>
            </w:pPr>
            <w:r>
              <w:rPr>
                <w:rFonts w:ascii="Arial" w:cs="Arial" w:eastAsia="Arial" w:hAnsi="Arial"/>
                <w:sz w:val="14"/>
                <w:szCs w:val="14"/>
                <w:b w:val="1"/>
                <w:bCs w:val="1"/>
                <w:color w:val="auto"/>
                <w:w w:val="92"/>
              </w:rPr>
              <w:t>registered (1)</w:t>
            </w:r>
          </w:p>
        </w:tc>
        <w:tc>
          <w:tcPr>
            <w:tcW w:w="4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ind w:right="746"/>
              <w:spacing w:after="0"/>
              <w:rPr>
                <w:sz w:val="20"/>
                <w:szCs w:val="20"/>
                <w:color w:val="auto"/>
              </w:rPr>
            </w:pPr>
            <w:r>
              <w:rPr>
                <w:rFonts w:ascii="Arial" w:cs="Arial" w:eastAsia="Arial" w:hAnsi="Arial"/>
                <w:sz w:val="14"/>
                <w:szCs w:val="14"/>
                <w:b w:val="1"/>
                <w:bCs w:val="1"/>
                <w:color w:val="auto"/>
                <w:w w:val="94"/>
              </w:rPr>
              <w:t>price per unit</w:t>
            </w:r>
          </w:p>
        </w:tc>
        <w:tc>
          <w:tcPr>
            <w:tcW w:w="2180" w:type="dxa"/>
            <w:vAlign w:val="bottom"/>
            <w:tcBorders>
              <w:bottom w:val="single" w:sz="8" w:color="auto"/>
            </w:tcBorders>
          </w:tcPr>
          <w:p>
            <w:pPr>
              <w:jc w:val="center"/>
              <w:ind w:right="703"/>
              <w:spacing w:after="0"/>
              <w:rPr>
                <w:sz w:val="20"/>
                <w:szCs w:val="20"/>
                <w:color w:val="auto"/>
              </w:rPr>
            </w:pPr>
            <w:r>
              <w:rPr>
                <w:rFonts w:ascii="Arial" w:cs="Arial" w:eastAsia="Arial" w:hAnsi="Arial"/>
                <w:sz w:val="14"/>
                <w:szCs w:val="14"/>
                <w:b w:val="1"/>
                <w:bCs w:val="1"/>
                <w:color w:val="auto"/>
                <w:w w:val="93"/>
              </w:rPr>
              <w:t>offering price</w:t>
            </w: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60" w:type="dxa"/>
            <w:vAlign w:val="bottom"/>
            <w:gridSpan w:val="2"/>
          </w:tcPr>
          <w:p>
            <w:pPr>
              <w:spacing w:after="0" w:line="195" w:lineRule="exact"/>
              <w:rPr>
                <w:sz w:val="20"/>
                <w:szCs w:val="20"/>
                <w:color w:val="auto"/>
              </w:rPr>
            </w:pPr>
            <w:r>
              <w:rPr>
                <w:rFonts w:ascii="Arial" w:cs="Arial" w:eastAsia="Arial" w:hAnsi="Arial"/>
                <w:sz w:val="18"/>
                <w:szCs w:val="18"/>
                <w:color w:val="auto"/>
              </w:rPr>
              <w:t>Class A shares, representing limited</w:t>
            </w:r>
          </w:p>
        </w:tc>
        <w:tc>
          <w:tcPr>
            <w:tcW w:w="2100" w:type="dxa"/>
            <w:vAlign w:val="bottom"/>
          </w:tcPr>
          <w:p>
            <w:pPr>
              <w:jc w:val="center"/>
              <w:ind w:left="177"/>
              <w:spacing w:after="0" w:line="195" w:lineRule="exact"/>
              <w:rPr>
                <w:sz w:val="20"/>
                <w:szCs w:val="20"/>
                <w:color w:val="auto"/>
              </w:rPr>
            </w:pPr>
            <w:r>
              <w:rPr>
                <w:rFonts w:ascii="Arial" w:cs="Arial" w:eastAsia="Arial" w:hAnsi="Arial"/>
                <w:sz w:val="18"/>
                <w:szCs w:val="18"/>
                <w:color w:val="auto"/>
                <w:w w:val="89"/>
              </w:rPr>
              <w:t>10,000,000 Class A</w:t>
            </w:r>
          </w:p>
        </w:tc>
        <w:tc>
          <w:tcPr>
            <w:tcW w:w="4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partner interests</w:t>
            </w:r>
          </w:p>
        </w:tc>
        <w:tc>
          <w:tcPr>
            <w:tcW w:w="820" w:type="dxa"/>
            <w:vAlign w:val="bottom"/>
          </w:tcPr>
          <w:p>
            <w:pPr>
              <w:spacing w:after="0"/>
              <w:rPr>
                <w:sz w:val="20"/>
                <w:szCs w:val="20"/>
                <w:color w:val="auto"/>
              </w:rPr>
            </w:pPr>
          </w:p>
        </w:tc>
        <w:tc>
          <w:tcPr>
            <w:tcW w:w="2100" w:type="dxa"/>
            <w:vAlign w:val="bottom"/>
          </w:tcPr>
          <w:p>
            <w:pPr>
              <w:jc w:val="center"/>
              <w:ind w:left="177"/>
              <w:spacing w:after="0"/>
              <w:rPr>
                <w:sz w:val="20"/>
                <w:szCs w:val="20"/>
                <w:color w:val="auto"/>
              </w:rPr>
            </w:pPr>
            <w:r>
              <w:rPr>
                <w:rFonts w:ascii="Arial" w:cs="Arial" w:eastAsia="Arial" w:hAnsi="Arial"/>
                <w:sz w:val="18"/>
                <w:szCs w:val="18"/>
                <w:color w:val="auto"/>
                <w:w w:val="81"/>
              </w:rPr>
              <w:t>shares</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25.875(2)  $</w:t>
            </w:r>
          </w:p>
        </w:tc>
        <w:tc>
          <w:tcPr>
            <w:tcW w:w="2180" w:type="dxa"/>
            <w:vAlign w:val="bottom"/>
          </w:tcPr>
          <w:p>
            <w:pPr>
              <w:jc w:val="right"/>
              <w:ind w:right="63"/>
              <w:spacing w:after="0"/>
              <w:rPr>
                <w:sz w:val="20"/>
                <w:szCs w:val="20"/>
                <w:color w:val="auto"/>
              </w:rPr>
            </w:pPr>
            <w:r>
              <w:rPr>
                <w:rFonts w:ascii="Arial" w:cs="Arial" w:eastAsia="Arial" w:hAnsi="Arial"/>
                <w:sz w:val="18"/>
                <w:szCs w:val="18"/>
                <w:color w:val="auto"/>
              </w:rPr>
              <w:t>258,750,000(2)  $</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33,327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ind w:left="400" w:right="380" w:hanging="392"/>
        <w:spacing w:after="0" w:line="342" w:lineRule="auto"/>
        <w:tabs>
          <w:tab w:leader="none" w:pos="411"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there are also being registered such additional Class A shares as may become issuable pursuant to the adjustment provisions of the Plains GP Holdings, L.P. Long Term Incentive Plan (the “Plan”).</w:t>
      </w:r>
    </w:p>
    <w:p>
      <w:pPr>
        <w:spacing w:after="0" w:line="123" w:lineRule="exact"/>
        <w:rPr>
          <w:rFonts w:ascii="Arial" w:cs="Arial" w:eastAsia="Arial" w:hAnsi="Arial"/>
          <w:sz w:val="16"/>
          <w:szCs w:val="16"/>
          <w:color w:val="auto"/>
        </w:rPr>
      </w:pPr>
    </w:p>
    <w:p>
      <w:pPr>
        <w:ind w:left="420" w:right="120" w:hanging="358"/>
        <w:spacing w:after="0" w:line="264" w:lineRule="auto"/>
        <w:tabs>
          <w:tab w:leader="none" w:pos="427" w:val="left"/>
        </w:tabs>
        <w:numPr>
          <w:ilvl w:val="1"/>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Rules 457(c) and 457(h) under the Securities Act. The price for the 10,000,000 Class A shares being registered hereby is based on a price of $25.875, which is the average of the high and low prices per Class A share of Plains GP Holdings, L.P. as reported by the New York Stock Exchange on December 23,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-843915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5" w:right="239" w:bottom="853"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Plains GP Holdings, L.P. (the “Registrant”) will send or give to all participants in the Plan the document(s) containing information required by Part I of Form S-8, as specified in Rule 428(b)(1) promulgated by the Securities and Exchange Commission (the “Commission”) under the Securities Act of 1933, as amended (the “Securities Act”). The Registrant has not filed such document(s) with the Commission, but such documents (along with the documents incorporated by reference into this Form S-8 Registration Statement (the “Registration Statement”) pursuant to Item 3 of Part II hereof) shall constitute a prospectus that meets the requirements of Section 10(a) of the Securities Act.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to the extent that information is deemed furnished and not filed pursuant to securities laws and regulations, the Registrant hereby incorporates by reference into this Registration Statement the following documents:</w:t>
      </w:r>
    </w:p>
    <w:p>
      <w:pPr>
        <w:spacing w:after="0" w:line="170" w:lineRule="exact"/>
        <w:rPr>
          <w:sz w:val="20"/>
          <w:szCs w:val="20"/>
          <w:color w:val="auto"/>
        </w:rPr>
      </w:pPr>
    </w:p>
    <w:p>
      <w:pPr>
        <w:ind w:right="580" w:firstLine="656"/>
        <w:spacing w:after="0" w:line="277" w:lineRule="auto"/>
        <w:tabs>
          <w:tab w:leader="none" w:pos="129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prospectus filed pursuant to Rule 424(b) under the Securities Act (File No. 333-190227) relating to the Registrant’s Registration Statement on Form S-1, filed with the Commission on October 16, 2013.</w:t>
      </w:r>
    </w:p>
    <w:p>
      <w:pPr>
        <w:spacing w:after="0" w:line="170" w:lineRule="exact"/>
        <w:rPr>
          <w:rFonts w:ascii="Arial" w:cs="Arial" w:eastAsia="Arial" w:hAnsi="Arial"/>
          <w:sz w:val="18"/>
          <w:szCs w:val="18"/>
          <w:color w:val="auto"/>
        </w:rPr>
      </w:pPr>
    </w:p>
    <w:p>
      <w:pPr>
        <w:ind w:right="80" w:firstLine="656"/>
        <w:spacing w:after="0" w:line="277" w:lineRule="auto"/>
        <w:tabs>
          <w:tab w:leader="none" w:pos="1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 No. 001-36132) filed with the Commission on October 21, 2013 (Items 1.01 and 9.01) and October 25, 2013 (Items 1.01, 2.01, 3.02, 5.02, 5.03 and 9.01).</w:t>
      </w:r>
    </w:p>
    <w:p>
      <w:pPr>
        <w:spacing w:after="0" w:line="170" w:lineRule="exact"/>
        <w:rPr>
          <w:rFonts w:ascii="Arial" w:cs="Arial" w:eastAsia="Arial" w:hAnsi="Arial"/>
          <w:sz w:val="18"/>
          <w:szCs w:val="18"/>
          <w:color w:val="auto"/>
        </w:rPr>
      </w:pPr>
    </w:p>
    <w:p>
      <w:pPr>
        <w:ind w:right="140" w:firstLine="656"/>
        <w:spacing w:after="0" w:line="264" w:lineRule="auto"/>
        <w:tabs>
          <w:tab w:leader="none" w:pos="130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Class A shares, representing limited partner interests, contained in the Registrant’s Registration Statement on Form 8-A (File No. 001-36132) filed with the Commission on October 15, 2013, pursuant to Section 12(b) of the Exchange Act, including any amendment or report filed for the purpose of updating such description.</w:t>
      </w:r>
    </w:p>
    <w:p>
      <w:pPr>
        <w:spacing w:after="0" w:line="181"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Except to the extent that information is deemed furnished and not filed pursuant to securities laws and regulations, all documents filed by the Registrant pursuant to Sections 13(a), 13(c), 14 and 15(d) of the Exchange Act subsequent to the date hereof and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 from and against all claims and demands whatsoever. The partnership agreement of the Registrant provides that the Registrant will indemnify (1) PAA GP Holdings LLC (the “Company”), as its general partner, (2) any departing general partner of the Registrant (a “Departing GP”),</w:t>
      </w:r>
    </w:p>
    <w:p>
      <w:pPr>
        <w:ind w:right="180" w:firstLine="8"/>
        <w:spacing w:after="0" w:line="30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of the owners of the membership interests of the Company (an “Existing Owner”), (4) any person holding a 10% or greater ownership interest in the issued and outstanding limited partners interests of Plains AAP, L.P. (a “Qualifying Interest Holder”), (5) any person who is or was an affiliate of the Company, a Departing GP, an Existing Owner or a Qualifying Interest Holder (6) any person who is or was a managing member, manager, general partner,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director, officer, fiduciary, agent or trustee of the Registrant, any of its subsidiaries, the Company, a Departing GP, an Existing Owner or a Qualifying Interest Holder, or any affiliate of any of the foregoing, (7) any person who is or was serving at the request of the Company, a Departing GP, an Existing Owner or a Qualifying Interest Holder, or any affiliate of the Company, a Departing GP, an Existing Owner or a Qualifying Interest Holder as a member, manager, partner, director, officer, fiduciary, agent or trustee of another person (provided, that such a person shall not be an indemnitee by reason of providing, on a fee-for-services basis, trustee, fiduciary or custodial services), and (8) any person the Company designates as an indemnitee (each, an “Indemnitee”) to the fullest extent permitted by law (subject to the limitations expressed in the Partnership Agreement)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unless there has been a final and non-appealable judgment entered by a court of competent jurisdiction determining that, in respect of the matter for which the Indemnitee is seeking indemnification, the Indemnitee acted in bad faith or engaged in fraud, willful misconduct, or in the case of a criminal matter, acted with knowledge that the Indemnitee’s conduct was unlawful.</w:t>
      </w:r>
    </w:p>
    <w:p>
      <w:pPr>
        <w:spacing w:after="0" w:line="180"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Any indemnification under these provisions will be only out of the assets of the Registrant, and the Company shall not be personally liable for, or have any obligation to contribute or loan funds or assets to the Registrant to enable it to effectuate, such indemnification. The Registrant is authorized to purchase (or to reimburse the general partner or its affiliates for the cost of) insurance against liabilities asserted against and expenses incurred by such persons in connection with the Registrant’s activities, regardless of whether the Registrant would have the power to indemnify such person against such liabilities under the provisions described above.</w:t>
      </w:r>
    </w:p>
    <w:p>
      <w:pPr>
        <w:sectPr>
          <w:pgSz w:w="11900" w:h="16838" w:orient="portrait"/>
          <w:cols w:equalWidth="0" w:num="1">
            <w:col w:w="11420"/>
          </w:cols>
          <w:pgMar w:left="240" w:top="121" w:right="239" w:bottom="0" w:gutter="0" w:footer="0" w:header="0"/>
        </w:sectPr>
      </w:pPr>
    </w:p>
    <w:bookmarkStart w:id="2" w:name="page3"/>
    <w:bookmarkEnd w:id="2"/>
    <w:p>
      <w:pPr>
        <w:spacing w:after="0" w:line="2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the Company provides for the indemnification of (i) any Existing Owner or Qualifying Interest Holder (ii) any person who is or was an affiliate of the Company, any Existing Owner or any Qualifying Interest Holder, (iii) any person who is or was a managing member, manager, general partner, shareholder, director, officer, fiduciary, agent or trustee of the Company, any Existing Owner or any Qualifying Interest Holder or any affiliate of the Company, any Existing Owner or any Qualifying Interest Holder, (iv) any person 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the Company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person shall not be an indemnitee by reason of providing, on a fee-for-services basis, trustee, fiduciary or custodial services, and (v) any person the Board designates an indemnitee (each, a “Company Indemnitee”)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Company Indemnitee may be involved, or threatened to be involved, as a party or otherwise, by reason of his, her or its status as a Compay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Company Indemnitee acted in good faith and in a manner he or she subjectively believed to be in, or not opposed to, the interests of the Company and with respect to any criminal proceeding, had no reason to believe his, her or its conduct was unlawful. Expenses incurred by a Company Indemnitee in defending any such claim, demand, action, suit or proceeding will, from time to time, be advanced by the Company prior to the final disposition of such claim, demand, action, suit or proceeding upon receipt by the Company of an undertaking by or on behalf of the Company Indemnitee to repay such amounts if it is ultimately determined that the Company Indemnitee is not entitled to be indemnified. The Company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Unless otherwise indicated below as being incorporated by reference to another filing of the Registrant with the Commission, each of the exhibits listed below in the Exhibit Index is filed herewith.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980" w:right="40" w:firstLine="325"/>
        <w:spacing w:after="0" w:line="272" w:lineRule="auto"/>
        <w:tabs>
          <w:tab w:leader="none" w:pos="1614"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980" w:right="260" w:firstLine="325"/>
        <w:spacing w:after="0" w:line="277" w:lineRule="auto"/>
        <w:tabs>
          <w:tab w:leader="none" w:pos="166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720" w:right="140"/>
        <w:spacing w:after="0" w:line="26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181" w:lineRule="exact"/>
        <w:rPr>
          <w:sz w:val="20"/>
          <w:szCs w:val="20"/>
          <w:color w:val="auto"/>
        </w:rPr>
      </w:pPr>
    </w:p>
    <w:p>
      <w:pPr>
        <w:ind w:left="660" w:right="20" w:firstLine="320"/>
        <w:spacing w:after="0" w:line="264" w:lineRule="auto"/>
        <w:tabs>
          <w:tab w:leader="none" w:pos="1284"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1" w:lineRule="exact"/>
        <w:rPr>
          <w:rFonts w:ascii="Arial" w:cs="Arial" w:eastAsia="Arial" w:hAnsi="Arial"/>
          <w:sz w:val="18"/>
          <w:szCs w:val="18"/>
          <w:color w:val="auto"/>
        </w:rPr>
      </w:pPr>
    </w:p>
    <w:p>
      <w:pPr>
        <w:ind w:left="660" w:right="440" w:firstLine="320"/>
        <w:spacing w:after="0" w:line="277" w:lineRule="auto"/>
        <w:tabs>
          <w:tab w:leader="none" w:pos="128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40" w:firstLine="316"/>
        <w:spacing w:after="0" w:line="257"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8" w:lineRule="exact"/>
        <w:rPr>
          <w:rFonts w:ascii="Arial" w:cs="Arial" w:eastAsia="Arial" w:hAnsi="Arial"/>
          <w:sz w:val="18"/>
          <w:szCs w:val="18"/>
          <w:color w:val="auto"/>
        </w:rPr>
      </w:pPr>
    </w:p>
    <w:p>
      <w:pPr>
        <w:ind w:left="340" w:firstLine="316"/>
        <w:spacing w:after="0" w:line="293" w:lineRule="auto"/>
        <w:tabs>
          <w:tab w:leader="none" w:pos="95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w:t>
      </w:r>
    </w:p>
    <w:p>
      <w:pPr>
        <w:sectPr>
          <w:pgSz w:w="11900" w:h="16867" w:orient="portrait"/>
          <w:cols w:equalWidth="0" w:num="1">
            <w:col w:w="11400"/>
          </w:cols>
          <w:pgMar w:left="240" w:top="125" w:right="259" w:bottom="0" w:gutter="0" w:footer="0" w:header="0"/>
        </w:sectPr>
      </w:pPr>
    </w:p>
    <w:bookmarkStart w:id="3" w:name="page4"/>
    <w:bookmarkEnd w:id="3"/>
    <w:p>
      <w:pPr>
        <w:spacing w:after="0" w:line="18"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jurisdiction the question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December 31, 2013.</w:t>
      </w:r>
    </w:p>
    <w:p>
      <w:pPr>
        <w:spacing w:after="0" w:line="17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 PAA GP HOLDINGS LLC, its general partner</w:t>
      </w:r>
    </w:p>
    <w:p>
      <w:pPr>
        <w:spacing w:after="0" w:line="225" w:lineRule="exact"/>
        <w:rPr>
          <w:sz w:val="20"/>
          <w:szCs w:val="20"/>
          <w:color w:val="auto"/>
        </w:rPr>
      </w:pPr>
    </w:p>
    <w:p>
      <w:pPr>
        <w:ind w:left="5780"/>
        <w:spacing w:after="0"/>
        <w:tabs>
          <w:tab w:leader="none" w:pos="6260" w:val="left"/>
        </w:tabs>
        <w:rPr>
          <w:sz w:val="20"/>
          <w:szCs w:val="20"/>
          <w:color w:val="auto"/>
        </w:rPr>
      </w:pPr>
      <w:r>
        <w:rPr>
          <w:rFonts w:ascii="Arial" w:cs="Arial" w:eastAsia="Arial" w:hAnsi="Arial"/>
          <w:sz w:val="18"/>
          <w:szCs w:val="18"/>
          <w:color w:val="auto"/>
        </w:rPr>
        <w:t>By:</w:t>
        <w:tab/>
        <w:t>/s/ Greg L. Armstrong</w:t>
      </w:r>
    </w:p>
    <w:p>
      <w:pPr>
        <w:spacing w:after="0" w:line="23" w:lineRule="exact"/>
        <w:rPr>
          <w:sz w:val="20"/>
          <w:szCs w:val="20"/>
          <w:color w:val="auto"/>
        </w:rPr>
      </w:pPr>
    </w:p>
    <w:tbl>
      <w:tblPr>
        <w:tblLayout w:type="fixed"/>
        <w:tblInd w:w="6280" w:type="dxa"/>
        <w:tblCellMar>
          <w:top w:w="0" w:type="dxa"/>
          <w:left w:w="0" w:type="dxa"/>
          <w:bottom w:w="0" w:type="dxa"/>
          <w:right w:w="0" w:type="dxa"/>
        </w:tblCellMar>
      </w:tblPr>
      <w:tr>
        <w:trPr>
          <w:trHeight w:val="195"/>
        </w:trPr>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Greg L. Armstrong</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80"/>
              <w:spacing w:after="0"/>
              <w:rPr>
                <w:sz w:val="20"/>
                <w:szCs w:val="20"/>
                <w:color w:val="auto"/>
              </w:rPr>
            </w:pPr>
            <w:r>
              <w:rPr>
                <w:rFonts w:ascii="Arial" w:cs="Arial" w:eastAsia="Arial" w:hAnsi="Arial"/>
                <w:sz w:val="18"/>
                <w:szCs w:val="18"/>
                <w:i w:val="1"/>
                <w:iCs w:val="1"/>
                <w:color w:val="auto"/>
              </w:rPr>
              <w:t>Chief Executive Officer and</w:t>
            </w:r>
          </w:p>
        </w:tc>
      </w:tr>
      <w:tr>
        <w:trPr>
          <w:trHeight w:val="230"/>
        </w:trPr>
        <w:tc>
          <w:tcPr>
            <w:tcW w:w="740" w:type="dxa"/>
            <w:vAlign w:val="bottom"/>
          </w:tcPr>
          <w:p>
            <w:pPr>
              <w:spacing w:after="0"/>
              <w:rPr>
                <w:sz w:val="20"/>
                <w:szCs w:val="20"/>
                <w:color w:val="auto"/>
              </w:rPr>
            </w:pPr>
          </w:p>
        </w:tc>
        <w:tc>
          <w:tcPr>
            <w:tcW w:w="4400" w:type="dxa"/>
            <w:vAlign w:val="bottom"/>
          </w:tcPr>
          <w:p>
            <w:pPr>
              <w:ind w:left="280"/>
              <w:spacing w:after="0"/>
              <w:rPr>
                <w:sz w:val="20"/>
                <w:szCs w:val="20"/>
                <w:color w:val="auto"/>
              </w:rPr>
            </w:pPr>
            <w:r>
              <w:rPr>
                <w:rFonts w:ascii="Arial" w:cs="Arial" w:eastAsia="Arial" w:hAnsi="Arial"/>
                <w:sz w:val="18"/>
                <w:szCs w:val="18"/>
                <w:i w:val="1"/>
                <w:iCs w:val="1"/>
                <w:color w:val="auto"/>
              </w:rPr>
              <w:t>Chairman of the Board</w:t>
            </w: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Each person whose signature appears below hereby constitutes and appoints Greg L. Armstrong, Al Swanson and Richard McGee,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or otherwise) and to file the same, with all exhibits thereto, and the other documents in connection therewith, with the Securities and Exchange Commission, and hereby grants to such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or substitutes, may lawfully do or cause to be done by virtue hereof.</w:t>
      </w:r>
    </w:p>
    <w:p>
      <w:pPr>
        <w:spacing w:after="0" w:line="16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center"/>
              <w:ind w:right="1290"/>
              <w:spacing w:after="0"/>
              <w:rPr>
                <w:sz w:val="20"/>
                <w:szCs w:val="20"/>
                <w:color w:val="auto"/>
              </w:rPr>
            </w:pPr>
            <w:r>
              <w:rPr>
                <w:rFonts w:ascii="Arial" w:cs="Arial" w:eastAsia="Arial" w:hAnsi="Arial"/>
                <w:sz w:val="14"/>
                <w:szCs w:val="14"/>
                <w:b w:val="1"/>
                <w:bCs w:val="1"/>
                <w:color w:val="auto"/>
                <w:w w:val="89"/>
              </w:rPr>
              <w:t>Signature</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5"/>
          </w:tcPr>
          <w:p>
            <w:pPr>
              <w:jc w:val="center"/>
              <w:ind w:right="1540"/>
              <w:spacing w:after="0"/>
              <w:rPr>
                <w:sz w:val="20"/>
                <w:szCs w:val="20"/>
                <w:color w:val="auto"/>
              </w:rPr>
            </w:pPr>
            <w:r>
              <w:rPr>
                <w:rFonts w:ascii="Arial" w:cs="Arial" w:eastAsia="Arial" w:hAnsi="Arial"/>
                <w:sz w:val="18"/>
                <w:szCs w:val="18"/>
                <w:color w:val="auto"/>
                <w:w w:val="92"/>
              </w:rPr>
              <w:t>/s/ Greg L. Armstrong</w:t>
            </w:r>
          </w:p>
        </w:tc>
        <w:tc>
          <w:tcPr>
            <w:tcW w:w="4980" w:type="dxa"/>
            <w:vAlign w:val="bottom"/>
            <w:gridSpan w:val="2"/>
            <w:vMerge w:val="restart"/>
          </w:tcPr>
          <w:p>
            <w:pPr>
              <w:jc w:val="center"/>
              <w:ind w:right="660"/>
              <w:spacing w:after="0"/>
              <w:rPr>
                <w:sz w:val="20"/>
                <w:szCs w:val="20"/>
                <w:color w:val="auto"/>
              </w:rPr>
            </w:pPr>
            <w:r>
              <w:rPr>
                <w:rFonts w:ascii="Arial" w:cs="Arial" w:eastAsia="Arial" w:hAnsi="Arial"/>
                <w:sz w:val="18"/>
                <w:szCs w:val="18"/>
                <w:color w:val="auto"/>
                <w:w w:val="92"/>
              </w:rPr>
              <w:t>Chief Executive Officer and Chairman of the Board</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31,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3"/>
          </w:tcPr>
          <w:p>
            <w:pPr>
              <w:jc w:val="center"/>
              <w:ind w:right="810"/>
              <w:spacing w:after="0" w:line="182" w:lineRule="exact"/>
              <w:rPr>
                <w:sz w:val="20"/>
                <w:szCs w:val="20"/>
                <w:color w:val="auto"/>
              </w:rPr>
            </w:pPr>
            <w:r>
              <w:rPr>
                <w:rFonts w:ascii="Arial" w:cs="Arial" w:eastAsia="Arial" w:hAnsi="Arial"/>
                <w:sz w:val="18"/>
                <w:szCs w:val="18"/>
                <w:color w:val="auto"/>
                <w:w w:val="93"/>
              </w:rPr>
              <w:t>Greg L. Armstrong</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980" w:type="dxa"/>
            <w:vAlign w:val="bottom"/>
            <w:gridSpan w:val="2"/>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8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5"/>
          </w:tcPr>
          <w:p>
            <w:pPr>
              <w:jc w:val="center"/>
              <w:ind w:right="1560"/>
              <w:spacing w:after="0"/>
              <w:rPr>
                <w:sz w:val="20"/>
                <w:szCs w:val="20"/>
                <w:color w:val="auto"/>
              </w:rPr>
            </w:pPr>
            <w:r>
              <w:rPr>
                <w:rFonts w:ascii="Arial" w:cs="Arial" w:eastAsia="Arial" w:hAnsi="Arial"/>
                <w:sz w:val="18"/>
                <w:szCs w:val="18"/>
                <w:color w:val="auto"/>
                <w:w w:val="92"/>
              </w:rPr>
              <w:t>/s/ Al Swanson</w:t>
            </w:r>
          </w:p>
        </w:tc>
        <w:tc>
          <w:tcPr>
            <w:tcW w:w="4980" w:type="dxa"/>
            <w:vAlign w:val="bottom"/>
            <w:gridSpan w:val="2"/>
            <w:vMerge w:val="restart"/>
          </w:tcPr>
          <w:p>
            <w:pPr>
              <w:jc w:val="center"/>
              <w:ind w:right="660"/>
              <w:spacing w:after="0"/>
              <w:rPr>
                <w:sz w:val="20"/>
                <w:szCs w:val="20"/>
                <w:color w:val="auto"/>
              </w:rPr>
            </w:pPr>
            <w:r>
              <w:rPr>
                <w:rFonts w:ascii="Arial" w:cs="Arial" w:eastAsia="Arial" w:hAnsi="Arial"/>
                <w:sz w:val="18"/>
                <w:szCs w:val="18"/>
                <w:color w:val="auto"/>
                <w:w w:val="92"/>
              </w:rPr>
              <w:t>Executive Vice President and Chief Financial Officer</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31,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3"/>
          </w:tcPr>
          <w:p>
            <w:pPr>
              <w:jc w:val="center"/>
              <w:ind w:right="810"/>
              <w:spacing w:after="0" w:line="182" w:lineRule="exact"/>
              <w:rPr>
                <w:sz w:val="20"/>
                <w:szCs w:val="20"/>
                <w:color w:val="auto"/>
              </w:rPr>
            </w:pPr>
            <w:r>
              <w:rPr>
                <w:rFonts w:ascii="Arial" w:cs="Arial" w:eastAsia="Arial" w:hAnsi="Arial"/>
                <w:sz w:val="18"/>
                <w:szCs w:val="18"/>
                <w:color w:val="auto"/>
                <w:w w:val="90"/>
              </w:rPr>
              <w:t>Al Swanson</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980" w:type="dxa"/>
            <w:vAlign w:val="bottom"/>
            <w:gridSpan w:val="2"/>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80" w:type="dxa"/>
            <w:vAlign w:val="bottom"/>
            <w:gridSpan w:val="2"/>
          </w:tcPr>
          <w:p>
            <w:pPr>
              <w:jc w:val="center"/>
              <w:ind w:right="64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5"/>
          </w:tcPr>
          <w:p>
            <w:pPr>
              <w:jc w:val="center"/>
              <w:ind w:right="1540"/>
              <w:spacing w:after="0"/>
              <w:rPr>
                <w:sz w:val="20"/>
                <w:szCs w:val="20"/>
                <w:color w:val="auto"/>
              </w:rPr>
            </w:pPr>
            <w:r>
              <w:rPr>
                <w:rFonts w:ascii="Arial" w:cs="Arial" w:eastAsia="Arial" w:hAnsi="Arial"/>
                <w:sz w:val="18"/>
                <w:szCs w:val="18"/>
                <w:color w:val="auto"/>
                <w:w w:val="92"/>
              </w:rPr>
              <w:t>/s/ Chris Herbold</w:t>
            </w:r>
          </w:p>
        </w:tc>
        <w:tc>
          <w:tcPr>
            <w:tcW w:w="4980" w:type="dxa"/>
            <w:vAlign w:val="bottom"/>
            <w:gridSpan w:val="2"/>
            <w:vMerge w:val="restart"/>
          </w:tcPr>
          <w:p>
            <w:pPr>
              <w:jc w:val="center"/>
              <w:ind w:right="640"/>
              <w:spacing w:after="0"/>
              <w:rPr>
                <w:sz w:val="20"/>
                <w:szCs w:val="20"/>
                <w:color w:val="auto"/>
              </w:rPr>
            </w:pPr>
            <w:r>
              <w:rPr>
                <w:rFonts w:ascii="Arial" w:cs="Arial" w:eastAsia="Arial" w:hAnsi="Arial"/>
                <w:sz w:val="18"/>
                <w:szCs w:val="18"/>
                <w:color w:val="auto"/>
                <w:w w:val="93"/>
              </w:rPr>
              <w:t>Vice President—Accounting and Chief Accounting Officer</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31,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3"/>
          </w:tcPr>
          <w:p>
            <w:pPr>
              <w:jc w:val="center"/>
              <w:ind w:right="810"/>
              <w:spacing w:after="0" w:line="182" w:lineRule="exact"/>
              <w:rPr>
                <w:sz w:val="20"/>
                <w:szCs w:val="20"/>
                <w:color w:val="auto"/>
              </w:rPr>
            </w:pPr>
            <w:r>
              <w:rPr>
                <w:rFonts w:ascii="Arial" w:cs="Arial" w:eastAsia="Arial" w:hAnsi="Arial"/>
                <w:sz w:val="18"/>
                <w:szCs w:val="18"/>
                <w:color w:val="auto"/>
                <w:w w:val="92"/>
              </w:rPr>
              <w:t>Chris Herbold</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980" w:type="dxa"/>
            <w:vAlign w:val="bottom"/>
            <w:gridSpan w:val="2"/>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80" w:type="dxa"/>
            <w:vAlign w:val="bottom"/>
            <w:gridSpan w:val="2"/>
          </w:tcPr>
          <w:p>
            <w:pPr>
              <w:jc w:val="center"/>
              <w:ind w:right="6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5"/>
          </w:tcPr>
          <w:p>
            <w:pPr>
              <w:jc w:val="center"/>
              <w:ind w:right="1560"/>
              <w:spacing w:after="0"/>
              <w:rPr>
                <w:sz w:val="20"/>
                <w:szCs w:val="20"/>
                <w:color w:val="auto"/>
              </w:rPr>
            </w:pPr>
            <w:r>
              <w:rPr>
                <w:rFonts w:ascii="Arial" w:cs="Arial" w:eastAsia="Arial" w:hAnsi="Arial"/>
                <w:sz w:val="18"/>
                <w:szCs w:val="18"/>
                <w:color w:val="auto"/>
                <w:w w:val="88"/>
              </w:rPr>
              <w:t>/s/ Everardo Goyanes</w:t>
            </w:r>
          </w:p>
        </w:tc>
        <w:tc>
          <w:tcPr>
            <w:tcW w:w="4980" w:type="dxa"/>
            <w:vAlign w:val="bottom"/>
            <w:gridSpan w:val="2"/>
            <w:vMerge w:val="restart"/>
          </w:tcPr>
          <w:p>
            <w:pPr>
              <w:jc w:val="center"/>
              <w:ind w:right="660"/>
              <w:spacing w:after="0"/>
              <w:rPr>
                <w:sz w:val="20"/>
                <w:szCs w:val="20"/>
                <w:color w:val="auto"/>
              </w:rPr>
            </w:pPr>
            <w:r>
              <w:rPr>
                <w:rFonts w:ascii="Arial" w:cs="Arial" w:eastAsia="Arial" w:hAnsi="Arial"/>
                <w:sz w:val="18"/>
                <w:szCs w:val="18"/>
                <w:color w:val="auto"/>
                <w:w w:val="95"/>
              </w:rPr>
              <w:t>Director</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31,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jc w:val="center"/>
              <w:ind w:right="810"/>
              <w:spacing w:after="0"/>
              <w:rPr>
                <w:sz w:val="20"/>
                <w:szCs w:val="20"/>
                <w:color w:val="auto"/>
              </w:rPr>
            </w:pPr>
            <w:r>
              <w:rPr>
                <w:rFonts w:ascii="Arial" w:cs="Arial" w:eastAsia="Arial" w:hAnsi="Arial"/>
                <w:sz w:val="18"/>
                <w:szCs w:val="18"/>
                <w:color w:val="auto"/>
                <w:w w:val="89"/>
              </w:rPr>
              <w:t>Everardo Goyanes</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980" w:type="dxa"/>
            <w:vAlign w:val="bottom"/>
            <w:gridSpan w:val="2"/>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5"/>
          </w:tcPr>
          <w:p>
            <w:pPr>
              <w:jc w:val="center"/>
              <w:ind w:right="1560"/>
              <w:spacing w:after="0"/>
              <w:rPr>
                <w:sz w:val="20"/>
                <w:szCs w:val="20"/>
                <w:color w:val="auto"/>
              </w:rPr>
            </w:pPr>
            <w:r>
              <w:rPr>
                <w:rFonts w:ascii="Arial" w:cs="Arial" w:eastAsia="Arial" w:hAnsi="Arial"/>
                <w:sz w:val="18"/>
                <w:szCs w:val="18"/>
                <w:color w:val="auto"/>
                <w:w w:val="90"/>
              </w:rPr>
              <w:t>/s/ John T. Raymond</w:t>
            </w:r>
          </w:p>
        </w:tc>
        <w:tc>
          <w:tcPr>
            <w:tcW w:w="4980" w:type="dxa"/>
            <w:vAlign w:val="bottom"/>
            <w:gridSpan w:val="2"/>
            <w:vMerge w:val="restart"/>
          </w:tcPr>
          <w:p>
            <w:pPr>
              <w:jc w:val="center"/>
              <w:ind w:right="660"/>
              <w:spacing w:after="0"/>
              <w:rPr>
                <w:sz w:val="20"/>
                <w:szCs w:val="20"/>
                <w:color w:val="auto"/>
              </w:rPr>
            </w:pPr>
            <w:r>
              <w:rPr>
                <w:rFonts w:ascii="Arial" w:cs="Arial" w:eastAsia="Arial" w:hAnsi="Arial"/>
                <w:sz w:val="18"/>
                <w:szCs w:val="18"/>
                <w:color w:val="auto"/>
                <w:w w:val="95"/>
              </w:rPr>
              <w:t>Director</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31,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jc w:val="center"/>
              <w:ind w:right="810"/>
              <w:spacing w:after="0"/>
              <w:rPr>
                <w:sz w:val="20"/>
                <w:szCs w:val="20"/>
                <w:color w:val="auto"/>
              </w:rPr>
            </w:pPr>
            <w:r>
              <w:rPr>
                <w:rFonts w:ascii="Arial" w:cs="Arial" w:eastAsia="Arial" w:hAnsi="Arial"/>
                <w:sz w:val="18"/>
                <w:szCs w:val="18"/>
                <w:color w:val="auto"/>
                <w:w w:val="88"/>
              </w:rPr>
              <w:t>John T. Raymond</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980" w:type="dxa"/>
            <w:vAlign w:val="bottom"/>
            <w:gridSpan w:val="2"/>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5"/>
          </w:tcPr>
          <w:p>
            <w:pPr>
              <w:jc w:val="center"/>
              <w:ind w:right="1560"/>
              <w:spacing w:after="0"/>
              <w:rPr>
                <w:sz w:val="20"/>
                <w:szCs w:val="20"/>
                <w:color w:val="auto"/>
              </w:rPr>
            </w:pPr>
            <w:r>
              <w:rPr>
                <w:rFonts w:ascii="Arial" w:cs="Arial" w:eastAsia="Arial" w:hAnsi="Arial"/>
                <w:sz w:val="18"/>
                <w:szCs w:val="18"/>
                <w:color w:val="auto"/>
                <w:w w:val="90"/>
              </w:rPr>
              <w:t>/s/ Robert V. Sinnott</w:t>
            </w:r>
          </w:p>
        </w:tc>
        <w:tc>
          <w:tcPr>
            <w:tcW w:w="4980" w:type="dxa"/>
            <w:vAlign w:val="bottom"/>
            <w:gridSpan w:val="2"/>
            <w:vMerge w:val="restart"/>
          </w:tcPr>
          <w:p>
            <w:pPr>
              <w:jc w:val="center"/>
              <w:ind w:right="660"/>
              <w:spacing w:after="0"/>
              <w:rPr>
                <w:sz w:val="20"/>
                <w:szCs w:val="20"/>
                <w:color w:val="auto"/>
              </w:rPr>
            </w:pPr>
            <w:r>
              <w:rPr>
                <w:rFonts w:ascii="Arial" w:cs="Arial" w:eastAsia="Arial" w:hAnsi="Arial"/>
                <w:sz w:val="18"/>
                <w:szCs w:val="18"/>
                <w:color w:val="auto"/>
                <w:w w:val="95"/>
              </w:rPr>
              <w:t>Director</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31,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jc w:val="center"/>
              <w:ind w:right="810"/>
              <w:spacing w:after="0"/>
              <w:rPr>
                <w:sz w:val="20"/>
                <w:szCs w:val="20"/>
                <w:color w:val="auto"/>
              </w:rPr>
            </w:pPr>
            <w:r>
              <w:rPr>
                <w:rFonts w:ascii="Arial" w:cs="Arial" w:eastAsia="Arial" w:hAnsi="Arial"/>
                <w:sz w:val="18"/>
                <w:szCs w:val="18"/>
                <w:color w:val="auto"/>
                <w:w w:val="91"/>
              </w:rPr>
              <w:t>Robert V. Sinnott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980" w:type="dxa"/>
            <w:vAlign w:val="bottom"/>
            <w:gridSpan w:val="2"/>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5"/>
          </w:tcPr>
          <w:p>
            <w:pPr>
              <w:jc w:val="center"/>
              <w:ind w:right="1560"/>
              <w:spacing w:after="0"/>
              <w:rPr>
                <w:sz w:val="20"/>
                <w:szCs w:val="20"/>
                <w:color w:val="auto"/>
              </w:rPr>
            </w:pPr>
            <w:r>
              <w:rPr>
                <w:rFonts w:ascii="Arial" w:cs="Arial" w:eastAsia="Arial" w:hAnsi="Arial"/>
                <w:sz w:val="18"/>
                <w:szCs w:val="18"/>
                <w:color w:val="auto"/>
                <w:w w:val="95"/>
              </w:rPr>
              <w:t>/s/ Vicky Sutil</w:t>
            </w:r>
          </w:p>
        </w:tc>
        <w:tc>
          <w:tcPr>
            <w:tcW w:w="4980" w:type="dxa"/>
            <w:vAlign w:val="bottom"/>
            <w:gridSpan w:val="2"/>
            <w:vMerge w:val="restart"/>
          </w:tcPr>
          <w:p>
            <w:pPr>
              <w:jc w:val="center"/>
              <w:ind w:right="660"/>
              <w:spacing w:after="0"/>
              <w:rPr>
                <w:sz w:val="20"/>
                <w:szCs w:val="20"/>
                <w:color w:val="auto"/>
              </w:rPr>
            </w:pPr>
            <w:r>
              <w:rPr>
                <w:rFonts w:ascii="Arial" w:cs="Arial" w:eastAsia="Arial" w:hAnsi="Arial"/>
                <w:sz w:val="18"/>
                <w:szCs w:val="18"/>
                <w:color w:val="auto"/>
                <w:w w:val="95"/>
              </w:rPr>
              <w:t>Director</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8"/>
              </w:rPr>
              <w:t>December 31,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jc w:val="center"/>
              <w:ind w:right="810"/>
              <w:spacing w:after="0"/>
              <w:rPr>
                <w:sz w:val="20"/>
                <w:szCs w:val="20"/>
                <w:color w:val="auto"/>
              </w:rPr>
            </w:pPr>
            <w:r>
              <w:rPr>
                <w:rFonts w:ascii="Arial" w:cs="Arial" w:eastAsia="Arial" w:hAnsi="Arial"/>
                <w:sz w:val="18"/>
                <w:szCs w:val="18"/>
                <w:color w:val="auto"/>
                <w:w w:val="98"/>
              </w:rPr>
              <w:t>Vicky Sutil</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980" w:type="dxa"/>
            <w:vAlign w:val="bottom"/>
            <w:gridSpan w:val="2"/>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jc w:val="center"/>
              <w:ind w:right="1880"/>
              <w:spacing w:after="0"/>
              <w:rPr>
                <w:sz w:val="20"/>
                <w:szCs w:val="20"/>
                <w:color w:val="auto"/>
              </w:rPr>
            </w:pPr>
            <w:r>
              <w:rPr>
                <w:rFonts w:ascii="Arial" w:cs="Arial" w:eastAsia="Arial" w:hAnsi="Arial"/>
                <w:sz w:val="18"/>
                <w:szCs w:val="18"/>
                <w:color w:val="auto"/>
                <w:w w:val="99"/>
              </w:rPr>
              <w:t>II-4</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980" w:type="dxa"/>
            <w:vAlign w:val="bottom"/>
            <w:tcBorders>
              <w:bottom w:val="single" w:sz="8" w:color="010101"/>
            </w:tcBorders>
            <w:gridSpan w:val="2"/>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8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rPr>
              <w:t>EXHIBIT INDEX</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160" w:type="dxa"/>
            <w:vAlign w:val="bottom"/>
            <w:gridSpan w:val="7"/>
          </w:tcPr>
          <w:p>
            <w:pPr>
              <w:spacing w:after="0"/>
              <w:rPr>
                <w:sz w:val="20"/>
                <w:szCs w:val="20"/>
                <w:color w:val="auto"/>
              </w:rPr>
            </w:pPr>
            <w:r>
              <w:rPr>
                <w:rFonts w:ascii="Arial" w:cs="Arial" w:eastAsia="Arial" w:hAnsi="Arial"/>
                <w:sz w:val="14"/>
                <w:szCs w:val="14"/>
                <w:b w:val="1"/>
                <w:bCs w:val="1"/>
                <w:color w:val="auto"/>
              </w:rPr>
              <w:t>Exhibit Number</w:t>
            </w:r>
          </w:p>
        </w:tc>
        <w:tc>
          <w:tcPr>
            <w:tcW w:w="4980" w:type="dxa"/>
            <w:vAlign w:val="bottom"/>
            <w:gridSpan w:val="2"/>
          </w:tcPr>
          <w:p>
            <w:pPr>
              <w:ind w:left="2000"/>
              <w:spacing w:after="0"/>
              <w:rPr>
                <w:sz w:val="20"/>
                <w:szCs w:val="20"/>
                <w:color w:val="auto"/>
              </w:rPr>
            </w:pPr>
            <w:r>
              <w:rPr>
                <w:rFonts w:ascii="Arial" w:cs="Arial" w:eastAsia="Arial" w:hAnsi="Arial"/>
                <w:sz w:val="14"/>
                <w:szCs w:val="14"/>
                <w:b w:val="1"/>
                <w:bCs w:val="1"/>
                <w:color w:val="auto"/>
              </w:rPr>
              <w:t>Description</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80" w:type="dxa"/>
            <w:vAlign w:val="bottom"/>
            <w:tcBorders>
              <w:top w:val="single" w:sz="8" w:color="auto"/>
            </w:tcBorders>
          </w:tcPr>
          <w:p>
            <w:pPr>
              <w:jc w:val="center"/>
              <w:ind w:left="370"/>
              <w:spacing w:after="0" w:line="195" w:lineRule="exact"/>
              <w:rPr>
                <w:sz w:val="20"/>
                <w:szCs w:val="20"/>
                <w:color w:val="auto"/>
              </w:rPr>
            </w:pPr>
            <w:r>
              <w:rPr>
                <w:rFonts w:ascii="Arial" w:cs="Arial" w:eastAsia="Arial" w:hAnsi="Arial"/>
                <w:sz w:val="18"/>
                <w:szCs w:val="18"/>
                <w:color w:val="auto"/>
                <w:w w:val="87"/>
              </w:rPr>
              <w:t>4.1</w:t>
            </w:r>
          </w:p>
        </w:tc>
        <w:tc>
          <w:tcPr>
            <w:tcW w:w="4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80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18"/>
                <w:szCs w:val="18"/>
                <w:color w:val="auto"/>
                <w:w w:val="93"/>
              </w:rPr>
              <w:t>Certificate of Limited Partnership of Plains GP Holdings, L.P. (incorporated by reference to Exhibit 3.1 to the Registration Statement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on Form S-1 (File No. 333-190227) filed on July 29, 2013).</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jc w:val="center"/>
              <w:ind w:left="394"/>
              <w:spacing w:after="0"/>
              <w:rPr>
                <w:sz w:val="20"/>
                <w:szCs w:val="20"/>
                <w:color w:val="auto"/>
              </w:rPr>
            </w:pPr>
            <w:r>
              <w:rPr>
                <w:rFonts w:ascii="Arial" w:cs="Arial" w:eastAsia="Arial" w:hAnsi="Arial"/>
                <w:sz w:val="18"/>
                <w:szCs w:val="18"/>
                <w:color w:val="auto"/>
                <w:w w:val="87"/>
              </w:rPr>
              <w:t>4.2</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w w:val="92"/>
              </w:rPr>
              <w:t>Amended and Restated Agreement of Limited Partnership of Plains GP Holdings, L.P. (incorporated by reference to Exhibit 3.1 to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Current Report on Form 8-K filed on October 25, 2013).</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gridSpan w:val="2"/>
          </w:tcPr>
          <w:p>
            <w:pPr>
              <w:jc w:val="center"/>
              <w:ind w:left="394"/>
              <w:spacing w:after="0"/>
              <w:rPr>
                <w:sz w:val="20"/>
                <w:szCs w:val="20"/>
                <w:color w:val="auto"/>
              </w:rPr>
            </w:pPr>
            <w:r>
              <w:rPr>
                <w:rFonts w:ascii="Arial" w:cs="Arial" w:eastAsia="Arial" w:hAnsi="Arial"/>
                <w:sz w:val="18"/>
                <w:szCs w:val="18"/>
                <w:color w:val="auto"/>
                <w:w w:val="87"/>
              </w:rPr>
              <w:t>4.3</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gridSpan w:val="6"/>
          </w:tcPr>
          <w:p>
            <w:pPr>
              <w:spacing w:after="0"/>
              <w:rPr>
                <w:sz w:val="20"/>
                <w:szCs w:val="20"/>
                <w:color w:val="auto"/>
              </w:rPr>
            </w:pPr>
            <w:r>
              <w:rPr>
                <w:rFonts w:ascii="Arial" w:cs="Arial" w:eastAsia="Arial" w:hAnsi="Arial"/>
                <w:sz w:val="18"/>
                <w:szCs w:val="18"/>
                <w:color w:val="auto"/>
                <w:w w:val="92"/>
              </w:rPr>
              <w:t>Plains GP Holdings, L.P. Long Term Incentive Plan (incorporated by reference to Exhibit 10.3 to the Current Report on Form 8-K filed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on October 25, 2013).</w:t>
            </w:r>
          </w:p>
        </w:tc>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jc w:val="center"/>
              <w:ind w:left="394"/>
              <w:spacing w:after="0"/>
              <w:rPr>
                <w:sz w:val="20"/>
                <w:szCs w:val="20"/>
                <w:color w:val="auto"/>
              </w:rPr>
            </w:pPr>
            <w:r>
              <w:rPr>
                <w:rFonts w:ascii="Arial" w:cs="Arial" w:eastAsia="Arial" w:hAnsi="Arial"/>
                <w:sz w:val="18"/>
                <w:szCs w:val="18"/>
                <w:color w:val="auto"/>
                <w:w w:val="93"/>
              </w:rPr>
              <w:t>5.1*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w w:val="95"/>
              </w:rPr>
              <w:t>Opinion of Vinson &amp; Elkins L.L.P.</w:t>
            </w: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-2136775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-2136775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4" w:name="page5"/>
    <w:bookmarkEnd w:id="4"/>
    <w:tbl>
      <w:tblPr>
        <w:tblLayout w:type="fixed"/>
        <w:tblInd w:w="480" w:type="dxa"/>
        <w:tblCellMar>
          <w:top w:w="0" w:type="dxa"/>
          <w:left w:w="0" w:type="dxa"/>
          <w:bottom w:w="0" w:type="dxa"/>
          <w:right w:w="0" w:type="dxa"/>
        </w:tblCellMar>
      </w:tblPr>
      <w:tr>
        <w:trPr>
          <w:trHeight w:val="23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95"/>
              </w:rPr>
              <w:t>23.1*</w:t>
            </w:r>
          </w:p>
        </w:tc>
        <w:tc>
          <w:tcPr>
            <w:tcW w:w="6200" w:type="dxa"/>
            <w:vAlign w:val="bottom"/>
          </w:tcPr>
          <w:p>
            <w:pPr>
              <w:ind w:left="36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95"/>
              </w:rPr>
              <w:t>23.2*</w:t>
            </w:r>
          </w:p>
        </w:tc>
        <w:tc>
          <w:tcPr>
            <w:tcW w:w="6200" w:type="dxa"/>
            <w:vAlign w:val="bottom"/>
          </w:tcPr>
          <w:p>
            <w:pPr>
              <w:ind w:left="360"/>
              <w:spacing w:after="0"/>
              <w:rPr>
                <w:sz w:val="20"/>
                <w:szCs w:val="20"/>
                <w:color w:val="auto"/>
              </w:rPr>
            </w:pPr>
            <w:r>
              <w:rPr>
                <w:rFonts w:ascii="Arial" w:cs="Arial" w:eastAsia="Arial" w:hAnsi="Arial"/>
                <w:sz w:val="18"/>
                <w:szCs w:val="18"/>
                <w:color w:val="auto"/>
              </w:rPr>
              <w:t>Consent of Ernst &amp; Young LLP.</w:t>
            </w:r>
          </w:p>
        </w:tc>
      </w:tr>
      <w:tr>
        <w:trPr>
          <w:trHeight w:val="432"/>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95"/>
              </w:rPr>
              <w:t>23.3*</w:t>
            </w:r>
          </w:p>
        </w:tc>
        <w:tc>
          <w:tcPr>
            <w:tcW w:w="6200" w:type="dxa"/>
            <w:vAlign w:val="bottom"/>
          </w:tcPr>
          <w:p>
            <w:pPr>
              <w:ind w:left="360"/>
              <w:spacing w:after="0"/>
              <w:rPr>
                <w:sz w:val="20"/>
                <w:szCs w:val="20"/>
                <w:color w:val="auto"/>
              </w:rPr>
            </w:pPr>
            <w:r>
              <w:rPr>
                <w:rFonts w:ascii="Arial" w:cs="Arial" w:eastAsia="Arial" w:hAnsi="Arial"/>
                <w:sz w:val="18"/>
                <w:szCs w:val="18"/>
                <w:color w:val="auto"/>
              </w:rPr>
              <w:t>Consent of Vinson &amp; Elkins L.L.P. (contained in Exhibit 5.1).</w:t>
            </w:r>
          </w:p>
        </w:tc>
      </w:tr>
      <w:tr>
        <w:trPr>
          <w:trHeight w:val="432"/>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95"/>
              </w:rPr>
              <w:t>24.1*</w:t>
            </w:r>
          </w:p>
        </w:tc>
        <w:tc>
          <w:tcPr>
            <w:tcW w:w="6200" w:type="dxa"/>
            <w:vAlign w:val="bottom"/>
          </w:tcPr>
          <w:p>
            <w:pPr>
              <w:ind w:left="360"/>
              <w:spacing w:after="0"/>
              <w:rPr>
                <w:sz w:val="20"/>
                <w:szCs w:val="20"/>
                <w:color w:val="auto"/>
              </w:rPr>
            </w:pPr>
            <w:r>
              <w:rPr>
                <w:rFonts w:ascii="Arial" w:cs="Arial" w:eastAsia="Arial" w:hAnsi="Arial"/>
                <w:sz w:val="18"/>
                <w:szCs w:val="18"/>
                <w:color w:val="auto"/>
                <w:w w:val="90"/>
              </w:rPr>
              <w:t>Power of Attorney (included on the signature page of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5" w:name="page6"/>
    <w:bookmarkEnd w:id="5"/>
    <w:p>
      <w:pPr>
        <w:jc w:val="right"/>
        <w:ind w:right="4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acted as counsel for Plains GP Holdings, L.P., a Delaware limited partnership (the “Partnership”), in connection with the Partnership’s registration under the Securities Act of 1933, as amended (the “Act”), of the offer and sale of an aggregate of up to 10,000,000 Class A shares representing limited partner interests in the Partnership (the “Shares”), pursuant to the Partnership’s registration statement on Form S-8 (the “Registration Statement”) filed with the Securities and Exchange Commission (the “Commission”) on December 31, 2013, which Shares may be issued from time to time in accordance with the terms of the Plains GP Holdings, L.P. Long-Term Incentive Plan (the “Plan”).</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reaching the opinions set forth herein, we have examined and are familiar with originals or copies, certified or otherwise identified to our satisfaction, of such documents and records of the Partnership and such statutes, regulations and other instruments as we deemed necessary or advisable for purposes of this opinion, including (i) the Registration Statement, (ii) the Partnership’s Amended and Restated Agreement of Limited Partnership (the “Partnership Agreement”), (iii) the Partnership’s Certificate of Limited Partnership, (iv) certain resolutions adopted by the board of directors of the Partnership, (v) the Plan, and (vi) 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certificates of public officials and officers or other representatives of the Partnership.</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and (vi) that all information contained in all documents reviewed by us is true, correct and complete. In addition, we have assumed that Shares will be issued in accordance with the terms of the Plan.</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Based on the foregoing and subject to the limitations set forth herein, and having due regard for the legal considerations we deem relevant, we are of the opinion that the Shares have been duly authorized and, when the Shares are issued by the Partnership in accordance with the terms of the Plan and the instruments executed pursuant to the Plan, as applicable, which govern the awards to which any Share relates, will be validly issued, fully paid and non-assessable.</w:t>
      </w:r>
    </w:p>
    <w:p>
      <w:pPr>
        <w:spacing w:after="0" w:line="18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This opinion is limited in all respects to the Delaware Revised Uniform Limited Partnership Act. We express no opinion as to any matter other than as expressly set forth above, and no opinion on any other matter may be inferred or implied herefrom. The opinions expressed herein are rendered as of the date hereof and we expressly disclaim any obligation to update this letter or advise you of any change in any matter after the date hereof.</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840" w:type="dxa"/>
            <w:vAlign w:val="bottom"/>
          </w:tcPr>
          <w:p>
            <w:pPr>
              <w:ind w:left="58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620" w:type="dxa"/>
            <w:vAlign w:val="bottom"/>
          </w:tcPr>
          <w:p>
            <w:pPr>
              <w:spacing w:after="0"/>
              <w:rPr>
                <w:sz w:val="20"/>
                <w:szCs w:val="20"/>
                <w:color w:val="auto"/>
              </w:rPr>
            </w:pPr>
            <w:r>
              <w:rPr>
                <w:rFonts w:ascii="Arial" w:cs="Arial" w:eastAsia="Arial" w:hAnsi="Arial"/>
                <w:sz w:val="18"/>
                <w:szCs w:val="18"/>
                <w:color w:val="auto"/>
              </w:rPr>
              <w:t>Abu Dhabi Austin Beijing Dallas Dubai Hong Kong Houston London</w:t>
            </w:r>
          </w:p>
        </w:tc>
        <w:tc>
          <w:tcPr>
            <w:tcW w:w="5840" w:type="dxa"/>
            <w:vAlign w:val="bottom"/>
          </w:tcPr>
          <w:p>
            <w:pPr>
              <w:ind w:left="580"/>
              <w:spacing w:after="0"/>
              <w:rPr>
                <w:sz w:val="20"/>
                <w:szCs w:val="20"/>
                <w:color w:val="auto"/>
              </w:rPr>
            </w:pPr>
            <w:r>
              <w:rPr>
                <w:rFonts w:ascii="Arial" w:cs="Arial" w:eastAsia="Arial" w:hAnsi="Arial"/>
                <w:sz w:val="18"/>
                <w:szCs w:val="18"/>
                <w:color w:val="auto"/>
              </w:rPr>
              <w:t>Houston, TX 77002-6760</w:t>
            </w:r>
          </w:p>
        </w:tc>
      </w:t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Moscow New York Palo Alto Riyadh Shanghai Tokyo Washington</w:t>
            </w:r>
          </w:p>
        </w:tc>
        <w:tc>
          <w:tcPr>
            <w:tcW w:w="5840" w:type="dxa"/>
            <w:vAlign w:val="bottom"/>
          </w:tcPr>
          <w:p>
            <w:pPr>
              <w:ind w:left="58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348"/>
        </w:trPr>
        <w:tc>
          <w:tcPr>
            <w:tcW w:w="5620" w:type="dxa"/>
            <w:vAlign w:val="bottom"/>
            <w:tcBorders>
              <w:bottom w:val="single" w:sz="8" w:color="010101"/>
            </w:tcBorders>
          </w:tcPr>
          <w:p>
            <w:pPr>
              <w:spacing w:after="0"/>
              <w:rPr>
                <w:sz w:val="24"/>
                <w:szCs w:val="24"/>
                <w:color w:val="auto"/>
              </w:rPr>
            </w:pPr>
          </w:p>
        </w:tc>
        <w:tc>
          <w:tcPr>
            <w:tcW w:w="58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opinion letter may be filed as an exhibit to the Registration Statement. In giving this consent, we do not thereby admit that we come within the category of persons whose consent is required under Section 7 of the Act.</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hereby consent to the incorporation by reference in this Registration Statement on Form S-8 of Plains GP Holdings, L.P. of our report dated July 22,</w:t>
      </w:r>
    </w:p>
    <w:p>
      <w:pPr>
        <w:spacing w:after="0" w:line="46" w:lineRule="exact"/>
        <w:rPr>
          <w:sz w:val="20"/>
          <w:szCs w:val="20"/>
          <w:color w:val="auto"/>
        </w:rPr>
      </w:pPr>
    </w:p>
    <w:p>
      <w:pPr>
        <w:jc w:val="both"/>
        <w:ind w:right="640"/>
        <w:spacing w:after="0" w:line="255" w:lineRule="auto"/>
        <w:rPr>
          <w:sz w:val="20"/>
          <w:szCs w:val="20"/>
          <w:color w:val="auto"/>
        </w:rPr>
      </w:pPr>
      <w:r>
        <w:rPr>
          <w:rFonts w:ascii="Arial" w:cs="Arial" w:eastAsia="Arial" w:hAnsi="Arial"/>
          <w:sz w:val="18"/>
          <w:szCs w:val="18"/>
          <w:color w:val="auto"/>
        </w:rPr>
        <w:t>2013 relating to the financial statements of Plains All American GP LLC and our report dated July 22, 2013 relating to the balance sheet of Plains GP Holdings, L.P., which appear in Amendment No. 4 to the Registration Statement on Form S-1 and related Prospectus (No. 333-190227) of Plains GP Holdings, L.P. filed on October 16,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10480"/>
        <w:spacing w:after="0"/>
        <w:rPr>
          <w:sz w:val="20"/>
          <w:szCs w:val="20"/>
          <w:color w:val="auto"/>
        </w:rPr>
      </w:pPr>
      <w:r>
        <w:rPr>
          <w:rFonts w:ascii="Arial" w:cs="Arial" w:eastAsia="Arial" w:hAnsi="Arial"/>
          <w:sz w:val="16"/>
          <w:szCs w:val="16"/>
          <w:b w:val="1"/>
          <w:bCs w:val="1"/>
          <w:color w:val="auto"/>
        </w:rPr>
        <w:t>Exhibit 23.2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ind w:right="640" w:firstLine="450"/>
        <w:spacing w:after="0" w:line="277" w:lineRule="auto"/>
        <w:rPr>
          <w:sz w:val="20"/>
          <w:szCs w:val="20"/>
          <w:color w:val="auto"/>
        </w:rPr>
      </w:pPr>
      <w:r>
        <w:rPr>
          <w:rFonts w:ascii="Arial" w:cs="Arial" w:eastAsia="Arial" w:hAnsi="Arial"/>
          <w:sz w:val="18"/>
          <w:szCs w:val="18"/>
          <w:color w:val="auto"/>
        </w:rPr>
        <w:t>We consent to the incorporation by reference in the Registration Statement on Form S-8 of our report dated March 22, 2012, with respect to the financial statements of Project Argyle, a business owned by BP p.l.c. and affiliates.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Calgary,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Chartered Accountants</w:t>
      </w:r>
    </w:p>
    <w:sectPr>
      <w:pgSz w:w="11900" w:h="16838" w:orient="portrait"/>
      <w:cols w:equalWidth="0" w:num="2">
        <w:col w:w="9040" w:space="720"/>
        <w:col w:w="166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2)"/>
      <w:numFmt w:val="decimal"/>
      <w:start w:val="2"/>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2020-01-30T12:49:48Z</dcterms:created>
  <dcterms:modified xsi:type="dcterms:W3CDTF">2020-01-30T12:49:48Z</dcterms:modified>
</cp:coreProperties>
</file>