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1005840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929005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November 2, 2020</w:t>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273"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7"/>
          <w:szCs w:val="17"/>
          <w:color w:val="auto"/>
        </w:rPr>
        <w:t>(IRS Employer Identification No.)</w:t>
      </w:r>
    </w:p>
    <w:p>
      <w:pPr>
        <w:spacing w:after="0" w:line="3" w:lineRule="exact"/>
        <w:rPr>
          <w:sz w:val="24"/>
          <w:szCs w:val="24"/>
          <w:color w:val="auto"/>
        </w:rPr>
      </w:pPr>
    </w:p>
    <w:p>
      <w:pPr>
        <w:sectPr>
          <w:pgSz w:w="11900" w:h="16838" w:orient="portrait"/>
          <w:cols w:equalWidth="0" w:num="3">
            <w:col w:w="3900" w:space="720"/>
            <w:col w:w="2520" w:space="720"/>
            <w:col w:w="3240"/>
          </w:cols>
          <w:pgMar w:left="320" w:top="1440" w:right="47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33"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5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100"/>
          </w:cols>
          <w:pgMar w:left="320" w:top="1440" w:right="479" w:bottom="1440" w:gutter="0" w:footer="0" w:header="0"/>
          <w:type w:val="continuous"/>
        </w:sectPr>
      </w:pPr>
    </w:p>
    <w:p>
      <w:pPr>
        <w:spacing w:after="0" w:line="2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1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PAGP</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7"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1021715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224155</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164465</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right="20" w:firstLine="180"/>
        <w:spacing w:after="0" w:line="257" w:lineRule="auto"/>
        <w:rPr>
          <w:sz w:val="20"/>
          <w:szCs w:val="20"/>
          <w:color w:val="auto"/>
        </w:rPr>
      </w:pPr>
      <w:r>
        <w:rPr>
          <w:rFonts w:ascii="Arial" w:cs="Arial" w:eastAsia="Arial" w:hAnsi="Arial"/>
          <w:sz w:val="18"/>
          <w:szCs w:val="18"/>
          <w:color w:val="auto"/>
        </w:rPr>
        <w:t>On November 2, 2020, the Registrant issued a press release reporting its third-quarter 2020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firstLine="180"/>
        <w:spacing w:after="0" w:line="263" w:lineRule="auto"/>
        <w:rPr>
          <w:sz w:val="20"/>
          <w:szCs w:val="20"/>
          <w:color w:val="auto"/>
        </w:rPr>
      </w:pPr>
      <w:r>
        <w:rPr>
          <w:rFonts w:ascii="Arial" w:cs="Arial" w:eastAsia="Arial" w:hAnsi="Arial"/>
          <w:sz w:val="18"/>
          <w:szCs w:val="18"/>
          <w:color w:val="auto"/>
        </w:rPr>
        <w:t>On November 2, 2020, the Registrant and Plains All American Pipeline, L.P. issued a press release announcing that the board of directors of PAA GP Holdings LLC approved a $500 million common equity repurchase program. A copy of the press release is filed as Exhibit 99.2 hereto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3080" w:type="dxa"/>
            <w:vAlign w:val="bottom"/>
          </w:tcPr>
          <w:p>
            <w:pPr>
              <w:jc w:val="center"/>
              <w:ind w:right="2399"/>
              <w:spacing w:after="0"/>
              <w:rPr>
                <w:sz w:val="20"/>
                <w:szCs w:val="20"/>
                <w:color w:val="auto"/>
              </w:rPr>
            </w:pPr>
            <w:r>
              <w:rPr>
                <w:rFonts w:ascii="Arial" w:cs="Arial" w:eastAsia="Arial" w:hAnsi="Arial"/>
                <w:sz w:val="16"/>
                <w:szCs w:val="16"/>
                <w:b w:val="1"/>
                <w:bCs w:val="1"/>
                <w:color w:val="auto"/>
                <w:w w:val="97"/>
              </w:rPr>
              <w:t>Exhibit</w:t>
            </w:r>
          </w:p>
        </w:tc>
        <w:tc>
          <w:tcPr>
            <w:tcW w:w="3280" w:type="dxa"/>
            <w:vAlign w:val="bottom"/>
            <w:vMerge w:val="restart"/>
          </w:tcPr>
          <w:p>
            <w:pPr>
              <w:ind w:left="2480"/>
              <w:spacing w:after="0"/>
              <w:rPr>
                <w:sz w:val="20"/>
                <w:szCs w:val="20"/>
                <w:color w:val="auto"/>
              </w:rPr>
            </w:pPr>
            <w:r>
              <w:rPr>
                <w:rFonts w:ascii="Arial" w:cs="Arial" w:eastAsia="Arial" w:hAnsi="Arial"/>
                <w:sz w:val="16"/>
                <w:szCs w:val="16"/>
                <w:b w:val="1"/>
                <w:bCs w:val="1"/>
                <w:color w:val="auto"/>
                <w:w w:val="88"/>
              </w:rPr>
              <w:t>Description</w:t>
            </w:r>
          </w:p>
        </w:tc>
        <w:tc>
          <w:tcPr>
            <w:tcW w:w="0" w:type="dxa"/>
            <w:vAlign w:val="bottom"/>
          </w:tcPr>
          <w:p>
            <w:pPr>
              <w:spacing w:after="0"/>
              <w:rPr>
                <w:sz w:val="1"/>
                <w:szCs w:val="1"/>
                <w:color w:val="auto"/>
              </w:rPr>
            </w:pPr>
          </w:p>
        </w:tc>
      </w:tr>
      <w:tr>
        <w:trPr>
          <w:trHeight w:val="210"/>
        </w:trPr>
        <w:tc>
          <w:tcPr>
            <w:tcW w:w="3080" w:type="dxa"/>
            <w:vAlign w:val="bottom"/>
          </w:tcPr>
          <w:p>
            <w:pPr>
              <w:jc w:val="center"/>
              <w:ind w:right="2419"/>
              <w:spacing w:after="0"/>
              <w:rPr>
                <w:sz w:val="20"/>
                <w:szCs w:val="20"/>
                <w:color w:val="auto"/>
              </w:rPr>
            </w:pPr>
            <w:r>
              <w:rPr>
                <w:rFonts w:ascii="Arial" w:cs="Arial" w:eastAsia="Arial" w:hAnsi="Arial"/>
                <w:sz w:val="16"/>
                <w:szCs w:val="16"/>
                <w:b w:val="1"/>
                <w:bCs w:val="1"/>
                <w:color w:val="auto"/>
                <w:w w:val="95"/>
              </w:rPr>
              <w:t>Number</w:t>
            </w:r>
          </w:p>
        </w:tc>
        <w:tc>
          <w:tcPr>
            <w:tcW w:w="3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00"/>
        <w:spacing w:after="0"/>
        <w:tabs>
          <w:tab w:leader="none" w:pos="120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dated November 2, 2020</w:t>
        </w:r>
      </w:hyperlink>
    </w:p>
    <w:p>
      <w:pPr>
        <w:spacing w:after="0" w:line="23" w:lineRule="exact"/>
        <w:rPr>
          <w:sz w:val="20"/>
          <w:szCs w:val="20"/>
          <w:color w:val="auto"/>
        </w:rPr>
      </w:pPr>
    </w:p>
    <w:p>
      <w:pPr>
        <w:ind w:left="400"/>
        <w:spacing w:after="0"/>
        <w:tabs>
          <w:tab w:leader="none" w:pos="1200" w:val="left"/>
        </w:tabs>
        <w:rPr>
          <w:rFonts w:ascii="Arial" w:cs="Arial" w:eastAsia="Arial" w:hAnsi="Arial"/>
          <w:sz w:val="15"/>
          <w:szCs w:val="15"/>
          <w:u w:val="single" w:color="auto"/>
          <w:color w:val="0000FF"/>
        </w:rPr>
      </w:pPr>
      <w:r>
        <w:rPr>
          <w:rFonts w:ascii="Arial" w:cs="Arial" w:eastAsia="Arial" w:hAnsi="Arial"/>
          <w:sz w:val="18"/>
          <w:szCs w:val="18"/>
          <w:color w:val="auto"/>
        </w:rPr>
        <w:t>99.2</w:t>
      </w:r>
      <w:r>
        <w:rPr>
          <w:sz w:val="20"/>
          <w:szCs w:val="20"/>
          <w:color w:val="auto"/>
        </w:rPr>
        <w:tab/>
      </w:r>
      <w:hyperlink w:anchor="page32">
        <w:r>
          <w:rPr>
            <w:rFonts w:ascii="Arial" w:cs="Arial" w:eastAsia="Arial" w:hAnsi="Arial"/>
            <w:sz w:val="15"/>
            <w:szCs w:val="15"/>
            <w:u w:val="single" w:color="auto"/>
            <w:color w:val="0000FF"/>
          </w:rPr>
          <w:t>Press Release dated November 2, 2020</w:t>
        </w:r>
      </w:hyperlink>
    </w:p>
    <w:p>
      <w:pPr>
        <w:spacing w:after="0" w:line="23" w:lineRule="exact"/>
        <w:rPr>
          <w:sz w:val="20"/>
          <w:szCs w:val="20"/>
          <w:color w:val="auto"/>
        </w:rPr>
      </w:pPr>
    </w:p>
    <w:p>
      <w:pPr>
        <w:ind w:left="1220" w:hanging="80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64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8040" w:type="dxa"/>
            <w:vAlign w:val="bottom"/>
            <w:gridSpan w:val="3"/>
          </w:tcPr>
          <w:p>
            <w:pPr>
              <w:ind w:left="1360"/>
              <w:spacing w:after="0"/>
              <w:rPr>
                <w:sz w:val="20"/>
                <w:szCs w:val="20"/>
                <w:color w:val="auto"/>
              </w:rPr>
            </w:pPr>
            <w:r>
              <w:rPr>
                <w:rFonts w:ascii="Arial" w:cs="Arial" w:eastAsia="Arial" w:hAnsi="Arial"/>
                <w:sz w:val="18"/>
                <w:szCs w:val="18"/>
                <w:color w:val="auto"/>
              </w:rPr>
              <w:t>PLAINS GP HOLDINGS, L.P.</w:t>
            </w:r>
          </w:p>
        </w:tc>
      </w:tr>
      <w:tr>
        <w:trPr>
          <w:trHeight w:val="500"/>
        </w:trPr>
        <w:tc>
          <w:tcPr>
            <w:tcW w:w="3140" w:type="dxa"/>
            <w:vAlign w:val="bottom"/>
          </w:tcPr>
          <w:p>
            <w:pPr>
              <w:spacing w:after="0"/>
              <w:rPr>
                <w:sz w:val="24"/>
                <w:szCs w:val="24"/>
                <w:color w:val="auto"/>
              </w:rPr>
            </w:pPr>
          </w:p>
        </w:tc>
        <w:tc>
          <w:tcPr>
            <w:tcW w:w="1800" w:type="dxa"/>
            <w:vAlign w:val="bottom"/>
          </w:tcPr>
          <w:p>
            <w:pPr>
              <w:ind w:left="1360"/>
              <w:spacing w:after="0"/>
              <w:rPr>
                <w:sz w:val="20"/>
                <w:szCs w:val="20"/>
                <w:color w:val="auto"/>
              </w:rPr>
            </w:pPr>
            <w:r>
              <w:rPr>
                <w:rFonts w:ascii="Arial" w:cs="Arial" w:eastAsia="Arial" w:hAnsi="Arial"/>
                <w:sz w:val="18"/>
                <w:szCs w:val="18"/>
                <w:color w:val="auto"/>
              </w:rPr>
              <w:t>By:</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PAA GP Holdings LLC, its general partner</w:t>
            </w:r>
          </w:p>
        </w:tc>
      </w:tr>
      <w:tr>
        <w:trPr>
          <w:trHeight w:val="499"/>
        </w:trPr>
        <w:tc>
          <w:tcPr>
            <w:tcW w:w="3140" w:type="dxa"/>
            <w:vAlign w:val="bottom"/>
          </w:tcPr>
          <w:p>
            <w:pPr>
              <w:spacing w:after="0"/>
              <w:rPr>
                <w:sz w:val="20"/>
                <w:szCs w:val="20"/>
                <w:color w:val="auto"/>
              </w:rPr>
            </w:pPr>
            <w:r>
              <w:rPr>
                <w:rFonts w:ascii="Arial" w:cs="Arial" w:eastAsia="Arial" w:hAnsi="Arial"/>
                <w:sz w:val="18"/>
                <w:szCs w:val="18"/>
                <w:color w:val="auto"/>
              </w:rPr>
              <w:t>Date: November 2, 2020</w:t>
            </w:r>
          </w:p>
        </w:tc>
        <w:tc>
          <w:tcPr>
            <w:tcW w:w="1800" w:type="dxa"/>
            <w:vAlign w:val="bottom"/>
          </w:tcPr>
          <w:p>
            <w:pPr>
              <w:ind w:left="1360"/>
              <w:spacing w:after="0"/>
              <w:rPr>
                <w:sz w:val="20"/>
                <w:szCs w:val="20"/>
                <w:color w:val="auto"/>
              </w:rPr>
            </w:pPr>
            <w:r>
              <w:rPr>
                <w:rFonts w:ascii="Arial" w:cs="Arial" w:eastAsia="Arial" w:hAnsi="Arial"/>
                <w:sz w:val="18"/>
                <w:szCs w:val="18"/>
                <w:color w:val="auto"/>
              </w:rPr>
              <w:t>By:</w:t>
            </w:r>
          </w:p>
        </w:tc>
        <w:tc>
          <w:tcPr>
            <w:tcW w:w="6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3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Name:</w:t>
            </w:r>
          </w:p>
        </w:tc>
        <w:tc>
          <w:tcPr>
            <w:tcW w:w="5560" w:type="dxa"/>
            <w:vAlign w:val="bottom"/>
          </w:tcPr>
          <w:p>
            <w:pPr>
              <w:ind w:left="160"/>
              <w:spacing w:after="0"/>
              <w:rPr>
                <w:sz w:val="20"/>
                <w:szCs w:val="20"/>
                <w:color w:val="auto"/>
              </w:rPr>
            </w:pPr>
            <w:r>
              <w:rPr>
                <w:rFonts w:ascii="Arial" w:cs="Arial" w:eastAsia="Arial" w:hAnsi="Arial"/>
                <w:sz w:val="18"/>
                <w:szCs w:val="18"/>
                <w:color w:val="auto"/>
              </w:rPr>
              <w:t>Al Swanson</w:t>
            </w:r>
          </w:p>
        </w:tc>
      </w:tr>
      <w:tr>
        <w:trPr>
          <w:trHeight w:val="230"/>
        </w:trPr>
        <w:tc>
          <w:tcPr>
            <w:tcW w:w="3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5560" w:type="dxa"/>
            <w:vAlign w:val="bottom"/>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445770</wp:posOffset>
            </wp:positionV>
            <wp:extent cx="5846445"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64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and Plains GP Holdings Report Third-Quarter 2020 Results</w:t>
      </w:r>
    </w:p>
    <w:p>
      <w:pPr>
        <w:spacing w:after="0" w:line="256" w:lineRule="exact"/>
        <w:rPr>
          <w:sz w:val="20"/>
          <w:szCs w:val="20"/>
          <w:color w:val="auto"/>
        </w:rPr>
      </w:pPr>
    </w:p>
    <w:p>
      <w:pPr>
        <w:ind w:right="140" w:firstLine="180"/>
        <w:spacing w:after="0" w:line="308" w:lineRule="auto"/>
        <w:rPr>
          <w:sz w:val="20"/>
          <w:szCs w:val="20"/>
          <w:color w:val="auto"/>
        </w:rPr>
      </w:pPr>
      <w:r>
        <w:rPr>
          <w:rFonts w:ascii="Arial" w:cs="Arial" w:eastAsia="Arial" w:hAnsi="Arial"/>
          <w:sz w:val="17"/>
          <w:szCs w:val="17"/>
          <w:color w:val="auto"/>
        </w:rPr>
        <w:t>(Houston — November 2, 2020) Plains All American Pipeline, L.P. (NYSE: PAA) and Plains GP Holdings (NYSE: PAGP) today reported third-quarter 2020 results and furnished updated 2020 guidance in addition to several other significant updates, which are highlighted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Highlights</w:t>
      </w:r>
    </w:p>
    <w:p>
      <w:pPr>
        <w:spacing w:after="0" w:line="25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net income for the quarter of $143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third-quarter 2020 Adjusted EBITDA of $682 million</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sale of LA Basin Terminals (closed October 15, 2020) for approximately $200 million (brings year-to-date asset sales proceeds to approximately $450 million)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full-year 2020 Adjusted EBITDA guidance to +/- $2.585 billion (increase of $85 million, or 3%)</w:t>
      </w:r>
    </w:p>
    <w:p>
      <w:pPr>
        <w:spacing w:after="0" w:line="252"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Provided preliminary estimate for 2021 Adjusted EBITDA of +/- $2.2 billion (assumes a $50 million contribution from the Supply &amp; Logistics segment, and is net of the LA Basin Terminals sale and $600 million or more of additional asset sales targeted in 2021)</w:t>
      </w:r>
    </w:p>
    <w:p>
      <w:pPr>
        <w:spacing w:after="0" w:line="197"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Provided preliminary estimate for 2021 Free Cash Flow after distributions of roughly $300 million, or $900 million or more when including the benefit of proceeds from additional asset sales targeted in 2021</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$500 million Common Equity Repurchase Program intended to be utilized as an additional method of returning capital to investors</w:t>
      </w:r>
    </w:p>
    <w:p>
      <w:pPr>
        <w:spacing w:after="0" w:line="27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delivered third-quarter results favorable to our expectations and raised our full-year 2020 guidance, which is now in-line with our beginning of the year pre-COVID expectations,” stated Willie Chiang, Chairman and CEO of Plains. “We have continued to execute across each of our key initiatives: operating safely and reliably, maximizing Free Cash Flow after distributions, reducing leverage, minimizing capital investment, optimizing our assets, streamlining our organization and reducing costs throughout the business.”</w:t>
      </w:r>
    </w:p>
    <w:p>
      <w:pPr>
        <w:spacing w:after="0" w:line="214" w:lineRule="exact"/>
        <w:rPr>
          <w:sz w:val="20"/>
          <w:szCs w:val="20"/>
          <w:color w:val="auto"/>
        </w:rPr>
      </w:pPr>
    </w:p>
    <w:p>
      <w:pPr>
        <w:ind w:right="80" w:firstLine="648"/>
        <w:spacing w:after="0" w:line="299" w:lineRule="auto"/>
        <w:rPr>
          <w:sz w:val="20"/>
          <w:szCs w:val="20"/>
          <w:color w:val="auto"/>
        </w:rPr>
      </w:pPr>
      <w:r>
        <w:rPr>
          <w:rFonts w:ascii="Arial" w:cs="Arial" w:eastAsia="Arial" w:hAnsi="Arial"/>
          <w:sz w:val="16"/>
          <w:szCs w:val="16"/>
          <w:color w:val="auto"/>
        </w:rPr>
        <w:t>Mr. Chiang continued, “Our current equity valuation does not reflect the strength of our asset base or the long-term durability of our business, and we have reached an inflection point where we expect to generate meaningful levels of Free Cash Flow after distributions. Given the combination of these factors, today we announced a $500 million common equity repurchase program to be used as an additional method of returning capital to investors. In addition to reducing debt, we believe it is appropriate to allocate a portion of our Free Cash Flow after distributions to invest in our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92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GAAP Results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920" w:type="dxa"/>
            <w:vAlign w:val="bottom"/>
          </w:tcPr>
          <w:p>
            <w:pPr>
              <w:jc w:val="right"/>
              <w:ind w:right="93"/>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4980" w:type="dxa"/>
            <w:vAlign w:val="bottom"/>
            <w:tcBorders>
              <w:top w:val="single" w:sz="8" w:color="auto"/>
            </w:tcBorders>
          </w:tcPr>
          <w:p>
            <w:pPr>
              <w:ind w:left="20"/>
              <w:spacing w:after="0" w:line="225" w:lineRule="exact"/>
              <w:rPr>
                <w:sz w:val="20"/>
                <w:szCs w:val="20"/>
                <w:color w:val="auto"/>
              </w:rPr>
            </w:pPr>
            <w:r>
              <w:rPr>
                <w:rFonts w:ascii="Arial" w:cs="Arial" w:eastAsia="Arial" w:hAnsi="Arial"/>
                <w:sz w:val="18"/>
                <w:szCs w:val="18"/>
                <w:color w:val="auto"/>
              </w:rPr>
              <w:t xml:space="preserve">Net income/(loss) attributable to PAA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Diluted net income/(loss) per common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5"/>
        </w:trPr>
        <w:tc>
          <w:tcPr>
            <w:tcW w:w="5100" w:type="dxa"/>
            <w:vAlign w:val="bottom"/>
            <w:gridSpan w:val="2"/>
          </w:tcPr>
          <w:p>
            <w:pPr>
              <w:ind w:left="20"/>
              <w:spacing w:after="0" w:line="235" w:lineRule="exact"/>
              <w:rPr>
                <w:sz w:val="20"/>
                <w:szCs w:val="20"/>
                <w:color w:val="auto"/>
              </w:rPr>
            </w:pPr>
            <w:r>
              <w:rPr>
                <w:rFonts w:ascii="Arial" w:cs="Arial" w:eastAsia="Arial" w:hAnsi="Arial"/>
                <w:sz w:val="18"/>
                <w:szCs w:val="18"/>
                <w:color w:val="auto"/>
              </w:rPr>
              <w:t xml:space="preserve">Diluted weighted average common units outstanding </w:t>
            </w:r>
            <w:r>
              <w:rPr>
                <w:rFonts w:ascii="Arial" w:cs="Arial" w:eastAsia="Arial" w:hAnsi="Arial"/>
                <w:sz w:val="23"/>
                <w:szCs w:val="23"/>
                <w:color w:val="auto"/>
                <w:vertAlign w:val="superscript"/>
              </w:rPr>
              <w:t>(2)</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737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737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Nine Months Ended</w:t>
            </w:r>
          </w:p>
        </w:tc>
        <w:tc>
          <w:tcPr>
            <w:tcW w:w="92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0" w:type="dxa"/>
            <w:vAlign w:val="bottom"/>
          </w:tcPr>
          <w:p>
            <w:pPr>
              <w:jc w:val="right"/>
              <w:ind w:right="12"/>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1,256</w:t>
            </w: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1,778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429" w:lineRule="exact"/>
        <w:rPr>
          <w:sz w:val="20"/>
          <w:szCs w:val="20"/>
          <w:color w:val="auto"/>
        </w:rPr>
      </w:pPr>
    </w:p>
    <w:p>
      <w:pPr>
        <w:sectPr>
          <w:pgSz w:w="11900" w:h="16838" w:orient="portrait"/>
          <w:cols w:equalWidth="0" w:num="2">
            <w:col w:w="8060" w:space="220"/>
            <w:col w:w="2960"/>
          </w:cols>
          <w:pgMar w:left="320" w:top="368" w:right="339" w:bottom="1440" w:gutter="0" w:footer="0" w:header="0"/>
        </w:sectPr>
      </w:pPr>
    </w:p>
    <w:p>
      <w:pPr>
        <w:spacing w:after="0" w:line="339" w:lineRule="exact"/>
        <w:rPr>
          <w:sz w:val="20"/>
          <w:szCs w:val="20"/>
          <w:color w:val="auto"/>
        </w:rPr>
      </w:pPr>
    </w:p>
    <w:p>
      <w:pPr>
        <w:ind w:left="340" w:right="360" w:hanging="332"/>
        <w:spacing w:after="0" w:line="267" w:lineRule="auto"/>
        <w:tabs>
          <w:tab w:leader="none" w:pos="32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Reported results for the nine months ended September 30, 2020 include aggregate non-cash goodwill and asset impairments and the write-down of certain of our investments in unconsolidated entities totaling $3.3 billion representing a nine-month net loss of $4.55 after tax per common unit.</w:t>
      </w:r>
    </w:p>
    <w:p>
      <w:pPr>
        <w:spacing w:after="0" w:line="66" w:lineRule="exact"/>
        <w:rPr>
          <w:rFonts w:ascii="Arial" w:cs="Arial" w:eastAsia="Arial" w:hAnsi="Arial"/>
          <w:sz w:val="21"/>
          <w:szCs w:val="21"/>
          <w:color w:val="auto"/>
          <w:vertAlign w:val="superscript"/>
        </w:rPr>
      </w:pPr>
    </w:p>
    <w:p>
      <w:pPr>
        <w:ind w:left="340" w:right="40" w:hanging="332"/>
        <w:spacing w:after="0" w:line="234"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For the three and nine months ended September 30, 2019, includes all potentially dilutive securities (our Series A preferred units and equity-indexed compensation awards) outstanding during the period. See the “Computation of Basic and Diluted Net Income/(Loss) Per Common Unit” table attached hereto for additional information.</w:t>
      </w:r>
    </w:p>
    <w:p>
      <w:pPr>
        <w:sectPr>
          <w:pgSz w:w="11900" w:h="16838" w:orient="portrait"/>
          <w:cols w:equalWidth="0" w:num="1">
            <w:col w:w="11240"/>
          </w:cols>
          <w:pgMar w:left="320" w:top="368" w:right="33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92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00" w:type="dxa"/>
            <w:vAlign w:val="bottom"/>
            <w:gridSpan w:val="2"/>
          </w:tcPr>
          <w:p>
            <w:pPr>
              <w:ind w:left="20"/>
              <w:spacing w:after="0" w:line="215" w:lineRule="exact"/>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1"/>
                <w:szCs w:val="21"/>
                <w:b w:val="1"/>
                <w:bCs w:val="1"/>
                <w:i w:val="1"/>
                <w:iCs w:val="1"/>
                <w:color w:val="auto"/>
                <w:vertAlign w:val="superscript"/>
              </w:rPr>
              <w:t>(1)</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2"/>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882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26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Nine Months Ended</w:t>
            </w:r>
          </w:p>
        </w:tc>
        <w:tc>
          <w:tcPr>
            <w:tcW w:w="92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09" w:lineRule="exact"/>
        <w:rPr>
          <w:sz w:val="20"/>
          <w:szCs w:val="20"/>
          <w:color w:val="auto"/>
        </w:rPr>
      </w:pPr>
    </w:p>
    <w:p>
      <w:pPr>
        <w:sectPr>
          <w:pgSz w:w="11900" w:h="16838" w:orient="portrait"/>
          <w:cols w:equalWidth="0" w:num="2">
            <w:col w:w="8060" w:space="220"/>
            <w:col w:w="2960"/>
          </w:cols>
          <w:pgMar w:left="320" w:top="368" w:right="339" w:bottom="1440" w:gutter="0" w:footer="0" w:header="0"/>
          <w:type w:val="continuous"/>
        </w:sectPr>
      </w:pPr>
    </w:p>
    <w:p>
      <w:pPr>
        <w:ind w:left="340" w:right="200" w:hanging="332"/>
        <w:spacing w:after="0" w:line="254" w:lineRule="auto"/>
        <w:tabs>
          <w:tab w:leader="none" w:pos="32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Implied DCF, Free Cash Flow and Free Cash Flow After Distributions) and their reconciliation to the most directly comparable measures as reported in accordance with GAAP.</w:t>
      </w:r>
    </w:p>
    <w:p>
      <w:pPr>
        <w:spacing w:after="0" w:line="29" w:lineRule="exact"/>
        <w:rPr>
          <w:rFonts w:ascii="Arial" w:cs="Arial" w:eastAsia="Arial" w:hAnsi="Arial"/>
          <w:sz w:val="22"/>
          <w:szCs w:val="22"/>
          <w:color w:val="auto"/>
          <w:vertAlign w:val="superscript"/>
        </w:rPr>
      </w:pPr>
    </w:p>
    <w:p>
      <w:pPr>
        <w:ind w:left="5440" w:hanging="106"/>
        <w:spacing w:after="0"/>
        <w:tabs>
          <w:tab w:leader="none" w:pos="5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Segment Adjusted EBITDA for the third quarter and first nine months of 2020 and 2019 is presented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right="433"/>
              <w:spacing w:after="0"/>
              <w:rPr>
                <w:sz w:val="20"/>
                <w:szCs w:val="20"/>
                <w:color w:val="auto"/>
              </w:rPr>
            </w:pPr>
            <w:r>
              <w:rPr>
                <w:rFonts w:ascii="Arial" w:cs="Arial" w:eastAsia="Arial" w:hAnsi="Arial"/>
                <w:sz w:val="16"/>
                <w:szCs w:val="16"/>
                <w:b w:val="1"/>
                <w:bCs w:val="1"/>
                <w:color w:val="auto"/>
                <w:w w:val="93"/>
              </w:rPr>
              <w:t>Segment Adjusted EBITDA</w:t>
            </w:r>
          </w:p>
        </w:tc>
        <w:tc>
          <w:tcPr>
            <w:tcW w:w="1000" w:type="dxa"/>
            <w:vAlign w:val="bottom"/>
            <w:tcBorders>
              <w:bottom w:val="single" w:sz="8" w:color="auto"/>
            </w:tcBorders>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Arial" w:cs="Arial" w:eastAsia="Arial" w:hAnsi="Arial"/>
                <w:sz w:val="16"/>
                <w:szCs w:val="16"/>
                <w:b w:val="1"/>
                <w:bCs w:val="1"/>
                <w:color w:val="auto"/>
              </w:rPr>
              <w:t>Transportation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Facilities</w:t>
            </w:r>
          </w:p>
        </w:tc>
        <w:tc>
          <w:tcPr>
            <w:tcW w:w="16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3"/>
              </w:rPr>
              <w:t>Supply and Logistics</w:t>
            </w:r>
          </w:p>
        </w:tc>
      </w:tr>
      <w:tr>
        <w:trPr>
          <w:trHeight w:val="251"/>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September 30,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203"/>
        </w:trPr>
        <w:tc>
          <w:tcPr>
            <w:tcW w:w="6060" w:type="dxa"/>
            <w:vAlign w:val="bottom"/>
          </w:tcPr>
          <w:p>
            <w:pPr>
              <w:spacing w:after="0" w:line="203" w:lineRule="exact"/>
              <w:rPr>
                <w:sz w:val="20"/>
                <w:szCs w:val="20"/>
                <w:color w:val="auto"/>
              </w:rPr>
            </w:pPr>
            <w:r>
              <w:rPr>
                <w:rFonts w:ascii="Arial" w:cs="Arial" w:eastAsia="Arial" w:hAnsi="Arial"/>
                <w:sz w:val="18"/>
                <w:szCs w:val="18"/>
                <w:color w:val="auto"/>
              </w:rPr>
              <w:t>Three Months Ended September 30, 2019</w:t>
            </w: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173</w:t>
            </w:r>
          </w:p>
        </w:tc>
        <w:tc>
          <w:tcPr>
            <w:tcW w:w="12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33"/>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92</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2"/>
        </w:trPr>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Percentage change in Segment Adjusted EBITDA versus 2019 period</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2 %</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(34)%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30"/>
        </w:trPr>
        <w:tc>
          <w:tcPr>
            <w:tcW w:w="6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right="433"/>
              <w:spacing w:after="0"/>
              <w:rPr>
                <w:sz w:val="20"/>
                <w:szCs w:val="20"/>
                <w:color w:val="auto"/>
              </w:rPr>
            </w:pPr>
            <w:r>
              <w:rPr>
                <w:rFonts w:ascii="Arial" w:cs="Arial" w:eastAsia="Arial" w:hAnsi="Arial"/>
                <w:sz w:val="16"/>
                <w:szCs w:val="16"/>
                <w:b w:val="1"/>
                <w:bCs w:val="1"/>
                <w:color w:val="auto"/>
                <w:w w:val="93"/>
              </w:rPr>
              <w:t>Segment Adjusted EBITDA</w:t>
            </w:r>
          </w:p>
        </w:tc>
        <w:tc>
          <w:tcPr>
            <w:tcW w:w="1000" w:type="dxa"/>
            <w:vAlign w:val="bottom"/>
            <w:tcBorders>
              <w:bottom w:val="single" w:sz="8" w:color="auto"/>
            </w:tcBorders>
          </w:tcPr>
          <w:p>
            <w:pPr>
              <w:spacing w:after="0"/>
              <w:rPr>
                <w:sz w:val="24"/>
                <w:szCs w:val="24"/>
                <w:color w:val="auto"/>
              </w:rPr>
            </w:pPr>
          </w:p>
        </w:tc>
      </w:tr>
      <w:tr>
        <w:trPr>
          <w:trHeight w:val="210"/>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Arial" w:cs="Arial" w:eastAsia="Arial" w:hAnsi="Arial"/>
                <w:sz w:val="16"/>
                <w:szCs w:val="16"/>
                <w:b w:val="1"/>
                <w:bCs w:val="1"/>
                <w:color w:val="auto"/>
              </w:rPr>
              <w:t>Transportation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Facilities</w:t>
            </w:r>
          </w:p>
        </w:tc>
        <w:tc>
          <w:tcPr>
            <w:tcW w:w="16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3"/>
              </w:rPr>
              <w:t>Supply and Logistics</w:t>
            </w:r>
          </w:p>
        </w:tc>
      </w:tr>
      <w:tr>
        <w:trPr>
          <w:trHeight w:val="251"/>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Nine Months Ended September 30,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1,233</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203"/>
        </w:trPr>
        <w:tc>
          <w:tcPr>
            <w:tcW w:w="6060" w:type="dxa"/>
            <w:vAlign w:val="bottom"/>
          </w:tcPr>
          <w:p>
            <w:pPr>
              <w:spacing w:after="0" w:line="203" w:lineRule="exact"/>
              <w:rPr>
                <w:sz w:val="20"/>
                <w:szCs w:val="20"/>
                <w:color w:val="auto"/>
              </w:rPr>
            </w:pPr>
            <w:r>
              <w:rPr>
                <w:rFonts w:ascii="Arial" w:cs="Arial" w:eastAsia="Arial" w:hAnsi="Arial"/>
                <w:sz w:val="18"/>
                <w:szCs w:val="18"/>
                <w:color w:val="auto"/>
              </w:rPr>
              <w:t>Nine Months Ended September 30, 2019</w:t>
            </w: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1,271</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529</w:t>
            </w:r>
          </w:p>
        </w:tc>
        <w:tc>
          <w:tcPr>
            <w:tcW w:w="12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33"/>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571</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9"/>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2019 period</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177"/>
        <w:spacing w:after="0" w:line="270" w:lineRule="auto"/>
        <w:rPr>
          <w:sz w:val="20"/>
          <w:szCs w:val="20"/>
          <w:color w:val="auto"/>
        </w:rPr>
      </w:pPr>
      <w:r>
        <w:rPr>
          <w:rFonts w:ascii="Arial" w:cs="Arial" w:eastAsia="Arial" w:hAnsi="Arial"/>
          <w:sz w:val="17"/>
          <w:szCs w:val="17"/>
          <w:color w:val="auto"/>
        </w:rPr>
        <w:t>Third-quarter 2020 Transportation Segment Adjusted EBITDA decreased 4% versus comparable 2019 results due to reductions in tariff volumes in multiple regions resulting from lower crude oil prices, reduced drilling and completion activity and compressed regional basis differentials, partially offset by the benefit of minimum volume commitment deficiency payments associated with second quarter deficiencies.</w:t>
      </w:r>
    </w:p>
    <w:p>
      <w:pPr>
        <w:spacing w:after="0" w:line="191" w:lineRule="exact"/>
        <w:rPr>
          <w:sz w:val="20"/>
          <w:szCs w:val="20"/>
          <w:color w:val="auto"/>
        </w:rPr>
      </w:pPr>
    </w:p>
    <w:p>
      <w:pPr>
        <w:ind w:right="40" w:firstLine="177"/>
        <w:spacing w:after="0" w:line="259" w:lineRule="auto"/>
        <w:rPr>
          <w:sz w:val="20"/>
          <w:szCs w:val="20"/>
          <w:color w:val="auto"/>
        </w:rPr>
      </w:pPr>
      <w:r>
        <w:rPr>
          <w:rFonts w:ascii="Arial" w:cs="Arial" w:eastAsia="Arial" w:hAnsi="Arial"/>
          <w:sz w:val="18"/>
          <w:szCs w:val="18"/>
          <w:color w:val="auto"/>
        </w:rPr>
        <w:t>Third-quarter 2020 Facilities Segment Adjusted EBITDA increased 2% versus comparable 2019 results primarily due to operational cost savings, increased spot activity at certain of our West Coast crude oil storage terminals and increased capacity at certain of our Mid-Continent and Gulf Coast crude oil storage terminals, partially offset by decreased activity at certain of our rail terminals resulting from less favorable market conditions and the impact of asset sales.</w:t>
      </w:r>
    </w:p>
    <w:p>
      <w:pPr>
        <w:spacing w:after="0" w:line="187" w:lineRule="exact"/>
        <w:rPr>
          <w:sz w:val="20"/>
          <w:szCs w:val="20"/>
          <w:color w:val="auto"/>
        </w:rPr>
      </w:pPr>
    </w:p>
    <w:p>
      <w:pPr>
        <w:ind w:right="380" w:firstLine="177"/>
        <w:spacing w:after="0" w:line="308" w:lineRule="auto"/>
        <w:rPr>
          <w:sz w:val="20"/>
          <w:szCs w:val="20"/>
          <w:color w:val="auto"/>
        </w:rPr>
      </w:pPr>
      <w:r>
        <w:rPr>
          <w:rFonts w:ascii="Arial" w:cs="Arial" w:eastAsia="Arial" w:hAnsi="Arial"/>
          <w:sz w:val="17"/>
          <w:szCs w:val="17"/>
          <w:color w:val="auto"/>
        </w:rPr>
        <w:t>Third-quarter 2020 Supply and Logistics Segment Adjusted EBITDA decreased 34% versus comparable 2019 results due to less favorable crude oil differentials in both the Permian Basin and Canada, partially offset by the benefit of contango-based margin opportunities.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Full-Year Guidance</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our full-year 2020 financial and operating guidance: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7"/>
              </w:rPr>
              <w:t>Twelve Months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 (G)</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color w:val="auto"/>
              </w:rPr>
              <w:t>+ / -</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Transportation</w:t>
            </w:r>
          </w:p>
        </w:tc>
        <w:tc>
          <w:tcPr>
            <w:tcW w:w="860" w:type="dxa"/>
            <w:vAlign w:val="bottom"/>
          </w:tcPr>
          <w:p>
            <w:pPr>
              <w:spacing w:after="0"/>
              <w:rPr>
                <w:sz w:val="19"/>
                <w:szCs w:val="19"/>
                <w:color w:val="auto"/>
              </w:rPr>
            </w:pPr>
          </w:p>
        </w:tc>
        <w:tc>
          <w:tcPr>
            <w:tcW w:w="206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280"/>
              <w:spacing w:after="0"/>
              <w:rPr>
                <w:sz w:val="20"/>
                <w:szCs w:val="20"/>
                <w:color w:val="auto"/>
              </w:rPr>
            </w:pPr>
            <w:r>
              <w:rPr>
                <w:rFonts w:ascii="Arial" w:cs="Arial" w:eastAsia="Arial" w:hAnsi="Arial"/>
                <w:sz w:val="18"/>
                <w:szCs w:val="18"/>
                <w:b w:val="1"/>
                <w:bCs w:val="1"/>
                <w:color w:val="auto"/>
              </w:rPr>
              <w:t>Fee-Based</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jc w:val="right"/>
              <w:ind w:right="83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2,219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2,427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Adjusted other income/(expense), net</w:t>
            </w:r>
          </w:p>
        </w:tc>
        <w:tc>
          <w:tcPr>
            <w:tcW w:w="8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8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ind w:left="160"/>
              <w:spacing w:after="0" w:line="243"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(2)</w:t>
            </w:r>
          </w:p>
        </w:tc>
        <w:tc>
          <w:tcPr>
            <w:tcW w:w="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(419)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(407)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Current income tax expense</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line="223"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jc w:val="right"/>
              <w:ind w:right="83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1,948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2,376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3"/>
          </w:tcPr>
          <w:p>
            <w:pPr>
              <w:spacing w:after="0" w:line="230" w:lineRule="exact"/>
              <w:rPr>
                <w:sz w:val="20"/>
                <w:szCs w:val="20"/>
                <w:color w:val="auto"/>
              </w:rPr>
            </w:pPr>
            <w:r>
              <w:rPr>
                <w:rFonts w:ascii="Arial" w:cs="Arial" w:eastAsia="Arial" w:hAnsi="Arial"/>
                <w:sz w:val="18"/>
                <w:szCs w:val="18"/>
                <w:b w:val="1"/>
                <w:bCs w:val="1"/>
                <w:color w:val="auto"/>
                <w:w w:val="95"/>
              </w:rPr>
              <w:t xml:space="preserve">Implied DCF per Common Unit and Common Equivalent Unit </w:t>
            </w:r>
            <w:r>
              <w:rPr>
                <w:rFonts w:ascii="Arial" w:cs="Arial" w:eastAsia="Arial" w:hAnsi="Arial"/>
                <w:sz w:val="23"/>
                <w:szCs w:val="23"/>
                <w:b w:val="1"/>
                <w:bCs w:val="1"/>
                <w:color w:val="auto"/>
                <w:w w:val="95"/>
                <w:vertAlign w:val="superscript"/>
              </w:rPr>
              <w:t>(1)</w:t>
            </w:r>
          </w:p>
        </w:tc>
        <w:tc>
          <w:tcPr>
            <w:tcW w:w="206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860" w:type="dxa"/>
            <w:vAlign w:val="bottom"/>
          </w:tcPr>
          <w:p>
            <w:pPr>
              <w:spacing w:after="0"/>
              <w:rPr>
                <w:sz w:val="19"/>
                <w:szCs w:val="19"/>
                <w:color w:val="auto"/>
              </w:rPr>
            </w:pPr>
          </w:p>
        </w:tc>
        <w:tc>
          <w:tcPr>
            <w:tcW w:w="206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2.05x</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2.17x</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(1)</w:t>
            </w:r>
          </w:p>
        </w:tc>
        <w:tc>
          <w:tcPr>
            <w:tcW w:w="8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b w:val="1"/>
                <w:bCs w:val="1"/>
                <w:color w:val="auto"/>
              </w:rPr>
              <w:t>Transportation</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Segment Adjusted EBITDA per barrel</w:t>
            </w:r>
          </w:p>
        </w:tc>
        <w:tc>
          <w:tcPr>
            <w:tcW w:w="860" w:type="dxa"/>
            <w:vAlign w:val="bottom"/>
          </w:tcPr>
          <w:p>
            <w:pPr>
              <w:spacing w:after="0"/>
              <w:rPr>
                <w:sz w:val="19"/>
                <w:szCs w:val="19"/>
                <w:color w:val="auto"/>
              </w:rPr>
            </w:pPr>
          </w:p>
        </w:tc>
        <w:tc>
          <w:tcPr>
            <w:tcW w:w="206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b w:val="1"/>
                <w:bCs w:val="1"/>
                <w:color w:val="auto"/>
              </w:rPr>
              <w:t>Facilities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capacity (MMBbls/Mo)</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Segment Adjusted EBITDA per barrel</w:t>
            </w:r>
          </w:p>
        </w:tc>
        <w:tc>
          <w:tcPr>
            <w:tcW w:w="860" w:type="dxa"/>
            <w:vAlign w:val="bottom"/>
          </w:tcPr>
          <w:p>
            <w:pPr>
              <w:spacing w:after="0"/>
              <w:rPr>
                <w:sz w:val="19"/>
                <w:szCs w:val="19"/>
                <w:color w:val="auto"/>
              </w:rPr>
            </w:pPr>
          </w:p>
        </w:tc>
        <w:tc>
          <w:tcPr>
            <w:tcW w:w="206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Segment Adjusted EBITDA per barrel</w:t>
            </w:r>
          </w:p>
        </w:tc>
        <w:tc>
          <w:tcPr>
            <w:tcW w:w="860" w:type="dxa"/>
            <w:vAlign w:val="bottom"/>
          </w:tcPr>
          <w:p>
            <w:pPr>
              <w:spacing w:after="0"/>
              <w:rPr>
                <w:sz w:val="19"/>
                <w:szCs w:val="19"/>
                <w:color w:val="auto"/>
              </w:rPr>
            </w:pPr>
          </w:p>
        </w:tc>
        <w:tc>
          <w:tcPr>
            <w:tcW w:w="206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Investment Capital</w:t>
            </w:r>
          </w:p>
        </w:tc>
        <w:tc>
          <w:tcPr>
            <w:tcW w:w="860" w:type="dxa"/>
            <w:vAlign w:val="bottom"/>
          </w:tcPr>
          <w:p>
            <w:pPr>
              <w:spacing w:after="0"/>
              <w:rPr>
                <w:sz w:val="19"/>
                <w:szCs w:val="19"/>
                <w:color w:val="auto"/>
              </w:rPr>
            </w:pPr>
          </w:p>
        </w:tc>
        <w:tc>
          <w:tcPr>
            <w:tcW w:w="2060" w:type="dxa"/>
            <w:vAlign w:val="bottom"/>
            <w:gridSpan w:val="2"/>
          </w:tcPr>
          <w:p>
            <w:pPr>
              <w:jc w:val="right"/>
              <w:ind w:right="832"/>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1,888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1,340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Fourth-Quarter Adjusted EBITDA as Percentage of Full Year</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427"/>
        </w:trPr>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60" w:type="dxa"/>
            <w:vAlign w:val="bottom"/>
            <w:gridSpan w:val="2"/>
            <w:vMerge w:val="restart"/>
          </w:tcPr>
          <w:p>
            <w:pPr>
              <w:jc w:val="right"/>
              <w:ind w:right="1252"/>
              <w:spacing w:after="0"/>
              <w:rPr>
                <w:sz w:val="20"/>
                <w:szCs w:val="20"/>
                <w:color w:val="auto"/>
              </w:rPr>
            </w:pPr>
            <w:r>
              <w:rPr>
                <w:rFonts w:ascii="Arial" w:cs="Arial" w:eastAsia="Arial" w:hAnsi="Arial"/>
                <w:sz w:val="18"/>
                <w:szCs w:val="18"/>
                <w:color w:val="auto"/>
              </w:rPr>
              <w:t>- more -</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300" w:type="dxa"/>
            <w:vAlign w:val="bottom"/>
            <w:tcBorders>
              <w:bottom w:val="single" w:sz="8" w:color="auto"/>
            </w:tcBorders>
            <w:gridSpan w:val="2"/>
          </w:tcPr>
          <w:p>
            <w:pPr>
              <w:spacing w:after="0"/>
              <w:rPr>
                <w:sz w:val="11"/>
                <w:szCs w:val="11"/>
                <w:color w:val="auto"/>
              </w:rPr>
            </w:pPr>
          </w:p>
        </w:tc>
        <w:tc>
          <w:tcPr>
            <w:tcW w:w="2920" w:type="dxa"/>
            <w:vAlign w:val="bottom"/>
            <w:tcBorders>
              <w:bottom w:val="single" w:sz="8" w:color="auto"/>
            </w:tcBorders>
            <w:gridSpan w:val="3"/>
          </w:tcPr>
          <w:p>
            <w:pPr>
              <w:spacing w:after="0"/>
              <w:rPr>
                <w:sz w:val="11"/>
                <w:szCs w:val="11"/>
                <w:color w:val="auto"/>
              </w:rPr>
            </w:pPr>
          </w:p>
        </w:tc>
        <w:tc>
          <w:tcPr>
            <w:tcW w:w="2800" w:type="dxa"/>
            <w:vAlign w:val="bottom"/>
            <w:tcBorders>
              <w:bottom w:val="single" w:sz="8" w:color="auto"/>
            </w:tcBorders>
            <w:gridSpan w:val="6"/>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2"/>
          </w:tcPr>
          <w:p>
            <w:pPr>
              <w:ind w:left="1620"/>
              <w:spacing w:after="0"/>
              <w:rPr>
                <w:sz w:val="20"/>
                <w:szCs w:val="20"/>
                <w:color w:val="auto"/>
              </w:rPr>
            </w:pPr>
            <w:r>
              <w:rPr>
                <w:rFonts w:ascii="Arial" w:cs="Arial" w:eastAsia="Arial" w:hAnsi="Arial"/>
                <w:sz w:val="18"/>
                <w:szCs w:val="18"/>
                <w:b w:val="1"/>
                <w:bCs w:val="1"/>
                <w:color w:val="auto"/>
              </w:rPr>
              <w:t>333 Clay Street, Suite 1600</w:t>
            </w:r>
          </w:p>
        </w:tc>
        <w:tc>
          <w:tcPr>
            <w:tcW w:w="2920" w:type="dxa"/>
            <w:vAlign w:val="bottom"/>
            <w:gridSpan w:val="3"/>
          </w:tcPr>
          <w:p>
            <w:pPr>
              <w:jc w:val="right"/>
              <w:ind w:right="712"/>
              <w:spacing w:after="0"/>
              <w:rPr>
                <w:sz w:val="20"/>
                <w:szCs w:val="20"/>
                <w:color w:val="auto"/>
              </w:rPr>
            </w:pPr>
            <w:r>
              <w:rPr>
                <w:rFonts w:ascii="Arial" w:cs="Arial" w:eastAsia="Arial" w:hAnsi="Arial"/>
                <w:sz w:val="18"/>
                <w:szCs w:val="18"/>
                <w:b w:val="1"/>
                <w:bCs w:val="1"/>
                <w:color w:val="auto"/>
              </w:rPr>
              <w:t>Houston, Texas 77002</w:t>
            </w:r>
          </w:p>
        </w:tc>
        <w:tc>
          <w:tcPr>
            <w:tcW w:w="280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713-646-4100 / 866-809-1291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6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(G) 2020 Guidance forecasts are intended to be + / - amounts.</w:t>
      </w:r>
    </w:p>
    <w:p>
      <w:pPr>
        <w:spacing w:after="0" w:line="117" w:lineRule="exact"/>
        <w:rPr>
          <w:sz w:val="20"/>
          <w:szCs w:val="20"/>
          <w:color w:val="auto"/>
        </w:rPr>
      </w:pPr>
    </w:p>
    <w:p>
      <w:pPr>
        <w:ind w:left="340" w:right="100" w:hanging="332"/>
        <w:spacing w:after="0" w:line="259" w:lineRule="auto"/>
        <w:tabs>
          <w:tab w:leader="none" w:pos="32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2018 and 2019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58"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3" w:lineRule="exact"/>
        <w:rPr>
          <w:rFonts w:ascii="Arial" w:cs="Arial" w:eastAsia="Arial" w:hAnsi="Arial"/>
          <w:sz w:val="22"/>
          <w:szCs w:val="22"/>
          <w:color w:val="auto"/>
          <w:vertAlign w:val="superscript"/>
        </w:rPr>
      </w:pPr>
    </w:p>
    <w:p>
      <w:pPr>
        <w:jc w:val="both"/>
        <w:ind w:left="340" w:right="220" w:hanging="332"/>
        <w:spacing w:after="0" w:line="249" w:lineRule="auto"/>
        <w:tabs>
          <w:tab w:leader="none" w:pos="32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the year presented. Distributions on our Series A preferred units were paid-in-kind for the February 2018 quarterly distribution. Distributions on our Series A preferred units have been paid in cash since the May 2018 quarterly distribution. Distributions on our Series B preferred units are payable in cash semi-annually in arrears on May 15 and November 15.</w:t>
      </w:r>
    </w:p>
    <w:p>
      <w:pPr>
        <w:spacing w:after="0" w:line="87" w:lineRule="exact"/>
        <w:rPr>
          <w:rFonts w:ascii="Arial" w:cs="Arial" w:eastAsia="Arial" w:hAnsi="Arial"/>
          <w:sz w:val="22"/>
          <w:szCs w:val="22"/>
          <w:color w:val="auto"/>
          <w:vertAlign w:val="superscript"/>
        </w:rPr>
      </w:pPr>
    </w:p>
    <w:p>
      <w:pPr>
        <w:ind w:left="340" w:right="300" w:hanging="332"/>
        <w:spacing w:after="0" w:line="220"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Cash distributions per common unit paid during 2018 and 2019. 2020 (G) reflects the annualized distribution rate of $1.44 per common unit paid in February and the decreased annualized distribution rate of $0.72 per common unit for the remainder of the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ind w:right="160" w:firstLine="180"/>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Q3 2020</w:t>
            </w:r>
          </w:p>
        </w:tc>
        <w:tc>
          <w:tcPr>
            <w:tcW w:w="24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Q2 2020</w:t>
            </w:r>
          </w:p>
        </w:tc>
        <w:tc>
          <w:tcPr>
            <w:tcW w:w="240" w:type="dxa"/>
            <w:vAlign w:val="bottom"/>
          </w:tcPr>
          <w:p>
            <w:pPr>
              <w:spacing w:after="0"/>
              <w:rPr>
                <w:sz w:val="18"/>
                <w:szCs w:val="18"/>
                <w:color w:val="auto"/>
              </w:rPr>
            </w:pPr>
          </w:p>
        </w:tc>
        <w:tc>
          <w:tcPr>
            <w:tcW w:w="1060" w:type="dxa"/>
            <w:vAlign w:val="bottom"/>
          </w:tcPr>
          <w:p>
            <w:pPr>
              <w:jc w:val="right"/>
              <w:ind w:right="273"/>
              <w:spacing w:after="0"/>
              <w:rPr>
                <w:sz w:val="20"/>
                <w:szCs w:val="20"/>
                <w:color w:val="auto"/>
              </w:rPr>
            </w:pPr>
            <w:r>
              <w:rPr>
                <w:rFonts w:ascii="Arial" w:cs="Arial" w:eastAsia="Arial" w:hAnsi="Arial"/>
                <w:sz w:val="16"/>
                <w:szCs w:val="16"/>
                <w:b w:val="1"/>
                <w:bCs w:val="1"/>
                <w:color w:val="auto"/>
              </w:rPr>
              <w:t>Q3 2019</w:t>
            </w:r>
          </w:p>
        </w:tc>
      </w:tr>
      <w:tr>
        <w:trPr>
          <w:trHeight w:val="22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0.36</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Q3 2020 distribution percentage change from prior periods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
        </w:trPr>
        <w:tc>
          <w:tcPr>
            <w:tcW w:w="7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PAA and PAGP will hold a joint conference call at 4:30 p.m. CT on Monday, November 2, 2020 to discuss the following items:</w:t>
      </w:r>
    </w:p>
    <w:p>
      <w:pPr>
        <w:spacing w:after="0" w:line="252" w:lineRule="exact"/>
        <w:rPr>
          <w:sz w:val="20"/>
          <w:szCs w:val="20"/>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PAA’s third-quarter 2020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access the internet webcast, please go to https://event.webcasts.com/starthere.jsp?ei=1378562&amp;tp_key=8945f97d3b.</w:t>
      </w:r>
    </w:p>
    <w:p>
      <w:pPr>
        <w:spacing w:after="0" w:line="252" w:lineRule="exact"/>
        <w:rPr>
          <w:sz w:val="20"/>
          <w:szCs w:val="20"/>
          <w:color w:val="auto"/>
        </w:rPr>
      </w:pPr>
    </w:p>
    <w:p>
      <w:pPr>
        <w:jc w:val="both"/>
        <w:ind w:right="420" w:firstLine="170"/>
        <w:spacing w:after="0" w:line="259" w:lineRule="auto"/>
        <w:rPr>
          <w:sz w:val="20"/>
          <w:szCs w:val="20"/>
          <w:color w:val="auto"/>
        </w:rPr>
      </w:pPr>
      <w:r>
        <w:rPr>
          <w:rFonts w:ascii="Arial" w:cs="Arial" w:eastAsia="Arial" w:hAnsi="Arial"/>
          <w:sz w:val="18"/>
          <w:szCs w:val="18"/>
          <w:color w:val="auto"/>
        </w:rPr>
        <w:t>Alternatively, the webcast can be accessed on our website (www.plainsallamerican.com)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52" w:lineRule="exact"/>
        <w:rPr>
          <w:sz w:val="20"/>
          <w:szCs w:val="20"/>
          <w:color w:val="auto"/>
        </w:rPr>
      </w:pPr>
    </w:p>
    <w:p>
      <w:pPr>
        <w:ind w:right="300" w:firstLine="177"/>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and other general partnership purposes.</w:t>
      </w:r>
    </w:p>
    <w:p>
      <w:pPr>
        <w:spacing w:after="0" w:line="211"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w:t>
      </w:r>
    </w:p>
    <w:p>
      <w:pPr>
        <w:spacing w:after="0" w:line="19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certain other non-GAAP financial performance measures are reconciled to Net Income/(Loss),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15" w:lineRule="exact"/>
        <w:rPr>
          <w:sz w:val="20"/>
          <w:szCs w:val="20"/>
          <w:color w:val="auto"/>
        </w:rPr>
      </w:pPr>
    </w:p>
    <w:p>
      <w:pPr>
        <w:ind w:right="60" w:firstLine="170"/>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distributions to, contributions from and proceeds from the sale of noncontrolling interests. Free Cash Flow is further reduced by cash distributions paid to preferred and common unitholders to arrive at Free Cash Flow After Distributions.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300" w:firstLine="180"/>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 and Excess Supply Situation:</w:t>
      </w:r>
    </w:p>
    <w:p>
      <w:pPr>
        <w:spacing w:after="0" w:line="293" w:lineRule="exact"/>
        <w:rPr>
          <w:sz w:val="20"/>
          <w:szCs w:val="20"/>
          <w:color w:val="auto"/>
        </w:rPr>
      </w:pPr>
    </w:p>
    <w:p>
      <w:pPr>
        <w:ind w:left="660" w:right="40" w:hanging="328"/>
        <w:spacing w:after="0" w:line="244"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further declines in global crude oil demand and crude oil prices that correspondingly lead to a significant reduction of domestic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35" w:lineRule="exact"/>
        <w:rPr>
          <w:rFonts w:ascii="Arial" w:cs="Arial" w:eastAsia="Arial" w:hAnsi="Arial"/>
          <w:sz w:val="22"/>
          <w:szCs w:val="22"/>
          <w:color w:val="auto"/>
        </w:rPr>
      </w:pPr>
    </w:p>
    <w:p>
      <w:pPr>
        <w:ind w:left="660" w:right="40" w:hanging="328"/>
        <w:spacing w:after="0" w:line="238"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uncertainty regarding the length of time it will take for the United States, Canada, and the rest of the world to contain the spread of the COVID-19 virus to the point where restrictions on various commercial and economic activities are lifted and the extent to which consumer demand and demand for crude oil rebound once such restrictions are lifted;</w:t>
      </w:r>
    </w:p>
    <w:p>
      <w:pPr>
        <w:spacing w:after="0" w:line="135" w:lineRule="exact"/>
        <w:rPr>
          <w:rFonts w:ascii="Arial" w:cs="Arial" w:eastAsia="Arial" w:hAnsi="Arial"/>
          <w:sz w:val="22"/>
          <w:szCs w:val="22"/>
          <w:color w:val="auto"/>
        </w:rPr>
      </w:pPr>
    </w:p>
    <w:p>
      <w:pPr>
        <w:ind w:left="660" w:right="500" w:hanging="328"/>
        <w:spacing w:after="0" w:line="23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uncertainty regarding the future actions of foreign oil producers such as Saudi Arabia and Russia and the risk that they take actions that will prolong or exacerbate the current over-supply of crude oil;</w:t>
      </w:r>
    </w:p>
    <w:p>
      <w:pPr>
        <w:spacing w:after="0" w:line="135" w:lineRule="exact"/>
        <w:rPr>
          <w:rFonts w:ascii="Arial" w:cs="Arial" w:eastAsia="Arial" w:hAnsi="Arial"/>
          <w:sz w:val="22"/>
          <w:szCs w:val="22"/>
          <w:color w:val="auto"/>
        </w:rPr>
      </w:pPr>
    </w:p>
    <w:p>
      <w:pPr>
        <w:ind w:left="660" w:right="400" w:hanging="328"/>
        <w:spacing w:after="0" w:line="297"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82" w:lineRule="exact"/>
        <w:rPr>
          <w:rFonts w:ascii="Arial" w:cs="Arial" w:eastAsia="Arial" w:hAnsi="Arial"/>
          <w:sz w:val="19"/>
          <w:szCs w:val="19"/>
          <w:color w:val="auto"/>
        </w:rPr>
      </w:pPr>
    </w:p>
    <w:p>
      <w:pPr>
        <w:ind w:left="660" w:right="80" w:hanging="328"/>
        <w:spacing w:after="0" w:line="238"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effect of an overhang of significant amounts of crude oil inventory stored in the United States and elsewhere and the impact that such inventory overhang ultimately has on the timing of a return to market conditions that are more conducive to an increase in drilling and production activities in the United States and a resulting increase in demand for the midstream services we provide;</w:t>
      </w:r>
    </w:p>
    <w:p>
      <w:pPr>
        <w:spacing w:after="0" w:line="135" w:lineRule="exact"/>
        <w:rPr>
          <w:rFonts w:ascii="Arial" w:cs="Arial" w:eastAsia="Arial" w:hAnsi="Arial"/>
          <w:sz w:val="22"/>
          <w:szCs w:val="22"/>
          <w:color w:val="auto"/>
        </w:rPr>
      </w:pPr>
    </w:p>
    <w:p>
      <w:pPr>
        <w:ind w:left="660" w:hanging="328"/>
        <w:spacing w:after="0" w:line="284"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jc w:val="both"/>
        <w:ind w:left="660" w:right="680" w:hanging="328"/>
        <w:spacing w:after="0" w:line="297"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57" w:lineRule="exact"/>
        <w:rPr>
          <w:rFonts w:ascii="Arial" w:cs="Arial" w:eastAsia="Arial" w:hAnsi="Arial"/>
          <w:sz w:val="19"/>
          <w:szCs w:val="19"/>
          <w:color w:val="auto"/>
        </w:rPr>
      </w:pPr>
    </w:p>
    <w:p>
      <w:pPr>
        <w:ind w:left="660" w:hanging="328"/>
        <w:spacing w:after="0"/>
        <w:tabs>
          <w:tab w:leader="none" w:pos="660" w:val="left"/>
        </w:tabs>
        <w:numPr>
          <w:ilvl w:val="0"/>
          <w:numId w:val="8"/>
        </w:numPr>
        <w:rPr>
          <w:rFonts w:ascii="Arial" w:cs="Arial" w:eastAsia="Arial" w:hAnsi="Arial"/>
          <w:sz w:val="21"/>
          <w:szCs w:val="21"/>
          <w:color w:val="auto"/>
        </w:rPr>
      </w:pPr>
      <w:r>
        <w:rPr>
          <w:rFonts w:ascii="Arial" w:cs="Arial" w:eastAsia="Arial" w:hAnsi="Arial"/>
          <w:sz w:val="17"/>
          <w:szCs w:val="17"/>
          <w:color w:val="auto"/>
        </w:rPr>
        <w:t>operational difficulties due to physical distancing restrictions and the additional demands such restrictions may place on our employees;</w:t>
      </w:r>
    </w:p>
    <w:p>
      <w:pPr>
        <w:spacing w:after="0" w:line="26" w:lineRule="exact"/>
        <w:rPr>
          <w:rFonts w:ascii="Arial" w:cs="Arial" w:eastAsia="Arial" w:hAnsi="Arial"/>
          <w:sz w:val="21"/>
          <w:szCs w:val="21"/>
          <w:color w:val="auto"/>
        </w:rPr>
      </w:pPr>
    </w:p>
    <w:p>
      <w:pPr>
        <w:ind w:left="5440" w:hanging="106"/>
        <w:spacing w:after="0"/>
        <w:tabs>
          <w:tab w:leader="none" w:pos="5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380" w:hanging="328"/>
        <w:spacing w:after="0" w:line="218"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disruptions to futures markets for crude oil, NGL and other petroleum products, which may impair our ability to execute our commercial and hedging strategies;</w:t>
      </w:r>
    </w:p>
    <w:p>
      <w:pPr>
        <w:spacing w:after="0" w:line="25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inability to reduce capital expenditures to the extent forecasted, whether due to the incurrence of unexpected or unplanned expenditures, third-party claims or other factors;</w:t>
      </w:r>
    </w:p>
    <w:p>
      <w:pPr>
        <w:spacing w:after="0" w:line="13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19"/>
          <w:szCs w:val="19"/>
          <w:color w:val="auto"/>
        </w:rPr>
      </w:pPr>
      <w:r>
        <w:rPr>
          <w:rFonts w:ascii="Arial" w:cs="Arial" w:eastAsia="Arial" w:hAnsi="Arial"/>
          <w:sz w:val="16"/>
          <w:szCs w:val="16"/>
          <w:color w:val="auto"/>
        </w:rPr>
        <w:t>the inability to complete forecasted asset sale transactions due to governmental action, litigation, counterparty non-performance or other factors;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Factors:</w:t>
      </w:r>
    </w:p>
    <w:p>
      <w:pPr>
        <w:spacing w:after="0" w:line="2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effects of competition, including the effects of capacity overbuild in areas where we operate;</w:t>
      </w:r>
    </w:p>
    <w:p>
      <w:pPr>
        <w:spacing w:after="0" w:line="134" w:lineRule="exact"/>
        <w:rPr>
          <w:rFonts w:ascii="Arial" w:cs="Arial" w:eastAsia="Arial" w:hAnsi="Arial"/>
          <w:sz w:val="22"/>
          <w:szCs w:val="22"/>
          <w:color w:val="auto"/>
        </w:rPr>
      </w:pPr>
    </w:p>
    <w:p>
      <w:pPr>
        <w:ind w:left="660" w:right="120" w:hanging="328"/>
        <w:spacing w:after="0" w:line="251" w:lineRule="auto"/>
        <w:tabs>
          <w:tab w:leader="none" w:pos="655" w:val="left"/>
        </w:tabs>
        <w:numPr>
          <w:ilvl w:val="0"/>
          <w:numId w:val="10"/>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4" w:lineRule="exact"/>
        <w:rPr>
          <w:rFonts w:ascii="Arial" w:cs="Arial" w:eastAsia="Arial" w:hAnsi="Arial"/>
          <w:sz w:val="22"/>
          <w:szCs w:val="22"/>
          <w:color w:val="auto"/>
        </w:rPr>
      </w:pPr>
    </w:p>
    <w:p>
      <w:pPr>
        <w:ind w:left="660" w:right="20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4" w:lineRule="exact"/>
        <w:rPr>
          <w:rFonts w:ascii="Arial" w:cs="Arial" w:eastAsia="Arial" w:hAnsi="Arial"/>
          <w:sz w:val="22"/>
          <w:szCs w:val="22"/>
          <w:color w:val="auto"/>
        </w:rPr>
      </w:pPr>
    </w:p>
    <w:p>
      <w:pPr>
        <w:ind w:left="660" w:right="4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35" w:lineRule="exact"/>
        <w:rPr>
          <w:rFonts w:ascii="Arial" w:cs="Arial" w:eastAsia="Arial" w:hAnsi="Arial"/>
          <w:sz w:val="22"/>
          <w:szCs w:val="22"/>
          <w:color w:val="auto"/>
        </w:rPr>
      </w:pPr>
    </w:p>
    <w:p>
      <w:pPr>
        <w:ind w:left="660" w:right="660" w:hanging="328"/>
        <w:spacing w:after="0" w:line="251" w:lineRule="auto"/>
        <w:tabs>
          <w:tab w:leader="none" w:pos="655" w:val="left"/>
        </w:tabs>
        <w:numPr>
          <w:ilvl w:val="0"/>
          <w:numId w:val="10"/>
        </w:numPr>
        <w:rPr>
          <w:rFonts w:ascii="Arial" w:cs="Arial" w:eastAsia="Arial" w:hAnsi="Arial"/>
          <w:sz w:val="21"/>
          <w:szCs w:val="21"/>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23" w:lineRule="exact"/>
        <w:rPr>
          <w:rFonts w:ascii="Arial" w:cs="Arial" w:eastAsia="Arial" w:hAnsi="Arial"/>
          <w:sz w:val="21"/>
          <w:szCs w:val="21"/>
          <w:color w:val="auto"/>
        </w:rPr>
      </w:pPr>
    </w:p>
    <w:p>
      <w:pPr>
        <w:ind w:left="660" w:right="34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34" w:lineRule="exact"/>
        <w:rPr>
          <w:rFonts w:ascii="Arial" w:cs="Arial" w:eastAsia="Arial" w:hAnsi="Arial"/>
          <w:sz w:val="22"/>
          <w:szCs w:val="22"/>
          <w:color w:val="auto"/>
        </w:rPr>
      </w:pPr>
    </w:p>
    <w:p>
      <w:pPr>
        <w:ind w:left="660" w:right="640" w:hanging="328"/>
        <w:spacing w:after="0" w:line="271"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101" w:lineRule="exact"/>
        <w:rPr>
          <w:rFonts w:ascii="Arial" w:cs="Arial" w:eastAsia="Arial" w:hAnsi="Arial"/>
          <w:sz w:val="22"/>
          <w:szCs w:val="22"/>
          <w:color w:val="auto"/>
        </w:rPr>
      </w:pPr>
    </w:p>
    <w:p>
      <w:pPr>
        <w:ind w:left="660" w:right="20" w:hanging="328"/>
        <w:spacing w:after="0" w:line="297" w:lineRule="auto"/>
        <w:tabs>
          <w:tab w:leader="none" w:pos="655" w:val="left"/>
        </w:tabs>
        <w:numPr>
          <w:ilvl w:val="0"/>
          <w:numId w:val="10"/>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82" w:lineRule="exact"/>
        <w:rPr>
          <w:rFonts w:ascii="Arial" w:cs="Arial" w:eastAsia="Arial" w:hAnsi="Arial"/>
          <w:sz w:val="19"/>
          <w:szCs w:val="19"/>
          <w:color w:val="auto"/>
        </w:rPr>
      </w:pPr>
    </w:p>
    <w:p>
      <w:pPr>
        <w:ind w:left="660" w:right="40" w:hanging="328"/>
        <w:spacing w:after="0" w:line="238"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currency exchange rate of the Canadian dollar;</w:t>
      </w:r>
    </w:p>
    <w:p>
      <w:pPr>
        <w:spacing w:after="0" w:line="147" w:lineRule="exact"/>
        <w:rPr>
          <w:rFonts w:ascii="Arial" w:cs="Arial" w:eastAsia="Arial" w:hAnsi="Arial"/>
          <w:sz w:val="22"/>
          <w:szCs w:val="22"/>
          <w:color w:val="auto"/>
        </w:rPr>
      </w:pPr>
    </w:p>
    <w:p>
      <w:pPr>
        <w:ind w:left="5440" w:hanging="106"/>
        <w:spacing w:after="0"/>
        <w:tabs>
          <w:tab w:leader="none" w:pos="5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80"/>
          </w:cols>
          <w:pgMar w:left="320" w:top="368"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82" w:lineRule="exact"/>
        <w:rPr>
          <w:sz w:val="20"/>
          <w:szCs w:val="20"/>
          <w:color w:val="auto"/>
        </w:rPr>
      </w:pPr>
    </w:p>
    <w:p>
      <w:pPr>
        <w:ind w:left="660" w:right="14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35" w:lineRule="exact"/>
        <w:rPr>
          <w:rFonts w:ascii="Arial" w:cs="Arial" w:eastAsia="Arial" w:hAnsi="Arial"/>
          <w:sz w:val="22"/>
          <w:szCs w:val="22"/>
          <w:color w:val="auto"/>
        </w:rPr>
      </w:pPr>
    </w:p>
    <w:p>
      <w:pPr>
        <w:ind w:left="660" w:right="6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non-utilization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34" w:lineRule="exact"/>
        <w:rPr>
          <w:rFonts w:ascii="Arial" w:cs="Arial" w:eastAsia="Arial" w:hAnsi="Arial"/>
          <w:sz w:val="21"/>
          <w:szCs w:val="21"/>
          <w:color w:val="auto"/>
        </w:rPr>
      </w:pPr>
    </w:p>
    <w:p>
      <w:pPr>
        <w:ind w:left="660" w:hanging="328"/>
        <w:spacing w:after="0"/>
        <w:tabs>
          <w:tab w:leader="none" w:pos="660" w:val="left"/>
        </w:tabs>
        <w:numPr>
          <w:ilvl w:val="0"/>
          <w:numId w:val="11"/>
        </w:numPr>
        <w:rPr>
          <w:rFonts w:ascii="Arial" w:cs="Arial" w:eastAsia="Arial" w:hAnsi="Arial"/>
          <w:sz w:val="19"/>
          <w:szCs w:val="19"/>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146" w:lineRule="exact"/>
        <w:rPr>
          <w:rFonts w:ascii="Arial" w:cs="Arial" w:eastAsia="Arial" w:hAnsi="Arial"/>
          <w:sz w:val="19"/>
          <w:szCs w:val="19"/>
          <w:color w:val="auto"/>
        </w:rPr>
      </w:pPr>
    </w:p>
    <w:p>
      <w:pPr>
        <w:ind w:left="660" w:right="120" w:hanging="328"/>
        <w:spacing w:after="0" w:line="238"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20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215"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40"/>
          </w:cols>
          <w:pgMar w:left="320" w:top="368"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53"/>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00"/>
              <w:spacing w:after="0"/>
              <w:rPr>
                <w:sz w:val="20"/>
                <w:szCs w:val="20"/>
                <w:color w:val="auto"/>
              </w:rPr>
            </w:pPr>
            <w:r>
              <w:rPr>
                <w:rFonts w:ascii="Arial" w:cs="Arial" w:eastAsia="Arial" w:hAnsi="Arial"/>
                <w:sz w:val="18"/>
                <w:szCs w:val="18"/>
                <w:color w:val="auto"/>
              </w:rPr>
              <w:t>Total costs and expenses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19,637</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22,858</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INCOME/(LOSS)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5"/>
          </w:tcPr>
          <w:p>
            <w:pPr>
              <w:spacing w:after="0"/>
              <w:rPr>
                <w:sz w:val="20"/>
                <w:szCs w:val="20"/>
                <w:color w:val="auto"/>
              </w:rPr>
            </w:pPr>
            <w:r>
              <w:rPr>
                <w:rFonts w:ascii="Arial" w:cs="Arial" w:eastAsia="Arial" w:hAnsi="Arial"/>
                <w:sz w:val="18"/>
                <w:szCs w:val="18"/>
                <w:color w:val="auto"/>
              </w:rPr>
              <w:t>Gain on/(impairment of) investments in unconsolidated entities, net</w:t>
            </w: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income/(expense), net</w:t>
            </w:r>
          </w:p>
        </w:tc>
        <w:tc>
          <w:tcPr>
            <w:tcW w:w="15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INCOME/(LOSS) BEFORE TAX</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income tax (expense)/benefit</w:t>
            </w:r>
          </w:p>
        </w:tc>
        <w:tc>
          <w:tcPr>
            <w:tcW w:w="15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 ATTRIBUTABLE TO PAA</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 PER COMMON UNIT:</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Net income/(loss) allocated to common unitholders — Basic</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Basic weighted average common units outstanding</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 net income/(loss) per common unit</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Net income/(loss) allocated to common unitholders — Diluted</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Diluted weighted average common units outstanding</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Diluted net income/(loss) per common unit</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72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1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13"/>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40" w:type="dxa"/>
            <w:vAlign w:val="bottom"/>
            <w:gridSpan w:val="3"/>
          </w:tcPr>
          <w:p>
            <w:pPr>
              <w:jc w:val="right"/>
              <w:ind w:right="550"/>
              <w:spacing w:after="0"/>
              <w:rPr>
                <w:sz w:val="20"/>
                <w:szCs w:val="20"/>
                <w:color w:val="auto"/>
              </w:rPr>
            </w:pPr>
            <w:r>
              <w:rPr>
                <w:rFonts w:ascii="Arial" w:cs="Arial" w:eastAsia="Arial" w:hAnsi="Arial"/>
                <w:sz w:val="18"/>
                <w:szCs w:val="18"/>
                <w:color w:val="auto"/>
              </w:rPr>
              <w:t>- more -</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1840" w:type="dxa"/>
            <w:vAlign w:val="bottom"/>
            <w:tcBorders>
              <w:bottom w:val="single" w:sz="8" w:color="auto"/>
            </w:tcBorders>
            <w:gridSpan w:val="3"/>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5"/>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18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0"/>
              </w:rPr>
              <w:t>Houston, Texas 77002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60" w:type="dxa"/>
            <w:vAlign w:val="bottom"/>
          </w:tcPr>
          <w:p>
            <w:pPr>
              <w:spacing w:after="0"/>
              <w:rPr>
                <w:sz w:val="19"/>
                <w:szCs w:val="19"/>
                <w:color w:val="auto"/>
              </w:rPr>
            </w:pPr>
          </w:p>
        </w:tc>
        <w:tc>
          <w:tcPr>
            <w:tcW w:w="1600" w:type="dxa"/>
            <w:vAlign w:val="bottom"/>
            <w:gridSpan w:val="3"/>
          </w:tcPr>
          <w:p>
            <w:pPr>
              <w:ind w:left="1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3,405</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14,618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3,743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right-of-use assets,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24,246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9,069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14,395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9,706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Total partners’ capital</w:t>
            </w:r>
          </w:p>
        </w:tc>
        <w:tc>
          <w:tcPr>
            <w:tcW w:w="2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9,851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24,246</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720" w:type="dxa"/>
            <w:vAlign w:val="bottom"/>
            <w:gridSpan w:val="3"/>
            <w:vMerge w:val="continue"/>
          </w:tcPr>
          <w:p>
            <w:pPr>
              <w:spacing w:after="0"/>
              <w:rPr>
                <w:sz w:val="24"/>
                <w:szCs w:val="24"/>
                <w:color w:val="auto"/>
              </w:rPr>
            </w:pPr>
          </w:p>
        </w:tc>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2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9,381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9,381</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Partners’ capital</w:t>
            </w:r>
          </w:p>
        </w:tc>
        <w:tc>
          <w:tcPr>
            <w:tcW w:w="2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9,851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book capitalization, including short-term debt</w:t>
            </w:r>
          </w:p>
        </w:tc>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20,022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22,886</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jc w:val="center"/>
              <w:ind w:right="350"/>
              <w:spacing w:after="0"/>
              <w:rPr>
                <w:sz w:val="20"/>
                <w:szCs w:val="20"/>
                <w:color w:val="auto"/>
              </w:rPr>
            </w:pPr>
            <w:r>
              <w:rPr>
                <w:rFonts w:ascii="Arial" w:cs="Arial" w:eastAsia="Arial" w:hAnsi="Arial"/>
                <w:sz w:val="18"/>
                <w:szCs w:val="18"/>
                <w:color w:val="auto"/>
                <w:w w:val="91"/>
              </w:rPr>
              <w:t>- more -</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gridSpan w:val="5"/>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Houston, Texas 77002</w:t>
            </w:r>
          </w:p>
        </w:tc>
        <w:tc>
          <w:tcPr>
            <w:tcW w:w="276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713-646-4100 / 866-809-1291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2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2019</w:t>
            </w:r>
          </w:p>
        </w:tc>
      </w:tr>
      <w:tr>
        <w:trPr>
          <w:trHeight w:val="21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760" w:type="dxa"/>
            <w:vAlign w:val="bottom"/>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1,865</w:t>
            </w: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16"/>
        </w:trPr>
        <w:tc>
          <w:tcPr>
            <w:tcW w:w="6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Basic net income/(loss) per common unit</w:t>
            </w: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0.13</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0.55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Diluted Net Income/(Loss) per Common Unit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(2)</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62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5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340" w:right="60" w:hanging="332"/>
        <w:spacing w:after="0" w:line="226" w:lineRule="auto"/>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0" w:lineRule="exact"/>
        <w:rPr>
          <w:rFonts w:ascii="Arial" w:cs="Arial" w:eastAsia="Arial" w:hAnsi="Arial"/>
          <w:sz w:val="23"/>
          <w:szCs w:val="23"/>
          <w:color w:val="auto"/>
          <w:vertAlign w:val="superscript"/>
        </w:rPr>
      </w:pPr>
    </w:p>
    <w:p>
      <w:pPr>
        <w:ind w:left="340" w:right="140" w:hanging="332"/>
        <w:spacing w:after="0" w:line="244" w:lineRule="auto"/>
        <w:tabs>
          <w:tab w:leader="none" w:pos="3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possible conversion of our Series A preferred units and the impact of equity-indexed compensation plan awards was excluded from the calculation of diluted net income/(loss) per common unit for the three and nine months ended September 30, 2020 as the effect was antidilutive.</w:t>
      </w:r>
    </w:p>
    <w:p>
      <w:pPr>
        <w:spacing w:after="0" w:line="26" w:lineRule="exact"/>
        <w:rPr>
          <w:rFonts w:ascii="Arial" w:cs="Arial" w:eastAsia="Arial" w:hAnsi="Arial"/>
          <w:sz w:val="21"/>
          <w:szCs w:val="21"/>
          <w:color w:val="auto"/>
          <w:vertAlign w:val="superscript"/>
        </w:rPr>
      </w:pPr>
    </w:p>
    <w:p>
      <w:pPr>
        <w:ind w:left="340" w:right="20" w:hanging="332"/>
        <w:spacing w:after="0" w:line="228" w:lineRule="auto"/>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September 30, 2020, there were no potentially dilutive equity-indexed compensation plan awards and for the nine months ended September 30, 2020, the effect of equity-indexed compensation plan awards was antidilutive.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jc w:val="right"/>
              <w:ind w:right="3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2019</w:t>
            </w:r>
          </w:p>
        </w:tc>
      </w:tr>
      <w:tr>
        <w:trPr>
          <w:trHeight w:val="197"/>
        </w:trPr>
        <w:tc>
          <w:tcPr>
            <w:tcW w:w="6640" w:type="dxa"/>
            <w:vAlign w:val="bottom"/>
            <w:shd w:val="clear" w:color="auto" w:fill="CCEEFF"/>
          </w:tcPr>
          <w:p>
            <w:pPr>
              <w:ind w:left="20"/>
              <w:spacing w:after="0" w:line="198"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6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Gains/(losses) from derivative activities, net of inventory valuation adjustments </w:t>
            </w:r>
            <w:r>
              <w:rPr>
                <w:rFonts w:ascii="Arial" w:cs="Arial" w:eastAsia="Arial" w:hAnsi="Arial"/>
                <w:sz w:val="22"/>
                <w:szCs w:val="22"/>
                <w:color w:val="auto"/>
                <w:vertAlign w:val="superscript"/>
              </w:rPr>
              <w:t>(2)</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720" w:type="dxa"/>
            <w:vAlign w:val="bottom"/>
          </w:tcPr>
          <w:p>
            <w:pPr>
              <w:jc w:val="right"/>
              <w:ind w:right="538"/>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(203)</w:t>
            </w:r>
          </w:p>
        </w:tc>
        <w:tc>
          <w:tcPr>
            <w:tcW w:w="12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6"/>
        </w:trPr>
        <w:tc>
          <w:tcPr>
            <w:tcW w:w="66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66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Net gain/(loss) on foreign currency revaluation </w:t>
            </w:r>
            <w:r>
              <w:rPr>
                <w:rFonts w:ascii="Arial" w:cs="Arial" w:eastAsia="Arial" w:hAnsi="Arial"/>
                <w:sz w:val="22"/>
                <w:szCs w:val="22"/>
                <w:color w:val="auto"/>
                <w:vertAlign w:val="superscript"/>
              </w:rPr>
              <w:t>(6)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0"/>
        </w:trPr>
        <w:tc>
          <w:tcPr>
            <w:tcW w:w="6640" w:type="dxa"/>
            <w:vAlign w:val="bottom"/>
          </w:tcPr>
          <w:p>
            <w:pPr>
              <w:ind w:left="20"/>
              <w:spacing w:after="0" w:line="229" w:lineRule="exact"/>
              <w:rPr>
                <w:sz w:val="20"/>
                <w:szCs w:val="20"/>
                <w:color w:val="auto"/>
              </w:rPr>
            </w:pPr>
            <w:r>
              <w:rPr>
                <w:rFonts w:ascii="Arial" w:cs="Arial" w:eastAsia="Arial" w:hAnsi="Arial"/>
                <w:sz w:val="17"/>
                <w:szCs w:val="17"/>
                <w:color w:val="auto"/>
              </w:rPr>
              <w:t xml:space="preserve">Significant acquisition-related expenses </w:t>
            </w:r>
            <w:r>
              <w:rPr>
                <w:rFonts w:ascii="Arial" w:cs="Arial" w:eastAsia="Arial" w:hAnsi="Arial"/>
                <w:sz w:val="22"/>
                <w:szCs w:val="22"/>
                <w:color w:val="auto"/>
                <w:vertAlign w:val="superscript"/>
              </w:rPr>
              <w:t>(8)</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Net gain on early repayment of senior notes </w:t>
            </w:r>
            <w:r>
              <w:rPr>
                <w:rFonts w:ascii="Arial" w:cs="Arial" w:eastAsia="Arial" w:hAnsi="Arial"/>
                <w:sz w:val="22"/>
                <w:szCs w:val="22"/>
                <w:color w:val="auto"/>
                <w:vertAlign w:val="superscript"/>
              </w:rPr>
              <w:t>(9)</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640" w:type="dxa"/>
            <w:vAlign w:val="bottom"/>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538"/>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(362)</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Losses from derivative activities </w:t>
            </w:r>
            <w:r>
              <w:rPr>
                <w:rFonts w:ascii="Arial" w:cs="Arial" w:eastAsia="Arial" w:hAnsi="Arial"/>
                <w:sz w:val="22"/>
                <w:szCs w:val="22"/>
                <w:color w:val="auto"/>
                <w:vertAlign w:val="superscript"/>
              </w:rPr>
              <w:t>(2)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6640" w:type="dxa"/>
            <w:vAlign w:val="bottom"/>
          </w:tcPr>
          <w:p>
            <w:pPr>
              <w:ind w:left="20"/>
              <w:spacing w:after="0"/>
              <w:rPr>
                <w:sz w:val="20"/>
                <w:szCs w:val="20"/>
                <w:color w:val="auto"/>
              </w:rPr>
            </w:pPr>
            <w:r>
              <w:rPr>
                <w:rFonts w:ascii="Arial" w:cs="Arial" w:eastAsia="Arial" w:hAnsi="Arial"/>
                <w:sz w:val="17"/>
                <w:szCs w:val="17"/>
                <w:color w:val="auto"/>
              </w:rPr>
              <w:t>Gain on/(impairment of) investments in unconsolidated entities, net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271</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9"/>
        </w:trPr>
        <w:tc>
          <w:tcPr>
            <w:tcW w:w="6640" w:type="dxa"/>
            <w:vAlign w:val="bottom"/>
          </w:tcPr>
          <w:p>
            <w:pPr>
              <w:ind w:left="20"/>
              <w:spacing w:after="0"/>
              <w:rPr>
                <w:sz w:val="20"/>
                <w:szCs w:val="20"/>
                <w:color w:val="auto"/>
              </w:rPr>
            </w:pPr>
            <w:r>
              <w:rPr>
                <w:rFonts w:ascii="Arial" w:cs="Arial" w:eastAsia="Arial" w:hAnsi="Arial"/>
                <w:sz w:val="17"/>
                <w:szCs w:val="17"/>
                <w:color w:val="auto"/>
              </w:rPr>
              <w:t>Goodwill impairment losses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6640" w:type="dxa"/>
            <w:vAlign w:val="bottom"/>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8"/>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52" w:lineRule="exact"/>
        <w:rPr>
          <w:rFonts w:ascii="Arial" w:cs="Arial" w:eastAsia="Arial" w:hAnsi="Arial"/>
          <w:sz w:val="16"/>
          <w:szCs w:val="16"/>
          <w:color w:val="auto"/>
          <w:vertAlign w:val="superscript"/>
        </w:rPr>
      </w:pPr>
    </w:p>
    <w:p>
      <w:pPr>
        <w:ind w:left="340" w:right="60" w:hanging="332"/>
        <w:spacing w:after="0" w:line="248" w:lineRule="auto"/>
        <w:tabs>
          <w:tab w:leader="none" w:pos="327"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37" w:lineRule="exact"/>
        <w:rPr>
          <w:rFonts w:ascii="Arial" w:cs="Arial" w:eastAsia="Arial" w:hAnsi="Arial"/>
          <w:sz w:val="15"/>
          <w:szCs w:val="15"/>
          <w:color w:val="auto"/>
          <w:vertAlign w:val="superscript"/>
        </w:rPr>
      </w:pPr>
    </w:p>
    <w:p>
      <w:pPr>
        <w:ind w:left="340" w:right="80" w:hanging="332"/>
        <w:spacing w:after="0" w:line="229" w:lineRule="auto"/>
        <w:tabs>
          <w:tab w:leader="none" w:pos="327"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4" w:lineRule="exact"/>
        <w:rPr>
          <w:rFonts w:ascii="Arial" w:cs="Arial" w:eastAsia="Arial" w:hAnsi="Arial"/>
          <w:sz w:val="16"/>
          <w:szCs w:val="16"/>
          <w:color w:val="auto"/>
          <w:vertAlign w:val="superscript"/>
        </w:rPr>
      </w:pPr>
    </w:p>
    <w:p>
      <w:pPr>
        <w:ind w:left="340" w:right="60" w:hanging="332"/>
        <w:spacing w:after="0" w:line="234" w:lineRule="auto"/>
        <w:tabs>
          <w:tab w:leader="none" w:pos="327"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42" w:lineRule="exact"/>
        <w:rPr>
          <w:rFonts w:ascii="Arial" w:cs="Arial" w:eastAsia="Arial" w:hAnsi="Arial"/>
          <w:sz w:val="16"/>
          <w:szCs w:val="16"/>
          <w:color w:val="auto"/>
          <w:vertAlign w:val="superscript"/>
        </w:rPr>
      </w:pPr>
    </w:p>
    <w:p>
      <w:pPr>
        <w:ind w:left="340" w:right="240" w:hanging="332"/>
        <w:spacing w:after="0" w:line="250" w:lineRule="auto"/>
        <w:tabs>
          <w:tab w:leader="none" w:pos="327"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37" w:lineRule="exact"/>
        <w:rPr>
          <w:rFonts w:ascii="Arial" w:cs="Arial" w:eastAsia="Arial" w:hAnsi="Arial"/>
          <w:sz w:val="15"/>
          <w:szCs w:val="15"/>
          <w:color w:val="auto"/>
          <w:vertAlign w:val="superscript"/>
        </w:rPr>
      </w:pPr>
    </w:p>
    <w:p>
      <w:pPr>
        <w:ind w:left="340" w:right="160" w:hanging="332"/>
        <w:spacing w:after="0" w:line="222" w:lineRule="auto"/>
        <w:tabs>
          <w:tab w:leader="none" w:pos="327"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8" w:lineRule="exact"/>
        <w:rPr>
          <w:rFonts w:ascii="Arial" w:cs="Arial" w:eastAsia="Arial" w:hAnsi="Arial"/>
          <w:sz w:val="16"/>
          <w:szCs w:val="16"/>
          <w:color w:val="auto"/>
          <w:vertAlign w:val="superscript"/>
        </w:rPr>
      </w:pPr>
    </w:p>
    <w:p>
      <w:pPr>
        <w:ind w:left="320" w:hanging="312"/>
        <w:spacing w:after="0"/>
        <w:tabs>
          <w:tab w:leader="none" w:pos="32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52" w:lineRule="exact"/>
        <w:rPr>
          <w:rFonts w:ascii="Arial" w:cs="Arial" w:eastAsia="Arial" w:hAnsi="Arial"/>
          <w:sz w:val="16"/>
          <w:szCs w:val="16"/>
          <w:color w:val="auto"/>
          <w:vertAlign w:val="superscript"/>
        </w:rPr>
      </w:pPr>
    </w:p>
    <w:p>
      <w:pPr>
        <w:ind w:left="320" w:hanging="312"/>
        <w:spacing w:after="0" w:line="195" w:lineRule="auto"/>
        <w:tabs>
          <w:tab w:leader="none" w:pos="32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Includes acquisition-related expenses associated with the Felix Midstream LLC acquisition in February 2020.</w:t>
      </w:r>
    </w:p>
    <w:p>
      <w:pPr>
        <w:spacing w:after="0" w:line="53" w:lineRule="exact"/>
        <w:rPr>
          <w:rFonts w:ascii="Arial" w:cs="Arial" w:eastAsia="Arial" w:hAnsi="Arial"/>
          <w:sz w:val="16"/>
          <w:szCs w:val="16"/>
          <w:color w:val="auto"/>
          <w:vertAlign w:val="superscript"/>
        </w:rPr>
      </w:pPr>
    </w:p>
    <w:p>
      <w:pPr>
        <w:ind w:left="320" w:hanging="312"/>
        <w:spacing w:after="0" w:line="195" w:lineRule="auto"/>
        <w:tabs>
          <w:tab w:leader="none" w:pos="32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Includes net gains recognized in connection with the repurchase of our outstanding senior notes on the open market.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71"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Twelve Months Ended</w:t>
      </w:r>
    </w:p>
    <w:p>
      <w:pPr>
        <w:jc w:val="center"/>
        <w:ind w:left="89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0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r>
      <w:tr>
        <w:trPr>
          <w:trHeight w:val="197"/>
        </w:trPr>
        <w:tc>
          <w:tcPr>
            <w:tcW w:w="9000" w:type="dxa"/>
            <w:vAlign w:val="bottom"/>
            <w:shd w:val="clear" w:color="auto" w:fill="CCEEFF"/>
          </w:tcPr>
          <w:p>
            <w:pPr>
              <w:ind w:left="20"/>
              <w:spacing w:after="0" w:line="198"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900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Gains/(losses) from derivative activities, net of inventory valuation adjustments </w:t>
            </w:r>
            <w:r>
              <w:rPr>
                <w:rFonts w:ascii="Arial" w:cs="Arial" w:eastAsia="Arial" w:hAnsi="Arial"/>
                <w:sz w:val="22"/>
                <w:szCs w:val="22"/>
                <w:color w:val="auto"/>
                <w:vertAlign w:val="superscript"/>
              </w:rPr>
              <w:t>(2)</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505</w:t>
            </w:r>
          </w:p>
        </w:tc>
      </w:tr>
      <w:tr>
        <w:trPr>
          <w:trHeight w:val="216"/>
        </w:trPr>
        <w:tc>
          <w:tcPr>
            <w:tcW w:w="900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6"/>
        </w:trPr>
        <w:tc>
          <w:tcPr>
            <w:tcW w:w="900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900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16"/>
        </w:trPr>
        <w:tc>
          <w:tcPr>
            <w:tcW w:w="900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Net gain on foreign currency revaluation </w:t>
            </w:r>
            <w:r>
              <w:rPr>
                <w:rFonts w:ascii="Arial" w:cs="Arial" w:eastAsia="Arial" w:hAnsi="Arial"/>
                <w:sz w:val="22"/>
                <w:szCs w:val="22"/>
                <w:color w:val="auto"/>
                <w:vertAlign w:val="superscript"/>
              </w:rPr>
              <w:t>(6)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900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9000" w:type="dxa"/>
            <w:vAlign w:val="bottom"/>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423</w:t>
            </w:r>
          </w:p>
        </w:tc>
      </w:tr>
      <w:tr>
        <w:trPr>
          <w:trHeight w:val="216"/>
        </w:trPr>
        <w:tc>
          <w:tcPr>
            <w:tcW w:w="900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Gains/(losses) from derivative activities </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9000" w:type="dxa"/>
            <w:vAlign w:val="bottom"/>
          </w:tcPr>
          <w:p>
            <w:pPr>
              <w:ind w:left="20"/>
              <w:spacing w:after="0"/>
              <w:rPr>
                <w:sz w:val="20"/>
                <w:szCs w:val="20"/>
                <w:color w:val="auto"/>
              </w:rPr>
            </w:pPr>
            <w:r>
              <w:rPr>
                <w:rFonts w:ascii="Arial" w:cs="Arial" w:eastAsia="Arial" w:hAnsi="Arial"/>
                <w:sz w:val="17"/>
                <w:szCs w:val="17"/>
                <w:color w:val="auto"/>
              </w:rPr>
              <w:t>Gain on investment in unconsolidated entities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200</w:t>
            </w:r>
          </w:p>
        </w:tc>
      </w:t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r>
      <w:tr>
        <w:trPr>
          <w:trHeight w:val="216"/>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r>
      <w:tr>
        <w:trPr>
          <w:trHeight w:val="235"/>
        </w:trPr>
        <w:tc>
          <w:tcPr>
            <w:tcW w:w="9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5" w:lineRule="exact"/>
        <w:rPr>
          <w:rFonts w:ascii="Arial" w:cs="Arial" w:eastAsia="Arial" w:hAnsi="Arial"/>
          <w:sz w:val="19"/>
          <w:szCs w:val="19"/>
          <w:color w:val="auto"/>
          <w:vertAlign w:val="superscript"/>
        </w:rPr>
      </w:pPr>
    </w:p>
    <w:p>
      <w:pPr>
        <w:ind w:left="340" w:right="40" w:hanging="332"/>
        <w:spacing w:after="0" w:line="229" w:lineRule="auto"/>
        <w:tabs>
          <w:tab w:leader="none" w:pos="32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37" w:lineRule="exact"/>
        <w:rPr>
          <w:rFonts w:ascii="Arial" w:cs="Arial" w:eastAsia="Arial" w:hAnsi="Arial"/>
          <w:sz w:val="19"/>
          <w:szCs w:val="19"/>
          <w:color w:val="auto"/>
          <w:vertAlign w:val="superscript"/>
        </w:rPr>
      </w:pPr>
    </w:p>
    <w:p>
      <w:pPr>
        <w:ind w:left="340" w:right="20" w:hanging="332"/>
        <w:spacing w:after="0" w:line="251" w:lineRule="auto"/>
        <w:tabs>
          <w:tab w:leader="none" w:pos="327"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8" w:lineRule="exact"/>
        <w:rPr>
          <w:rFonts w:ascii="Arial" w:cs="Arial" w:eastAsia="Arial" w:hAnsi="Arial"/>
          <w:sz w:val="17"/>
          <w:szCs w:val="17"/>
          <w:color w:val="auto"/>
          <w:vertAlign w:val="superscript"/>
        </w:rPr>
      </w:pPr>
    </w:p>
    <w:p>
      <w:pPr>
        <w:ind w:left="340" w:right="80" w:hanging="332"/>
        <w:spacing w:after="0" w:line="279" w:lineRule="auto"/>
        <w:tabs>
          <w:tab w:leader="none" w:pos="327"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3" w:lineRule="exact"/>
        <w:rPr>
          <w:rFonts w:ascii="Arial" w:cs="Arial" w:eastAsia="Arial" w:hAnsi="Arial"/>
          <w:sz w:val="16"/>
          <w:szCs w:val="16"/>
          <w:color w:val="auto"/>
          <w:vertAlign w:val="superscript"/>
        </w:rPr>
      </w:pPr>
    </w:p>
    <w:p>
      <w:pPr>
        <w:ind w:left="340" w:right="100" w:hanging="332"/>
        <w:spacing w:after="0" w:line="231" w:lineRule="auto"/>
        <w:tabs>
          <w:tab w:leader="none" w:pos="32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33" w:lineRule="exact"/>
        <w:rPr>
          <w:rFonts w:ascii="Arial" w:cs="Arial" w:eastAsia="Arial" w:hAnsi="Arial"/>
          <w:sz w:val="19"/>
          <w:szCs w:val="19"/>
          <w:color w:val="auto"/>
          <w:vertAlign w:val="superscript"/>
        </w:rPr>
      </w:pPr>
    </w:p>
    <w:p>
      <w:pPr>
        <w:ind w:left="340" w:right="60" w:hanging="332"/>
        <w:spacing w:after="0" w:line="217" w:lineRule="auto"/>
        <w:tabs>
          <w:tab w:leader="none" w:pos="32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 w:lineRule="exact"/>
        <w:rPr>
          <w:rFonts w:ascii="Arial" w:cs="Arial" w:eastAsia="Arial" w:hAnsi="Arial"/>
          <w:sz w:val="19"/>
          <w:szCs w:val="19"/>
          <w:color w:val="auto"/>
          <w:vertAlign w:val="superscript"/>
        </w:rPr>
      </w:pPr>
    </w:p>
    <w:p>
      <w:pPr>
        <w:ind w:left="320" w:hanging="312"/>
        <w:spacing w:after="0" w:line="237" w:lineRule="auto"/>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54" w:lineRule="exact"/>
        <w:rPr>
          <w:rFonts w:ascii="Arial" w:cs="Arial" w:eastAsia="Arial" w:hAnsi="Arial"/>
          <w:sz w:val="19"/>
          <w:szCs w:val="19"/>
          <w:color w:val="auto"/>
          <w:vertAlign w:val="superscript"/>
        </w:rPr>
      </w:pPr>
    </w:p>
    <w:p>
      <w:pPr>
        <w:ind w:left="5440" w:hanging="106"/>
        <w:spacing w:after="0"/>
        <w:tabs>
          <w:tab w:leader="none" w:pos="5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Adjusted Net Income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175"/>
        </w:trPr>
        <w:tc>
          <w:tcPr>
            <w:tcW w:w="6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Selected items impacting comparability - Adjusted net income attributable to PAA</w:t>
            </w:r>
          </w:p>
        </w:tc>
        <w:tc>
          <w:tcPr>
            <w:tcW w:w="74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w:t>
            </w: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56"/>
        </w:trPr>
        <w:tc>
          <w:tcPr>
            <w:tcW w:w="6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0.45</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Diluted Adjusted Net Income per Common Unit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176"/>
        </w:trPr>
        <w:tc>
          <w:tcPr>
            <w:tcW w:w="6240" w:type="dxa"/>
            <w:vAlign w:val="bottom"/>
          </w:tcPr>
          <w:p>
            <w:pPr>
              <w:ind w:left="180"/>
              <w:spacing w:after="0" w:line="176" w:lineRule="exact"/>
              <w:rPr>
                <w:sz w:val="20"/>
                <w:szCs w:val="20"/>
                <w:color w:val="auto"/>
              </w:rPr>
            </w:pPr>
            <w:r>
              <w:rPr>
                <w:rFonts w:ascii="Arial" w:cs="Arial" w:eastAsia="Arial" w:hAnsi="Arial"/>
                <w:sz w:val="18"/>
                <w:szCs w:val="18"/>
                <w:color w:val="auto"/>
                <w:w w:val="93"/>
              </w:rPr>
              <w:t>Selected items impacting comparability - Adjusted net income attributable to PAA</w:t>
            </w:r>
          </w:p>
        </w:tc>
        <w:tc>
          <w:tcPr>
            <w:tcW w:w="74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62"/>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(2)</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(3)</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(4)</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40" w:right="100" w:hanging="332"/>
        <w:spacing w:after="0" w:line="248" w:lineRule="auto"/>
        <w:tabs>
          <w:tab w:leader="none" w:pos="327"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2"/>
        <w:spacing w:after="0" w:line="237"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6" w:lineRule="exact"/>
        <w:rPr>
          <w:rFonts w:ascii="Arial" w:cs="Arial" w:eastAsia="Arial" w:hAnsi="Arial"/>
          <w:sz w:val="19"/>
          <w:szCs w:val="19"/>
          <w:color w:val="auto"/>
          <w:vertAlign w:val="superscript"/>
        </w:rPr>
      </w:pPr>
    </w:p>
    <w:p>
      <w:pPr>
        <w:ind w:left="340" w:right="100" w:hanging="332"/>
        <w:spacing w:after="0" w:line="210" w:lineRule="auto"/>
        <w:tabs>
          <w:tab w:leader="none" w:pos="32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The possible conversion of our Series A preferred units were excluded from the calculation of diluted net income per common unit for the three and nine months ended September 30, 2020 and the three months ended September 30, 2019 as the effect was antidilutive.</w:t>
      </w:r>
    </w:p>
    <w:p>
      <w:pPr>
        <w:spacing w:after="0" w:line="33" w:lineRule="exact"/>
        <w:rPr>
          <w:rFonts w:ascii="Arial" w:cs="Arial" w:eastAsia="Arial" w:hAnsi="Arial"/>
          <w:sz w:val="19"/>
          <w:szCs w:val="19"/>
          <w:color w:val="auto"/>
          <w:vertAlign w:val="superscript"/>
        </w:rPr>
      </w:pPr>
    </w:p>
    <w:p>
      <w:pPr>
        <w:ind w:left="340" w:right="80" w:hanging="332"/>
        <w:spacing w:after="0" w:line="231" w:lineRule="auto"/>
        <w:tabs>
          <w:tab w:leader="none" w:pos="32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September 30, 2020, there were no potentially dilutive equity-indexed compensation plan awards and for the nine months ended September 30, 2020, the effect of equity-indexed compensation plan awards was antidilutive.</w:t>
      </w:r>
    </w:p>
    <w:p>
      <w:pPr>
        <w:spacing w:after="0" w:line="38" w:lineRule="exact"/>
        <w:rPr>
          <w:rFonts w:ascii="Arial" w:cs="Arial" w:eastAsia="Arial" w:hAnsi="Arial"/>
          <w:sz w:val="19"/>
          <w:szCs w:val="19"/>
          <w:color w:val="auto"/>
          <w:vertAlign w:val="superscript"/>
        </w:rPr>
      </w:pPr>
    </w:p>
    <w:p>
      <w:pPr>
        <w:ind w:left="5440" w:hanging="106"/>
        <w:spacing w:after="0"/>
        <w:tabs>
          <w:tab w:leader="none" w:pos="5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Adjusted Net Income Per Common Unit Reconciliations: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5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1"/>
              </w:rPr>
              <w:t>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3"/>
              </w:rPr>
              <w:t>(3.72)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5"/>
              </w:rPr>
              <w:t>2.35</w:t>
            </w:r>
          </w:p>
        </w:tc>
      </w:tr>
      <w:tr>
        <w:trPr>
          <w:trHeight w:val="229"/>
        </w:trPr>
        <w:tc>
          <w:tcPr>
            <w:tcW w:w="6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73"/>
              <w:spacing w:after="0"/>
              <w:rPr>
                <w:sz w:val="20"/>
                <w:szCs w:val="20"/>
                <w:color w:val="auto"/>
              </w:rPr>
            </w:pPr>
            <w:r>
              <w:rPr>
                <w:rFonts w:ascii="Arial" w:cs="Arial" w:eastAsia="Arial" w:hAnsi="Arial"/>
                <w:sz w:val="18"/>
                <w:szCs w:val="18"/>
                <w:color w:val="auto"/>
                <w:w w:val="89"/>
              </w:rPr>
              <w:t>(0.03)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85"/>
              </w:rPr>
              <w:t>4.98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3"/>
              <w:spacing w:after="0"/>
              <w:rPr>
                <w:sz w:val="20"/>
                <w:szCs w:val="20"/>
                <w:color w:val="auto"/>
              </w:rPr>
            </w:pPr>
            <w:r>
              <w:rPr>
                <w:rFonts w:ascii="Arial" w:cs="Arial" w:eastAsia="Arial" w:hAnsi="Arial"/>
                <w:sz w:val="18"/>
                <w:szCs w:val="18"/>
                <w:color w:val="auto"/>
                <w:w w:val="93"/>
              </w:rPr>
              <w:t>(0.43)</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91"/>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85"/>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85"/>
              </w:rPr>
              <w:t>1.92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1"/>
              </w:rPr>
              <w:t>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3"/>
              </w:rPr>
              <w:t>(3.72)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5"/>
              </w:rPr>
              <w:t>2.28</w:t>
            </w:r>
          </w:p>
        </w:tc>
      </w:tr>
      <w:tr>
        <w:trPr>
          <w:trHeight w:val="229"/>
        </w:trPr>
        <w:tc>
          <w:tcPr>
            <w:tcW w:w="6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73"/>
              <w:spacing w:after="0"/>
              <w:rPr>
                <w:sz w:val="20"/>
                <w:szCs w:val="20"/>
                <w:color w:val="auto"/>
              </w:rPr>
            </w:pPr>
            <w:r>
              <w:rPr>
                <w:rFonts w:ascii="Arial" w:cs="Arial" w:eastAsia="Arial" w:hAnsi="Arial"/>
                <w:sz w:val="18"/>
                <w:szCs w:val="18"/>
                <w:color w:val="auto"/>
                <w:w w:val="89"/>
              </w:rPr>
              <w:t>(0.03)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85"/>
              </w:rPr>
              <w:t>4.98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3"/>
              <w:spacing w:after="0"/>
              <w:rPr>
                <w:sz w:val="20"/>
                <w:szCs w:val="20"/>
                <w:color w:val="auto"/>
              </w:rPr>
            </w:pPr>
            <w:r>
              <w:rPr>
                <w:rFonts w:ascii="Arial" w:cs="Arial" w:eastAsia="Arial" w:hAnsi="Arial"/>
                <w:sz w:val="18"/>
                <w:szCs w:val="18"/>
                <w:color w:val="auto"/>
                <w:w w:val="93"/>
              </w:rPr>
              <w:t>(0.40)</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91"/>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85"/>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85"/>
              </w:rPr>
              <w:t>1.88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120" w:hanging="332"/>
        <w:spacing w:after="0" w:line="227"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Income/(Loss) Per Common Unit” tables for additional information.</w:t>
      </w:r>
    </w:p>
    <w:p>
      <w:pPr>
        <w:spacing w:after="0" w:line="359"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Twelve Months Ended</w:t>
      </w: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87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per common unit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1"/>
              </w:rPr>
              <w:t>2.65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1"/>
              </w:rPr>
              <w:t>2.71</w:t>
            </w:r>
          </w:p>
        </w:tc>
      </w:tr>
      <w:tr>
        <w:trPr>
          <w:trHeight w:val="229"/>
        </w:trPr>
        <w:tc>
          <w:tcPr>
            <w:tcW w:w="87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315"/>
              <w:spacing w:after="0"/>
              <w:rPr>
                <w:sz w:val="20"/>
                <w:szCs w:val="20"/>
                <w:color w:val="auto"/>
              </w:rPr>
            </w:pPr>
            <w:r>
              <w:rPr>
                <w:rFonts w:ascii="Arial" w:cs="Arial" w:eastAsia="Arial" w:hAnsi="Arial"/>
                <w:sz w:val="18"/>
                <w:szCs w:val="18"/>
                <w:color w:val="auto"/>
                <w:w w:val="93"/>
              </w:rPr>
              <w:t>(0.14)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315"/>
              <w:spacing w:after="0"/>
              <w:rPr>
                <w:sz w:val="20"/>
                <w:szCs w:val="20"/>
                <w:color w:val="auto"/>
              </w:rPr>
            </w:pPr>
            <w:r>
              <w:rPr>
                <w:rFonts w:ascii="Arial" w:cs="Arial" w:eastAsia="Arial" w:hAnsi="Arial"/>
                <w:sz w:val="18"/>
                <w:szCs w:val="18"/>
                <w:color w:val="auto"/>
                <w:w w:val="93"/>
              </w:rPr>
              <w:t>(0.83)</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91"/>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91"/>
              </w:rPr>
              <w:t>1.88</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2459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table for additional information.</w:t>
      </w:r>
    </w:p>
    <w:p>
      <w:pPr>
        <w:spacing w:after="0" w:line="55"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0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to Adjusted EBITDA and Implied DCF Reconciliation</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Income tax expense/(benefit)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(107)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75"/>
        </w:trPr>
        <w:tc>
          <w:tcPr>
            <w:tcW w:w="6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Distributions from unconsolidated entities in excess of/(less than) adjusted equity</w:t>
            </w:r>
          </w:p>
        </w:tc>
        <w:tc>
          <w:tcPr>
            <w:tcW w:w="7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(4)</w:t>
            </w:r>
          </w:p>
        </w:tc>
        <w:tc>
          <w:tcPr>
            <w:tcW w:w="7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Weighted Average Common Units and Common Equivalent Units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0.64</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0.63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Distribution Paid per Common Unit</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3.54x</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1.79x</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2.59x</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2.23x</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Implied DCF Excess</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Adjustment to add back our proportionate share of depreciation and amortization expense of unconsolidated entities.</w:t>
      </w:r>
    </w:p>
    <w:p>
      <w:pPr>
        <w:spacing w:after="0" w:line="48"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Excludes certain non-cash items impacting interest expense such as amortization of debt issuance costs and terminated interest rate swaps.</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Comprised of cash distributions received from unconsolidated entities less equity earnings in unconsolidated entities (adjusted for our proportionate share of depreciation and amortization).</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during the period presented.</w:t>
      </w:r>
    </w:p>
    <w:p>
      <w:pPr>
        <w:spacing w:after="0" w:line="49" w:lineRule="exact"/>
        <w:rPr>
          <w:rFonts w:ascii="Arial" w:cs="Arial" w:eastAsia="Arial" w:hAnsi="Arial"/>
          <w:sz w:val="15"/>
          <w:szCs w:val="15"/>
          <w:color w:val="auto"/>
          <w:vertAlign w:val="superscript"/>
        </w:rPr>
      </w:pPr>
    </w:p>
    <w:p>
      <w:pPr>
        <w:jc w:val="both"/>
        <w:ind w:left="340" w:right="160" w:hanging="332"/>
        <w:spacing w:after="0" w:line="219" w:lineRule="auto"/>
        <w:tabs>
          <w:tab w:leader="none" w:pos="334"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is payable in cash semi-annually in arrears on May 15 and November 15.</w:t>
      </w:r>
    </w:p>
    <w:p>
      <w:pPr>
        <w:spacing w:after="0" w:line="17" w:lineRule="exact"/>
        <w:rPr>
          <w:rFonts w:ascii="Arial" w:cs="Arial" w:eastAsia="Arial" w:hAnsi="Arial"/>
          <w:sz w:val="15"/>
          <w:szCs w:val="15"/>
          <w:color w:val="auto"/>
          <w:vertAlign w:val="superscript"/>
        </w:rPr>
      </w:pPr>
    </w:p>
    <w:p>
      <w:pPr>
        <w:ind w:left="320" w:hanging="312"/>
        <w:spacing w:after="0"/>
        <w:tabs>
          <w:tab w:leader="none" w:pos="320"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Implied DCF Available to Common Unitholders for the period divided by the weighted average common units outstanding for the period.</w:t>
      </w:r>
    </w:p>
    <w:p>
      <w:pPr>
        <w:spacing w:after="0" w:line="48" w:lineRule="exact"/>
        <w:rPr>
          <w:rFonts w:ascii="Arial" w:cs="Arial" w:eastAsia="Arial" w:hAnsi="Arial"/>
          <w:sz w:val="15"/>
          <w:szCs w:val="15"/>
          <w:color w:val="auto"/>
          <w:vertAlign w:val="superscript"/>
        </w:rPr>
      </w:pPr>
    </w:p>
    <w:p>
      <w:pPr>
        <w:ind w:left="340" w:right="40" w:hanging="332"/>
        <w:spacing w:after="0" w:line="262" w:lineRule="auto"/>
        <w:tabs>
          <w:tab w:leader="none" w:pos="334" w:val="left"/>
        </w:tabs>
        <w:numPr>
          <w:ilvl w:val="0"/>
          <w:numId w:val="18"/>
        </w:numPr>
        <w:rPr>
          <w:rFonts w:ascii="Arial" w:cs="Arial" w:eastAsia="Arial" w:hAnsi="Arial"/>
          <w:sz w:val="13"/>
          <w:szCs w:val="13"/>
          <w:color w:val="auto"/>
          <w:vertAlign w:val="superscript"/>
        </w:rPr>
      </w:pPr>
      <w:r>
        <w:rPr>
          <w:rFonts w:ascii="Arial" w:cs="Arial" w:eastAsia="Arial" w:hAnsi="Arial"/>
          <w:sz w:val="10"/>
          <w:szCs w:val="10"/>
          <w:color w:val="auto"/>
        </w:rPr>
        <w:t>Implied DCF Available to Common Unitholders for the period, adjusted for Series A preferred unit cash distributions paid,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19" w:lineRule="exact"/>
        <w:rPr>
          <w:rFonts w:ascii="Arial" w:cs="Arial" w:eastAsia="Arial" w:hAnsi="Arial"/>
          <w:sz w:val="13"/>
          <w:szCs w:val="13"/>
          <w:color w:val="auto"/>
          <w:vertAlign w:val="superscript"/>
        </w:rPr>
      </w:pPr>
    </w:p>
    <w:p>
      <w:pPr>
        <w:ind w:left="5440" w:hanging="106"/>
        <w:spacing w:after="0"/>
        <w:tabs>
          <w:tab w:leader="none" w:pos="54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7"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Twelve Months Ended</w:t>
      </w:r>
    </w:p>
    <w:p>
      <w:pPr>
        <w:jc w:val="center"/>
        <w:ind w:left="87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r>
      <w:tr>
        <w:trPr>
          <w:trHeight w:val="211"/>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29"/>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investment in unconsolidated entities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7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7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23"/>
        </w:trPr>
        <w:tc>
          <w:tcPr>
            <w:tcW w:w="87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8780" w:type="dxa"/>
            <w:vAlign w:val="bottom"/>
            <w:shd w:val="clear" w:color="auto" w:fill="CCEEFF"/>
          </w:tcPr>
          <w:p>
            <w:pPr>
              <w:ind w:left="180"/>
              <w:spacing w:after="0" w:line="223"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7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Distributions from unconsolidated entities in excess of/(less than) adjusted equity earnings </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7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780" w:type="dxa"/>
            <w:vAlign w:val="bottom"/>
          </w:tcPr>
          <w:p>
            <w:pPr>
              <w:ind w:left="20"/>
              <w:spacing w:after="0"/>
              <w:rPr>
                <w:sz w:val="20"/>
                <w:szCs w:val="20"/>
                <w:color w:val="auto"/>
              </w:rPr>
            </w:pPr>
            <w:r>
              <w:rPr>
                <w:rFonts w:ascii="Arial" w:cs="Arial" w:eastAsia="Arial" w:hAnsi="Arial"/>
                <w:sz w:val="18"/>
                <w:szCs w:val="18"/>
                <w:color w:val="auto"/>
              </w:rPr>
              <w:t>Implied DCF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1,948</w:t>
            </w:r>
          </w:p>
        </w:tc>
      </w:tr>
      <w:tr>
        <w:trPr>
          <w:trHeight w:val="230"/>
        </w:trPr>
        <w:tc>
          <w:tcPr>
            <w:tcW w:w="87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8780" w:type="dxa"/>
            <w:vAlign w:val="bottom"/>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780" w:type="dxa"/>
            <w:vAlign w:val="bottom"/>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Units and Common Equivalent Units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162"/>
        </w:trPr>
        <w:tc>
          <w:tcPr>
            <w:tcW w:w="8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8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162"/>
        </w:trPr>
        <w:tc>
          <w:tcPr>
            <w:tcW w:w="8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0"/>
        </w:trPr>
        <w:tc>
          <w:tcPr>
            <w:tcW w:w="8780" w:type="dxa"/>
            <w:vAlign w:val="bottom"/>
          </w:tcPr>
          <w:p>
            <w:pPr>
              <w:ind w:left="20"/>
              <w:spacing w:after="0"/>
              <w:rPr>
                <w:sz w:val="20"/>
                <w:szCs w:val="20"/>
                <w:color w:val="auto"/>
              </w:rPr>
            </w:pPr>
            <w:r>
              <w:rPr>
                <w:rFonts w:ascii="Arial" w:cs="Arial" w:eastAsia="Arial" w:hAnsi="Arial"/>
                <w:sz w:val="18"/>
                <w:szCs w:val="18"/>
                <w:color w:val="auto"/>
              </w:rPr>
              <w:t>Cash Distribution Paid per Common Unit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8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2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2.17x</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2.05x</w:t>
            </w:r>
          </w:p>
        </w:tc>
      </w:tr>
      <w:tr>
        <w:trPr>
          <w:trHeight w:val="162"/>
        </w:trPr>
        <w:tc>
          <w:tcPr>
            <w:tcW w:w="8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0"/>
        </w:trPr>
        <w:tc>
          <w:tcPr>
            <w:tcW w:w="8780" w:type="dxa"/>
            <w:vAlign w:val="bottom"/>
          </w:tcPr>
          <w:p>
            <w:pPr>
              <w:ind w:left="20"/>
              <w:spacing w:after="0"/>
              <w:rPr>
                <w:sz w:val="20"/>
                <w:szCs w:val="20"/>
                <w:color w:val="auto"/>
              </w:rPr>
            </w:pPr>
            <w:r>
              <w:rPr>
                <w:rFonts w:ascii="Arial" w:cs="Arial" w:eastAsia="Arial" w:hAnsi="Arial"/>
                <w:sz w:val="18"/>
                <w:szCs w:val="18"/>
                <w:color w:val="auto"/>
              </w:rPr>
              <w:t>Implied DCF Excess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459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Adjustment to add back our proportionate share of depreciation and amortization expense of unconsolidated entities.</w:t>
      </w:r>
    </w:p>
    <w:p>
      <w:pPr>
        <w:spacing w:after="0" w:line="48"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Excludes certain non-cash items impacting interest expense such as amortization of debt issuance costs and terminated interest rate swaps.</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Comprised of cash distributions received from unconsolidated entities less equity earnings in unconsolidated entities (adjusted for our proportionate share of depreciation and amortization).</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during the period presented.</w:t>
      </w:r>
    </w:p>
    <w:p>
      <w:pPr>
        <w:spacing w:after="0" w:line="49" w:lineRule="exact"/>
        <w:rPr>
          <w:rFonts w:ascii="Arial" w:cs="Arial" w:eastAsia="Arial" w:hAnsi="Arial"/>
          <w:sz w:val="15"/>
          <w:szCs w:val="15"/>
          <w:color w:val="auto"/>
          <w:vertAlign w:val="superscript"/>
        </w:rPr>
      </w:pPr>
    </w:p>
    <w:p>
      <w:pPr>
        <w:ind w:left="340" w:right="40" w:hanging="332"/>
        <w:spacing w:after="0" w:line="219" w:lineRule="auto"/>
        <w:tabs>
          <w:tab w:leader="none" w:pos="334"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to our preferred unitholders during the period presented. The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$61.25 per unit annual distribution requirement of our Series B preferred units, is payable in cash semi-annually in arrears on May 15 and November 15.</w:t>
      </w:r>
    </w:p>
    <w:p>
      <w:pPr>
        <w:spacing w:after="0" w:line="17" w:lineRule="exact"/>
        <w:rPr>
          <w:rFonts w:ascii="Arial" w:cs="Arial" w:eastAsia="Arial" w:hAnsi="Arial"/>
          <w:sz w:val="15"/>
          <w:szCs w:val="15"/>
          <w:color w:val="auto"/>
          <w:vertAlign w:val="superscript"/>
        </w:rPr>
      </w:pPr>
    </w:p>
    <w:p>
      <w:pPr>
        <w:ind w:left="320" w:hanging="312"/>
        <w:spacing w:after="0"/>
        <w:tabs>
          <w:tab w:leader="none" w:pos="320"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Implied DCF Available to Common Unitholders for the period divided by the weighted average common units outstanding for the period.</w:t>
      </w:r>
    </w:p>
    <w:p>
      <w:pPr>
        <w:spacing w:after="0" w:line="48" w:lineRule="exact"/>
        <w:rPr>
          <w:rFonts w:ascii="Arial" w:cs="Arial" w:eastAsia="Arial" w:hAnsi="Arial"/>
          <w:sz w:val="15"/>
          <w:szCs w:val="15"/>
          <w:color w:val="auto"/>
          <w:vertAlign w:val="superscript"/>
        </w:rPr>
      </w:pPr>
    </w:p>
    <w:p>
      <w:pPr>
        <w:ind w:left="340" w:right="40" w:hanging="332"/>
        <w:spacing w:after="0" w:line="262" w:lineRule="auto"/>
        <w:tabs>
          <w:tab w:leader="none" w:pos="334" w:val="left"/>
        </w:tabs>
        <w:numPr>
          <w:ilvl w:val="0"/>
          <w:numId w:val="19"/>
        </w:numPr>
        <w:rPr>
          <w:rFonts w:ascii="Arial" w:cs="Arial" w:eastAsia="Arial" w:hAnsi="Arial"/>
          <w:sz w:val="13"/>
          <w:szCs w:val="13"/>
          <w:color w:val="auto"/>
          <w:vertAlign w:val="superscript"/>
        </w:rPr>
      </w:pPr>
      <w:r>
        <w:rPr>
          <w:rFonts w:ascii="Arial" w:cs="Arial" w:eastAsia="Arial" w:hAnsi="Arial"/>
          <w:sz w:val="10"/>
          <w:szCs w:val="10"/>
          <w:color w:val="auto"/>
        </w:rPr>
        <w:t>Implied DCF Available to Common Unitholders for the period, adjusted for Series A preferred unit cash distributions paid,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262" w:lineRule="exact"/>
        <w:rPr>
          <w:rFonts w:ascii="Arial" w:cs="Arial" w:eastAsia="Arial" w:hAnsi="Arial"/>
          <w:sz w:val="13"/>
          <w:szCs w:val="13"/>
          <w:color w:val="auto"/>
          <w:vertAlign w:val="superscript"/>
        </w:rPr>
      </w:pPr>
    </w:p>
    <w:p>
      <w:pPr>
        <w:ind w:left="5440" w:hanging="106"/>
        <w:spacing w:after="0"/>
        <w:tabs>
          <w:tab w:leader="none" w:pos="5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Implied DCF Per Common Unit and Common Equivalent Unit Reconciliations: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2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5"/>
              </w:rPr>
              <w:t>2.35</w:t>
            </w:r>
          </w:p>
        </w:tc>
      </w:tr>
      <w:tr>
        <w:trPr>
          <w:trHeight w:val="229"/>
        </w:trPr>
        <w:tc>
          <w:tcPr>
            <w:tcW w:w="6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3"/>
              <w:spacing w:after="0"/>
              <w:rPr>
                <w:sz w:val="20"/>
                <w:szCs w:val="20"/>
                <w:color w:val="auto"/>
              </w:rPr>
            </w:pPr>
            <w:r>
              <w:rPr>
                <w:rFonts w:ascii="Arial" w:cs="Arial" w:eastAsia="Arial" w:hAnsi="Arial"/>
                <w:sz w:val="18"/>
                <w:szCs w:val="18"/>
                <w:color w:val="auto"/>
                <w:w w:val="93"/>
              </w:rPr>
              <w:t>(0.08)</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85"/>
              </w:rPr>
              <w:t>2.27</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5"/>
              </w:rPr>
              <w:t>2.35</w:t>
            </w:r>
          </w:p>
        </w:tc>
      </w:tr>
      <w:tr>
        <w:trPr>
          <w:trHeight w:val="229"/>
        </w:trPr>
        <w:tc>
          <w:tcPr>
            <w:tcW w:w="6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3"/>
              <w:spacing w:after="0"/>
              <w:rPr>
                <w:sz w:val="20"/>
                <w:szCs w:val="20"/>
                <w:color w:val="auto"/>
              </w:rPr>
            </w:pPr>
            <w:r>
              <w:rPr>
                <w:rFonts w:ascii="Arial" w:cs="Arial" w:eastAsia="Arial" w:hAnsi="Arial"/>
                <w:sz w:val="18"/>
                <w:szCs w:val="18"/>
                <w:color w:val="auto"/>
                <w:w w:val="93"/>
              </w:rPr>
              <w:t>(0.14)</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85"/>
              </w:rPr>
              <w:t>2.21</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41"/>
        </w:trPr>
        <w:tc>
          <w:tcPr>
            <w:tcW w:w="6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4"/>
          </w:tcPr>
          <w:p>
            <w:pPr>
              <w:ind w:left="260"/>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6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4"/>
              </w:rPr>
              <w:t>December 31,</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2018</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5"/>
              </w:rPr>
              <w:t>2.77</w:t>
            </w:r>
          </w:p>
        </w:tc>
      </w:tr>
      <w:tr>
        <w:trPr>
          <w:trHeight w:val="229"/>
        </w:trPr>
        <w:tc>
          <w:tcPr>
            <w:tcW w:w="6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(4)</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3"/>
              <w:spacing w:after="0"/>
              <w:rPr>
                <w:sz w:val="20"/>
                <w:szCs w:val="20"/>
                <w:color w:val="auto"/>
              </w:rPr>
            </w:pPr>
            <w:r>
              <w:rPr>
                <w:rFonts w:ascii="Arial" w:cs="Arial" w:eastAsia="Arial" w:hAnsi="Arial"/>
                <w:sz w:val="18"/>
                <w:szCs w:val="18"/>
                <w:color w:val="auto"/>
                <w:w w:val="93"/>
              </w:rPr>
              <w:t>(0.31)</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85"/>
              </w:rPr>
              <w:t>2.46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5"/>
              </w:rPr>
              <w:t>2.77</w:t>
            </w:r>
          </w:p>
        </w:tc>
      </w:tr>
      <w:tr>
        <w:trPr>
          <w:trHeight w:val="230"/>
        </w:trPr>
        <w:tc>
          <w:tcPr>
            <w:tcW w:w="6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3"/>
              <w:spacing w:after="0"/>
              <w:rPr>
                <w:sz w:val="20"/>
                <w:szCs w:val="20"/>
                <w:color w:val="auto"/>
              </w:rPr>
            </w:pPr>
            <w:r>
              <w:rPr>
                <w:rFonts w:ascii="Arial" w:cs="Arial" w:eastAsia="Arial" w:hAnsi="Arial"/>
                <w:sz w:val="18"/>
                <w:szCs w:val="18"/>
                <w:color w:val="auto"/>
                <w:w w:val="93"/>
              </w:rPr>
              <w:t>(0.39)</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85"/>
              </w:rPr>
              <w:t>2.38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80" w:hanging="332"/>
        <w:spacing w:after="0" w:line="227"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Income/(Loss) to Adjusted EBITDA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728 million, 728 million, 728 million and 727 million, respectively.</w:t>
      </w:r>
    </w:p>
    <w:p>
      <w:pPr>
        <w:spacing w:after="0" w:line="55"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727 million and 726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2019</w:t>
            </w:r>
          </w:p>
        </w:tc>
      </w:tr>
      <w:tr>
        <w:trPr>
          <w:trHeight w:val="211"/>
        </w:trPr>
        <w:tc>
          <w:tcPr>
            <w:tcW w:w="624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b w:val="1"/>
                <w:bCs w:val="1"/>
                <w:color w:val="auto"/>
                <w:w w:val="98"/>
              </w:rPr>
              <w:t xml:space="preserve">Free Cash Flow and Free Cash Flow After Distributions Reconciliation </w:t>
            </w:r>
            <w:r>
              <w:rPr>
                <w:rFonts w:ascii="Arial" w:cs="Arial" w:eastAsia="Arial" w:hAnsi="Arial"/>
                <w:sz w:val="23"/>
                <w:szCs w:val="23"/>
                <w:b w:val="1"/>
                <w:bCs w:val="1"/>
                <w:color w:val="auto"/>
                <w:w w:val="98"/>
                <w:vertAlign w:val="superscript"/>
              </w:rPr>
              <w:t>(1)</w:t>
            </w:r>
            <w:r>
              <w:rPr>
                <w:rFonts w:ascii="Arial" w:cs="Arial" w:eastAsia="Arial" w:hAnsi="Arial"/>
                <w:sz w:val="18"/>
                <w:szCs w:val="18"/>
                <w:b w:val="1"/>
                <w:bCs w:val="1"/>
                <w:color w:val="auto"/>
                <w:w w:val="98"/>
              </w:rPr>
              <w: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Adjustments to reconcile net cash provided by operating activities to free cash flow:</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(208)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(389)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(1,367)</w:t>
            </w:r>
          </w:p>
        </w:tc>
      </w:tr>
      <w:tr>
        <w:trPr>
          <w:trHeight w:val="229"/>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contributions from noncontrolling interests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 of noncontrolling interest in a subsidiary</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720" w:type="dxa"/>
            <w:vAlign w:val="bottom"/>
            <w:tcBorders>
              <w:top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r>
      <w:tr>
        <w:trPr>
          <w:trHeight w:val="230"/>
        </w:trPr>
        <w:tc>
          <w:tcPr>
            <w:tcW w:w="6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(168)</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Free cash flow after distributions</w:t>
            </w:r>
          </w:p>
        </w:tc>
        <w:tc>
          <w:tcPr>
            <w:tcW w:w="72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1"/>
        </w:trPr>
        <w:tc>
          <w:tcPr>
            <w:tcW w:w="6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42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Management uses the Non-GAAP financial measures Free Cash Flow and Free Cash Flow After Distributions to assess the amount of cash that is available for distributions, debt repayments and other general partnership purposes.</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preferred and common unitholders during the period.</w:t>
      </w:r>
    </w:p>
    <w:p>
      <w:pPr>
        <w:spacing w:after="0" w:line="56"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1"/>
                <w:szCs w:val="11"/>
                <w:color w:val="auto"/>
              </w:rPr>
            </w:pPr>
          </w:p>
        </w:tc>
        <w:tc>
          <w:tcPr>
            <w:tcW w:w="1060" w:type="dxa"/>
            <w:vAlign w:val="bottom"/>
          </w:tcPr>
          <w:p>
            <w:pPr>
              <w:jc w:val="center"/>
              <w:ind w:right="112"/>
              <w:spacing w:after="0" w:line="130" w:lineRule="exact"/>
              <w:rPr>
                <w:sz w:val="20"/>
                <w:szCs w:val="20"/>
                <w:color w:val="auto"/>
              </w:rPr>
            </w:pPr>
            <w:r>
              <w:rPr>
                <w:rFonts w:ascii="Arial" w:cs="Arial" w:eastAsia="Arial" w:hAnsi="Arial"/>
                <w:sz w:val="14"/>
                <w:szCs w:val="14"/>
                <w:b w:val="1"/>
                <w:bCs w:val="1"/>
                <w:color w:val="auto"/>
                <w:w w:val="92"/>
              </w:rPr>
              <w:t>Supply and</w:t>
            </w:r>
          </w:p>
        </w:tc>
        <w:tc>
          <w:tcPr>
            <w:tcW w:w="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1"/>
                <w:szCs w:val="11"/>
                <w:color w:val="auto"/>
              </w:rPr>
            </w:pPr>
          </w:p>
        </w:tc>
        <w:tc>
          <w:tcPr>
            <w:tcW w:w="1080" w:type="dxa"/>
            <w:vAlign w:val="bottom"/>
          </w:tcPr>
          <w:p>
            <w:pPr>
              <w:jc w:val="right"/>
              <w:ind w:right="212"/>
              <w:spacing w:after="0" w:line="130"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activities, net of inventory valuation</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0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Net (gain)/loss on foreign currency</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00"/>
          </w:cols>
          <w:pgMar w:left="320" w:top="368" w:right="359" w:bottom="1440" w:gutter="0" w:footer="0" w:header="0"/>
          <w:type w:val="continuous"/>
        </w:sectPr>
      </w:pPr>
    </w:p>
    <w:p>
      <w:pPr>
        <w:ind w:left="340" w:right="80" w:hanging="332"/>
        <w:spacing w:after="0" w:line="267" w:lineRule="auto"/>
        <w:tabs>
          <w:tab w:leader="none" w:pos="32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20" w:hanging="332"/>
        <w:spacing w:after="0" w:line="234"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1"/>
                <w:szCs w:val="11"/>
                <w:color w:val="auto"/>
              </w:rPr>
            </w:pPr>
          </w:p>
        </w:tc>
        <w:tc>
          <w:tcPr>
            <w:tcW w:w="1060" w:type="dxa"/>
            <w:vAlign w:val="bottom"/>
          </w:tcPr>
          <w:p>
            <w:pPr>
              <w:jc w:val="center"/>
              <w:ind w:right="112"/>
              <w:spacing w:after="0" w:line="130" w:lineRule="exact"/>
              <w:rPr>
                <w:sz w:val="20"/>
                <w:szCs w:val="20"/>
                <w:color w:val="auto"/>
              </w:rPr>
            </w:pPr>
            <w:r>
              <w:rPr>
                <w:rFonts w:ascii="Arial" w:cs="Arial" w:eastAsia="Arial" w:hAnsi="Arial"/>
                <w:sz w:val="14"/>
                <w:szCs w:val="14"/>
                <w:b w:val="1"/>
                <w:bCs w:val="1"/>
                <w:color w:val="auto"/>
                <w:w w:val="92"/>
              </w:rPr>
              <w:t>Supply and</w:t>
            </w:r>
          </w:p>
        </w:tc>
        <w:tc>
          <w:tcPr>
            <w:tcW w:w="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1"/>
                <w:szCs w:val="11"/>
                <w:color w:val="auto"/>
              </w:rPr>
            </w:pPr>
          </w:p>
        </w:tc>
        <w:tc>
          <w:tcPr>
            <w:tcW w:w="1080" w:type="dxa"/>
            <w:vAlign w:val="bottom"/>
          </w:tcPr>
          <w:p>
            <w:pPr>
              <w:jc w:val="right"/>
              <w:ind w:right="212"/>
              <w:spacing w:after="0" w:line="130"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(16,227)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(22,599)</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activities, net of inventory valuation</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0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(gain)/loss on foreign currency</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Line 901 incident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Significant acquisition-related</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00"/>
          </w:cols>
          <w:pgMar w:left="320" w:top="368" w:right="359" w:bottom="1440" w:gutter="0" w:footer="0" w:header="0"/>
          <w:type w:val="continuous"/>
        </w:sectPr>
      </w:pPr>
    </w:p>
    <w:p>
      <w:pPr>
        <w:ind w:left="340" w:right="80" w:hanging="332"/>
        <w:spacing w:after="0" w:line="267" w:lineRule="auto"/>
        <w:tabs>
          <w:tab w:leader="none" w:pos="328"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20" w:hanging="332"/>
        <w:spacing w:after="0" w:line="234"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135"/>
        </w:trPr>
        <w:tc>
          <w:tcPr>
            <w:tcW w:w="6220" w:type="dxa"/>
            <w:vAlign w:val="bottom"/>
          </w:tcPr>
          <w:p>
            <w:pPr>
              <w:spacing w:after="0"/>
              <w:rPr>
                <w:sz w:val="11"/>
                <w:szCs w:val="11"/>
                <w:color w:val="auto"/>
              </w:rPr>
            </w:pPr>
          </w:p>
        </w:tc>
        <w:tc>
          <w:tcPr>
            <w:tcW w:w="256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Nine Months Ended</w:t>
            </w:r>
          </w:p>
        </w:tc>
      </w:tr>
      <w:tr>
        <w:trPr>
          <w:trHeight w:val="188"/>
        </w:trPr>
        <w:tc>
          <w:tcPr>
            <w:tcW w:w="622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692"/>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2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2019</w:t>
            </w:r>
          </w:p>
        </w:tc>
      </w:tr>
      <w:tr>
        <w:trPr>
          <w:trHeight w:val="157"/>
        </w:trPr>
        <w:tc>
          <w:tcPr>
            <w:tcW w:w="622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w w:val="95"/>
              </w:rPr>
              <w:t>Transportation segment (average daily volumes in thousands of barrels per</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Tariff activities volumes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 (by region):</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4,852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4,568</w:t>
            </w:r>
          </w:p>
        </w:tc>
      </w:tr>
      <w:tr>
        <w:trPr>
          <w:trHeight w:val="230"/>
        </w:trPr>
        <w:tc>
          <w:tcPr>
            <w:tcW w:w="62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29"/>
        </w:trPr>
        <w:tc>
          <w:tcPr>
            <w:tcW w:w="62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62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9"/>
        </w:trPr>
        <w:tc>
          <w:tcPr>
            <w:tcW w:w="6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Canada</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23"/>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r>
      <w:tr>
        <w:trPr>
          <w:trHeight w:val="229"/>
        </w:trPr>
        <w:tc>
          <w:tcPr>
            <w:tcW w:w="6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NGL pipelines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Tariff activities total volumes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r>
      <w:tr>
        <w:trPr>
          <w:trHeight w:val="229"/>
        </w:trPr>
        <w:tc>
          <w:tcPr>
            <w:tcW w:w="6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Trucking volumes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total volumes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(average monthly volumes):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Natural gas storage (average monthly working capacity in billions of cubic feet)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220" w:type="dxa"/>
            <w:vAlign w:val="bottom"/>
          </w:tcPr>
          <w:p>
            <w:pPr>
              <w:ind w:left="180"/>
              <w:spacing w:after="0" w:line="203" w:lineRule="exact"/>
              <w:rPr>
                <w:sz w:val="20"/>
                <w:szCs w:val="20"/>
                <w:color w:val="auto"/>
              </w:rPr>
            </w:pPr>
            <w:r>
              <w:rPr>
                <w:rFonts w:ascii="Arial" w:cs="Arial" w:eastAsia="Arial" w:hAnsi="Arial"/>
                <w:sz w:val="18"/>
                <w:szCs w:val="18"/>
                <w:color w:val="auto"/>
              </w:rPr>
              <w:t>NGL fractionation (average volumes in thousands of barrels per day)</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9"/>
        </w:trPr>
        <w:tc>
          <w:tcPr>
            <w:tcW w:w="62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w w:val="92"/>
              </w:rPr>
              <w:t xml:space="preserve">Facilities segment total volumes (average monthly volumes in millions of barrels) </w:t>
            </w:r>
            <w:r>
              <w:rPr>
                <w:rFonts w:ascii="Arial" w:cs="Arial" w:eastAsia="Arial" w:hAnsi="Arial"/>
                <w:sz w:val="23"/>
                <w:szCs w:val="23"/>
                <w:color w:val="auto"/>
                <w:w w:val="92"/>
                <w:vertAlign w:val="superscript"/>
              </w:rPr>
              <w:t>(4)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5"/>
        </w:trPr>
        <w:tc>
          <w:tcPr>
            <w:tcW w:w="6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2"/>
              </w:rPr>
              <w:t>Supply and Logistics segment (average daily volumes in thousands of barrels</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per 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20" w:type="dxa"/>
            <w:vAlign w:val="bottom"/>
          </w:tcPr>
          <w:p>
            <w:pPr>
              <w:ind w:left="180"/>
              <w:spacing w:after="0"/>
              <w:rPr>
                <w:sz w:val="20"/>
                <w:szCs w:val="20"/>
                <w:color w:val="auto"/>
              </w:rPr>
            </w:pPr>
            <w:r>
              <w:rPr>
                <w:rFonts w:ascii="Arial" w:cs="Arial" w:eastAsia="Arial" w:hAnsi="Arial"/>
                <w:sz w:val="18"/>
                <w:szCs w:val="18"/>
                <w:color w:val="auto"/>
              </w:rPr>
              <w:t>Crude oil lease gathering purchases</w:t>
            </w:r>
          </w:p>
        </w:tc>
        <w:tc>
          <w:tcPr>
            <w:tcW w:w="118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1,126</w:t>
            </w: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Supply and Logistics segment total volumes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r>
      <w:tr>
        <w:trPr>
          <w:trHeight w:val="20"/>
        </w:trPr>
        <w:tc>
          <w:tcPr>
            <w:tcW w:w="6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55"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56"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facilities owned by unconsolidated entities.</w:t>
      </w:r>
    </w:p>
    <w:p>
      <w:pPr>
        <w:spacing w:after="0" w:line="56" w:lineRule="exact"/>
        <w:rPr>
          <w:rFonts w:ascii="Arial" w:cs="Arial" w:eastAsia="Arial" w:hAnsi="Arial"/>
          <w:sz w:val="23"/>
          <w:szCs w:val="23"/>
          <w:color w:val="auto"/>
          <w:vertAlign w:val="superscript"/>
        </w:rPr>
      </w:pPr>
    </w:p>
    <w:p>
      <w:pPr>
        <w:ind w:left="340" w:right="260" w:hanging="332"/>
        <w:spacing w:after="0" w:line="241" w:lineRule="auto"/>
        <w:tabs>
          <w:tab w:leader="none" w:pos="328"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Page 24</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Fee-based Segment Adjusted EBITDA to Adjusted EBITDA Reconciliations: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4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Nine Months Ended</w:t>
            </w:r>
          </w:p>
        </w:tc>
      </w:tr>
      <w:tr>
        <w:trPr>
          <w:trHeight w:val="188"/>
        </w:trPr>
        <w:tc>
          <w:tcPr>
            <w:tcW w:w="62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Adjusted EBITDA</w:t>
            </w:r>
          </w:p>
        </w:tc>
        <w:tc>
          <w:tcPr>
            <w:tcW w:w="7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Adjusted EBITDA</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r>
      <w:tr>
        <w:trPr>
          <w:trHeight w:val="223"/>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Fee-based Segment Adjusted EBITDA</w:t>
            </w:r>
          </w:p>
        </w:tc>
        <w:tc>
          <w:tcPr>
            <w:tcW w:w="7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Supply and Logistics Segment Adjusted EBITDA</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2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76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r>
      <w:tr>
        <w:trPr>
          <w:trHeight w:val="21"/>
        </w:trPr>
        <w:tc>
          <w:tcPr>
            <w:tcW w:w="6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r>
      <w:tr>
        <w:trPr>
          <w:trHeight w:val="560"/>
        </w:trPr>
        <w:tc>
          <w:tcPr>
            <w:tcW w:w="6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Twelve Months Ended</w:t>
            </w:r>
          </w:p>
        </w:tc>
      </w:tr>
      <w:tr>
        <w:trPr>
          <w:trHeight w:val="188"/>
        </w:trPr>
        <w:tc>
          <w:tcPr>
            <w:tcW w:w="6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2018</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Adjusted EBITDA</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Adjusted EBITDA</w:t>
            </w:r>
          </w:p>
        </w:tc>
        <w:tc>
          <w:tcPr>
            <w:tcW w:w="7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23"/>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Fee-based Segment Adjusted EBITDA</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Supply and Logistics Segment Adjusted EBITDA</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(3)</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2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w:t>
            </w:r>
          </w:p>
        </w:tc>
      </w:tr>
      <w:tr>
        <w:trPr>
          <w:trHeight w:val="21"/>
        </w:trPr>
        <w:tc>
          <w:tcPr>
            <w:tcW w:w="6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60" w:hanging="332"/>
        <w:spacing w:after="0" w:line="234" w:lineRule="auto"/>
        <w:tabs>
          <w:tab w:leader="none" w:pos="32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$(4) million, $(1) million, $10 million and $(17) million for the three and nine months ended September 30, 2020 and 2019, respectively. See the “Selected Items Impacting Comparability” table for additional information.</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See the “Net Income/(Loss) to Adjusted EBITDA and Implied DCF Reconciliation” table for reconciliation to Net Income/(Loss).</w:t>
      </w:r>
    </w:p>
    <w:p>
      <w:pPr>
        <w:spacing w:after="0" w:line="55" w:lineRule="exact"/>
        <w:rPr>
          <w:rFonts w:ascii="Arial" w:cs="Arial" w:eastAsia="Arial" w:hAnsi="Arial"/>
          <w:sz w:val="23"/>
          <w:szCs w:val="23"/>
          <w:color w:val="auto"/>
          <w:vertAlign w:val="superscript"/>
        </w:rPr>
      </w:pPr>
    </w:p>
    <w:p>
      <w:pPr>
        <w:ind w:left="340" w:right="60" w:hanging="332"/>
        <w:spacing w:after="0" w:line="219" w:lineRule="auto"/>
        <w:tabs>
          <w:tab w:leader="none" w:pos="32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$(17) million and $10 million for the twelve months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Page 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2020</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7"/>
                <w:szCs w:val="17"/>
                <w:color w:val="auto"/>
              </w:rPr>
            </w:pPr>
          </w:p>
        </w:tc>
        <w:tc>
          <w:tcPr>
            <w:tcW w:w="142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7"/>
                <w:szCs w:val="17"/>
                <w:color w:val="auto"/>
              </w:rPr>
            </w:pPr>
          </w:p>
        </w:tc>
        <w:tc>
          <w:tcPr>
            <w:tcW w:w="142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6,855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9"/>
              </w:rPr>
              <w:t>Gain on/(impairment of) investments in</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29"/>
        </w:trPr>
        <w:tc>
          <w:tcPr>
            <w:tcW w:w="3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INCOME BEFORE TAX</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(expense)/benefit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28"/>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 attributable to</w:t>
            </w: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ATTRIBUTABLE TO</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tcPr>
          <w:p>
            <w:pPr>
              <w:spacing w:after="0"/>
              <w:rPr>
                <w:sz w:val="13"/>
                <w:szCs w:val="13"/>
                <w:color w:val="auto"/>
              </w:rPr>
            </w:pPr>
          </w:p>
        </w:tc>
        <w:tc>
          <w:tcPr>
            <w:tcW w:w="34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PAGP</w:t>
            </w:r>
          </w:p>
        </w:tc>
        <w:tc>
          <w:tcPr>
            <w:tcW w:w="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340" w:type="dxa"/>
            <w:vAlign w:val="bottom"/>
            <w:gridSpan w:val="4"/>
          </w:tcPr>
          <w:p>
            <w:pPr>
              <w:ind w:left="20"/>
              <w:spacing w:after="0"/>
              <w:rPr>
                <w:sz w:val="20"/>
                <w:szCs w:val="20"/>
                <w:color w:val="auto"/>
              </w:rPr>
            </w:pPr>
            <w:r>
              <w:rPr>
                <w:rFonts w:ascii="Arial" w:cs="Arial" w:eastAsia="Arial" w:hAnsi="Arial"/>
                <w:sz w:val="18"/>
                <w:szCs w:val="18"/>
                <w:b w:val="1"/>
                <w:bCs w:val="1"/>
                <w:color w:val="auto"/>
              </w:rPr>
              <w:t>BASIC NET INCOME PER CLASS A SHARE</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340" w:type="dxa"/>
            <w:vAlign w:val="bottom"/>
            <w:gridSpan w:val="4"/>
          </w:tcPr>
          <w:p>
            <w:pPr>
              <w:ind w:left="20"/>
              <w:spacing w:after="0"/>
              <w:rPr>
                <w:sz w:val="20"/>
                <w:szCs w:val="20"/>
                <w:color w:val="auto"/>
              </w:rPr>
            </w:pPr>
            <w:r>
              <w:rPr>
                <w:rFonts w:ascii="Arial" w:cs="Arial" w:eastAsia="Arial" w:hAnsi="Arial"/>
                <w:sz w:val="18"/>
                <w:szCs w:val="18"/>
                <w:b w:val="1"/>
                <w:bCs w:val="1"/>
                <w:color w:val="auto"/>
              </w:rPr>
              <w:t>DILUTED NET INCOME PER CLASS A SHARE</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60" w:type="dxa"/>
            <w:vAlign w:val="bottom"/>
            <w:gridSpan w:val="7"/>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4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DILUTED WEIGHTED AVERAGE CLASS A SHARES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59" w:lineRule="exact"/>
        <w:rPr>
          <w:rFonts w:ascii="Arial" w:cs="Arial" w:eastAsia="Arial" w:hAnsi="Arial"/>
          <w:sz w:val="22"/>
          <w:szCs w:val="22"/>
          <w:color w:val="auto"/>
          <w:vertAlign w:val="superscript"/>
        </w:rPr>
      </w:pPr>
    </w:p>
    <w:p>
      <w:pPr>
        <w:ind w:left="5440" w:hanging="106"/>
        <w:spacing w:after="0"/>
        <w:tabs>
          <w:tab w:leader="none" w:pos="5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Page 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September 30, 2020</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7"/>
                <w:szCs w:val="17"/>
                <w:color w:val="auto"/>
              </w:rPr>
            </w:pPr>
          </w:p>
        </w:tc>
        <w:tc>
          <w:tcPr>
            <w:tcW w:w="140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4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7"/>
                <w:szCs w:val="17"/>
                <w:color w:val="auto"/>
              </w:rPr>
            </w:pPr>
          </w:p>
        </w:tc>
        <w:tc>
          <w:tcPr>
            <w:tcW w:w="142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21,218</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10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0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22,864</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w w:val="98"/>
              </w:rPr>
              <w:t>Gain on/(impairment of) investments in</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29"/>
        </w:trPr>
        <w:tc>
          <w:tcPr>
            <w:tcW w:w="3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Deferred income tax (expense)/benefit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28"/>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Borders>
              <w:right w:val="single" w:sz="8" w:color="auto"/>
            </w:tcBorders>
          </w:tcPr>
          <w:p>
            <w:pPr>
              <w:spacing w:after="0"/>
              <w:rPr>
                <w:sz w:val="13"/>
                <w:szCs w:val="13"/>
                <w:color w:val="auto"/>
              </w:rPr>
            </w:pPr>
          </w:p>
        </w:tc>
        <w:tc>
          <w:tcPr>
            <w:tcW w:w="34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3"/>
        </w:trPr>
        <w:tc>
          <w:tcPr>
            <w:tcW w:w="31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34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BASIC NET INCOME/(LOSS) PER CLASS A SHARE</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840" w:type="dxa"/>
            <w:vAlign w:val="bottom"/>
            <w:gridSpan w:val="7"/>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40" w:type="dxa"/>
            <w:vAlign w:val="bottom"/>
            <w:gridSpan w:val="7"/>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4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DILUTED WEIGHTED AVERAGE CLASS A SHARES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59" w:lineRule="exact"/>
        <w:rPr>
          <w:rFonts w:ascii="Arial" w:cs="Arial" w:eastAsia="Arial" w:hAnsi="Arial"/>
          <w:sz w:val="22"/>
          <w:szCs w:val="22"/>
          <w:color w:val="auto"/>
          <w:vertAlign w:val="superscript"/>
        </w:rPr>
      </w:pPr>
    </w:p>
    <w:p>
      <w:pPr>
        <w:ind w:left="5440" w:hanging="106"/>
        <w:spacing w:after="0"/>
        <w:tabs>
          <w:tab w:leader="none" w:pos="54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Page 27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3,407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 and base gas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873</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14,396</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Partners’ capital excluding noncontrolling</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63"/>
        </w:trPr>
        <w:tc>
          <w:tcPr>
            <w:tcW w:w="3120" w:type="dxa"/>
            <w:vAlign w:val="bottom"/>
          </w:tcPr>
          <w:p>
            <w:pPr>
              <w:ind w:left="360"/>
              <w:spacing w:after="0"/>
              <w:rPr>
                <w:sz w:val="20"/>
                <w:szCs w:val="20"/>
                <w:color w:val="auto"/>
              </w:rPr>
            </w:pPr>
            <w:r>
              <w:rPr>
                <w:rFonts w:ascii="Arial" w:cs="Arial" w:eastAsia="Arial" w:hAnsi="Arial"/>
                <w:sz w:val="18"/>
                <w:szCs w:val="18"/>
                <w:color w:val="auto"/>
                <w:w w:val="97"/>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25,693</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Page 28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396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CLASS A SHARE </w:t>
      </w:r>
      <w:r>
        <w:rPr>
          <w:rFonts w:ascii="Arial" w:cs="Arial" w:eastAsia="Arial" w:hAnsi="Arial"/>
          <w:sz w:val="18"/>
          <w:szCs w:val="18"/>
          <w:color w:val="auto"/>
        </w:rPr>
        <w:t>(in millions,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4"/>
                <w:szCs w:val="14"/>
                <w:b w:val="1"/>
                <w:bCs w:val="1"/>
                <w:color w:val="auto"/>
                <w:w w:val="93"/>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Class A Share</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80"/>
              <w:spacing w:after="0"/>
              <w:rPr>
                <w:sz w:val="20"/>
                <w:szCs w:val="20"/>
                <w:color w:val="auto"/>
              </w:rPr>
            </w:pPr>
            <w:r>
              <w:rPr>
                <w:rFonts w:ascii="Arial" w:cs="Arial" w:eastAsia="Arial" w:hAnsi="Arial"/>
                <w:sz w:val="18"/>
                <w:szCs w:val="18"/>
                <w:color w:val="auto"/>
              </w:rPr>
              <w:t>Net income/(loss) attributable to PAGP</w:t>
            </w:r>
          </w:p>
        </w:tc>
        <w:tc>
          <w:tcPr>
            <w:tcW w:w="840" w:type="dxa"/>
            <w:vAlign w:val="bottom"/>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weighted average Class A shares outstanding</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 net income/(loss) per Class A share</w:t>
            </w: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80"/>
              <w:spacing w:after="0"/>
              <w:rPr>
                <w:sz w:val="20"/>
                <w:szCs w:val="20"/>
                <w:color w:val="auto"/>
              </w:rPr>
            </w:pPr>
            <w:r>
              <w:rPr>
                <w:rFonts w:ascii="Arial" w:cs="Arial" w:eastAsia="Arial" w:hAnsi="Arial"/>
                <w:sz w:val="18"/>
                <w:szCs w:val="18"/>
                <w:color w:val="auto"/>
              </w:rPr>
              <w:t>Net income/(loss) attributable to PAGP</w:t>
            </w:r>
          </w:p>
        </w:tc>
        <w:tc>
          <w:tcPr>
            <w:tcW w:w="840" w:type="dxa"/>
            <w:vAlign w:val="bottom"/>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76"/>
        </w:trPr>
        <w:tc>
          <w:tcPr>
            <w:tcW w:w="58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Incremental net income attributable to PAGP resulting from assumed</w:t>
            </w:r>
          </w:p>
        </w:tc>
        <w:tc>
          <w:tcPr>
            <w:tcW w:w="84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 of AAP Management Units</w:t>
            </w:r>
          </w:p>
        </w:tc>
        <w:tc>
          <w:tcPr>
            <w:tcW w:w="84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80"/>
              <w:spacing w:after="0" w:line="156" w:lineRule="exact"/>
              <w:rPr>
                <w:sz w:val="20"/>
                <w:szCs w:val="20"/>
                <w:color w:val="auto"/>
              </w:rPr>
            </w:pPr>
            <w:r>
              <w:rPr>
                <w:rFonts w:ascii="Arial" w:cs="Arial" w:eastAsia="Arial" w:hAnsi="Arial"/>
                <w:sz w:val="18"/>
                <w:szCs w:val="18"/>
                <w:color w:val="auto"/>
                <w:w w:val="92"/>
              </w:rPr>
              <w:t>Net income/(loss) attributable to PAGP including incremental net income from</w:t>
            </w:r>
          </w:p>
        </w:tc>
        <w:tc>
          <w:tcPr>
            <w:tcW w:w="840" w:type="dxa"/>
            <w:vAlign w:val="bottom"/>
            <w:tcBorders>
              <w:top w:val="single" w:sz="8" w:color="auto"/>
            </w:tcBorders>
            <w:vMerge w:val="restart"/>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3"/>
                <w:szCs w:val="13"/>
                <w:color w:val="auto"/>
              </w:rPr>
            </w:pPr>
          </w:p>
        </w:tc>
        <w:tc>
          <w:tcPr>
            <w:tcW w:w="820" w:type="dxa"/>
            <w:vAlign w:val="bottom"/>
            <w:tcBorders>
              <w:top w:val="single" w:sz="8" w:color="auto"/>
            </w:tcBorders>
            <w:vMerge w:val="restart"/>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3"/>
                <w:szCs w:val="13"/>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8"/>
        </w:trPr>
        <w:tc>
          <w:tcPr>
            <w:tcW w:w="5840" w:type="dxa"/>
            <w:vAlign w:val="bottom"/>
          </w:tcPr>
          <w:p>
            <w:pPr>
              <w:ind w:left="80"/>
              <w:spacing w:after="0" w:line="202" w:lineRule="exact"/>
              <w:rPr>
                <w:sz w:val="20"/>
                <w:szCs w:val="20"/>
                <w:color w:val="auto"/>
              </w:rPr>
            </w:pPr>
            <w:r>
              <w:rPr>
                <w:rFonts w:ascii="Arial" w:cs="Arial" w:eastAsia="Arial" w:hAnsi="Arial"/>
                <w:sz w:val="18"/>
                <w:szCs w:val="18"/>
                <w:color w:val="auto"/>
              </w:rPr>
              <w:t>assumed exchange of AAP Management Units</w:t>
            </w:r>
          </w:p>
        </w:tc>
        <w:tc>
          <w:tcPr>
            <w:tcW w:w="8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80"/>
              <w:spacing w:after="0"/>
              <w:rPr>
                <w:sz w:val="20"/>
                <w:szCs w:val="20"/>
                <w:color w:val="auto"/>
              </w:rPr>
            </w:pPr>
            <w:r>
              <w:rPr>
                <w:rFonts w:ascii="Arial" w:cs="Arial" w:eastAsia="Arial" w:hAnsi="Arial"/>
                <w:sz w:val="18"/>
                <w:szCs w:val="18"/>
                <w:color w:val="auto"/>
              </w:rPr>
              <w:t>Basic weighted average Class A shares outstanding</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Dilutive shares resulting from assumed exchange of AAP Management Units</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840" w:type="dxa"/>
            <w:vAlign w:val="bottom"/>
          </w:tcPr>
          <w:p>
            <w:pPr>
              <w:ind w:left="80"/>
              <w:spacing w:after="0"/>
              <w:rPr>
                <w:sz w:val="20"/>
                <w:szCs w:val="20"/>
                <w:color w:val="auto"/>
              </w:rPr>
            </w:pPr>
            <w:r>
              <w:rPr>
                <w:rFonts w:ascii="Arial" w:cs="Arial" w:eastAsia="Arial" w:hAnsi="Arial"/>
                <w:sz w:val="18"/>
                <w:szCs w:val="18"/>
                <w:color w:val="auto"/>
              </w:rPr>
              <w:t>Diluted weighted average Class A shares outstanding</w:t>
            </w:r>
          </w:p>
        </w:tc>
        <w:tc>
          <w:tcPr>
            <w:tcW w:w="8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Diluted net income/(loss) per Class A share </w:t>
            </w:r>
            <w:r>
              <w:rPr>
                <w:rFonts w:ascii="Arial" w:cs="Arial" w:eastAsia="Arial" w:hAnsi="Arial"/>
                <w:sz w:val="23"/>
                <w:szCs w:val="23"/>
                <w:color w:val="auto"/>
                <w:vertAlign w:val="superscript"/>
              </w:rPr>
              <w:t>(1)</w:t>
            </w: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0.09</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40" w:right="160" w:hanging="332"/>
        <w:spacing w:after="0" w:line="246" w:lineRule="auto"/>
        <w:tabs>
          <w:tab w:leader="none" w:pos="334"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2020 and 2019, the possible exchange of any AAP units would not have had a dilutive effect on basic net income/(loss) per Class A share. For the three months ended September 30, 2020 and 2019 and the nine months ended September 30, 2020, the possible exchange of AAP Management units would not have had a dilutive effect on basic net income/(loss) per Class A share.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 Lamoreaux</w:t>
      </w:r>
    </w:p>
    <w:p>
      <w:pPr>
        <w:spacing w:after="0" w:line="23" w:lineRule="exact"/>
        <w:rPr>
          <w:sz w:val="20"/>
          <w:szCs w:val="20"/>
          <w:color w:val="auto"/>
        </w:rPr>
      </w:pPr>
    </w:p>
    <w:p>
      <w:pPr>
        <w:ind w:left="20" w:right="5480"/>
        <w:spacing w:after="0" w:line="292" w:lineRule="auto"/>
        <w:rPr>
          <w:sz w:val="20"/>
          <w:szCs w:val="20"/>
          <w:color w:val="auto"/>
        </w:rPr>
      </w:pPr>
      <w:r>
        <w:rPr>
          <w:rFonts w:ascii="Arial" w:cs="Arial" w:eastAsia="Arial" w:hAnsi="Arial"/>
          <w:sz w:val="18"/>
          <w:szCs w:val="18"/>
          <w:color w:val="auto"/>
        </w:rPr>
        <w:t>Vice President, Investor Relations, Communications and Government Relations (866) 809-1291</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Brett Magill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497205</wp:posOffset>
            </wp:positionV>
            <wp:extent cx="5846445" cy="7543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64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40" w:right="260"/>
        <w:spacing w:after="0" w:line="272" w:lineRule="auto"/>
        <w:rPr>
          <w:sz w:val="20"/>
          <w:szCs w:val="20"/>
          <w:color w:val="auto"/>
        </w:rPr>
      </w:pPr>
      <w:r>
        <w:rPr>
          <w:rFonts w:ascii="Arial" w:cs="Arial" w:eastAsia="Arial" w:hAnsi="Arial"/>
          <w:sz w:val="29"/>
          <w:szCs w:val="29"/>
          <w:b w:val="1"/>
          <w:bCs w:val="1"/>
          <w:color w:val="auto"/>
        </w:rPr>
        <w:t>Plains All American Pipeline and Plains GP Holdings Announce $500 Million Common Equity Repurchase Program</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(Houston — November 2, 2020) Plains All American Pipeline, L.P. (NYSE: PAA) and Plains GP Holdings, L.P. (NYSE: PAGP) today announced that the board of directors of PAA GP Holdings LLC has approved a $500 million common equity repurchase program (the “Program”) to be utilized as an additional method of returning capital to investors.</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“We are committed to managing our business and executing our financial strategy in a disciplined manner for all of our investors. This includes maximizing Free Cash Flow, minimizing capital investment and optimizing capital allocation. Our current equity valuation does not reflect the strength of our asset base or the long-term durability of our business, and we have reached an inflection point where we expect to generate meaningful levels of Free Cash Flow after distributions. Given the combination of these factors, this is an appropriate time to institute a repurchase program, and we intend to manage the program in a prudent and balanced manner consistent with our priority of continuing to reduce leverage over time,” stated Willie Chiang, Chairman and CEO of Plains All American. “Accordingly, we anticipate funding potential repurchase activity with a portion of our Free Cash Flow after distributions, provided that we are comfortable we remain on track to achieve our targeted long-term leverage ratio. In addition to reducing debt, we believe it is appropriate to allocate a portion of our Free Cash Flow after distributions to invest in our equity.”</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Program authorizes the repurchase from time to time of up to $500 million of PAA common units and/or PAGP Class A shares via open market purchases or negotiated transactions conducted in accordance with applicable regulatory requirements, and which may be made pursuant to a repurchase plan that complies with Rule 10b5-1 under the Securities Exchange Act of 1934. Ultimately, the amount, timing and pace of potential repurchase activity will be determined by a number of factors, including market conditions, PAA’s financial performance and flexibility, actual and expected Free Cash Flow after distributions, the absolute and relative equity prices of PAA common units and PAGP Class A shares, and the extent to which PAA is positioned to achieve and maintain its targeted leverage ratio. No time limit has been set for completion of the Program, and the Program may be suspended or discontinued at any time. The Program does not obligate PAA or PAGP to acquire a particular number of common units or Class A shares. Any PAA common units or PAGP Class A shares that are repurchased will be canceled.</w:t>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i w:val="1"/>
          <w:iCs w:val="1"/>
          <w:color w:val="auto"/>
        </w:rPr>
        <w:t>Forward-Looking Statements</w:t>
      </w:r>
    </w:p>
    <w:p>
      <w:pPr>
        <w:spacing w:after="0" w:line="24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Certain matters discussed in this release are forward-looking statements that involve risks and uncertainties that could cause actual results or outcomes to differ materially from results or outcomes anticipated in the forward-looking statements. Risks and uncertainties impacting our ability to generate Free Cash Flow include, among other things, our ability to achieve our asset sale objectives and financial performance targets, general economic, market or business conditions and other factors and uncertainties as discussed in PAA's and PAGP’s filings with the Securities and Exchange Commission.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PAA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Contacts</w:t>
      </w:r>
      <w:r>
        <w:rPr>
          <w:rFonts w:ascii="Arial" w:cs="Arial" w:eastAsia="Arial" w:hAnsi="Arial"/>
          <w:sz w:val="22"/>
          <w:szCs w:val="22"/>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Roy Lamoreaux</w:t>
      </w:r>
    </w:p>
    <w:p>
      <w:pPr>
        <w:spacing w:after="0" w:line="21" w:lineRule="exact"/>
        <w:rPr>
          <w:sz w:val="20"/>
          <w:szCs w:val="20"/>
          <w:color w:val="auto"/>
        </w:rPr>
      </w:pPr>
    </w:p>
    <w:p>
      <w:pPr>
        <w:ind w:right="4340"/>
        <w:spacing w:after="0" w:line="246" w:lineRule="auto"/>
        <w:rPr>
          <w:sz w:val="20"/>
          <w:szCs w:val="20"/>
          <w:color w:val="auto"/>
        </w:rPr>
      </w:pPr>
      <w:r>
        <w:rPr>
          <w:rFonts w:ascii="Arial" w:cs="Arial" w:eastAsia="Arial" w:hAnsi="Arial"/>
          <w:sz w:val="22"/>
          <w:szCs w:val="22"/>
          <w:color w:val="auto"/>
        </w:rPr>
        <w:t>Vice President, Investor Relations, Communications and Government Relations (866) 809-1291</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Brett Magill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Director,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(866) 809-1291</w:t>
      </w:r>
    </w:p>
    <w:sectPr>
      <w:pgSz w:w="11900" w:h="16838" w:orient="portrait"/>
      <w:cols w:equalWidth="0" w:num="1">
        <w:col w:w="11240"/>
      </w:cols>
      <w:pgMar w:left="320" w:top="1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04"/>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lvl w:ilvl="1">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lvl w:ilvl="1">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lvl w:ilvl="1">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lvl w:ilvl="1">
      <w:lvlJc w:val="left"/>
      <w:lvlText w:val="-"/>
      <w:numFmt w:val="bullet"/>
      <w:start w:val="1"/>
    </w:lvl>
  </w:abstractNum>
  <w:abstractNum w:abstractNumId="14">
    <w:nsid w:val="721DA317"/>
    <w:multiLevelType w:val="hybridMultilevel"/>
    <w:lvl w:ilvl="0">
      <w:lvlJc w:val="left"/>
      <w:lvlText w:val="(%1)"/>
      <w:numFmt w:val="decimal"/>
      <w:start w:val="1"/>
    </w:lvl>
    <w:lvl w:ilvl="1">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lvl w:ilvl="1">
      <w:lvlJc w:val="left"/>
      <w:lvlText w:val="-"/>
      <w:numFmt w:val="bullet"/>
      <w:start w:val="1"/>
    </w:lvl>
  </w:abstractNum>
  <w:abstractNum w:abstractNumId="17">
    <w:nsid w:val="6763845E"/>
    <w:multiLevelType w:val="hybridMultilevel"/>
    <w:lvl w:ilvl="0">
      <w:lvlJc w:val="left"/>
      <w:lvlText w:val="(%1)"/>
      <w:numFmt w:val="decimal"/>
      <w:start w:val="1"/>
    </w:lvl>
    <w:lvl w:ilvl="1">
      <w:lvlJc w:val="left"/>
      <w:lvlText w:val="-"/>
      <w:numFmt w:val="bullet"/>
      <w:start w:val="1"/>
    </w:lvl>
  </w:abstractNum>
  <w:abstractNum w:abstractNumId="18">
    <w:nsid w:val="75A2A8D4"/>
    <w:multiLevelType w:val="hybridMultilevel"/>
    <w:lvl w:ilvl="0">
      <w:lvlJc w:val="left"/>
      <w:lvlText w:val="(%1)"/>
      <w:numFmt w:val="decimal"/>
      <w:start w:val="1"/>
    </w:lvl>
    <w:lvl w:ilvl="1">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lvl w:ilvl="1">
      <w:lvlJc w:val="left"/>
      <w:lvlText w:val="-"/>
      <w:numFmt w:val="bullet"/>
      <w:start w:val="1"/>
    </w:lvl>
  </w:abstractNum>
  <w:abstractNum w:abstractNumId="21">
    <w:nsid w:val="4353D0CD"/>
    <w:multiLevelType w:val="hybridMultilevel"/>
    <w:lvl w:ilvl="0">
      <w:lvlJc w:val="left"/>
      <w:lvlText w:val="(%1)"/>
      <w:numFmt w:val="decimal"/>
      <w:start w:val="3"/>
    </w:lvl>
  </w:abstractNum>
  <w:abstractNum w:abstractNumId="22">
    <w:nsid w:val="B03E0C6"/>
    <w:multiLevelType w:val="hybridMultilevel"/>
    <w:lvl w:ilvl="0">
      <w:lvlJc w:val="left"/>
      <w:lvlText w:val="(%1)"/>
      <w:numFmt w:val="decimal"/>
      <w:start w:val="3"/>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2020-11-02T15:34:39Z</dcterms:created>
  <dcterms:modified xsi:type="dcterms:W3CDTF">2020-11-02T15:34:39Z</dcterms:modified>
</cp:coreProperties>
</file>