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3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1005840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929005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6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1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 </w:t>
      </w:r>
      <w:r>
        <w:rPr>
          <w:rFonts w:ascii="Times New Roman" w:cs="Times New Roman" w:eastAsia="Times New Roman" w:hAnsi="Times New Roman"/>
          <w:sz w:val="18"/>
          <w:szCs w:val="18"/>
          <w:b w:val="1"/>
          <w:bCs w:val="1"/>
          <w:color w:val="auto"/>
        </w:rPr>
        <w:t>November 2, 2020</w:t>
      </w:r>
    </w:p>
    <w:p>
      <w:pPr>
        <w:spacing w:after="0" w:line="24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Plains All American Pipeline, L.P.</w:t>
      </w:r>
    </w:p>
    <w:p>
      <w:pPr>
        <w:spacing w:after="0" w:line="4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20"/>
          </w:cols>
          <w:pgMar w:left="320" w:top="1440" w:right="359" w:bottom="1440" w:gutter="0" w:footer="0" w:header="0"/>
        </w:sectPr>
      </w:pPr>
    </w:p>
    <w:p>
      <w:pPr>
        <w:spacing w:after="0" w:line="269" w:lineRule="exact"/>
        <w:rPr>
          <w:sz w:val="24"/>
          <w:szCs w:val="24"/>
          <w:color w:val="auto"/>
        </w:rPr>
      </w:pPr>
    </w:p>
    <w:p>
      <w:pPr>
        <w:jc w:val="center"/>
        <w:ind w:left="3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1-14569</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76-0582150</w:t>
      </w:r>
    </w:p>
    <w:p>
      <w:pPr>
        <w:spacing w:after="0" w:line="31"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14" w:lineRule="exact"/>
        <w:rPr>
          <w:sz w:val="24"/>
          <w:szCs w:val="24"/>
          <w:color w:val="auto"/>
        </w:rPr>
      </w:pPr>
    </w:p>
    <w:p>
      <w:pPr>
        <w:sectPr>
          <w:pgSz w:w="11900" w:h="16838" w:orient="portrait"/>
          <w:cols w:equalWidth="0" w:num="3">
            <w:col w:w="3900" w:space="720"/>
            <w:col w:w="2520" w:space="720"/>
            <w:col w:w="3360"/>
          </w:cols>
          <w:pgMar w:left="320" w:top="1440" w:right="359" w:bottom="1440" w:gutter="0" w:footer="0" w:header="0"/>
          <w:type w:val="continuous"/>
        </w:sectPr>
      </w:pPr>
    </w:p>
    <w:p>
      <w:pPr>
        <w:ind w:left="1620"/>
        <w:spacing w:after="0"/>
        <w:rPr>
          <w:sz w:val="20"/>
          <w:szCs w:val="20"/>
          <w:color w:val="auto"/>
        </w:rPr>
      </w:pPr>
      <w:r>
        <w:rPr>
          <w:rFonts w:ascii="Times New Roman" w:cs="Times New Roman" w:eastAsia="Times New Roman" w:hAnsi="Times New Roman"/>
          <w:sz w:val="17"/>
          <w:szCs w:val="17"/>
          <w:color w:val="auto"/>
        </w:rPr>
        <w:t>incorporation)</w:t>
      </w:r>
    </w:p>
    <w:p>
      <w:pPr>
        <w:sectPr>
          <w:pgSz w:w="11900" w:h="16838" w:orient="portrait"/>
          <w:cols w:equalWidth="0" w:num="1">
            <w:col w:w="11220"/>
          </w:cols>
          <w:pgMar w:left="320" w:top="1440" w:right="359" w:bottom="1440" w:gutter="0" w:footer="0" w:header="0"/>
          <w:type w:val="continuous"/>
        </w:sectPr>
      </w:pPr>
    </w:p>
    <w:p>
      <w:pPr>
        <w:spacing w:after="0" w:line="329"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333 Clay Street, Suite 1600, Houston, Texas 77002</w:t>
      </w:r>
    </w:p>
    <w:p>
      <w:pPr>
        <w:spacing w:after="0" w:line="3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713-646-4100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52"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0" w:lineRule="exact"/>
        <w:rPr>
          <w:sz w:val="24"/>
          <w:szCs w:val="24"/>
          <w:color w:val="auto"/>
        </w:rPr>
      </w:pPr>
    </w:p>
    <w:p>
      <w:pPr>
        <w:spacing w:after="0" w:line="207" w:lineRule="exact"/>
        <w:tabs>
          <w:tab w:leader="none" w:pos="3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Written communications pursuant to Rule 425 under the Securities Act (17 CFR 230.425)</w:t>
      </w:r>
    </w:p>
    <w:p>
      <w:pPr>
        <w:spacing w:after="0" w:line="252" w:lineRule="exact"/>
        <w:rPr>
          <w:sz w:val="24"/>
          <w:szCs w:val="24"/>
          <w:color w:val="auto"/>
        </w:rPr>
      </w:pPr>
    </w:p>
    <w:p>
      <w:pPr>
        <w:spacing w:after="0" w:line="207" w:lineRule="exact"/>
        <w:tabs>
          <w:tab w:leader="none" w:pos="3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Soliciting material pursuant to Rule 14a-12 under the Exchange Act (17 CFR 240.14a-12)</w:t>
      </w:r>
    </w:p>
    <w:p>
      <w:pPr>
        <w:spacing w:after="0" w:line="252" w:lineRule="exact"/>
        <w:rPr>
          <w:sz w:val="24"/>
          <w:szCs w:val="24"/>
          <w:color w:val="auto"/>
        </w:rPr>
      </w:pPr>
    </w:p>
    <w:p>
      <w:pPr>
        <w:spacing w:after="0" w:line="207" w:lineRule="exact"/>
        <w:tabs>
          <w:tab w:leader="none" w:pos="3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252" w:lineRule="exact"/>
        <w:rPr>
          <w:sz w:val="24"/>
          <w:szCs w:val="24"/>
          <w:color w:val="auto"/>
        </w:rPr>
      </w:pPr>
    </w:p>
    <w:p>
      <w:pPr>
        <w:spacing w:after="0" w:line="207" w:lineRule="exact"/>
        <w:tabs>
          <w:tab w:leader="none" w:pos="3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2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89" w:lineRule="exact"/>
        <w:rPr>
          <w:sz w:val="24"/>
          <w:szCs w:val="24"/>
          <w:color w:val="auto"/>
        </w:rPr>
      </w:pPr>
    </w:p>
    <w:tbl>
      <w:tblPr>
        <w:tblLayout w:type="fixed"/>
        <w:tblInd w:w="40" w:type="dxa"/>
        <w:tblCellMar>
          <w:top w:w="0" w:type="dxa"/>
          <w:left w:w="0" w:type="dxa"/>
          <w:bottom w:w="0" w:type="dxa"/>
          <w:right w:w="0" w:type="dxa"/>
        </w:tblCellMar>
      </w:tblPr>
      <w:tr>
        <w:trPr>
          <w:trHeight w:val="238"/>
        </w:trPr>
        <w:tc>
          <w:tcPr>
            <w:tcW w:w="3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5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Units</w:t>
            </w:r>
          </w:p>
        </w:tc>
        <w:tc>
          <w:tcPr>
            <w:tcW w:w="120" w:type="dxa"/>
            <w:vAlign w:val="bottom"/>
          </w:tcPr>
          <w:p>
            <w:pPr>
              <w:spacing w:after="0"/>
              <w:rPr>
                <w:sz w:val="19"/>
                <w:szCs w:val="19"/>
                <w:color w:val="auto"/>
              </w:rPr>
            </w:pPr>
          </w:p>
        </w:tc>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PAA</w:t>
            </w:r>
          </w:p>
        </w:tc>
        <w:tc>
          <w:tcPr>
            <w:tcW w:w="120" w:type="dxa"/>
            <w:vAlign w:val="bottom"/>
          </w:tcPr>
          <w:p>
            <w:pPr>
              <w:spacing w:after="0"/>
              <w:rPr>
                <w:sz w:val="19"/>
                <w:szCs w:val="19"/>
                <w:color w:val="auto"/>
              </w:rPr>
            </w:pPr>
          </w:p>
        </w:tc>
        <w:tc>
          <w:tcPr>
            <w:tcW w:w="4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328"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85" w:lineRule="exact"/>
        <w:rPr>
          <w:sz w:val="24"/>
          <w:szCs w:val="24"/>
          <w:color w:val="auto"/>
        </w:rPr>
      </w:pPr>
    </w:p>
    <w:p>
      <w:pPr>
        <w:ind w:right="220"/>
        <w:spacing w:after="0" w:line="22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1016635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219075</wp:posOffset>
            </wp:positionV>
            <wp:extent cx="70891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171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159385</wp:posOffset>
            </wp:positionV>
            <wp:extent cx="70891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and Item 7.01. Results of Operations and Financial Condition; Regulation FD Disclosure.</w:t>
      </w:r>
    </w:p>
    <w:p>
      <w:pPr>
        <w:spacing w:after="0" w:line="256" w:lineRule="exact"/>
        <w:rPr>
          <w:sz w:val="20"/>
          <w:szCs w:val="20"/>
          <w:color w:val="auto"/>
        </w:rPr>
      </w:pPr>
    </w:p>
    <w:p>
      <w:pPr>
        <w:ind w:right="20" w:firstLine="180"/>
        <w:spacing w:after="0" w:line="258" w:lineRule="auto"/>
        <w:rPr>
          <w:sz w:val="20"/>
          <w:szCs w:val="20"/>
          <w:color w:val="auto"/>
        </w:rPr>
      </w:pPr>
      <w:r>
        <w:rPr>
          <w:rFonts w:ascii="Times New Roman" w:cs="Times New Roman" w:eastAsia="Times New Roman" w:hAnsi="Times New Roman"/>
          <w:sz w:val="18"/>
          <w:szCs w:val="18"/>
          <w:color w:val="auto"/>
        </w:rPr>
        <w:t>On November 2, 2020, the Registrant issued a press release reporting its third-quarter 2020 results. A copy of the press release is furnished as Exhibit 99.1 hereto. In accordance with General Instruction B.2 of Form 8-K, the information presented herein under Item 2.02 and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56" w:lineRule="exact"/>
        <w:rPr>
          <w:sz w:val="20"/>
          <w:szCs w:val="20"/>
          <w:color w:val="auto"/>
        </w:rPr>
      </w:pPr>
    </w:p>
    <w:p>
      <w:pPr>
        <w:ind w:firstLine="180"/>
        <w:spacing w:after="0" w:line="266" w:lineRule="auto"/>
        <w:rPr>
          <w:sz w:val="20"/>
          <w:szCs w:val="20"/>
          <w:color w:val="auto"/>
        </w:rPr>
      </w:pPr>
      <w:r>
        <w:rPr>
          <w:rFonts w:ascii="Times New Roman" w:cs="Times New Roman" w:eastAsia="Times New Roman" w:hAnsi="Times New Roman"/>
          <w:sz w:val="18"/>
          <w:szCs w:val="18"/>
          <w:color w:val="auto"/>
        </w:rPr>
        <w:t>On November 2, 2020, the Registrant and Plains GP Holdings, L.P. issued a press release announcing that the board of directors of PAA GP Holdings LLC approved a $500 million common equity repurchase program. A copy of the press release is filed as Exhibit 99.2 hereto and is incorporated herein by reference.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 Exhibits.</w:t>
      </w:r>
    </w:p>
    <w:p>
      <w:pPr>
        <w:spacing w:after="0" w:line="275" w:lineRule="exact"/>
        <w:rPr>
          <w:sz w:val="20"/>
          <w:szCs w:val="20"/>
          <w:color w:val="auto"/>
        </w:rPr>
      </w:pPr>
    </w:p>
    <w:tbl>
      <w:tblPr>
        <w:tblLayout w:type="fixed"/>
        <w:tblInd w:w="260" w:type="dxa"/>
        <w:tblCellMar>
          <w:top w:w="0" w:type="dxa"/>
          <w:left w:w="0" w:type="dxa"/>
          <w:bottom w:w="0" w:type="dxa"/>
          <w:right w:w="0" w:type="dxa"/>
        </w:tblCellMar>
      </w:tblPr>
      <w:tr>
        <w:trPr>
          <w:trHeight w:val="184"/>
        </w:trPr>
        <w:tc>
          <w:tcPr>
            <w:tcW w:w="3080" w:type="dxa"/>
            <w:vAlign w:val="bottom"/>
          </w:tcPr>
          <w:p>
            <w:pPr>
              <w:jc w:val="center"/>
              <w:ind w:right="2399"/>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3280" w:type="dxa"/>
            <w:vAlign w:val="bottom"/>
            <w:vMerge w:val="restart"/>
          </w:tcPr>
          <w:p>
            <w:pPr>
              <w:ind w:left="2480"/>
              <w:spacing w:after="0"/>
              <w:rPr>
                <w:sz w:val="20"/>
                <w:szCs w:val="20"/>
                <w:color w:val="auto"/>
              </w:rPr>
            </w:pPr>
            <w:r>
              <w:rPr>
                <w:rFonts w:ascii="Times New Roman" w:cs="Times New Roman" w:eastAsia="Times New Roman" w:hAnsi="Times New Roman"/>
                <w:sz w:val="16"/>
                <w:szCs w:val="16"/>
                <w:b w:val="1"/>
                <w:bCs w:val="1"/>
                <w:color w:val="auto"/>
                <w:w w:val="98"/>
              </w:rPr>
              <w:t>Description</w:t>
            </w:r>
          </w:p>
        </w:tc>
        <w:tc>
          <w:tcPr>
            <w:tcW w:w="0" w:type="dxa"/>
            <w:vAlign w:val="bottom"/>
          </w:tcPr>
          <w:p>
            <w:pPr>
              <w:spacing w:after="0"/>
              <w:rPr>
                <w:sz w:val="1"/>
                <w:szCs w:val="1"/>
                <w:color w:val="auto"/>
              </w:rPr>
            </w:pPr>
          </w:p>
        </w:tc>
      </w:tr>
      <w:tr>
        <w:trPr>
          <w:trHeight w:val="212"/>
        </w:trPr>
        <w:tc>
          <w:tcPr>
            <w:tcW w:w="3080" w:type="dxa"/>
            <w:vAlign w:val="bottom"/>
          </w:tcPr>
          <w:p>
            <w:pPr>
              <w:jc w:val="center"/>
              <w:ind w:right="2419"/>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3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400"/>
        <w:spacing w:after="0"/>
        <w:tabs>
          <w:tab w:leader="none" w:pos="12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99.1</w:t>
      </w:r>
      <w:r>
        <w:rPr>
          <w:sz w:val="20"/>
          <w:szCs w:val="20"/>
          <w:color w:val="auto"/>
        </w:rPr>
        <w:tab/>
      </w:r>
      <w:hyperlink w:anchor="page4">
        <w:r>
          <w:rPr>
            <w:rFonts w:ascii="Times New Roman" w:cs="Times New Roman" w:eastAsia="Times New Roman" w:hAnsi="Times New Roman"/>
            <w:sz w:val="17"/>
            <w:szCs w:val="17"/>
            <w:u w:val="single" w:color="auto"/>
            <w:color w:val="0000FF"/>
          </w:rPr>
          <w:t>Press Release dated November 2, 2020</w:t>
        </w:r>
      </w:hyperlink>
    </w:p>
    <w:p>
      <w:pPr>
        <w:spacing w:after="0" w:line="27" w:lineRule="exact"/>
        <w:rPr>
          <w:sz w:val="20"/>
          <w:szCs w:val="20"/>
          <w:color w:val="auto"/>
        </w:rPr>
      </w:pPr>
    </w:p>
    <w:p>
      <w:pPr>
        <w:ind w:left="400"/>
        <w:spacing w:after="0"/>
        <w:tabs>
          <w:tab w:leader="none" w:pos="12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99.2</w:t>
      </w:r>
      <w:r>
        <w:rPr>
          <w:sz w:val="20"/>
          <w:szCs w:val="20"/>
          <w:color w:val="auto"/>
        </w:rPr>
        <w:tab/>
      </w:r>
      <w:hyperlink w:anchor="page32">
        <w:r>
          <w:rPr>
            <w:rFonts w:ascii="Times New Roman" w:cs="Times New Roman" w:eastAsia="Times New Roman" w:hAnsi="Times New Roman"/>
            <w:sz w:val="17"/>
            <w:szCs w:val="17"/>
            <w:u w:val="single" w:color="auto"/>
            <w:color w:val="0000FF"/>
          </w:rPr>
          <w:t>Press Release dated November 2, 2020</w:t>
        </w:r>
      </w:hyperlink>
    </w:p>
    <w:p>
      <w:pPr>
        <w:spacing w:after="0" w:line="23" w:lineRule="exact"/>
        <w:rPr>
          <w:sz w:val="20"/>
          <w:szCs w:val="20"/>
          <w:color w:val="auto"/>
        </w:rPr>
      </w:pPr>
    </w:p>
    <w:p>
      <w:pPr>
        <w:ind w:left="1220" w:hanging="800"/>
        <w:spacing w:after="0"/>
        <w:tabs>
          <w:tab w:leader="none" w:pos="12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8"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887" w:right="4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94" w:lineRule="exact"/>
        <w:rPr>
          <w:sz w:val="20"/>
          <w:szCs w:val="20"/>
          <w:color w:val="auto"/>
        </w:rPr>
      </w:pPr>
    </w:p>
    <w:p>
      <w:pPr>
        <w:ind w:right="700" w:firstLine="1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8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p>
        </w:tc>
        <w:tc>
          <w:tcPr>
            <w:tcW w:w="8040" w:type="dxa"/>
            <w:vAlign w:val="bottom"/>
            <w:gridSpan w:val="3"/>
          </w:tcPr>
          <w:p>
            <w:pPr>
              <w:ind w:left="1360"/>
              <w:spacing w:after="0"/>
              <w:rPr>
                <w:sz w:val="20"/>
                <w:szCs w:val="20"/>
                <w:color w:val="auto"/>
              </w:rPr>
            </w:pPr>
            <w:r>
              <w:rPr>
                <w:rFonts w:ascii="Times New Roman" w:cs="Times New Roman" w:eastAsia="Times New Roman" w:hAnsi="Times New Roman"/>
                <w:sz w:val="18"/>
                <w:szCs w:val="18"/>
                <w:color w:val="auto"/>
              </w:rPr>
              <w:t>PLAINS ALL AMERICAN PIPELINE, L.P.</w:t>
            </w:r>
          </w:p>
        </w:tc>
      </w:tr>
      <w:tr>
        <w:trPr>
          <w:trHeight w:val="500"/>
        </w:trPr>
        <w:tc>
          <w:tcPr>
            <w:tcW w:w="3140" w:type="dxa"/>
            <w:vAlign w:val="bottom"/>
          </w:tcPr>
          <w:p>
            <w:pPr>
              <w:spacing w:after="0"/>
              <w:rPr>
                <w:sz w:val="24"/>
                <w:szCs w:val="24"/>
                <w:color w:val="auto"/>
              </w:rPr>
            </w:pPr>
          </w:p>
        </w:tc>
        <w:tc>
          <w:tcPr>
            <w:tcW w:w="8040" w:type="dxa"/>
            <w:vAlign w:val="bottom"/>
            <w:gridSpan w:val="3"/>
          </w:tcPr>
          <w:p>
            <w:pPr>
              <w:ind w:left="1360"/>
              <w:spacing w:after="0"/>
              <w:rPr>
                <w:sz w:val="20"/>
                <w:szCs w:val="20"/>
                <w:color w:val="auto"/>
              </w:rPr>
            </w:pPr>
            <w:r>
              <w:rPr>
                <w:rFonts w:ascii="Times New Roman" w:cs="Times New Roman" w:eastAsia="Times New Roman" w:hAnsi="Times New Roman"/>
                <w:sz w:val="18"/>
                <w:szCs w:val="18"/>
                <w:color w:val="auto"/>
              </w:rPr>
              <w:t>By:  PAA GP LLC, its general partner</w:t>
            </w:r>
          </w:p>
        </w:tc>
      </w:tr>
      <w:tr>
        <w:trPr>
          <w:trHeight w:val="499"/>
        </w:trPr>
        <w:tc>
          <w:tcPr>
            <w:tcW w:w="3140" w:type="dxa"/>
            <w:vAlign w:val="bottom"/>
          </w:tcPr>
          <w:p>
            <w:pPr>
              <w:spacing w:after="0"/>
              <w:rPr>
                <w:sz w:val="24"/>
                <w:szCs w:val="24"/>
                <w:color w:val="auto"/>
              </w:rPr>
            </w:pPr>
          </w:p>
        </w:tc>
        <w:tc>
          <w:tcPr>
            <w:tcW w:w="8040" w:type="dxa"/>
            <w:vAlign w:val="bottom"/>
            <w:gridSpan w:val="3"/>
          </w:tcPr>
          <w:p>
            <w:pPr>
              <w:ind w:left="1360"/>
              <w:spacing w:after="0"/>
              <w:rPr>
                <w:sz w:val="20"/>
                <w:szCs w:val="20"/>
                <w:color w:val="auto"/>
              </w:rPr>
            </w:pPr>
            <w:r>
              <w:rPr>
                <w:rFonts w:ascii="Times New Roman" w:cs="Times New Roman" w:eastAsia="Times New Roman" w:hAnsi="Times New Roman"/>
                <w:sz w:val="18"/>
                <w:szCs w:val="18"/>
                <w:color w:val="auto"/>
              </w:rPr>
              <w:t>By:  Plains AAP, L.P., its sole member</w:t>
            </w:r>
          </w:p>
        </w:tc>
      </w:tr>
      <w:tr>
        <w:trPr>
          <w:trHeight w:val="499"/>
        </w:trPr>
        <w:tc>
          <w:tcPr>
            <w:tcW w:w="3140" w:type="dxa"/>
            <w:vAlign w:val="bottom"/>
          </w:tcPr>
          <w:p>
            <w:pPr>
              <w:spacing w:after="0"/>
              <w:rPr>
                <w:sz w:val="24"/>
                <w:szCs w:val="24"/>
                <w:color w:val="auto"/>
              </w:rPr>
            </w:pPr>
          </w:p>
        </w:tc>
        <w:tc>
          <w:tcPr>
            <w:tcW w:w="8040" w:type="dxa"/>
            <w:vAlign w:val="bottom"/>
            <w:gridSpan w:val="3"/>
          </w:tcPr>
          <w:p>
            <w:pPr>
              <w:ind w:left="1360"/>
              <w:spacing w:after="0"/>
              <w:rPr>
                <w:sz w:val="20"/>
                <w:szCs w:val="20"/>
                <w:color w:val="auto"/>
              </w:rPr>
            </w:pPr>
            <w:r>
              <w:rPr>
                <w:rFonts w:ascii="Times New Roman" w:cs="Times New Roman" w:eastAsia="Times New Roman" w:hAnsi="Times New Roman"/>
                <w:sz w:val="18"/>
                <w:szCs w:val="18"/>
                <w:color w:val="auto"/>
              </w:rPr>
              <w:t>By:  Plains All American GP LLC, its general partner</w:t>
            </w:r>
          </w:p>
        </w:tc>
      </w:tr>
      <w:tr>
        <w:trPr>
          <w:trHeight w:val="499"/>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 2020</w:t>
            </w:r>
          </w:p>
        </w:tc>
        <w:tc>
          <w:tcPr>
            <w:tcW w:w="8040" w:type="dxa"/>
            <w:vAlign w:val="bottom"/>
            <w:gridSpan w:val="3"/>
          </w:tcPr>
          <w:p>
            <w:pPr>
              <w:ind w:left="1360"/>
              <w:spacing w:after="0"/>
              <w:rPr>
                <w:sz w:val="20"/>
                <w:szCs w:val="20"/>
                <w:color w:val="auto"/>
              </w:rPr>
            </w:pPr>
            <w:r>
              <w:rPr>
                <w:rFonts w:ascii="Times New Roman" w:cs="Times New Roman" w:eastAsia="Times New Roman" w:hAnsi="Times New Roman"/>
                <w:sz w:val="18"/>
                <w:szCs w:val="18"/>
                <w:color w:val="auto"/>
              </w:rPr>
              <w:t>By:  /s/ Sharon Spurlin</w:t>
            </w:r>
          </w:p>
        </w:tc>
      </w:tr>
      <w:tr>
        <w:trPr>
          <w:trHeight w:val="216"/>
        </w:trPr>
        <w:tc>
          <w:tcPr>
            <w:tcW w:w="3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56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Sharon Spurlin</w:t>
            </w:r>
          </w:p>
        </w:tc>
      </w:tr>
      <w:tr>
        <w:trPr>
          <w:trHeight w:val="236"/>
        </w:trPr>
        <w:tc>
          <w:tcPr>
            <w:tcW w:w="3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56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Senior Vice President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20" w:top="981"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448310</wp:posOffset>
            </wp:positionV>
            <wp:extent cx="5846445" cy="7543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4644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 IMMEDIATE RELEASE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and Plains GP Holdings Report Third-Quarter 2020 Results</w:t>
      </w:r>
    </w:p>
    <w:p>
      <w:pPr>
        <w:spacing w:after="0" w:line="256" w:lineRule="exact"/>
        <w:rPr>
          <w:sz w:val="20"/>
          <w:szCs w:val="20"/>
          <w:color w:val="auto"/>
        </w:rPr>
      </w:pPr>
    </w:p>
    <w:p>
      <w:pPr>
        <w:ind w:right="140" w:firstLine="180"/>
        <w:spacing w:after="0" w:line="282" w:lineRule="auto"/>
        <w:rPr>
          <w:sz w:val="20"/>
          <w:szCs w:val="20"/>
          <w:color w:val="auto"/>
        </w:rPr>
      </w:pPr>
      <w:r>
        <w:rPr>
          <w:rFonts w:ascii="Times New Roman" w:cs="Times New Roman" w:eastAsia="Times New Roman" w:hAnsi="Times New Roman"/>
          <w:sz w:val="18"/>
          <w:szCs w:val="18"/>
          <w:color w:val="auto"/>
        </w:rPr>
        <w:t>(Houston — November 2, 2020) Plains All American Pipeline, L.P. (NYSE: PAA) and Plains GP Holdings (NYSE: PAGP) today reported third-quarter 2020 results and furnished updated 2020 guidance in addition to several other significant updates, which are highlighted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Highlights</w:t>
      </w:r>
    </w:p>
    <w:p>
      <w:pPr>
        <w:spacing w:after="0" w:line="256"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net income for the quarter of $143 million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third-quarter 2020 Adjusted EBITDA of $682 million</w:t>
      </w:r>
    </w:p>
    <w:p>
      <w:pPr>
        <w:spacing w:after="0" w:line="252"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the sale of LA Basin Terminals (closed October 15, 2020) for approximately $200 million (brings year-to-date asset sales proceeds to approximately $450 million)</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full-year 2020 Adjusted EBITDA guidance to +/- $2.585 billion (increase of $85 million, or 3%)</w:t>
      </w:r>
    </w:p>
    <w:p>
      <w:pPr>
        <w:spacing w:after="0" w:line="252"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preliminary estimate for 2021 Adjusted EBITDA of +/- $2.2 billion (assumes a $50 million contribution from the Supply &amp; Logistics segment, and is net of the LA Basin Terminals sale and $600 million or more of additional asset sales targeted in 2021)</w:t>
      </w:r>
    </w:p>
    <w:p>
      <w:pPr>
        <w:spacing w:after="0" w:line="188"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preliminary estimate for 2021 Free Cash Flow after distributions of roughly $300 million, or $900 million or more when including the benefit of proceeds from additional asset sales targeted in 2021</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$500 million Common Equity Repurchase Program intended to be utilized as an additional method of returning capital to investors</w:t>
      </w:r>
    </w:p>
    <w:p>
      <w:pPr>
        <w:spacing w:after="0" w:line="25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delivered third-quarter results favorable to our expectations and raised our full-year 2020 guidance, which is now in-line with our beginning of the year pre-COVID expectations,” stated Willie Chiang, Chairman and CEO of Plains. “We have continued to execute across each of our key initiatives: operating safely and reliably, maximizing Free Cash Flow after distributions, reducing leverage, minimizing capital investment, optimizing our assets, streamlining our organization and reducing costs throughout the business.”</w:t>
      </w:r>
    </w:p>
    <w:p>
      <w:pPr>
        <w:spacing w:after="0" w:line="20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Mr. Chiang continued, “Our current equity valuation does not reflect the strength of our asset base or the long-term durability of our business, and we have reached an inflection point where we expect to generate meaningful levels of Free Cash Flow after distributions. Given the combination of these factors, today we announced a $500 million common equity repurchase program to be used as an additional method of returning capital to investors. In addition to reducing debt, we believe it is appropriate to allocate a portion of our Free Cash Flow after distributions to invest in our equity.”</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Financial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per unit data)</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8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920" w:type="dxa"/>
            <w:vAlign w:val="bottom"/>
            <w:vMerge w:val="restart"/>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2"/>
        </w:trPr>
        <w:tc>
          <w:tcPr>
            <w:tcW w:w="4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GAAP Results</w:t>
            </w: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920" w:type="dxa"/>
            <w:vAlign w:val="bottom"/>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20"/>
        </w:trPr>
        <w:tc>
          <w:tcPr>
            <w:tcW w:w="4980" w:type="dxa"/>
            <w:vAlign w:val="bottom"/>
            <w:tcBorders>
              <w:top w:val="single" w:sz="8" w:color="auto"/>
            </w:tcBorders>
          </w:tcPr>
          <w:p>
            <w:pPr>
              <w:ind w:left="20"/>
              <w:spacing w:after="0" w:line="220" w:lineRule="exact"/>
              <w:rPr>
                <w:sz w:val="20"/>
                <w:szCs w:val="20"/>
                <w:color w:val="auto"/>
              </w:rPr>
            </w:pPr>
            <w:r>
              <w:rPr>
                <w:rFonts w:ascii="Times New Roman" w:cs="Times New Roman" w:eastAsia="Times New Roman" w:hAnsi="Times New Roman"/>
                <w:sz w:val="18"/>
                <w:szCs w:val="18"/>
                <w:color w:val="auto"/>
              </w:rPr>
              <w:t xml:space="preserve">Net income/(loss) attributable to PAA </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6"/>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Diluted net income/(loss) per common unit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33"/>
        </w:trPr>
        <w:tc>
          <w:tcPr>
            <w:tcW w:w="5100" w:type="dxa"/>
            <w:vAlign w:val="bottom"/>
            <w:gridSpan w:val="2"/>
          </w:tcPr>
          <w:p>
            <w:pPr>
              <w:ind w:left="20"/>
              <w:spacing w:after="0" w:line="233" w:lineRule="exact"/>
              <w:rPr>
                <w:sz w:val="20"/>
                <w:szCs w:val="20"/>
                <w:color w:val="auto"/>
              </w:rPr>
            </w:pPr>
            <w:r>
              <w:rPr>
                <w:rFonts w:ascii="Times New Roman" w:cs="Times New Roman" w:eastAsia="Times New Roman" w:hAnsi="Times New Roman"/>
                <w:sz w:val="18"/>
                <w:szCs w:val="18"/>
                <w:color w:val="auto"/>
              </w:rPr>
              <w:t xml:space="preserve">Diluted weighted average common units outstanding </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4"/>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Distribution per common unit declared for the period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-736600</wp:posOffset>
            </wp:positionV>
            <wp:extent cx="7132320" cy="737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7372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00" w:type="dxa"/>
            <w:vAlign w:val="bottom"/>
          </w:tcPr>
          <w:p>
            <w:pPr>
              <w:spacing w:after="0"/>
              <w:rPr>
                <w:sz w:val="16"/>
                <w:szCs w:val="16"/>
                <w:color w:val="auto"/>
              </w:rPr>
            </w:pPr>
          </w:p>
        </w:tc>
        <w:tc>
          <w:tcPr>
            <w:tcW w:w="184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920" w:type="dxa"/>
            <w:vAlign w:val="bottom"/>
            <w:vMerge w:val="restart"/>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2"/>
        </w:trPr>
        <w:tc>
          <w:tcPr>
            <w:tcW w:w="200" w:type="dxa"/>
            <w:vAlign w:val="bottom"/>
          </w:tcPr>
          <w:p>
            <w:pPr>
              <w:spacing w:after="0"/>
              <w:rPr>
                <w:sz w:val="18"/>
                <w:szCs w:val="18"/>
                <w:color w:val="auto"/>
              </w:rPr>
            </w:pPr>
          </w:p>
        </w:tc>
        <w:tc>
          <w:tcPr>
            <w:tcW w:w="184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20"/>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(2,562)</w:t>
            </w:r>
          </w:p>
        </w:tc>
        <w:tc>
          <w:tcPr>
            <w:tcW w:w="1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29"/>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4"/>
        </w:trPr>
        <w:tc>
          <w:tcPr>
            <w:tcW w:w="200" w:type="dxa"/>
            <w:vAlign w:val="bottom"/>
          </w:tcPr>
          <w:p>
            <w:pPr>
              <w:jc w:val="right"/>
              <w:ind w:right="12"/>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1,256</w:t>
            </w:r>
          </w:p>
        </w:tc>
        <w:tc>
          <w:tcPr>
            <w:tcW w:w="120" w:type="dxa"/>
            <w:vAlign w:val="bottom"/>
          </w:tcPr>
          <w:p>
            <w:pPr>
              <w:spacing w:after="0"/>
              <w:rPr>
                <w:sz w:val="20"/>
                <w:szCs w:val="20"/>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1,778</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bl>
    <w:p>
      <w:pPr>
        <w:spacing w:after="0" w:line="429" w:lineRule="exact"/>
        <w:rPr>
          <w:sz w:val="20"/>
          <w:szCs w:val="20"/>
          <w:color w:val="auto"/>
        </w:rPr>
      </w:pPr>
    </w:p>
    <w:p>
      <w:pPr>
        <w:sectPr>
          <w:pgSz w:w="11900" w:h="16838" w:orient="portrait"/>
          <w:cols w:equalWidth="0" w:num="2">
            <w:col w:w="8060" w:space="220"/>
            <w:col w:w="2960"/>
          </w:cols>
          <w:pgMar w:left="320" w:top="364" w:right="339" w:bottom="1440" w:gutter="0" w:footer="0" w:header="0"/>
        </w:sectPr>
      </w:pPr>
    </w:p>
    <w:p>
      <w:pPr>
        <w:spacing w:after="0" w:line="335" w:lineRule="exact"/>
        <w:rPr>
          <w:sz w:val="20"/>
          <w:szCs w:val="20"/>
          <w:color w:val="auto"/>
        </w:rPr>
      </w:pPr>
    </w:p>
    <w:p>
      <w:pPr>
        <w:ind w:left="340" w:right="360" w:hanging="332"/>
        <w:spacing w:after="0" w:line="242" w:lineRule="auto"/>
        <w:tabs>
          <w:tab w:leader="none" w:pos="328" w:val="left"/>
        </w:tabs>
        <w:numPr>
          <w:ilvl w:val="0"/>
          <w:numId w:val="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Reported results for the nine months ended September 30, 2020 include aggregate non-cash goodwill and asset impairments and the write-down of certain of our investments in unconsolidated entities totaling $3.3 billion representing a nine-month net loss of $4.55 after tax per common unit.</w:t>
      </w:r>
    </w:p>
    <w:p>
      <w:pPr>
        <w:spacing w:after="0" w:line="87" w:lineRule="exact"/>
        <w:rPr>
          <w:rFonts w:ascii="Times New Roman" w:cs="Times New Roman" w:eastAsia="Times New Roman" w:hAnsi="Times New Roman"/>
          <w:sz w:val="22"/>
          <w:szCs w:val="22"/>
          <w:color w:val="auto"/>
          <w:vertAlign w:val="superscript"/>
        </w:rPr>
      </w:pPr>
    </w:p>
    <w:p>
      <w:pPr>
        <w:ind w:left="340" w:right="40" w:hanging="332"/>
        <w:spacing w:after="0" w:line="235" w:lineRule="auto"/>
        <w:tabs>
          <w:tab w:leader="none" w:pos="328"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the three and nine months ended September 30, 2019, includes all potentially dilutive securities (our Series A preferred units and equity-indexed compensation awards) outstanding during the period. See the “Computation of Basic and Diluted Net Income/(Loss) Per Common Unit” table attached hereto for additional information.</w:t>
      </w:r>
    </w:p>
    <w:p>
      <w:pPr>
        <w:sectPr>
          <w:pgSz w:w="11900" w:h="16838" w:orient="portrait"/>
          <w:cols w:equalWidth="0" w:num="1">
            <w:col w:w="11240"/>
          </w:cols>
          <w:pgMar w:left="320" w:top="364" w:right="339" w:bottom="1440" w:gutter="0" w:footer="0" w:header="0"/>
          <w:type w:val="continuous"/>
        </w:sect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8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920" w:type="dxa"/>
            <w:vAlign w:val="bottom"/>
            <w:vMerge w:val="restart"/>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2"/>
        </w:trPr>
        <w:tc>
          <w:tcPr>
            <w:tcW w:w="4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00" w:type="dxa"/>
            <w:vAlign w:val="bottom"/>
            <w:gridSpan w:val="2"/>
          </w:tcPr>
          <w:p>
            <w:pPr>
              <w:ind w:left="20"/>
              <w:spacing w:after="0" w:line="213" w:lineRule="exact"/>
              <w:rPr>
                <w:sz w:val="20"/>
                <w:szCs w:val="20"/>
                <w:color w:val="auto"/>
              </w:rPr>
            </w:pPr>
            <w:r>
              <w:rPr>
                <w:rFonts w:ascii="Times New Roman" w:cs="Times New Roman" w:eastAsia="Times New Roman" w:hAnsi="Times New Roman"/>
                <w:sz w:val="16"/>
                <w:szCs w:val="16"/>
                <w:b w:val="1"/>
                <w:bCs w:val="1"/>
                <w:i w:val="1"/>
                <w:iCs w:val="1"/>
                <w:color w:val="auto"/>
              </w:rPr>
              <w:t xml:space="preserve">Non-GAAP Results </w:t>
            </w:r>
            <w:r>
              <w:rPr>
                <w:rFonts w:ascii="Times New Roman" w:cs="Times New Roman" w:eastAsia="Times New Roman" w:hAnsi="Times New Roman"/>
                <w:sz w:val="21"/>
                <w:szCs w:val="21"/>
                <w:b w:val="1"/>
                <w:bCs w:val="1"/>
                <w:i w:val="1"/>
                <w:iCs w:val="1"/>
                <w:color w:val="auto"/>
                <w:vertAlign w:val="superscript"/>
              </w:rPr>
              <w:t>(1)</w:t>
            </w: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18"/>
        </w:trPr>
        <w:tc>
          <w:tcPr>
            <w:tcW w:w="49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Adjusted net income attributable to PAA</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Diluted adjusted net income per common unit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Implied DCF per common unit and common equivalent unit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Free cash flow after distributions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Pr>
          <w:p>
            <w:pPr>
              <w:spacing w:after="0"/>
              <w:rPr>
                <w:sz w:val="20"/>
                <w:szCs w:val="20"/>
                <w:color w:val="auto"/>
              </w:rPr>
            </w:pP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-882015</wp:posOffset>
            </wp:positionV>
            <wp:extent cx="7132320" cy="8826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26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that variance as a percentage is not meaningful.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00" w:type="dxa"/>
            <w:vAlign w:val="bottom"/>
          </w:tcPr>
          <w:p>
            <w:pPr>
              <w:spacing w:after="0"/>
              <w:rPr>
                <w:sz w:val="16"/>
                <w:szCs w:val="16"/>
                <w:color w:val="auto"/>
              </w:rPr>
            </w:pPr>
          </w:p>
        </w:tc>
        <w:tc>
          <w:tcPr>
            <w:tcW w:w="184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920" w:type="dxa"/>
            <w:vAlign w:val="bottom"/>
            <w:vMerge w:val="restart"/>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2"/>
        </w:trPr>
        <w:tc>
          <w:tcPr>
            <w:tcW w:w="200" w:type="dxa"/>
            <w:vAlign w:val="bottom"/>
          </w:tcPr>
          <w:p>
            <w:pPr>
              <w:spacing w:after="0"/>
              <w:rPr>
                <w:sz w:val="18"/>
                <w:szCs w:val="18"/>
                <w:color w:val="auto"/>
              </w:rPr>
            </w:pPr>
          </w:p>
        </w:tc>
        <w:tc>
          <w:tcPr>
            <w:tcW w:w="184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20"/>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0"/>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0"/>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9"/>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tcPr>
          <w:p>
            <w:pPr>
              <w:spacing w:after="0"/>
              <w:rPr>
                <w:sz w:val="19"/>
                <w:szCs w:val="19"/>
                <w:color w:val="auto"/>
              </w:rPr>
            </w:pP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20"/>
                <w:szCs w:val="20"/>
                <w:color w:val="auto"/>
              </w:rPr>
            </w:pP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805" w:lineRule="exact"/>
        <w:rPr>
          <w:sz w:val="20"/>
          <w:szCs w:val="20"/>
          <w:color w:val="auto"/>
        </w:rPr>
      </w:pPr>
    </w:p>
    <w:p>
      <w:pPr>
        <w:sectPr>
          <w:pgSz w:w="11900" w:h="16838" w:orient="portrait"/>
          <w:cols w:equalWidth="0" w:num="2">
            <w:col w:w="8060" w:space="220"/>
            <w:col w:w="2960"/>
          </w:cols>
          <w:pgMar w:left="320" w:top="364" w:right="339" w:bottom="1440" w:gutter="0" w:footer="0" w:header="0"/>
          <w:type w:val="continuous"/>
        </w:sectPr>
      </w:pPr>
    </w:p>
    <w:p>
      <w:pPr>
        <w:ind w:left="340" w:right="200" w:hanging="332"/>
        <w:spacing w:after="0" w:line="239" w:lineRule="auto"/>
        <w:tabs>
          <w:tab w:leader="none" w:pos="328"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the section of this release entitled “Non-GAAP Financial Measures and Selected Items Impacting Comparability” and the tables attached hereto for information regarding certain selected items that PAA believes impact comparability of financial results between reporting periods, as well as for information regarding non-GAAP financial measures (such as Adjusted EBITDA, Implied DCF, Free Cash Flow and Free Cash Flow After Distributions) and their reconciliation to the most directly comparable measures as reported in accordance with GAAP.</w:t>
      </w:r>
    </w:p>
    <w:p>
      <w:pPr>
        <w:spacing w:after="0" w:line="36" w:lineRule="exact"/>
        <w:rPr>
          <w:rFonts w:ascii="Times New Roman" w:cs="Times New Roman" w:eastAsia="Times New Roman" w:hAnsi="Times New Roman"/>
          <w:sz w:val="23"/>
          <w:szCs w:val="23"/>
          <w:color w:val="auto"/>
          <w:vertAlign w:val="superscript"/>
        </w:rPr>
      </w:pPr>
    </w:p>
    <w:p>
      <w:pPr>
        <w:ind w:left="5440" w:hanging="106"/>
        <w:spacing w:after="0"/>
        <w:tabs>
          <w:tab w:leader="none" w:pos="54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auto"/>
        </w:rPr>
        <w:t>Page 3</w:t>
      </w:r>
    </w:p>
    <w:p>
      <w:pPr>
        <w:spacing w:after="0" w:line="200" w:lineRule="exact"/>
        <w:rPr>
          <w:sz w:val="20"/>
          <w:szCs w:val="20"/>
          <w:color w:val="auto"/>
        </w:rPr>
      </w:pPr>
    </w:p>
    <w:p>
      <w:pPr>
        <w:spacing w:after="0" w:line="24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Segment Adjusted EBITDA for the third quarter and first nine months of 2020 and 2019 is presented below:</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Selected Financial Data by Segment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27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60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6"/>
          </w:tcPr>
          <w:p>
            <w:pPr>
              <w:jc w:val="center"/>
              <w:ind w:right="433"/>
              <w:spacing w:after="0"/>
              <w:rPr>
                <w:sz w:val="20"/>
                <w:szCs w:val="20"/>
                <w:color w:val="auto"/>
              </w:rPr>
            </w:pPr>
            <w:r>
              <w:rPr>
                <w:rFonts w:ascii="Times New Roman" w:cs="Times New Roman" w:eastAsia="Times New Roman" w:hAnsi="Times New Roman"/>
                <w:sz w:val="16"/>
                <w:szCs w:val="16"/>
                <w:b w:val="1"/>
                <w:bCs w:val="1"/>
                <w:color w:val="auto"/>
              </w:rPr>
              <w:t>Segment Adjusted EBITDA</w:t>
            </w:r>
          </w:p>
        </w:tc>
        <w:tc>
          <w:tcPr>
            <w:tcW w:w="1000" w:type="dxa"/>
            <w:vAlign w:val="bottom"/>
            <w:tcBorders>
              <w:bottom w:val="single" w:sz="8" w:color="auto"/>
            </w:tcBorders>
          </w:tcPr>
          <w:p>
            <w:pPr>
              <w:spacing w:after="0"/>
              <w:rPr>
                <w:sz w:val="18"/>
                <w:szCs w:val="18"/>
                <w:color w:val="auto"/>
              </w:rPr>
            </w:pPr>
          </w:p>
        </w:tc>
      </w:tr>
      <w:tr>
        <w:trPr>
          <w:trHeight w:val="211"/>
        </w:trPr>
        <w:tc>
          <w:tcPr>
            <w:tcW w:w="6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Transportation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Facilities</w:t>
            </w:r>
          </w:p>
        </w:tc>
        <w:tc>
          <w:tcPr>
            <w:tcW w:w="162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Supply and Logistics</w:t>
            </w:r>
          </w:p>
        </w:tc>
      </w:tr>
      <w:tr>
        <w:trPr>
          <w:trHeight w:val="250"/>
        </w:trPr>
        <w:tc>
          <w:tcPr>
            <w:tcW w:w="6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Three Months Ended September 30, 2020</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61</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gridSpan w:val="3"/>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r>
      <w:tr>
        <w:trPr>
          <w:trHeight w:val="203"/>
        </w:trPr>
        <w:tc>
          <w:tcPr>
            <w:tcW w:w="606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Three Months Ended September 30, 2019</w:t>
            </w:r>
          </w:p>
        </w:tc>
        <w:tc>
          <w:tcPr>
            <w:tcW w:w="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462</w:t>
            </w:r>
          </w:p>
        </w:tc>
        <w:tc>
          <w:tcPr>
            <w:tcW w:w="14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ind w:right="132"/>
              <w:spacing w:after="0" w:line="203" w:lineRule="exact"/>
              <w:rPr>
                <w:sz w:val="20"/>
                <w:szCs w:val="20"/>
                <w:color w:val="auto"/>
              </w:rPr>
            </w:pPr>
            <w:r>
              <w:rPr>
                <w:rFonts w:ascii="Times New Roman" w:cs="Times New Roman" w:eastAsia="Times New Roman" w:hAnsi="Times New Roman"/>
                <w:sz w:val="18"/>
                <w:szCs w:val="18"/>
                <w:color w:val="auto"/>
              </w:rPr>
              <w:t>173</w:t>
            </w:r>
          </w:p>
        </w:tc>
        <w:tc>
          <w:tcPr>
            <w:tcW w:w="12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ind w:right="433"/>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92</w:t>
            </w: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2"/>
        </w:trPr>
        <w:tc>
          <w:tcPr>
            <w:tcW w:w="606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Percentage change in Segment Adjusted EBITDA versus 2019 period</w:t>
            </w:r>
          </w:p>
        </w:tc>
        <w:tc>
          <w:tcPr>
            <w:tcW w:w="2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(4)%</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2 %</w:t>
            </w:r>
          </w:p>
        </w:tc>
        <w:tc>
          <w:tcPr>
            <w:tcW w:w="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(34)%</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430"/>
        </w:trPr>
        <w:tc>
          <w:tcPr>
            <w:tcW w:w="60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6"/>
          </w:tcPr>
          <w:p>
            <w:pPr>
              <w:jc w:val="center"/>
              <w:ind w:right="433"/>
              <w:spacing w:after="0"/>
              <w:rPr>
                <w:sz w:val="20"/>
                <w:szCs w:val="20"/>
                <w:color w:val="auto"/>
              </w:rPr>
            </w:pPr>
            <w:r>
              <w:rPr>
                <w:rFonts w:ascii="Times New Roman" w:cs="Times New Roman" w:eastAsia="Times New Roman" w:hAnsi="Times New Roman"/>
                <w:sz w:val="16"/>
                <w:szCs w:val="16"/>
                <w:b w:val="1"/>
                <w:bCs w:val="1"/>
                <w:color w:val="auto"/>
              </w:rPr>
              <w:t>Segment Adjusted EBITDA</w:t>
            </w:r>
          </w:p>
        </w:tc>
        <w:tc>
          <w:tcPr>
            <w:tcW w:w="1000" w:type="dxa"/>
            <w:vAlign w:val="bottom"/>
            <w:tcBorders>
              <w:bottom w:val="single" w:sz="8" w:color="auto"/>
            </w:tcBorders>
          </w:tcPr>
          <w:p>
            <w:pPr>
              <w:spacing w:after="0"/>
              <w:rPr>
                <w:sz w:val="24"/>
                <w:szCs w:val="24"/>
                <w:color w:val="auto"/>
              </w:rPr>
            </w:pPr>
          </w:p>
        </w:tc>
      </w:tr>
      <w:tr>
        <w:trPr>
          <w:trHeight w:val="211"/>
        </w:trPr>
        <w:tc>
          <w:tcPr>
            <w:tcW w:w="6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Transportation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Facilities</w:t>
            </w:r>
          </w:p>
        </w:tc>
        <w:tc>
          <w:tcPr>
            <w:tcW w:w="162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Supply and Logistics</w:t>
            </w:r>
          </w:p>
        </w:tc>
      </w:tr>
      <w:tr>
        <w:trPr>
          <w:trHeight w:val="250"/>
        </w:trPr>
        <w:tc>
          <w:tcPr>
            <w:tcW w:w="6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Nine Months Ended September 30, 2020</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1,233</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205</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gridSpan w:val="3"/>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r>
      <w:tr>
        <w:trPr>
          <w:trHeight w:val="203"/>
        </w:trPr>
        <w:tc>
          <w:tcPr>
            <w:tcW w:w="606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Nine Months Ended September 30, 2019</w:t>
            </w:r>
          </w:p>
        </w:tc>
        <w:tc>
          <w:tcPr>
            <w:tcW w:w="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ind w:right="12"/>
              <w:spacing w:after="0" w:line="203" w:lineRule="exact"/>
              <w:rPr>
                <w:sz w:val="20"/>
                <w:szCs w:val="20"/>
                <w:color w:val="auto"/>
              </w:rPr>
            </w:pPr>
            <w:r>
              <w:rPr>
                <w:rFonts w:ascii="Times New Roman" w:cs="Times New Roman" w:eastAsia="Times New Roman" w:hAnsi="Times New Roman"/>
                <w:sz w:val="18"/>
                <w:szCs w:val="18"/>
                <w:color w:val="auto"/>
              </w:rPr>
              <w:t>1,271</w:t>
            </w:r>
          </w:p>
        </w:tc>
        <w:tc>
          <w:tcPr>
            <w:tcW w:w="14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ind w:right="132"/>
              <w:spacing w:after="0" w:line="203" w:lineRule="exact"/>
              <w:rPr>
                <w:sz w:val="20"/>
                <w:szCs w:val="20"/>
                <w:color w:val="auto"/>
              </w:rPr>
            </w:pPr>
            <w:r>
              <w:rPr>
                <w:rFonts w:ascii="Times New Roman" w:cs="Times New Roman" w:eastAsia="Times New Roman" w:hAnsi="Times New Roman"/>
                <w:sz w:val="18"/>
                <w:szCs w:val="18"/>
                <w:color w:val="auto"/>
              </w:rPr>
              <w:t>529</w:t>
            </w:r>
          </w:p>
        </w:tc>
        <w:tc>
          <w:tcPr>
            <w:tcW w:w="12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ind w:right="433"/>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571</w:t>
            </w: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49"/>
        </w:trPr>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Percentage change in Segment Adjusted EBITDA versus 2019 period</w:t>
            </w:r>
          </w:p>
        </w:tc>
        <w:tc>
          <w:tcPr>
            <w:tcW w:w="20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6 %</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(64)%</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00" w:firstLine="177"/>
        <w:spacing w:after="0" w:line="250" w:lineRule="auto"/>
        <w:rPr>
          <w:sz w:val="20"/>
          <w:szCs w:val="20"/>
          <w:color w:val="auto"/>
        </w:rPr>
      </w:pPr>
      <w:r>
        <w:rPr>
          <w:rFonts w:ascii="Times New Roman" w:cs="Times New Roman" w:eastAsia="Times New Roman" w:hAnsi="Times New Roman"/>
          <w:sz w:val="18"/>
          <w:szCs w:val="18"/>
          <w:color w:val="auto"/>
        </w:rPr>
        <w:t>Third-quarter 2020 Transportation Segment Adjusted EBITDA decreased 4% versus comparable 2019 results due to reductions in tariff volumes in multiple regions resulting from lower crude oil prices, reduced drilling and completion activity and compressed regional basis differentials, partially offset by the benefit of minimum volume commitment deficiency payments associated with second quarter deficiencies.</w:t>
      </w:r>
    </w:p>
    <w:p>
      <w:pPr>
        <w:spacing w:after="0" w:line="204" w:lineRule="exact"/>
        <w:rPr>
          <w:sz w:val="20"/>
          <w:szCs w:val="20"/>
          <w:color w:val="auto"/>
        </w:rPr>
      </w:pPr>
    </w:p>
    <w:p>
      <w:pPr>
        <w:ind w:right="40" w:firstLine="177"/>
        <w:spacing w:after="0" w:line="261" w:lineRule="auto"/>
        <w:rPr>
          <w:sz w:val="20"/>
          <w:szCs w:val="20"/>
          <w:color w:val="auto"/>
        </w:rPr>
      </w:pPr>
      <w:r>
        <w:rPr>
          <w:rFonts w:ascii="Times New Roman" w:cs="Times New Roman" w:eastAsia="Times New Roman" w:hAnsi="Times New Roman"/>
          <w:sz w:val="18"/>
          <w:szCs w:val="18"/>
          <w:color w:val="auto"/>
        </w:rPr>
        <w:t>Third-quarter 2020 Facilities Segment Adjusted EBITDA increased 2% versus comparable 2019 results primarily due to operational cost savings, increased spot activity at certain of our West Coast crude oil storage terminals and increased capacity at certain of our Mid-Continent and Gulf Coast crude oil storage terminals, partially offset by decreased activity at certain of our rail terminals resulting from less favorable market conditions and the impact of asset sales.</w:t>
      </w:r>
    </w:p>
    <w:p>
      <w:pPr>
        <w:spacing w:after="0" w:line="180" w:lineRule="exact"/>
        <w:rPr>
          <w:sz w:val="20"/>
          <w:szCs w:val="20"/>
          <w:color w:val="auto"/>
        </w:rPr>
      </w:pPr>
    </w:p>
    <w:p>
      <w:pPr>
        <w:ind w:right="380" w:firstLine="177"/>
        <w:spacing w:after="0" w:line="282" w:lineRule="auto"/>
        <w:rPr>
          <w:sz w:val="20"/>
          <w:szCs w:val="20"/>
          <w:color w:val="auto"/>
        </w:rPr>
      </w:pPr>
      <w:r>
        <w:rPr>
          <w:rFonts w:ascii="Times New Roman" w:cs="Times New Roman" w:eastAsia="Times New Roman" w:hAnsi="Times New Roman"/>
          <w:sz w:val="18"/>
          <w:szCs w:val="18"/>
          <w:color w:val="auto"/>
        </w:rPr>
        <w:t>Third-quarter 2020 Supply and Logistics Segment Adjusted EBITDA decreased 34% versus comparable 2019 results due to less favorable crude oil differentials in both the Permian Basin and Canada, partially offset by the benefit of contango-based margin opportunities.</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20"/>
          </w:cols>
          <w:pgMar w:left="320" w:top="364"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auto"/>
        </w:rPr>
        <w:t>Page 4</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2020 Full-Year Guidance</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table below presents our full-year 2020 financial and operating guidance: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and Operating Guidance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volumes, per unit and per barrel data)</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Twelve Months Ended December 31,</w:t>
            </w: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5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2020 (G)</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ind w:right="571"/>
              <w:spacing w:after="0"/>
              <w:rPr>
                <w:sz w:val="20"/>
                <w:szCs w:val="20"/>
                <w:color w:val="auto"/>
              </w:rPr>
            </w:pPr>
            <w:r>
              <w:rPr>
                <w:rFonts w:ascii="Times New Roman" w:cs="Times New Roman" w:eastAsia="Times New Roman" w:hAnsi="Times New Roman"/>
                <w:sz w:val="16"/>
                <w:szCs w:val="16"/>
                <w:color w:val="auto"/>
              </w:rPr>
              <w:t>+ / -</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 Adjusted EBITDA</w:t>
            </w:r>
          </w:p>
        </w:tc>
        <w:tc>
          <w:tcPr>
            <w:tcW w:w="8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Transportation</w:t>
            </w:r>
          </w:p>
        </w:tc>
        <w:tc>
          <w:tcPr>
            <w:tcW w:w="860" w:type="dxa"/>
            <w:vAlign w:val="bottom"/>
          </w:tcPr>
          <w:p>
            <w:pPr>
              <w:spacing w:after="0"/>
              <w:rPr>
                <w:sz w:val="19"/>
                <w:szCs w:val="19"/>
                <w:color w:val="auto"/>
              </w:rPr>
            </w:pPr>
          </w:p>
        </w:tc>
        <w:tc>
          <w:tcPr>
            <w:tcW w:w="2060" w:type="dxa"/>
            <w:vAlign w:val="bottom"/>
            <w:gridSpan w:val="2"/>
          </w:tcPr>
          <w:p>
            <w:pPr>
              <w:jc w:val="right"/>
              <w:ind w:right="83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Facilities</w:t>
            </w:r>
          </w:p>
        </w:tc>
        <w:tc>
          <w:tcPr>
            <w:tcW w:w="8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Fee-Based</w:t>
            </w:r>
          </w:p>
        </w:tc>
        <w:tc>
          <w:tcPr>
            <w:tcW w:w="8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20" w:type="dxa"/>
            <w:vAlign w:val="bottom"/>
          </w:tcPr>
          <w:p>
            <w:pPr>
              <w:jc w:val="right"/>
              <w:ind w:right="8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2,219</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2,427</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2,335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Supply and Logistics</w:t>
            </w:r>
          </w:p>
        </w:tc>
        <w:tc>
          <w:tcPr>
            <w:tcW w:w="8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8"/>
                <w:szCs w:val="18"/>
                <w:color w:val="auto"/>
              </w:rPr>
              <w:t>Adjusted other income/(expense), net</w:t>
            </w:r>
          </w:p>
        </w:tc>
        <w:tc>
          <w:tcPr>
            <w:tcW w:w="86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300" w:type="dxa"/>
            <w:vAlign w:val="bottom"/>
            <w:tcBorders>
              <w:bottom w:val="single" w:sz="8" w:color="CCEEFF"/>
            </w:tcBorders>
            <w:gridSpan w:val="2"/>
            <w:shd w:val="clear" w:color="auto" w:fill="CCEEFF"/>
          </w:tcPr>
          <w:p>
            <w:pPr>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23"/>
                <w:szCs w:val="23"/>
                <w:b w:val="1"/>
                <w:bCs w:val="1"/>
                <w:color w:val="auto"/>
                <w:vertAlign w:val="superscript"/>
              </w:rPr>
              <w:t>(1)</w:t>
            </w:r>
          </w:p>
        </w:tc>
        <w:tc>
          <w:tcPr>
            <w:tcW w:w="8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3,237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00" w:type="dxa"/>
            <w:vAlign w:val="bottom"/>
            <w:tcBorders>
              <w:top w:val="single" w:sz="8" w:color="CCEEFF"/>
              <w:bottom w:val="single" w:sz="8" w:color="CCEEFF"/>
            </w:tcBorders>
            <w:gridSpan w:val="2"/>
            <w:vMerge w:val="restart"/>
          </w:tcPr>
          <w:p>
            <w:pPr>
              <w:ind w:left="160"/>
              <w:spacing w:after="0" w:line="243" w:lineRule="exact"/>
              <w:rPr>
                <w:sz w:val="20"/>
                <w:szCs w:val="20"/>
                <w:color w:val="auto"/>
              </w:rPr>
            </w:pPr>
            <w:r>
              <w:rPr>
                <w:rFonts w:ascii="Times New Roman" w:cs="Times New Roman" w:eastAsia="Times New Roman" w:hAnsi="Times New Roman"/>
                <w:sz w:val="18"/>
                <w:szCs w:val="18"/>
                <w:color w:val="auto"/>
              </w:rPr>
              <w:t xml:space="preserve">Interest expense, net of certain non-cash items </w:t>
            </w:r>
            <w:r>
              <w:rPr>
                <w:rFonts w:ascii="Times New Roman" w:cs="Times New Roman" w:eastAsia="Times New Roman" w:hAnsi="Times New Roman"/>
                <w:sz w:val="23"/>
                <w:szCs w:val="23"/>
                <w:color w:val="auto"/>
                <w:vertAlign w:val="superscript"/>
              </w:rPr>
              <w:t>(2)</w:t>
            </w:r>
          </w:p>
        </w:tc>
        <w:tc>
          <w:tcPr>
            <w:tcW w:w="8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00" w:type="dxa"/>
            <w:vAlign w:val="bottom"/>
            <w:gridSpan w:val="2"/>
            <w:vMerge w:val="continue"/>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(419)</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(407)</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Maintenance capital</w:t>
            </w:r>
          </w:p>
        </w:tc>
        <w:tc>
          <w:tcPr>
            <w:tcW w:w="8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8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tcPr>
          <w:p>
            <w:pPr>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Implied DCF </w:t>
            </w:r>
            <w:r>
              <w:rPr>
                <w:rFonts w:ascii="Times New Roman" w:cs="Times New Roman" w:eastAsia="Times New Roman" w:hAnsi="Times New Roman"/>
                <w:sz w:val="23"/>
                <w:szCs w:val="23"/>
                <w:b w:val="1"/>
                <w:bCs w:val="1"/>
                <w:color w:val="auto"/>
                <w:vertAlign w:val="superscript"/>
              </w:rPr>
              <w:t>(1)</w:t>
            </w:r>
          </w:p>
        </w:tc>
        <w:tc>
          <w:tcPr>
            <w:tcW w:w="8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20" w:type="dxa"/>
            <w:vAlign w:val="bottom"/>
          </w:tcPr>
          <w:p>
            <w:pPr>
              <w:jc w:val="right"/>
              <w:ind w:right="8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1,948</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2,376</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1,925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shd w:val="clear" w:color="auto" w:fill="CCEEFF"/>
          </w:tcPr>
          <w:p>
            <w:pPr>
              <w:ind w:left="160"/>
              <w:spacing w:after="0" w:line="230" w:lineRule="exact"/>
              <w:rPr>
                <w:sz w:val="20"/>
                <w:szCs w:val="20"/>
                <w:color w:val="auto"/>
              </w:rPr>
            </w:pPr>
            <w:r>
              <w:rPr>
                <w:rFonts w:ascii="Times New Roman" w:cs="Times New Roman" w:eastAsia="Times New Roman" w:hAnsi="Times New Roman"/>
                <w:sz w:val="18"/>
                <w:szCs w:val="18"/>
                <w:color w:val="auto"/>
              </w:rPr>
              <w:t xml:space="preserve">Preferred unit distributions paid </w:t>
            </w:r>
            <w:r>
              <w:rPr>
                <w:rFonts w:ascii="Times New Roman" w:cs="Times New Roman" w:eastAsia="Times New Roman" w:hAnsi="Times New Roman"/>
                <w:sz w:val="23"/>
                <w:szCs w:val="23"/>
                <w:color w:val="auto"/>
                <w:vertAlign w:val="superscript"/>
              </w:rPr>
              <w:t>(3)</w:t>
            </w:r>
          </w:p>
        </w:tc>
        <w:tc>
          <w:tcPr>
            <w:tcW w:w="8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Implied DCF Available to Common Unitholders</w:t>
            </w:r>
          </w:p>
        </w:tc>
        <w:tc>
          <w:tcPr>
            <w:tcW w:w="8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2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1,787</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2,178</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60" w:type="dxa"/>
            <w:vAlign w:val="bottom"/>
            <w:gridSpan w:val="3"/>
          </w:tcPr>
          <w:p>
            <w:pPr>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Implied DCF per Common Unit and Common Equivalent Unit </w:t>
            </w:r>
            <w:r>
              <w:rPr>
                <w:rFonts w:ascii="Times New Roman" w:cs="Times New Roman" w:eastAsia="Times New Roman" w:hAnsi="Times New Roman"/>
                <w:sz w:val="23"/>
                <w:szCs w:val="23"/>
                <w:b w:val="1"/>
                <w:bCs w:val="1"/>
                <w:color w:val="auto"/>
                <w:vertAlign w:val="superscript"/>
              </w:rPr>
              <w:t>(1)</w:t>
            </w:r>
          </w:p>
        </w:tc>
        <w:tc>
          <w:tcPr>
            <w:tcW w:w="2060" w:type="dxa"/>
            <w:vAlign w:val="bottom"/>
            <w:gridSpan w:val="2"/>
          </w:tcPr>
          <w:p>
            <w:pPr>
              <w:jc w:val="right"/>
              <w:ind w:right="83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Distributions per Common Unit </w:t>
            </w:r>
            <w:r>
              <w:rPr>
                <w:rFonts w:ascii="Times New Roman" w:cs="Times New Roman" w:eastAsia="Times New Roman" w:hAnsi="Times New Roman"/>
                <w:sz w:val="23"/>
                <w:szCs w:val="23"/>
                <w:b w:val="1"/>
                <w:bCs w:val="1"/>
                <w:color w:val="auto"/>
                <w:vertAlign w:val="superscript"/>
              </w:rPr>
              <w:t>(4)</w:t>
            </w:r>
          </w:p>
        </w:tc>
        <w:tc>
          <w:tcPr>
            <w:tcW w:w="860" w:type="dxa"/>
            <w:vAlign w:val="bottom"/>
          </w:tcPr>
          <w:p>
            <w:pPr>
              <w:spacing w:after="0"/>
              <w:rPr>
                <w:sz w:val="19"/>
                <w:szCs w:val="19"/>
                <w:color w:val="auto"/>
              </w:rPr>
            </w:pPr>
          </w:p>
        </w:tc>
        <w:tc>
          <w:tcPr>
            <w:tcW w:w="2060" w:type="dxa"/>
            <w:vAlign w:val="bottom"/>
            <w:gridSpan w:val="2"/>
          </w:tcPr>
          <w:p>
            <w:pPr>
              <w:jc w:val="right"/>
              <w:ind w:right="83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Unit Distribution Coverage Ratio</w:t>
            </w:r>
          </w:p>
        </w:tc>
        <w:tc>
          <w:tcPr>
            <w:tcW w:w="8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2.05x</w:t>
            </w:r>
          </w:p>
        </w:tc>
        <w:tc>
          <w:tcPr>
            <w:tcW w:w="3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2.17x</w:t>
            </w: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Diluted Adjusted Net Income per Common Unit </w:t>
            </w:r>
            <w:r>
              <w:rPr>
                <w:rFonts w:ascii="Times New Roman" w:cs="Times New Roman" w:eastAsia="Times New Roman" w:hAnsi="Times New Roman"/>
                <w:sz w:val="23"/>
                <w:szCs w:val="23"/>
                <w:b w:val="1"/>
                <w:bCs w:val="1"/>
                <w:color w:val="auto"/>
                <w:vertAlign w:val="superscript"/>
              </w:rPr>
              <w:t>(1)</w:t>
            </w:r>
          </w:p>
        </w:tc>
        <w:tc>
          <w:tcPr>
            <w:tcW w:w="86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right"/>
              <w:ind w:right="83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Data</w:t>
            </w:r>
          </w:p>
        </w:tc>
        <w:tc>
          <w:tcPr>
            <w:tcW w:w="8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Transportation</w:t>
            </w:r>
          </w:p>
        </w:tc>
        <w:tc>
          <w:tcPr>
            <w:tcW w:w="8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Average daily volumes (MBbls/d)</w:t>
            </w:r>
          </w:p>
        </w:tc>
        <w:tc>
          <w:tcPr>
            <w:tcW w:w="8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Segment Adjusted EBITDA per barrel</w:t>
            </w:r>
          </w:p>
        </w:tc>
        <w:tc>
          <w:tcPr>
            <w:tcW w:w="860" w:type="dxa"/>
            <w:vAlign w:val="bottom"/>
          </w:tcPr>
          <w:p>
            <w:pPr>
              <w:spacing w:after="0"/>
              <w:rPr>
                <w:sz w:val="19"/>
                <w:szCs w:val="19"/>
                <w:color w:val="auto"/>
              </w:rPr>
            </w:pPr>
          </w:p>
        </w:tc>
        <w:tc>
          <w:tcPr>
            <w:tcW w:w="2060" w:type="dxa"/>
            <w:vAlign w:val="bottom"/>
            <w:gridSpan w:val="2"/>
          </w:tcPr>
          <w:p>
            <w:pPr>
              <w:jc w:val="right"/>
              <w:ind w:right="83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Facilities</w:t>
            </w:r>
          </w:p>
        </w:tc>
        <w:tc>
          <w:tcPr>
            <w:tcW w:w="8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Average capacity (MMBbls/Mo)</w:t>
            </w:r>
          </w:p>
        </w:tc>
        <w:tc>
          <w:tcPr>
            <w:tcW w:w="8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Segment Adjusted EBITDA per barrel</w:t>
            </w:r>
          </w:p>
        </w:tc>
        <w:tc>
          <w:tcPr>
            <w:tcW w:w="860" w:type="dxa"/>
            <w:vAlign w:val="bottom"/>
          </w:tcPr>
          <w:p>
            <w:pPr>
              <w:spacing w:after="0"/>
              <w:rPr>
                <w:sz w:val="19"/>
                <w:szCs w:val="19"/>
                <w:color w:val="auto"/>
              </w:rPr>
            </w:pPr>
          </w:p>
        </w:tc>
        <w:tc>
          <w:tcPr>
            <w:tcW w:w="2060" w:type="dxa"/>
            <w:vAlign w:val="bottom"/>
            <w:gridSpan w:val="2"/>
          </w:tcPr>
          <w:p>
            <w:pPr>
              <w:jc w:val="right"/>
              <w:ind w:right="83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Supply and Logistics</w:t>
            </w:r>
          </w:p>
        </w:tc>
        <w:tc>
          <w:tcPr>
            <w:tcW w:w="8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Average daily volumes (MBbls/d)</w:t>
            </w:r>
          </w:p>
        </w:tc>
        <w:tc>
          <w:tcPr>
            <w:tcW w:w="8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Segment Adjusted EBITDA per barrel</w:t>
            </w:r>
          </w:p>
        </w:tc>
        <w:tc>
          <w:tcPr>
            <w:tcW w:w="860" w:type="dxa"/>
            <w:vAlign w:val="bottom"/>
          </w:tcPr>
          <w:p>
            <w:pPr>
              <w:spacing w:after="0"/>
              <w:rPr>
                <w:sz w:val="19"/>
                <w:szCs w:val="19"/>
                <w:color w:val="auto"/>
              </w:rPr>
            </w:pPr>
          </w:p>
        </w:tc>
        <w:tc>
          <w:tcPr>
            <w:tcW w:w="2060" w:type="dxa"/>
            <w:vAlign w:val="bottom"/>
            <w:gridSpan w:val="2"/>
          </w:tcPr>
          <w:p>
            <w:pPr>
              <w:jc w:val="right"/>
              <w:ind w:right="83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Investment Capital</w:t>
            </w:r>
          </w:p>
        </w:tc>
        <w:tc>
          <w:tcPr>
            <w:tcW w:w="860" w:type="dxa"/>
            <w:vAlign w:val="bottom"/>
          </w:tcPr>
          <w:p>
            <w:pPr>
              <w:spacing w:after="0"/>
              <w:rPr>
                <w:sz w:val="19"/>
                <w:szCs w:val="19"/>
                <w:color w:val="auto"/>
              </w:rPr>
            </w:pPr>
          </w:p>
        </w:tc>
        <w:tc>
          <w:tcPr>
            <w:tcW w:w="2060" w:type="dxa"/>
            <w:vAlign w:val="bottom"/>
            <w:gridSpan w:val="2"/>
          </w:tcPr>
          <w:p>
            <w:pPr>
              <w:jc w:val="right"/>
              <w:ind w:right="832"/>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1,888</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1,340</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Fourth-Quarter Adjusted EBITDA as Percentage of Full Year</w:t>
            </w: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0" w:type="dxa"/>
            <w:vAlign w:val="bottom"/>
          </w:tcPr>
          <w:p>
            <w:pPr>
              <w:spacing w:after="0"/>
              <w:rPr>
                <w:sz w:val="1"/>
                <w:szCs w:val="1"/>
                <w:color w:val="auto"/>
              </w:rPr>
            </w:pPr>
          </w:p>
        </w:tc>
      </w:tr>
      <w:tr>
        <w:trPr>
          <w:trHeight w:val="423"/>
        </w:trPr>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60" w:type="dxa"/>
            <w:vAlign w:val="bottom"/>
            <w:gridSpan w:val="2"/>
            <w:vMerge w:val="restart"/>
          </w:tcPr>
          <w:p>
            <w:pPr>
              <w:jc w:val="right"/>
              <w:ind w:right="1252"/>
              <w:spacing w:after="0"/>
              <w:rPr>
                <w:sz w:val="20"/>
                <w:szCs w:val="20"/>
                <w:color w:val="auto"/>
              </w:rPr>
            </w:pPr>
            <w:r>
              <w:rPr>
                <w:rFonts w:ascii="Times New Roman" w:cs="Times New Roman" w:eastAsia="Times New Roman" w:hAnsi="Times New Roman"/>
                <w:sz w:val="18"/>
                <w:szCs w:val="18"/>
                <w:color w:val="auto"/>
              </w:rPr>
              <w:t>- more -</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6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300" w:type="dxa"/>
            <w:vAlign w:val="bottom"/>
            <w:tcBorders>
              <w:bottom w:val="single" w:sz="8" w:color="auto"/>
            </w:tcBorders>
            <w:gridSpan w:val="2"/>
          </w:tcPr>
          <w:p>
            <w:pPr>
              <w:spacing w:after="0"/>
              <w:rPr>
                <w:sz w:val="11"/>
                <w:szCs w:val="11"/>
                <w:color w:val="auto"/>
              </w:rPr>
            </w:pPr>
          </w:p>
        </w:tc>
        <w:tc>
          <w:tcPr>
            <w:tcW w:w="2920" w:type="dxa"/>
            <w:vAlign w:val="bottom"/>
            <w:tcBorders>
              <w:bottom w:val="single" w:sz="8" w:color="auto"/>
            </w:tcBorders>
            <w:gridSpan w:val="3"/>
          </w:tcPr>
          <w:p>
            <w:pPr>
              <w:spacing w:after="0"/>
              <w:rPr>
                <w:sz w:val="11"/>
                <w:szCs w:val="11"/>
                <w:color w:val="auto"/>
              </w:rPr>
            </w:pPr>
          </w:p>
        </w:tc>
        <w:tc>
          <w:tcPr>
            <w:tcW w:w="2800" w:type="dxa"/>
            <w:vAlign w:val="bottom"/>
            <w:tcBorders>
              <w:bottom w:val="single" w:sz="8" w:color="auto"/>
            </w:tcBorders>
            <w:gridSpan w:val="6"/>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00" w:type="dxa"/>
            <w:vAlign w:val="bottom"/>
            <w:gridSpan w:val="2"/>
          </w:tcPr>
          <w:p>
            <w:pPr>
              <w:ind w:left="1620"/>
              <w:spacing w:after="0"/>
              <w:rPr>
                <w:sz w:val="20"/>
                <w:szCs w:val="20"/>
                <w:color w:val="auto"/>
              </w:rPr>
            </w:pPr>
            <w:r>
              <w:rPr>
                <w:rFonts w:ascii="Times New Roman" w:cs="Times New Roman" w:eastAsia="Times New Roman" w:hAnsi="Times New Roman"/>
                <w:sz w:val="18"/>
                <w:szCs w:val="18"/>
                <w:b w:val="1"/>
                <w:bCs w:val="1"/>
                <w:color w:val="auto"/>
              </w:rPr>
              <w:t>333 Clay Street, Suite 1600</w:t>
            </w:r>
          </w:p>
        </w:tc>
        <w:tc>
          <w:tcPr>
            <w:tcW w:w="2920" w:type="dxa"/>
            <w:vAlign w:val="bottom"/>
            <w:gridSpan w:val="3"/>
          </w:tcPr>
          <w:p>
            <w:pPr>
              <w:jc w:val="right"/>
              <w:ind w:right="712"/>
              <w:spacing w:after="0"/>
              <w:rPr>
                <w:sz w:val="20"/>
                <w:szCs w:val="20"/>
                <w:color w:val="auto"/>
              </w:rPr>
            </w:pPr>
            <w:r>
              <w:rPr>
                <w:rFonts w:ascii="Times New Roman" w:cs="Times New Roman" w:eastAsia="Times New Roman" w:hAnsi="Times New Roman"/>
                <w:sz w:val="18"/>
                <w:szCs w:val="18"/>
                <w:b w:val="1"/>
                <w:bCs w:val="1"/>
                <w:color w:val="auto"/>
              </w:rPr>
              <w:t>Houston, Texas 77002</w:t>
            </w:r>
          </w:p>
        </w:tc>
        <w:tc>
          <w:tcPr>
            <w:tcW w:w="2800" w:type="dxa"/>
            <w:vAlign w:val="bottom"/>
            <w:gridSpan w:val="6"/>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713-646-4100 / 866-809-1291</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364"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auto"/>
        </w:rPr>
        <w:t>Page 5</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 2020 Guidance forecasts are intended to be + / - amounts.</w:t>
      </w:r>
    </w:p>
    <w:p>
      <w:pPr>
        <w:spacing w:after="0" w:line="117" w:lineRule="exact"/>
        <w:rPr>
          <w:sz w:val="20"/>
          <w:szCs w:val="20"/>
          <w:color w:val="auto"/>
        </w:rPr>
      </w:pPr>
    </w:p>
    <w:p>
      <w:pPr>
        <w:ind w:left="340" w:right="100" w:hanging="332"/>
        <w:spacing w:after="0" w:line="244" w:lineRule="auto"/>
        <w:tabs>
          <w:tab w:leader="none" w:pos="328"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the section of this release entitled “Non-GAAP Financial Measures and Selected Items Impacting Comparability” and the Non-GAAP Reconciliation tables attached hereto for information regarding non-GAAP financial measures and, for the historical 2018 and 2019 periods, their reconciliation to the most directly comparable measures as reported in accordance with GAAP. We do not provide a reconciliation of non-GAAP financial measures to the equivalent GAAP financial measures on a forward-looking basis as it is impractical to forecast certain items that we have defined as “Selected Items Impacting Comparability” without unreasonable effort, due to the uncertainty and inherent difficulty of predicting the occurrence and financial impact of and the periods in which such items may be recognized. Thus, a reconciliation of non-GAAP financial measures to the equivalent GAAP financial measures could result in disclosure that could be imprecise or potentially misleading.</w:t>
      </w:r>
    </w:p>
    <w:p>
      <w:pPr>
        <w:spacing w:after="0" w:line="58"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Excludes certain non-cash items impacting interest expense such as amortization of debt issuance costs and terminated interest rate swaps.</w:t>
      </w:r>
    </w:p>
    <w:p>
      <w:pPr>
        <w:spacing w:after="0" w:line="89" w:lineRule="exact"/>
        <w:rPr>
          <w:rFonts w:ascii="Times New Roman" w:cs="Times New Roman" w:eastAsia="Times New Roman" w:hAnsi="Times New Roman"/>
          <w:sz w:val="23"/>
          <w:szCs w:val="23"/>
          <w:color w:val="auto"/>
          <w:vertAlign w:val="superscript"/>
        </w:rPr>
      </w:pPr>
    </w:p>
    <w:p>
      <w:pPr>
        <w:jc w:val="both"/>
        <w:ind w:left="340" w:right="220" w:hanging="332"/>
        <w:spacing w:after="0" w:line="235" w:lineRule="auto"/>
        <w:tabs>
          <w:tab w:leader="none" w:pos="328"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Cash distributions paid to our preferred unitholders during the year presented. Distributions on our Series A preferred units were paid-in-kind for the February 2018 quarterly distribution. Distributions on our Series A preferred units have been paid in cash since the May 2018 quarterly distribution. Distributions on our Series B preferred units are payable in cash semi-annually in arrears on May 15 and November 15.</w:t>
      </w:r>
    </w:p>
    <w:p>
      <w:pPr>
        <w:spacing w:after="0" w:line="91" w:lineRule="exact"/>
        <w:rPr>
          <w:rFonts w:ascii="Times New Roman" w:cs="Times New Roman" w:eastAsia="Times New Roman" w:hAnsi="Times New Roman"/>
          <w:sz w:val="23"/>
          <w:szCs w:val="23"/>
          <w:color w:val="auto"/>
          <w:vertAlign w:val="superscript"/>
        </w:rPr>
      </w:pPr>
    </w:p>
    <w:p>
      <w:pPr>
        <w:ind w:left="340" w:right="300" w:hanging="332"/>
        <w:spacing w:after="0" w:line="222" w:lineRule="auto"/>
        <w:tabs>
          <w:tab w:leader="none" w:pos="328"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Cash distributions per common unit paid during 2018 and 2019. 2020 (G) reflects the annualized distribution rate of $1.44 per common unit paid in February and the decreased annualized distribution rate of $0.72 per common unit for the remainder of the year.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w:t>
      </w:r>
    </w:p>
    <w:p>
      <w:pPr>
        <w:spacing w:after="0" w:line="256" w:lineRule="exact"/>
        <w:rPr>
          <w:sz w:val="20"/>
          <w:szCs w:val="20"/>
          <w:color w:val="auto"/>
        </w:rPr>
      </w:pPr>
    </w:p>
    <w:p>
      <w:pPr>
        <w:ind w:right="160" w:firstLine="180"/>
        <w:spacing w:after="0" w:line="266" w:lineRule="auto"/>
        <w:rPr>
          <w:sz w:val="20"/>
          <w:szCs w:val="20"/>
          <w:color w:val="auto"/>
        </w:rPr>
      </w:pPr>
      <w:r>
        <w:rPr>
          <w:rFonts w:ascii="Times New Roman" w:cs="Times New Roman" w:eastAsia="Times New Roman" w:hAnsi="Times New Roman"/>
          <w:sz w:val="18"/>
          <w:szCs w:val="18"/>
          <w:color w:val="auto"/>
        </w:rPr>
        <w:t>PAGP owns an indirect non-economic controlling interest in PAA’s general partner and an indirect limited partner interest in PAA. As the control entity of PAA, PAGP consolidates PAA’s results into its financial statements, which is reflected in the condensed consolidating balance sheet and income statement tables included at the end of this release. Information regarding PAGP’s distributions is reflected below:</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Q3 2020</w:t>
            </w:r>
          </w:p>
        </w:tc>
        <w:tc>
          <w:tcPr>
            <w:tcW w:w="240" w:type="dxa"/>
            <w:vAlign w:val="bottom"/>
          </w:tcPr>
          <w:p>
            <w:pPr>
              <w:spacing w:after="0"/>
              <w:rPr>
                <w:sz w:val="18"/>
                <w:szCs w:val="18"/>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Q2 2020</w:t>
            </w:r>
          </w:p>
        </w:tc>
        <w:tc>
          <w:tcPr>
            <w:tcW w:w="240" w:type="dxa"/>
            <w:vAlign w:val="bottom"/>
          </w:tcPr>
          <w:p>
            <w:pPr>
              <w:spacing w:after="0"/>
              <w:rPr>
                <w:sz w:val="18"/>
                <w:szCs w:val="18"/>
                <w:color w:val="auto"/>
              </w:rPr>
            </w:pPr>
          </w:p>
        </w:tc>
        <w:tc>
          <w:tcPr>
            <w:tcW w:w="1060" w:type="dxa"/>
            <w:vAlign w:val="bottom"/>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Q3 2019</w:t>
            </w:r>
          </w:p>
        </w:tc>
      </w:tr>
      <w:tr>
        <w:trPr>
          <w:trHeight w:val="226"/>
        </w:trPr>
        <w:tc>
          <w:tcPr>
            <w:tcW w:w="7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Distribution per Class A share declared for the period</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0.36</w:t>
            </w:r>
          </w:p>
        </w:tc>
      </w:tr>
      <w:tr>
        <w:trPr>
          <w:trHeight w:val="22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Q3 2020 distribution percentage change from prior periods</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
        </w:trPr>
        <w:tc>
          <w:tcPr>
            <w:tcW w:w="7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Conference Call</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PAA and PAGP will hold a joint conference call at 4:30 p.m. CT on Monday, November 2, 2020 to discuss the following items:</w:t>
      </w:r>
    </w:p>
    <w:p>
      <w:pPr>
        <w:spacing w:after="0" w:line="252" w:lineRule="exact"/>
        <w:rPr>
          <w:sz w:val="20"/>
          <w:szCs w:val="20"/>
          <w:color w:val="auto"/>
        </w:rPr>
      </w:pPr>
    </w:p>
    <w:p>
      <w:pPr>
        <w:ind w:left="1140" w:hanging="322"/>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PAA’s third-quarter 2020 performance;</w:t>
      </w:r>
    </w:p>
    <w:p>
      <w:pPr>
        <w:spacing w:after="0" w:line="63"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Capitalization and liquidity; and</w:t>
      </w:r>
    </w:p>
    <w:p>
      <w:pPr>
        <w:spacing w:after="0" w:line="63"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and operating guidance.</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Conference Call Webcast Instructions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 access the internet webcast, please go to https://event.webcasts.com/starthere.jsp?ei=1378562&amp;tp_key=8945f97d3b.</w:t>
      </w:r>
    </w:p>
    <w:p>
      <w:pPr>
        <w:spacing w:after="0" w:line="252" w:lineRule="exact"/>
        <w:rPr>
          <w:sz w:val="20"/>
          <w:szCs w:val="20"/>
          <w:color w:val="auto"/>
        </w:rPr>
      </w:pPr>
    </w:p>
    <w:p>
      <w:pPr>
        <w:jc w:val="both"/>
        <w:ind w:right="420" w:firstLine="170"/>
        <w:spacing w:after="0" w:line="261" w:lineRule="auto"/>
        <w:rPr>
          <w:sz w:val="20"/>
          <w:szCs w:val="20"/>
          <w:color w:val="auto"/>
        </w:rPr>
      </w:pPr>
      <w:r>
        <w:rPr>
          <w:rFonts w:ascii="Times New Roman" w:cs="Times New Roman" w:eastAsia="Times New Roman" w:hAnsi="Times New Roman"/>
          <w:sz w:val="18"/>
          <w:szCs w:val="18"/>
          <w:color w:val="auto"/>
        </w:rPr>
        <w:t>Alternatively, the webcast can be accessed on our website (www.plainsallamerican.com) under Investor Relations (Navigate to: Investor Relations / either “PAA” or “PAGP” / News &amp; Events / Quarterly Earnings). Following the live webcast, an audio replay in MP3 format will be available on our website within two hours after the end of the call and will be accessible for a period of 365 days. A transcript will also be available after the call at the above referenced website.</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auto"/>
        </w:rPr>
        <w:t>Page 6</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 and Selected Items Impacting Comparability</w:t>
      </w:r>
    </w:p>
    <w:p>
      <w:pPr>
        <w:spacing w:after="0" w:line="256" w:lineRule="exact"/>
        <w:rPr>
          <w:sz w:val="20"/>
          <w:szCs w:val="20"/>
          <w:color w:val="auto"/>
        </w:rPr>
      </w:pPr>
    </w:p>
    <w:p>
      <w:pPr>
        <w:ind w:right="300" w:firstLine="177"/>
        <w:spacing w:after="0" w:line="266" w:lineRule="auto"/>
        <w:rPr>
          <w:sz w:val="20"/>
          <w:szCs w:val="20"/>
          <w:color w:val="auto"/>
        </w:rPr>
      </w:pPr>
      <w:r>
        <w:rPr>
          <w:rFonts w:ascii="Times New Roman" w:cs="Times New Roman" w:eastAsia="Times New Roman" w:hAnsi="Times New Roman"/>
          <w:sz w:val="18"/>
          <w:szCs w:val="18"/>
          <w:color w:val="auto"/>
        </w:rPr>
        <w:t>To supplement our financial information presented in accordance with GAAP, management uses additional measures known as “non-GAAP financial measures” in its evaluation of past performance and prospects for the future and to assess the amount of cash that is available for distributions, debt repayments and other general partnership purposes.</w:t>
      </w:r>
    </w:p>
    <w:p>
      <w:pPr>
        <w:spacing w:after="0" w:line="203" w:lineRule="exact"/>
        <w:rPr>
          <w:sz w:val="20"/>
          <w:szCs w:val="20"/>
          <w:color w:val="auto"/>
        </w:rPr>
      </w:pPr>
    </w:p>
    <w:p>
      <w:pPr>
        <w:ind w:right="400" w:firstLine="648"/>
        <w:spacing w:after="0" w:line="261" w:lineRule="auto"/>
        <w:rPr>
          <w:sz w:val="20"/>
          <w:szCs w:val="20"/>
          <w:color w:val="auto"/>
        </w:rPr>
      </w:pPr>
      <w:r>
        <w:rPr>
          <w:rFonts w:ascii="Times New Roman" w:cs="Times New Roman" w:eastAsia="Times New Roman" w:hAnsi="Times New Roman"/>
          <w:sz w:val="18"/>
          <w:szCs w:val="18"/>
          <w:color w:val="auto"/>
        </w:rPr>
        <w:t>The primary additional measures used by management are earnings before interest, taxes, depreciation and amortization (including our proportionate share of depreciation and amortization of unconsolidated entities), gains and losses on asset sales and asset impairments, goodwill impairment losses and gains on and impairments of investments in unconsolidated entities, adjusted for certain selected items impacting comparability (“Adjusted EBITDA”), Implied distributable cash flow (“DCF”), Free Cash Flow and Free Cash Flow After Distributions.</w:t>
      </w:r>
    </w:p>
    <w:p>
      <w:pPr>
        <w:spacing w:after="0" w:line="20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Our definition and calculation of certain non-GAAP financial measures may not be comparable to similarly-titled measures of other companies. Adjusted EBITDA, Implied DCF and certain other non-GAAP financial performance measures are reconciled to Net Income/(Loss), and Free Cash Flow and Free Cash Flow After Distributions are reconciled to Net Cash Provided by Operating Activities, (the most directly comparable measures as reported in accordance with GAAP) for the historical periods presented in the tables attached to this release, and should be viewed in addition to, and not in lieu of, our Condensed Consolidated Financial Statements and notes thereto. In addition, we encourage you to visit our website at www.plainsallamerican.com (in particular the section under “Financial Information” entitled “Non-GAAP Reconciliations” within the Investor Relations tab), which presents a reconciliation of our commonly used non-GAAP and supplemental financial measures.</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Performance Measures</w:t>
      </w:r>
    </w:p>
    <w:p>
      <w:pPr>
        <w:spacing w:after="0" w:line="256"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Management believes that the presentation of Adjusted EBITDA and Implied DCF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and (ii) provide investors with the same financial analytical framework upon which management bases financial, operational, compensation and planning/budgeting decisions. We also present these and additional non-GAAP financial measures, including adjusted net income attributable to PAA and basic and diluted adjusted net income per common unit, as they are measures that investors, rating agencies and debt holders have indicated are useful in assessing us and our results of operations. These non-GAAP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(iii) long-term inventory costing adjustments, (iv) items that are not indicative of our core operating results and business outlook and/or (v) 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“Other current liabilities” on our Condensed Consolidated Financial Statements. Such amounts are presented net of applicable amounts subsequently recognized into revenue. Furthermore, the calculation of these measures contemplates tax effects as a separate reconciling item, where applicable.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218" w:lineRule="exact"/>
        <w:rPr>
          <w:sz w:val="20"/>
          <w:szCs w:val="20"/>
          <w:color w:val="auto"/>
        </w:rPr>
      </w:pPr>
    </w:p>
    <w:p>
      <w:pPr>
        <w:ind w:right="60" w:firstLine="170"/>
        <w:spacing w:after="0" w:line="258" w:lineRule="auto"/>
        <w:rPr>
          <w:sz w:val="20"/>
          <w:szCs w:val="20"/>
          <w:color w:val="auto"/>
        </w:rPr>
      </w:pPr>
      <w:r>
        <w:rPr>
          <w:rFonts w:ascii="Times New Roman" w:cs="Times New Roman" w:eastAsia="Times New Roman" w:hAnsi="Times New Roman"/>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These types of variations may not be separately identified in this release, but will be discussed, as applicable, in management’s discussion and analysis of operating results in our Quarterly Report on Form 10-Q.</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auto"/>
        </w:rPr>
        <w:t>Page 7</w:t>
      </w:r>
    </w:p>
    <w:p>
      <w:pPr>
        <w:spacing w:after="0" w:line="200" w:lineRule="exact"/>
        <w:rPr>
          <w:sz w:val="20"/>
          <w:szCs w:val="20"/>
          <w:color w:val="auto"/>
        </w:rPr>
      </w:pP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Liquidity Measures</w:t>
      </w:r>
    </w:p>
    <w:p>
      <w:pPr>
        <w:spacing w:after="0" w:line="256"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Management also uses the non-GAAP financial measures Free Cash Flow and Free Cash Flow After Distributions to assess the amount of cash that is available for distributions, debt repayments and other general partnership purposes. Free Cash Flow is defined as Net Cash Provided by Operating Activities, less Net Cash Used in Investing Activities, which primarily includes acquisition, investment and maintenance capital expenditures, investments in unconsolidated entities and the impact from the purchase and sale of linefill and base gas, net of proceeds from the sales of assets and further impacted by distributions to, contributions from and proceeds from the sale of noncontrolling interests. Free Cash Flow is further reduced by cash distributions paid to preferred and common unitholders to arrive at Free Cash Flow After Distributions.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56" w:lineRule="exact"/>
        <w:rPr>
          <w:sz w:val="20"/>
          <w:szCs w:val="20"/>
          <w:color w:val="auto"/>
        </w:rPr>
      </w:pPr>
    </w:p>
    <w:p>
      <w:pPr>
        <w:ind w:right="300" w:firstLine="180"/>
        <w:spacing w:after="0" w:line="266" w:lineRule="auto"/>
        <w:rPr>
          <w:sz w:val="20"/>
          <w:szCs w:val="20"/>
          <w:color w:val="auto"/>
        </w:rPr>
      </w:pPr>
      <w:r>
        <w:rPr>
          <w:rFonts w:ascii="Times New Roman" w:cs="Times New Roman" w:eastAsia="Times New Roman" w:hAnsi="Times New Roman"/>
          <w:sz w:val="18"/>
          <w:szCs w:val="18"/>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the following:</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Factors Related Primarily to the COVID-19 Pandemic and Excess Supply Situation:</w:t>
      </w:r>
    </w:p>
    <w:p>
      <w:pPr>
        <w:spacing w:after="0" w:line="295" w:lineRule="exact"/>
        <w:rPr>
          <w:sz w:val="20"/>
          <w:szCs w:val="20"/>
          <w:color w:val="auto"/>
        </w:rPr>
      </w:pPr>
    </w:p>
    <w:p>
      <w:pPr>
        <w:ind w:left="660" w:right="40" w:hanging="328"/>
        <w:spacing w:after="0" w:line="245" w:lineRule="auto"/>
        <w:tabs>
          <w:tab w:leader="none" w:pos="655"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further declines in global crude oil demand and crude oil prices that correspondingly lead to a significant reduction of domestic crude oil, natural gas liquids (“NGL”) and natural gas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commercial opportunities that might otherwise be available to us;</w:t>
      </w:r>
    </w:p>
    <w:p>
      <w:pPr>
        <w:spacing w:after="0" w:line="129" w:lineRule="exact"/>
        <w:rPr>
          <w:rFonts w:ascii="Arial" w:cs="Arial" w:eastAsia="Arial" w:hAnsi="Arial"/>
          <w:sz w:val="22"/>
          <w:szCs w:val="22"/>
          <w:color w:val="auto"/>
        </w:rPr>
      </w:pPr>
    </w:p>
    <w:p>
      <w:pPr>
        <w:ind w:left="660" w:right="40" w:hanging="328"/>
        <w:spacing w:after="0" w:line="239" w:lineRule="auto"/>
        <w:tabs>
          <w:tab w:leader="none" w:pos="655"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uncertainty regarding the length of time it will take for the United States, Canada, and the rest of the world to contain the spread of the COVID-19 virus to the point where restrictions on various commercial and economic activities are lifted and the extent to which consumer demand and demand for crude oil rebound once such restrictions are lifted;</w:t>
      </w:r>
    </w:p>
    <w:p>
      <w:pPr>
        <w:spacing w:after="0" w:line="132" w:lineRule="exact"/>
        <w:rPr>
          <w:rFonts w:ascii="Arial" w:cs="Arial" w:eastAsia="Arial" w:hAnsi="Arial"/>
          <w:sz w:val="22"/>
          <w:szCs w:val="22"/>
          <w:color w:val="auto"/>
        </w:rPr>
      </w:pPr>
    </w:p>
    <w:p>
      <w:pPr>
        <w:ind w:left="660" w:right="500" w:hanging="328"/>
        <w:spacing w:after="0" w:line="234" w:lineRule="auto"/>
        <w:tabs>
          <w:tab w:leader="none" w:pos="655"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uncertainty regarding the future actions of foreign oil producers such as Saudi Arabia and Russia and the risk that they take actions that will prolong or exacerbate the current over-supply of crude oil;</w:t>
      </w:r>
    </w:p>
    <w:p>
      <w:pPr>
        <w:spacing w:after="0" w:line="132" w:lineRule="exact"/>
        <w:rPr>
          <w:rFonts w:ascii="Arial" w:cs="Arial" w:eastAsia="Arial" w:hAnsi="Arial"/>
          <w:sz w:val="22"/>
          <w:szCs w:val="22"/>
          <w:color w:val="auto"/>
        </w:rPr>
      </w:pPr>
    </w:p>
    <w:p>
      <w:pPr>
        <w:ind w:left="660" w:right="400" w:hanging="328"/>
        <w:spacing w:after="0" w:line="256" w:lineRule="auto"/>
        <w:tabs>
          <w:tab w:leader="none" w:pos="655" w:val="left"/>
        </w:tabs>
        <w:numPr>
          <w:ilvl w:val="0"/>
          <w:numId w:val="7"/>
        </w:numPr>
        <w:rPr>
          <w:rFonts w:ascii="Arial" w:cs="Arial" w:eastAsia="Arial" w:hAnsi="Arial"/>
          <w:sz w:val="21"/>
          <w:szCs w:val="21"/>
          <w:color w:val="auto"/>
        </w:rPr>
      </w:pPr>
      <w:r>
        <w:rPr>
          <w:rFonts w:ascii="Times New Roman" w:cs="Times New Roman" w:eastAsia="Times New Roman" w:hAnsi="Times New Roman"/>
          <w:sz w:val="17"/>
          <w:szCs w:val="17"/>
          <w:color w:val="auto"/>
        </w:rPr>
        <w:t>uncertainty regarding the timing, pace and extent of an economic recovery in the United States and elsewhere, which in turn will likely affect demand for crude oil and therefore the demand for the midstream services we provide and the commercial opportunities available to us;</w:t>
      </w:r>
    </w:p>
    <w:p>
      <w:pPr>
        <w:spacing w:after="0" w:line="114" w:lineRule="exact"/>
        <w:rPr>
          <w:rFonts w:ascii="Arial" w:cs="Arial" w:eastAsia="Arial" w:hAnsi="Arial"/>
          <w:sz w:val="21"/>
          <w:szCs w:val="21"/>
          <w:color w:val="auto"/>
        </w:rPr>
      </w:pPr>
    </w:p>
    <w:p>
      <w:pPr>
        <w:ind w:left="660" w:right="80" w:hanging="328"/>
        <w:spacing w:after="0" w:line="239" w:lineRule="auto"/>
        <w:tabs>
          <w:tab w:leader="none" w:pos="655"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the effect of an overhang of significant amounts of crude oil inventory stored in the United States and elsewhere and the impact that such inventory overhang ultimately has on the timing of a return to market conditions that are more conducive to an increase in drilling and production activities in the United States and a resulting increase in demand for the midstream services we provide;</w:t>
      </w:r>
    </w:p>
    <w:p>
      <w:pPr>
        <w:spacing w:after="0" w:line="132" w:lineRule="exact"/>
        <w:rPr>
          <w:rFonts w:ascii="Arial" w:cs="Arial" w:eastAsia="Arial" w:hAnsi="Arial"/>
          <w:sz w:val="22"/>
          <w:szCs w:val="22"/>
          <w:color w:val="auto"/>
        </w:rPr>
      </w:pPr>
    </w:p>
    <w:p>
      <w:pPr>
        <w:ind w:left="660" w:hanging="328"/>
        <w:spacing w:after="0" w:line="243" w:lineRule="auto"/>
        <w:tabs>
          <w:tab w:leader="none" w:pos="655"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127" w:lineRule="exact"/>
        <w:rPr>
          <w:rFonts w:ascii="Arial" w:cs="Arial" w:eastAsia="Arial" w:hAnsi="Arial"/>
          <w:sz w:val="22"/>
          <w:szCs w:val="22"/>
          <w:color w:val="auto"/>
        </w:rPr>
      </w:pPr>
    </w:p>
    <w:p>
      <w:pPr>
        <w:jc w:val="both"/>
        <w:ind w:left="660" w:right="680" w:hanging="328"/>
        <w:spacing w:after="0" w:line="256" w:lineRule="auto"/>
        <w:tabs>
          <w:tab w:leader="none" w:pos="655" w:val="left"/>
        </w:tabs>
        <w:numPr>
          <w:ilvl w:val="0"/>
          <w:numId w:val="7"/>
        </w:numPr>
        <w:rPr>
          <w:rFonts w:ascii="Arial" w:cs="Arial" w:eastAsia="Arial" w:hAnsi="Arial"/>
          <w:sz w:val="21"/>
          <w:szCs w:val="21"/>
          <w:color w:val="auto"/>
        </w:rPr>
      </w:pPr>
      <w:r>
        <w:rPr>
          <w:rFonts w:ascii="Times New Roman" w:cs="Times New Roman" w:eastAsia="Times New Roman" w:hAnsi="Times New Roman"/>
          <w:sz w:val="17"/>
          <w:szCs w:val="17"/>
          <w:color w:val="auto"/>
        </w:rPr>
        <w:t>our inability to perform our obligations under our contracts, whether due to non-performance by third parties, including our customers or counterparties, market constraints, third-party constraints, legal constraints (including governmental orders or guidance), or other factors;</w:t>
      </w:r>
    </w:p>
    <w:p>
      <w:pPr>
        <w:spacing w:after="0" w:line="82" w:lineRule="exact"/>
        <w:rPr>
          <w:rFonts w:ascii="Arial" w:cs="Arial" w:eastAsia="Arial" w:hAnsi="Arial"/>
          <w:sz w:val="21"/>
          <w:szCs w:val="21"/>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operational difficulties due to physical distancing restrictions and the additional demands such restrictions may place on our employees;</w:t>
      </w:r>
    </w:p>
    <w:p>
      <w:pPr>
        <w:spacing w:after="0" w:line="22" w:lineRule="exact"/>
        <w:rPr>
          <w:rFonts w:ascii="Arial" w:cs="Arial" w:eastAsia="Arial" w:hAnsi="Arial"/>
          <w:sz w:val="22"/>
          <w:szCs w:val="22"/>
          <w:color w:val="auto"/>
        </w:rPr>
      </w:pPr>
    </w:p>
    <w:p>
      <w:pPr>
        <w:ind w:left="5440" w:hanging="106"/>
        <w:spacing w:after="0"/>
        <w:tabs>
          <w:tab w:leader="none" w:pos="54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20"/>
          </w:cols>
          <w:pgMar w:left="320" w:top="364"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auto"/>
        </w:rPr>
        <w:t>Page 8</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right="380" w:hanging="328"/>
        <w:spacing w:after="0" w:line="220" w:lineRule="auto"/>
        <w:tabs>
          <w:tab w:leader="none" w:pos="655"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disruptions to futures markets for crude oil, NGL and other petroleum products, which may impair our ability to execute our commercial and hedging strategies;</w:t>
      </w:r>
    </w:p>
    <w:p>
      <w:pPr>
        <w:spacing w:after="0" w:line="253"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our inability to reduce capital expenditures to the extent forecasted, whether due to the incurrence of unexpected or unplanned expenditures, third-party claims or other factors;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the inability to complete forecasted asset sale transactions due to governmental action, litigation, counterparty non-performance or other factors;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Factors:</w:t>
      </w:r>
    </w:p>
    <w:p>
      <w:pPr>
        <w:spacing w:after="0" w:line="276" w:lineRule="exact"/>
        <w:rPr>
          <w:sz w:val="20"/>
          <w:szCs w:val="20"/>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the effects of competition, including the effects of capacity overbuild in areas where we operate;</w:t>
      </w:r>
    </w:p>
    <w:p>
      <w:pPr>
        <w:spacing w:after="0" w:line="130" w:lineRule="exact"/>
        <w:rPr>
          <w:rFonts w:ascii="Arial" w:cs="Arial" w:eastAsia="Arial" w:hAnsi="Arial"/>
          <w:sz w:val="22"/>
          <w:szCs w:val="22"/>
          <w:color w:val="auto"/>
        </w:rPr>
      </w:pPr>
    </w:p>
    <w:p>
      <w:pPr>
        <w:ind w:left="660" w:right="120" w:hanging="328"/>
        <w:spacing w:after="0" w:line="234" w:lineRule="auto"/>
        <w:tabs>
          <w:tab w:leader="none" w:pos="655"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negative societal sentiment regarding the hydrocarbon energy industry and the continued development and consumption of hydrocarbons, which could influence consumer preferences and governmental or regulatory actions in ways that adversely impact our business;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unanticipated changes in crude oil and NGL market structure, grade differentials and volatility (or lack thereof);</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environmental liabilities or events that are not covered by an indemnity, insurance or existing reserves;</w:t>
      </w:r>
    </w:p>
    <w:p>
      <w:pPr>
        <w:spacing w:after="0" w:line="130" w:lineRule="exact"/>
        <w:rPr>
          <w:rFonts w:ascii="Arial" w:cs="Arial" w:eastAsia="Arial" w:hAnsi="Arial"/>
          <w:sz w:val="22"/>
          <w:szCs w:val="22"/>
          <w:color w:val="auto"/>
        </w:rPr>
      </w:pPr>
    </w:p>
    <w:p>
      <w:pPr>
        <w:ind w:left="660" w:right="200" w:hanging="328"/>
        <w:spacing w:after="0" w:line="234" w:lineRule="auto"/>
        <w:tabs>
          <w:tab w:leader="none" w:pos="655"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fluctuations in refinery capacity in areas supplied by our mainlines and other factors affecting demand for various grades of crude oil, NGL and natural gas and resulting changes in pricing conditions or transportation throughput requirements;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maintenance of our credit rating and ability to receive open credit from our suppliers and trade counterparties;</w:t>
      </w:r>
    </w:p>
    <w:p>
      <w:pPr>
        <w:spacing w:after="0" w:line="130" w:lineRule="exact"/>
        <w:rPr>
          <w:rFonts w:ascii="Arial" w:cs="Arial" w:eastAsia="Arial" w:hAnsi="Arial"/>
          <w:sz w:val="22"/>
          <w:szCs w:val="22"/>
          <w:color w:val="auto"/>
        </w:rPr>
      </w:pPr>
    </w:p>
    <w:p>
      <w:pPr>
        <w:ind w:left="660" w:right="40" w:hanging="328"/>
        <w:spacing w:after="0" w:line="234" w:lineRule="auto"/>
        <w:tabs>
          <w:tab w:leader="none" w:pos="655"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the occurrence of a natural disaster, catastrophe, terrorist attack (including eco-terrorist attacks) or other event, including cyber or other attacks on our electronic and computer systems;</w:t>
      </w:r>
    </w:p>
    <w:p>
      <w:pPr>
        <w:spacing w:after="0" w:line="132" w:lineRule="exact"/>
        <w:rPr>
          <w:rFonts w:ascii="Arial" w:cs="Arial" w:eastAsia="Arial" w:hAnsi="Arial"/>
          <w:sz w:val="22"/>
          <w:szCs w:val="22"/>
          <w:color w:val="auto"/>
        </w:rPr>
      </w:pPr>
    </w:p>
    <w:p>
      <w:pPr>
        <w:ind w:left="660" w:right="660" w:hanging="328"/>
        <w:spacing w:after="0" w:line="234" w:lineRule="auto"/>
        <w:tabs>
          <w:tab w:leader="none" w:pos="655"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the successful integration and future performance of acquired assets or businesses and the successful operation of joint ventures and joint operating arrangements we enter into from time to time, whether relating to assets operated by us or by third parties;</w:t>
      </w:r>
    </w:p>
    <w:p>
      <w:pPr>
        <w:spacing w:after="0" w:line="132" w:lineRule="exact"/>
        <w:rPr>
          <w:rFonts w:ascii="Arial" w:cs="Arial" w:eastAsia="Arial" w:hAnsi="Arial"/>
          <w:sz w:val="22"/>
          <w:szCs w:val="22"/>
          <w:color w:val="auto"/>
        </w:rPr>
      </w:pPr>
    </w:p>
    <w:p>
      <w:pPr>
        <w:ind w:left="660" w:right="340" w:hanging="328"/>
        <w:spacing w:after="0" w:line="234" w:lineRule="auto"/>
        <w:tabs>
          <w:tab w:leader="none" w:pos="655"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failure to implement or capitalize, or delays in implementing or capitalizing, on investment capital projects, whether due to permitting delays, permitting withdrawals or other factors;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shortages or cost increases of supplies, materials or labor;</w:t>
      </w:r>
    </w:p>
    <w:p>
      <w:pPr>
        <w:spacing w:after="0" w:line="130" w:lineRule="exact"/>
        <w:rPr>
          <w:rFonts w:ascii="Arial" w:cs="Arial" w:eastAsia="Arial" w:hAnsi="Arial"/>
          <w:sz w:val="22"/>
          <w:szCs w:val="22"/>
          <w:color w:val="auto"/>
        </w:rPr>
      </w:pPr>
    </w:p>
    <w:p>
      <w:pPr>
        <w:ind w:left="660" w:right="640" w:hanging="328"/>
        <w:spacing w:after="0" w:line="275" w:lineRule="auto"/>
        <w:tabs>
          <w:tab w:leader="none" w:pos="655"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the impact of current and future laws, rulings, governmental regulations, accounting standards and statements, and related interpretations, including legislation or regulatory initiatives that prohibit, restrict or regulate hydraulic fracturing;</w:t>
      </w:r>
    </w:p>
    <w:p>
      <w:pPr>
        <w:spacing w:after="0" w:line="93" w:lineRule="exact"/>
        <w:rPr>
          <w:rFonts w:ascii="Arial" w:cs="Arial" w:eastAsia="Arial" w:hAnsi="Arial"/>
          <w:sz w:val="22"/>
          <w:szCs w:val="22"/>
          <w:color w:val="auto"/>
        </w:rPr>
      </w:pPr>
    </w:p>
    <w:p>
      <w:pPr>
        <w:ind w:left="660" w:right="20" w:hanging="328"/>
        <w:spacing w:after="0" w:line="256" w:lineRule="auto"/>
        <w:tabs>
          <w:tab w:leader="none" w:pos="655" w:val="left"/>
        </w:tabs>
        <w:numPr>
          <w:ilvl w:val="0"/>
          <w:numId w:val="9"/>
        </w:numPr>
        <w:rPr>
          <w:rFonts w:ascii="Arial" w:cs="Arial" w:eastAsia="Arial" w:hAnsi="Arial"/>
          <w:sz w:val="21"/>
          <w:szCs w:val="21"/>
          <w:color w:val="auto"/>
        </w:rPr>
      </w:pPr>
      <w:r>
        <w:rPr>
          <w:rFonts w:ascii="Times New Roman" w:cs="Times New Roman" w:eastAsia="Times New Roman" w:hAnsi="Times New Roman"/>
          <w:sz w:val="17"/>
          <w:szCs w:val="17"/>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114" w:lineRule="exact"/>
        <w:rPr>
          <w:rFonts w:ascii="Arial" w:cs="Arial" w:eastAsia="Arial" w:hAnsi="Arial"/>
          <w:sz w:val="21"/>
          <w:szCs w:val="21"/>
          <w:color w:val="auto"/>
        </w:rPr>
      </w:pPr>
    </w:p>
    <w:p>
      <w:pPr>
        <w:ind w:left="660" w:right="40" w:hanging="328"/>
        <w:spacing w:after="0" w:line="239" w:lineRule="auto"/>
        <w:tabs>
          <w:tab w:leader="none" w:pos="655"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general economic, market or business conditions (both within the United States and globally and including the potential for a recession or significant slowdown in economic activity levels) and the amplification of other risks caused by volatile financial markets, capital constraints and liquidity concerns;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the availability of, and our ability to consummate, divestitures, joint ventures, acquisitions or other strategic opportunities;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the currency exchange rate of the Canadian dollar;</w:t>
      </w:r>
    </w:p>
    <w:p>
      <w:pPr>
        <w:spacing w:after="0" w:line="143" w:lineRule="exact"/>
        <w:rPr>
          <w:rFonts w:ascii="Arial" w:cs="Arial" w:eastAsia="Arial" w:hAnsi="Arial"/>
          <w:sz w:val="22"/>
          <w:szCs w:val="22"/>
          <w:color w:val="auto"/>
        </w:rPr>
      </w:pPr>
    </w:p>
    <w:p>
      <w:pPr>
        <w:ind w:left="5440" w:hanging="106"/>
        <w:spacing w:after="0"/>
        <w:tabs>
          <w:tab w:leader="none" w:pos="54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180"/>
          </w:cols>
          <w:pgMar w:left="320" w:top="364" w:right="3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auto"/>
        </w:rPr>
        <w:t>Page 9</w:t>
      </w:r>
    </w:p>
    <w:p>
      <w:pPr>
        <w:spacing w:after="0" w:line="200" w:lineRule="exact"/>
        <w:rPr>
          <w:sz w:val="20"/>
          <w:szCs w:val="20"/>
          <w:color w:val="auto"/>
        </w:rPr>
      </w:pPr>
    </w:p>
    <w:p>
      <w:pPr>
        <w:spacing w:after="0" w:line="282" w:lineRule="exact"/>
        <w:rPr>
          <w:sz w:val="20"/>
          <w:szCs w:val="20"/>
          <w:color w:val="auto"/>
        </w:rPr>
      </w:pPr>
    </w:p>
    <w:p>
      <w:pPr>
        <w:ind w:left="660" w:right="140" w:hanging="328"/>
        <w:spacing w:after="0" w:line="234" w:lineRule="auto"/>
        <w:tabs>
          <w:tab w:leader="none" w:pos="655"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auto"/>
        </w:rPr>
        <w:t>continued creditworthiness of, and performance by, our counterparties, including financial institutions and trading companies with which we do business;</w:t>
      </w:r>
    </w:p>
    <w:p>
      <w:pPr>
        <w:spacing w:after="0" w:line="132" w:lineRule="exact"/>
        <w:rPr>
          <w:rFonts w:ascii="Arial" w:cs="Arial" w:eastAsia="Arial" w:hAnsi="Arial"/>
          <w:sz w:val="22"/>
          <w:szCs w:val="22"/>
          <w:color w:val="auto"/>
        </w:rPr>
      </w:pPr>
    </w:p>
    <w:p>
      <w:pPr>
        <w:ind w:left="660" w:right="60" w:hanging="328"/>
        <w:spacing w:after="0" w:line="234" w:lineRule="auto"/>
        <w:tabs>
          <w:tab w:leader="none" w:pos="655"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auto"/>
        </w:rPr>
        <w:t>non-utilization of our assets and facilities;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auto"/>
        </w:rPr>
        <w:t>increased costs, or lack of availability, of insurance;</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auto"/>
        </w:rPr>
        <w:t>weather interference with business operations or project construction, including the impact of extreme weather events or conditions;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auto"/>
        </w:rPr>
        <w:t>the effectiveness of our risk management activities;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auto"/>
        </w:rPr>
        <w:t>fluctuations in the debt and equity markets, including the price of our units at the time of vesting under our long-term incentive plans;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auto"/>
        </w:rPr>
        <w:t>risks related to the development and operation of our assets, including our ability to satisfy our contractual obligations to our customers; and</w:t>
      </w:r>
    </w:p>
    <w:p>
      <w:pPr>
        <w:spacing w:after="0" w:line="130" w:lineRule="exact"/>
        <w:rPr>
          <w:rFonts w:ascii="Arial" w:cs="Arial" w:eastAsia="Arial" w:hAnsi="Arial"/>
          <w:sz w:val="22"/>
          <w:szCs w:val="22"/>
          <w:color w:val="auto"/>
        </w:rPr>
      </w:pPr>
    </w:p>
    <w:p>
      <w:pPr>
        <w:ind w:left="660" w:right="120" w:hanging="328"/>
        <w:spacing w:after="0" w:line="239" w:lineRule="auto"/>
        <w:tabs>
          <w:tab w:leader="none" w:pos="655"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auto"/>
        </w:rPr>
        <w:t>other factors and uncertainties inherent in the transportation, storage, terminalling and marketing of crude oil, as well as in the storage of natural gas and the processing, transportation, fractionation, storage and marketing of NGL as discussed in the Partnerships’ filings with the Securities and Exchange Commission.</w:t>
      </w:r>
    </w:p>
    <w:p>
      <w:pPr>
        <w:spacing w:after="0" w:line="200"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PAA is a publicly traded master limited partnership that owns and operates midstream energy infrastructure and provides logistics services for crude oil, NGL and natural gas. PAA owns an extensive network of pipeline transportation, terminalling, storage and gathering assets in key crude oil and NGL producing basins and transportation corridors and at major market hubs in the United States and Canada. On average, PAA handles more than 6 million barrels per day of crude oil and NGL in its Transportation segment. PAA is headquartered in Houston, Texas. More information is available at www.plainsallamerican.com.</w:t>
      </w:r>
    </w:p>
    <w:p>
      <w:pPr>
        <w:spacing w:after="0" w:line="210" w:lineRule="exact"/>
        <w:rPr>
          <w:sz w:val="20"/>
          <w:szCs w:val="20"/>
          <w:color w:val="auto"/>
        </w:rPr>
      </w:pPr>
    </w:p>
    <w:p>
      <w:pPr>
        <w:jc w:val="both"/>
        <w:ind w:firstLine="180"/>
        <w:spacing w:after="0" w:line="266" w:lineRule="auto"/>
        <w:rPr>
          <w:sz w:val="20"/>
          <w:szCs w:val="20"/>
          <w:color w:val="auto"/>
        </w:rPr>
      </w:pPr>
      <w:r>
        <w:rPr>
          <w:rFonts w:ascii="Times New Roman" w:cs="Times New Roman" w:eastAsia="Times New Roman" w:hAnsi="Times New Roman"/>
          <w:sz w:val="18"/>
          <w:szCs w:val="18"/>
          <w:color w:val="auto"/>
        </w:rPr>
        <w:t>PAGP is a publicly traded entity that owns an indirect, non-economic controlling general partner interest in PAA and an indirect limited partner interest in PAA, one of the largest energy infrastructure and logistics companies in North America. PAGP is headquartered in Houston, Texas. More information is available at www.plainsallamerican.com.</w:t>
      </w:r>
    </w:p>
    <w:p>
      <w:pPr>
        <w:spacing w:after="0" w:line="2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140"/>
          </w:cols>
          <w:pgMar w:left="320" w:top="364"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auto"/>
        </w:rPr>
        <w:t>Page 10</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STATEMENTS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per unit data)</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2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218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left="35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41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tcPr>
          <w:p>
            <w:pPr>
              <w:spacing w:after="0"/>
              <w:rPr>
                <w:sz w:val="15"/>
                <w:szCs w:val="15"/>
                <w:color w:val="auto"/>
              </w:rPr>
            </w:pPr>
          </w:p>
        </w:tc>
        <w:tc>
          <w:tcPr>
            <w:tcW w:w="2800" w:type="dxa"/>
            <w:vAlign w:val="bottom"/>
            <w:tcBorders>
              <w:bottom w:val="single" w:sz="8" w:color="CCEEFF"/>
            </w:tcBorders>
          </w:tcPr>
          <w:p>
            <w:pPr>
              <w:spacing w:after="0"/>
              <w:rPr>
                <w:sz w:val="15"/>
                <w:szCs w:val="15"/>
                <w:color w:val="auto"/>
              </w:rPr>
            </w:pPr>
          </w:p>
        </w:tc>
        <w:tc>
          <w:tcPr>
            <w:tcW w:w="1900" w:type="dxa"/>
            <w:vAlign w:val="bottom"/>
            <w:tcBorders>
              <w:bottom w:val="single" w:sz="8" w:color="CCEEFF"/>
            </w:tcBorders>
          </w:tcPr>
          <w:p>
            <w:pPr>
              <w:spacing w:after="0"/>
              <w:rPr>
                <w:sz w:val="15"/>
                <w:szCs w:val="15"/>
                <w:color w:val="auto"/>
              </w:rPr>
            </w:pPr>
          </w:p>
        </w:tc>
        <w:tc>
          <w:tcPr>
            <w:tcW w:w="15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Field operating costs</w:t>
            </w:r>
          </w:p>
        </w:tc>
        <w:tc>
          <w:tcPr>
            <w:tcW w:w="1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(Gains)/losses on asset sales and asset impairments, net</w:t>
            </w: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impairment losses</w:t>
            </w:r>
          </w:p>
        </w:tc>
        <w:tc>
          <w:tcPr>
            <w:tcW w:w="1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5,580</w:t>
            </w: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7,394</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19,637</w:t>
            </w: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22,858</w:t>
            </w:r>
          </w:p>
        </w:tc>
        <w:tc>
          <w:tcPr>
            <w:tcW w:w="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INCOME/(LOSS)</w:t>
            </w: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INCOME/(EXPENSE)</w:t>
            </w: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1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Gain on/(impairment of) investments in unconsolidated entities, net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income/(expense), net</w:t>
            </w:r>
          </w:p>
        </w:tc>
        <w:tc>
          <w:tcPr>
            <w:tcW w:w="15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INCOME/(LOSS) BEFORE TAX</w:t>
            </w: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1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Deferred income tax (expense)/benefit</w:t>
            </w:r>
          </w:p>
        </w:tc>
        <w:tc>
          <w:tcPr>
            <w:tcW w:w="15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INCOME/(LOSS)</w:t>
            </w: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INCOME/(LOSS) ATTRIBUTABLE TO PAA</w:t>
            </w: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19"/>
                <w:szCs w:val="19"/>
                <w:color w:val="auto"/>
              </w:rPr>
            </w:pP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(2,562)</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80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INCOME/(LOSS) PER COMMON UNIT:</w:t>
            </w: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income/(loss) allocated to common unitholders — Basic</w:t>
            </w:r>
          </w:p>
        </w:tc>
        <w:tc>
          <w:tcPr>
            <w:tcW w:w="184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Basic weighted average common units outstanding</w:t>
            </w: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4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 net income/(loss) per common unit</w:t>
            </w:r>
          </w:p>
        </w:tc>
        <w:tc>
          <w:tcPr>
            <w:tcW w:w="184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income/(loss) allocated to common unitholders — Diluted</w:t>
            </w:r>
          </w:p>
        </w:tc>
        <w:tc>
          <w:tcPr>
            <w:tcW w:w="184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Diluted weighted average common units outstanding</w:t>
            </w: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0" w:type="dxa"/>
            <w:vAlign w:val="bottom"/>
            <w:shd w:val="clear" w:color="auto" w:fill="CCEEFF"/>
          </w:tcPr>
          <w:p>
            <w:pPr>
              <w:spacing w:after="0"/>
              <w:rPr>
                <w:sz w:val="21"/>
                <w:szCs w:val="21"/>
                <w:color w:val="auto"/>
              </w:rPr>
            </w:pPr>
          </w:p>
        </w:tc>
        <w:tc>
          <w:tcPr>
            <w:tcW w:w="4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 net income/(loss) per common unit</w:t>
            </w:r>
          </w:p>
        </w:tc>
        <w:tc>
          <w:tcPr>
            <w:tcW w:w="184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NON-GAAP ADJUSTED RESULTS</w:t>
            </w:r>
          </w:p>
        </w:tc>
        <w:tc>
          <w:tcPr>
            <w:tcW w:w="1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4720" w:type="dxa"/>
            <w:vAlign w:val="bottom"/>
            <w:gridSpan w:val="3"/>
            <w:vMerge w:val="continue"/>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8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 millions, except per unit data)</w:t>
            </w:r>
          </w:p>
        </w:tc>
        <w:tc>
          <w:tcPr>
            <w:tcW w:w="19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2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4"/>
                <w:szCs w:val="14"/>
                <w:color w:val="auto"/>
              </w:rPr>
            </w:pPr>
          </w:p>
        </w:tc>
        <w:tc>
          <w:tcPr>
            <w:tcW w:w="218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left="31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41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tcPr>
          <w:p>
            <w:pPr>
              <w:spacing w:after="0"/>
              <w:rPr>
                <w:sz w:val="15"/>
                <w:szCs w:val="15"/>
                <w:color w:val="auto"/>
              </w:rPr>
            </w:pPr>
          </w:p>
        </w:tc>
        <w:tc>
          <w:tcPr>
            <w:tcW w:w="2800" w:type="dxa"/>
            <w:vAlign w:val="bottom"/>
            <w:tcBorders>
              <w:bottom w:val="single" w:sz="8" w:color="CCEEFF"/>
            </w:tcBorders>
          </w:tcPr>
          <w:p>
            <w:pPr>
              <w:spacing w:after="0"/>
              <w:rPr>
                <w:sz w:val="15"/>
                <w:szCs w:val="15"/>
                <w:color w:val="auto"/>
              </w:rPr>
            </w:pPr>
          </w:p>
        </w:tc>
        <w:tc>
          <w:tcPr>
            <w:tcW w:w="1900" w:type="dxa"/>
            <w:vAlign w:val="bottom"/>
            <w:tcBorders>
              <w:bottom w:val="single" w:sz="8" w:color="CCEEFF"/>
            </w:tcBorders>
          </w:tcPr>
          <w:p>
            <w:pPr>
              <w:spacing w:after="0"/>
              <w:rPr>
                <w:sz w:val="15"/>
                <w:szCs w:val="15"/>
                <w:color w:val="auto"/>
              </w:rPr>
            </w:pPr>
          </w:p>
        </w:tc>
        <w:tc>
          <w:tcPr>
            <w:tcW w:w="15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 attributable to PAA</w:t>
            </w:r>
          </w:p>
        </w:tc>
        <w:tc>
          <w:tcPr>
            <w:tcW w:w="15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gridSpan w:val="2"/>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gridSpan w:val="2"/>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adjusted net income per common unit</w:t>
            </w:r>
          </w:p>
        </w:tc>
        <w:tc>
          <w:tcPr>
            <w:tcW w:w="184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gridSpan w:val="2"/>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84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840" w:type="dxa"/>
            <w:vAlign w:val="bottom"/>
            <w:gridSpan w:val="3"/>
          </w:tcPr>
          <w:p>
            <w:pPr>
              <w:jc w:val="right"/>
              <w:ind w:right="550"/>
              <w:spacing w:after="0"/>
              <w:rPr>
                <w:sz w:val="20"/>
                <w:szCs w:val="20"/>
                <w:color w:val="auto"/>
              </w:rPr>
            </w:pPr>
            <w:r>
              <w:rPr>
                <w:rFonts w:ascii="Times New Roman" w:cs="Times New Roman" w:eastAsia="Times New Roman" w:hAnsi="Times New Roman"/>
                <w:sz w:val="18"/>
                <w:szCs w:val="18"/>
                <w:color w:val="auto"/>
              </w:rPr>
              <w:t>- more -</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00" w:type="dxa"/>
            <w:vAlign w:val="bottom"/>
            <w:tcBorders>
              <w:bottom w:val="single" w:sz="8" w:color="auto"/>
            </w:tcBorders>
            <w:gridSpan w:val="2"/>
          </w:tcPr>
          <w:p>
            <w:pPr>
              <w:spacing w:after="0"/>
              <w:rPr>
                <w:sz w:val="11"/>
                <w:szCs w:val="11"/>
                <w:color w:val="auto"/>
              </w:rPr>
            </w:pPr>
          </w:p>
        </w:tc>
        <w:tc>
          <w:tcPr>
            <w:tcW w:w="1840" w:type="dxa"/>
            <w:vAlign w:val="bottom"/>
            <w:tcBorders>
              <w:bottom w:val="single" w:sz="8" w:color="auto"/>
            </w:tcBorders>
            <w:gridSpan w:val="3"/>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60" w:type="dxa"/>
            <w:vAlign w:val="bottom"/>
            <w:tcBorders>
              <w:bottom w:val="single" w:sz="8" w:color="auto"/>
            </w:tcBorders>
            <w:gridSpan w:val="5"/>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700" w:type="dxa"/>
            <w:vAlign w:val="bottom"/>
            <w:gridSpan w:val="2"/>
          </w:tcPr>
          <w:p>
            <w:pPr>
              <w:ind w:left="1640"/>
              <w:spacing w:after="0"/>
              <w:rPr>
                <w:sz w:val="20"/>
                <w:szCs w:val="20"/>
                <w:color w:val="auto"/>
              </w:rPr>
            </w:pPr>
            <w:r>
              <w:rPr>
                <w:rFonts w:ascii="Times New Roman" w:cs="Times New Roman" w:eastAsia="Times New Roman" w:hAnsi="Times New Roman"/>
                <w:sz w:val="18"/>
                <w:szCs w:val="18"/>
                <w:b w:val="1"/>
                <w:bCs w:val="1"/>
                <w:color w:val="auto"/>
              </w:rPr>
              <w:t>333 Clay Street, Suite 1600</w:t>
            </w:r>
          </w:p>
        </w:tc>
        <w:tc>
          <w:tcPr>
            <w:tcW w:w="18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Houston, Texas 77002</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713-646-4100 / 866-809-1291</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auto"/>
        </w:rPr>
        <w:t>Page 11</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BALANCE SHEET DATA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2800" w:type="dxa"/>
            <w:vAlign w:val="bottom"/>
            <w:tcBorders>
              <w:bottom w:val="single" w:sz="8" w:color="CCEEFF"/>
            </w:tcBorders>
          </w:tcPr>
          <w:p>
            <w:pPr>
              <w:spacing w:after="0"/>
              <w:rPr>
                <w:sz w:val="16"/>
                <w:szCs w:val="16"/>
                <w:color w:val="auto"/>
              </w:rPr>
            </w:pPr>
          </w:p>
        </w:tc>
        <w:tc>
          <w:tcPr>
            <w:tcW w:w="1900" w:type="dxa"/>
            <w:vAlign w:val="bottom"/>
            <w:tcBorders>
              <w:bottom w:val="single" w:sz="8" w:color="CCEEFF"/>
            </w:tcBorders>
          </w:tcPr>
          <w:p>
            <w:pPr>
              <w:spacing w:after="0"/>
              <w:rPr>
                <w:sz w:val="16"/>
                <w:szCs w:val="16"/>
                <w:color w:val="auto"/>
              </w:rPr>
            </w:pPr>
          </w:p>
        </w:tc>
        <w:tc>
          <w:tcPr>
            <w:tcW w:w="226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60" w:type="dxa"/>
            <w:vAlign w:val="bottom"/>
          </w:tcPr>
          <w:p>
            <w:pPr>
              <w:spacing w:after="0"/>
              <w:rPr>
                <w:sz w:val="19"/>
                <w:szCs w:val="19"/>
                <w:color w:val="auto"/>
              </w:rPr>
            </w:pPr>
          </w:p>
        </w:tc>
        <w:tc>
          <w:tcPr>
            <w:tcW w:w="1600" w:type="dxa"/>
            <w:vAlign w:val="bottom"/>
            <w:gridSpan w:val="3"/>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3,405</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14,618</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2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3,743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Linefill and base gas</w:t>
            </w:r>
          </w:p>
        </w:tc>
        <w:tc>
          <w:tcPr>
            <w:tcW w:w="2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operating lease right-of-use assets, net</w:t>
            </w:r>
          </w:p>
        </w:tc>
        <w:tc>
          <w:tcPr>
            <w:tcW w:w="2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inventory</w:t>
            </w:r>
          </w:p>
        </w:tc>
        <w:tc>
          <w:tcPr>
            <w:tcW w:w="2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assets, net</w:t>
            </w:r>
          </w:p>
        </w:tc>
        <w:tc>
          <w:tcPr>
            <w:tcW w:w="2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999</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assets</w:t>
            </w:r>
          </w:p>
        </w:tc>
        <w:tc>
          <w:tcPr>
            <w:tcW w:w="2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24,246</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28,677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280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 AND PARTNERS’ CAPITAL</w:t>
            </w:r>
          </w:p>
        </w:tc>
        <w:tc>
          <w:tcPr>
            <w:tcW w:w="2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6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3,804</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notes, net</w:t>
            </w:r>
          </w:p>
        </w:tc>
        <w:tc>
          <w:tcPr>
            <w:tcW w:w="2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9,069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debt, net</w:t>
            </w:r>
          </w:p>
        </w:tc>
        <w:tc>
          <w:tcPr>
            <w:tcW w:w="2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 and deferred credits</w:t>
            </w:r>
          </w:p>
        </w:tc>
        <w:tc>
          <w:tcPr>
            <w:tcW w:w="2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873</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liabilities</w:t>
            </w:r>
          </w:p>
        </w:tc>
        <w:tc>
          <w:tcPr>
            <w:tcW w:w="2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14,395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Partners’ capital excluding noncontrolling interests</w:t>
            </w:r>
          </w:p>
        </w:tc>
        <w:tc>
          <w:tcPr>
            <w:tcW w:w="2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9,706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145</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Total partners’ capital</w:t>
            </w:r>
          </w:p>
        </w:tc>
        <w:tc>
          <w:tcPr>
            <w:tcW w:w="22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9,851</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liabilities and partners’ capital</w:t>
            </w:r>
          </w:p>
        </w:tc>
        <w:tc>
          <w:tcPr>
            <w:tcW w:w="2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24,246</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28,677</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DEBT CAPITALIZATION RATIOS</w:t>
            </w:r>
          </w:p>
        </w:tc>
        <w:tc>
          <w:tcPr>
            <w:tcW w:w="22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4720" w:type="dxa"/>
            <w:vAlign w:val="bottom"/>
            <w:gridSpan w:val="3"/>
            <w:vMerge w:val="continue"/>
          </w:tcPr>
          <w:p>
            <w:pPr>
              <w:spacing w:after="0"/>
              <w:rPr>
                <w:sz w:val="24"/>
                <w:szCs w:val="24"/>
                <w:color w:val="auto"/>
              </w:rPr>
            </w:pPr>
          </w:p>
        </w:tc>
        <w:tc>
          <w:tcPr>
            <w:tcW w:w="2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9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2800" w:type="dxa"/>
            <w:vAlign w:val="bottom"/>
            <w:tcBorders>
              <w:bottom w:val="single" w:sz="8" w:color="CCEEFF"/>
            </w:tcBorders>
          </w:tcPr>
          <w:p>
            <w:pPr>
              <w:spacing w:after="0"/>
              <w:rPr>
                <w:sz w:val="16"/>
                <w:szCs w:val="16"/>
                <w:color w:val="auto"/>
              </w:rPr>
            </w:pPr>
          </w:p>
        </w:tc>
        <w:tc>
          <w:tcPr>
            <w:tcW w:w="1900" w:type="dxa"/>
            <w:vAlign w:val="bottom"/>
            <w:tcBorders>
              <w:bottom w:val="single" w:sz="8" w:color="CCEEFF"/>
            </w:tcBorders>
          </w:tcPr>
          <w:p>
            <w:pPr>
              <w:spacing w:after="0"/>
              <w:rPr>
                <w:sz w:val="16"/>
                <w:szCs w:val="16"/>
                <w:color w:val="auto"/>
              </w:rPr>
            </w:pPr>
          </w:p>
        </w:tc>
        <w:tc>
          <w:tcPr>
            <w:tcW w:w="226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debt</w:t>
            </w:r>
          </w:p>
        </w:tc>
        <w:tc>
          <w:tcPr>
            <w:tcW w:w="2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2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9,381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debt</w:t>
            </w:r>
          </w:p>
        </w:tc>
        <w:tc>
          <w:tcPr>
            <w:tcW w:w="2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10,171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9,691</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gridSpan w:val="2"/>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2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9,381</w:t>
            </w: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Partners’ capital</w:t>
            </w:r>
          </w:p>
        </w:tc>
        <w:tc>
          <w:tcPr>
            <w:tcW w:w="22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9,851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book capitalization</w:t>
            </w:r>
          </w:p>
        </w:tc>
        <w:tc>
          <w:tcPr>
            <w:tcW w:w="2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19,232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22,382</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gridSpan w:val="2"/>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gridSpan w:val="2"/>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book capitalization, including short-term debt</w:t>
            </w:r>
          </w:p>
        </w:tc>
        <w:tc>
          <w:tcPr>
            <w:tcW w:w="2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132"/>
              <w:spacing w:after="0" w:line="203" w:lineRule="exact"/>
              <w:rPr>
                <w:sz w:val="20"/>
                <w:szCs w:val="20"/>
                <w:color w:val="auto"/>
              </w:rPr>
            </w:pPr>
            <w:r>
              <w:rPr>
                <w:rFonts w:ascii="Times New Roman" w:cs="Times New Roman" w:eastAsia="Times New Roman" w:hAnsi="Times New Roman"/>
                <w:sz w:val="18"/>
                <w:szCs w:val="18"/>
                <w:color w:val="auto"/>
              </w:rPr>
              <w:t>20,022</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gridSpan w:val="2"/>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22,886</w:t>
            </w:r>
          </w:p>
        </w:tc>
        <w:tc>
          <w:tcPr>
            <w:tcW w:w="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80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2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debt-to-total book capitalization</w:t>
            </w:r>
          </w:p>
        </w:tc>
        <w:tc>
          <w:tcPr>
            <w:tcW w:w="2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debt-to-total book capitalization, including short-term debt</w:t>
            </w:r>
          </w:p>
        </w:tc>
        <w:tc>
          <w:tcPr>
            <w:tcW w:w="2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21"/>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26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 more -</w:t>
            </w: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00" w:type="dxa"/>
            <w:vAlign w:val="bottom"/>
            <w:tcBorders>
              <w:bottom w:val="single" w:sz="8" w:color="auto"/>
            </w:tcBorders>
            <w:gridSpan w:val="2"/>
          </w:tcPr>
          <w:p>
            <w:pPr>
              <w:spacing w:after="0"/>
              <w:rPr>
                <w:sz w:val="11"/>
                <w:szCs w:val="11"/>
                <w:color w:val="auto"/>
              </w:rPr>
            </w:pPr>
          </w:p>
        </w:tc>
        <w:tc>
          <w:tcPr>
            <w:tcW w:w="2260" w:type="dxa"/>
            <w:vAlign w:val="bottom"/>
            <w:tcBorders>
              <w:bottom w:val="single" w:sz="8" w:color="auto"/>
            </w:tcBorders>
          </w:tcPr>
          <w:p>
            <w:pPr>
              <w:spacing w:after="0"/>
              <w:rPr>
                <w:sz w:val="11"/>
                <w:szCs w:val="11"/>
                <w:color w:val="auto"/>
              </w:rPr>
            </w:pPr>
          </w:p>
        </w:tc>
        <w:tc>
          <w:tcPr>
            <w:tcW w:w="2760" w:type="dxa"/>
            <w:vAlign w:val="bottom"/>
            <w:tcBorders>
              <w:bottom w:val="single" w:sz="8" w:color="auto"/>
            </w:tcBorders>
            <w:gridSpan w:val="5"/>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700" w:type="dxa"/>
            <w:vAlign w:val="bottom"/>
            <w:gridSpan w:val="2"/>
          </w:tcPr>
          <w:p>
            <w:pPr>
              <w:ind w:left="1640"/>
              <w:spacing w:after="0"/>
              <w:rPr>
                <w:sz w:val="20"/>
                <w:szCs w:val="20"/>
                <w:color w:val="auto"/>
              </w:rPr>
            </w:pPr>
            <w:r>
              <w:rPr>
                <w:rFonts w:ascii="Times New Roman" w:cs="Times New Roman" w:eastAsia="Times New Roman" w:hAnsi="Times New Roman"/>
                <w:sz w:val="18"/>
                <w:szCs w:val="18"/>
                <w:b w:val="1"/>
                <w:bCs w:val="1"/>
                <w:color w:val="auto"/>
              </w:rPr>
              <w:t>333 Clay Street, Suite 1600</w:t>
            </w:r>
          </w:p>
        </w:tc>
        <w:tc>
          <w:tcPr>
            <w:tcW w:w="226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Houston, Texas 77002</w:t>
            </w:r>
          </w:p>
        </w:tc>
        <w:tc>
          <w:tcPr>
            <w:tcW w:w="276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713-646-4100 / 866-809-1291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auto"/>
        </w:rPr>
        <w:t>Page 12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COMPUTATION OF BASIC AND DILUTED NET INCOME/(LOSS) PER COMMON UNIT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3"/>
          <w:szCs w:val="23"/>
          <w:b w:val="1"/>
          <w:bCs w:val="1"/>
          <w:color w:val="auto"/>
          <w:vertAlign w:val="superscript"/>
        </w:rPr>
        <w:t>(1)</w:t>
      </w:r>
    </w:p>
    <w:p>
      <w:pPr>
        <w:spacing w:after="0"/>
        <w:rPr>
          <w:sz w:val="20"/>
          <w:szCs w:val="20"/>
          <w:color w:val="auto"/>
        </w:rPr>
      </w:pPr>
      <w:r>
        <w:rPr>
          <w:rFonts w:ascii="Times New Roman" w:cs="Times New Roman" w:eastAsia="Times New Roman" w:hAnsi="Times New Roman"/>
          <w:sz w:val="18"/>
          <w:szCs w:val="18"/>
          <w:color w:val="auto"/>
        </w:rPr>
        <w:t>(in millions, except per unit data)</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3"/>
                <w:szCs w:val="13"/>
                <w:color w:val="auto"/>
              </w:rPr>
            </w:pPr>
          </w:p>
        </w:tc>
        <w:tc>
          <w:tcPr>
            <w:tcW w:w="2020" w:type="dxa"/>
            <w:vAlign w:val="bottom"/>
            <w:gridSpan w:val="4"/>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80" w:type="dxa"/>
            <w:vAlign w:val="bottom"/>
            <w:gridSpan w:val="4"/>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9"/>
        </w:trPr>
        <w:tc>
          <w:tcPr>
            <w:tcW w:w="62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r>
      <w:tr>
        <w:trPr>
          <w:trHeight w:val="183"/>
        </w:trPr>
        <w:tc>
          <w:tcPr>
            <w:tcW w:w="624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0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Net Income/(Loss) per Common Unit</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income/(loss) attributable to PAA</w:t>
            </w:r>
          </w:p>
        </w:tc>
        <w:tc>
          <w:tcPr>
            <w:tcW w:w="740" w:type="dxa"/>
            <w:vAlign w:val="bottom"/>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19"/>
                <w:szCs w:val="19"/>
                <w:color w:val="auto"/>
              </w:rPr>
            </w:pPr>
          </w:p>
        </w:tc>
        <w:tc>
          <w:tcPr>
            <w:tcW w:w="760" w:type="dxa"/>
            <w:vAlign w:val="bottom"/>
          </w:tcPr>
          <w:p>
            <w:pPr>
              <w:jc w:val="right"/>
              <w:ind w:right="57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(2,562)</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w:t>
            </w:r>
          </w:p>
        </w:tc>
      </w:tr>
      <w:tr>
        <w:trPr>
          <w:trHeight w:val="229"/>
        </w:trPr>
        <w:tc>
          <w:tcPr>
            <w:tcW w:w="6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Distributions to Series A preferred unitholders</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30"/>
        </w:trPr>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Distributions to Series B preferred unitholders</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9"/>
        </w:trPr>
        <w:tc>
          <w:tcPr>
            <w:tcW w:w="6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7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income/(loss) allocated to common unitholders</w:t>
            </w:r>
          </w:p>
        </w:tc>
        <w:tc>
          <w:tcPr>
            <w:tcW w:w="7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(2,712)</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1,710</w:t>
            </w: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83"/>
        </w:trPr>
        <w:tc>
          <w:tcPr>
            <w:tcW w:w="6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weighted average common units outstanding</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r>
      <w:tr>
        <w:trPr>
          <w:trHeight w:val="216"/>
        </w:trPr>
        <w:tc>
          <w:tcPr>
            <w:tcW w:w="6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net income/(loss) per common unit</w:t>
            </w:r>
          </w:p>
        </w:tc>
        <w:tc>
          <w:tcPr>
            <w:tcW w:w="7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83"/>
        </w:trPr>
        <w:tc>
          <w:tcPr>
            <w:tcW w:w="6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Net Income/(Loss) per Common Unit</w:t>
            </w: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income/(loss) attributable to PAA</w:t>
            </w:r>
          </w:p>
        </w:tc>
        <w:tc>
          <w:tcPr>
            <w:tcW w:w="740" w:type="dxa"/>
            <w:vAlign w:val="bottom"/>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w:t>
            </w:r>
          </w:p>
        </w:tc>
      </w:tr>
      <w:tr>
        <w:trPr>
          <w:trHeight w:val="230"/>
        </w:trPr>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Distributions to Series A preferred unitholders</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Distributions to Series B preferred unitholders</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9"/>
        </w:trPr>
        <w:tc>
          <w:tcPr>
            <w:tcW w:w="6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8"/>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income/(loss) allocated to common unitholders</w:t>
            </w:r>
          </w:p>
        </w:tc>
        <w:tc>
          <w:tcPr>
            <w:tcW w:w="740" w:type="dxa"/>
            <w:vAlign w:val="bottom"/>
            <w:tcBorders>
              <w:bottom w:val="single" w:sz="8" w:color="auto"/>
            </w:tcBorders>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 average common units outstanding</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624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Series A preferred units </w:t>
            </w:r>
            <w:r>
              <w:rPr>
                <w:rFonts w:ascii="Times New Roman" w:cs="Times New Roman" w:eastAsia="Times New Roman" w:hAnsi="Times New Roman"/>
                <w:sz w:val="23"/>
                <w:szCs w:val="23"/>
                <w:color w:val="auto"/>
                <w:vertAlign w:val="superscript"/>
              </w:rPr>
              <w:t>(2)</w:t>
            </w:r>
          </w:p>
        </w:tc>
        <w:tc>
          <w:tcPr>
            <w:tcW w:w="7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9"/>
        </w:trPr>
        <w:tc>
          <w:tcPr>
            <w:tcW w:w="624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Equity-indexed compensation plan awards </w:t>
            </w:r>
            <w:r>
              <w:rPr>
                <w:rFonts w:ascii="Times New Roman" w:cs="Times New Roman" w:eastAsia="Times New Roman" w:hAnsi="Times New Roman"/>
                <w:sz w:val="23"/>
                <w:szCs w:val="23"/>
                <w:color w:val="auto"/>
                <w:vertAlign w:val="superscript"/>
              </w:rPr>
              <w:t>(3)</w:t>
            </w:r>
          </w:p>
        </w:tc>
        <w:tc>
          <w:tcPr>
            <w:tcW w:w="74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8"/>
        </w:trPr>
        <w:tc>
          <w:tcPr>
            <w:tcW w:w="6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common units outstanding</w:t>
            </w:r>
          </w:p>
        </w:tc>
        <w:tc>
          <w:tcPr>
            <w:tcW w:w="740" w:type="dxa"/>
            <w:vAlign w:val="bottom"/>
            <w:tcBorders>
              <w:top w:val="single" w:sz="8" w:color="auto"/>
              <w:bottom w:val="single" w:sz="8" w:color="auto"/>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54"/>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income/(loss) per common unit</w:t>
            </w:r>
          </w:p>
        </w:tc>
        <w:tc>
          <w:tcPr>
            <w:tcW w:w="740" w:type="dxa"/>
            <w:vAlign w:val="bottom"/>
            <w:tcBorders>
              <w:bottom w:val="single" w:sz="8" w:color="auto"/>
            </w:tcBorders>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ind w:left="340" w:right="60" w:hanging="332"/>
        <w:spacing w:after="0" w:line="227" w:lineRule="auto"/>
        <w:tabs>
          <w:tab w:leader="none" w:pos="34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calculate net income/(loss) allocated to common unitholders based on the distributions pertaining to the current period’s net income (whether paid in cash or in-kind). After adjusting for the appropriate period’s distributions, the remaining undistributed earnings or excess distributions over earnings, if any, are allocated to common unitholders and participating securities in accordance with the contractual terms of our partnership agreement in effect for the period and as further prescribed under the two-class method.</w:t>
      </w:r>
    </w:p>
    <w:p>
      <w:pPr>
        <w:spacing w:after="0" w:line="26" w:lineRule="exact"/>
        <w:rPr>
          <w:rFonts w:ascii="Times New Roman" w:cs="Times New Roman" w:eastAsia="Times New Roman" w:hAnsi="Times New Roman"/>
          <w:sz w:val="23"/>
          <w:szCs w:val="23"/>
          <w:color w:val="auto"/>
          <w:vertAlign w:val="superscript"/>
        </w:rPr>
      </w:pPr>
    </w:p>
    <w:p>
      <w:pPr>
        <w:ind w:left="340" w:right="140" w:hanging="332"/>
        <w:spacing w:after="0" w:line="221" w:lineRule="auto"/>
        <w:tabs>
          <w:tab w:leader="none" w:pos="34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possible conversion of our Series A preferred units and the impact of equity-indexed compensation plan awards was excluded from the calculation of diluted net income/(loss) per common unit for the three and nine months ended September 30, 2020 as the effect was antidilutive.</w:t>
      </w:r>
    </w:p>
    <w:p>
      <w:pPr>
        <w:spacing w:after="0" w:line="24" w:lineRule="exact"/>
        <w:rPr>
          <w:rFonts w:ascii="Times New Roman" w:cs="Times New Roman" w:eastAsia="Times New Roman" w:hAnsi="Times New Roman"/>
          <w:sz w:val="23"/>
          <w:szCs w:val="23"/>
          <w:color w:val="auto"/>
          <w:vertAlign w:val="superscript"/>
        </w:rPr>
      </w:pPr>
    </w:p>
    <w:p>
      <w:pPr>
        <w:ind w:left="340" w:right="20" w:hanging="332"/>
        <w:spacing w:after="0" w:line="230" w:lineRule="auto"/>
        <w:tabs>
          <w:tab w:leader="none" w:pos="34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 For the three months ended September 30, 2020, there were no potentially dilutive equity-indexed compensation plan awards and for the nine months ended September 30, 2020, the effect of equity-indexed compensation plan awards was antidilutive.</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auto"/>
        </w:rPr>
        <w:t>Page 13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SELECTED ITEMS IMPACTING COMPARABILITY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gridSpan w:val="3"/>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0" w:type="dxa"/>
            <w:vAlign w:val="bottom"/>
            <w:gridSpan w:val="4"/>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9"/>
        </w:trPr>
        <w:tc>
          <w:tcPr>
            <w:tcW w:w="6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80" w:type="dxa"/>
            <w:vAlign w:val="bottom"/>
            <w:tcBorders>
              <w:bottom w:val="single" w:sz="8" w:color="auto"/>
            </w:tcBorders>
          </w:tcPr>
          <w:p>
            <w:pPr>
              <w:spacing w:after="0"/>
              <w:rPr>
                <w:sz w:val="16"/>
                <w:szCs w:val="16"/>
                <w:color w:val="auto"/>
              </w:rPr>
            </w:pPr>
          </w:p>
        </w:tc>
      </w:tr>
      <w:tr>
        <w:trPr>
          <w:trHeight w:val="183"/>
        </w:trPr>
        <w:tc>
          <w:tcPr>
            <w:tcW w:w="66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w w:val="99"/>
              </w:rPr>
              <w:t>2019</w:t>
            </w:r>
          </w:p>
        </w:tc>
      </w:tr>
      <w:tr>
        <w:trPr>
          <w:trHeight w:val="196"/>
        </w:trPr>
        <w:tc>
          <w:tcPr>
            <w:tcW w:w="66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7"/>
                <w:szCs w:val="17"/>
                <w:b w:val="1"/>
                <w:bCs w:val="1"/>
                <w:color w:val="auto"/>
              </w:rPr>
              <w:t xml:space="preserve">Selected Items Impacting Comparability: </w:t>
            </w:r>
            <w:r>
              <w:rPr>
                <w:rFonts w:ascii="Times New Roman" w:cs="Times New Roman" w:eastAsia="Times New Roman" w:hAnsi="Times New Roman"/>
                <w:sz w:val="22"/>
                <w:szCs w:val="22"/>
                <w:b w:val="1"/>
                <w:bCs w:val="1"/>
                <w:color w:val="auto"/>
                <w:vertAlign w:val="superscript"/>
              </w:rPr>
              <w:t>(1)</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6"/>
        </w:trPr>
        <w:tc>
          <w:tcPr>
            <w:tcW w:w="6640" w:type="dxa"/>
            <w:vAlign w:val="bottom"/>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Gains/(losses) from derivative activities, net of inventory valuation adjustments </w:t>
            </w:r>
            <w:r>
              <w:rPr>
                <w:rFonts w:ascii="Times New Roman" w:cs="Times New Roman" w:eastAsia="Times New Roman" w:hAnsi="Times New Roman"/>
                <w:sz w:val="22"/>
                <w:szCs w:val="22"/>
                <w:color w:val="auto"/>
                <w:vertAlign w:val="superscript"/>
              </w:rPr>
              <w:t>(2)</w:t>
            </w:r>
          </w:p>
        </w:tc>
        <w:tc>
          <w:tcPr>
            <w:tcW w:w="2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100" w:type="dxa"/>
            <w:vAlign w:val="bottom"/>
          </w:tcPr>
          <w:p>
            <w:pPr>
              <w:spacing w:after="0"/>
              <w:rPr>
                <w:sz w:val="18"/>
                <w:szCs w:val="18"/>
                <w:color w:val="auto"/>
              </w:rPr>
            </w:pPr>
          </w:p>
        </w:tc>
        <w:tc>
          <w:tcPr>
            <w:tcW w:w="720" w:type="dxa"/>
            <w:vAlign w:val="bottom"/>
          </w:tcPr>
          <w:p>
            <w:pPr>
              <w:jc w:val="right"/>
              <w:ind w:right="538"/>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w:t>
            </w:r>
          </w:p>
        </w:tc>
        <w:tc>
          <w:tcPr>
            <w:tcW w:w="120" w:type="dxa"/>
            <w:vAlign w:val="bottom"/>
          </w:tcPr>
          <w:p>
            <w:pPr>
              <w:spacing w:after="0"/>
              <w:rPr>
                <w:sz w:val="18"/>
                <w:szCs w:val="18"/>
                <w:color w:val="auto"/>
              </w:rPr>
            </w:pPr>
          </w:p>
        </w:tc>
        <w:tc>
          <w:tcPr>
            <w:tcW w:w="38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r>
      <w:tr>
        <w:trPr>
          <w:trHeight w:val="216"/>
        </w:trPr>
        <w:tc>
          <w:tcPr>
            <w:tcW w:w="664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Long-term inventory costing adjustments </w:t>
            </w:r>
            <w:r>
              <w:rPr>
                <w:rFonts w:ascii="Times New Roman" w:cs="Times New Roman" w:eastAsia="Times New Roman" w:hAnsi="Times New Roman"/>
                <w:sz w:val="22"/>
                <w:szCs w:val="22"/>
                <w:color w:val="auto"/>
                <w:vertAlign w:val="superscript"/>
              </w:rPr>
              <w:t>(3)</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16"/>
        </w:trPr>
        <w:tc>
          <w:tcPr>
            <w:tcW w:w="6640" w:type="dxa"/>
            <w:vAlign w:val="bottom"/>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Deficiencies under minimum volume commitments, net </w:t>
            </w:r>
            <w:r>
              <w:rPr>
                <w:rFonts w:ascii="Times New Roman" w:cs="Times New Roman" w:eastAsia="Times New Roman" w:hAnsi="Times New Roman"/>
                <w:sz w:val="22"/>
                <w:szCs w:val="22"/>
                <w:color w:val="auto"/>
                <w:vertAlign w:val="superscript"/>
              </w:rPr>
              <w:t>(4)</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16"/>
        </w:trPr>
        <w:tc>
          <w:tcPr>
            <w:tcW w:w="664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Equity-indexed compensation expense </w:t>
            </w:r>
            <w:r>
              <w:rPr>
                <w:rFonts w:ascii="Times New Roman" w:cs="Times New Roman" w:eastAsia="Times New Roman" w:hAnsi="Times New Roman"/>
                <w:sz w:val="22"/>
                <w:szCs w:val="22"/>
                <w:color w:val="auto"/>
                <w:vertAlign w:val="superscript"/>
              </w:rPr>
              <w:t>(5)</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16"/>
        </w:trPr>
        <w:tc>
          <w:tcPr>
            <w:tcW w:w="6640" w:type="dxa"/>
            <w:vAlign w:val="bottom"/>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Net gain/(loss) on foreign currency revaluation </w:t>
            </w:r>
            <w:r>
              <w:rPr>
                <w:rFonts w:ascii="Times New Roman" w:cs="Times New Roman" w:eastAsia="Times New Roman" w:hAnsi="Times New Roman"/>
                <w:sz w:val="22"/>
                <w:szCs w:val="22"/>
                <w:color w:val="auto"/>
                <w:vertAlign w:val="superscript"/>
              </w:rPr>
              <w:t>(6)</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16"/>
        </w:trPr>
        <w:tc>
          <w:tcPr>
            <w:tcW w:w="664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Line 901 incident </w:t>
            </w:r>
            <w:r>
              <w:rPr>
                <w:rFonts w:ascii="Times New Roman" w:cs="Times New Roman" w:eastAsia="Times New Roman" w:hAnsi="Times New Roman"/>
                <w:sz w:val="22"/>
                <w:szCs w:val="22"/>
                <w:color w:val="auto"/>
                <w:vertAlign w:val="superscript"/>
              </w:rPr>
              <w:t>(7)</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30"/>
        </w:trPr>
        <w:tc>
          <w:tcPr>
            <w:tcW w:w="6640" w:type="dxa"/>
            <w:vAlign w:val="bottom"/>
          </w:tcPr>
          <w:p>
            <w:pPr>
              <w:ind w:left="20"/>
              <w:spacing w:after="0" w:line="229" w:lineRule="exact"/>
              <w:rPr>
                <w:sz w:val="20"/>
                <w:szCs w:val="20"/>
                <w:color w:val="auto"/>
              </w:rPr>
            </w:pPr>
            <w:r>
              <w:rPr>
                <w:rFonts w:ascii="Times New Roman" w:cs="Times New Roman" w:eastAsia="Times New Roman" w:hAnsi="Times New Roman"/>
                <w:sz w:val="17"/>
                <w:szCs w:val="17"/>
                <w:color w:val="auto"/>
              </w:rPr>
              <w:t xml:space="preserve">Significant acquisition-related expenses </w:t>
            </w:r>
            <w:r>
              <w:rPr>
                <w:rFonts w:ascii="Times New Roman" w:cs="Times New Roman" w:eastAsia="Times New Roman" w:hAnsi="Times New Roman"/>
                <w:sz w:val="22"/>
                <w:szCs w:val="22"/>
                <w:color w:val="auto"/>
                <w:vertAlign w:val="superscript"/>
              </w:rPr>
              <w:t>(8)</w:t>
            </w:r>
          </w:p>
        </w:tc>
        <w:tc>
          <w:tcPr>
            <w:tcW w:w="2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4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7"/>
                <w:szCs w:val="17"/>
                <w:color w:val="auto"/>
              </w:rPr>
              <w:t xml:space="preserve">Net gain on early repayment of senior notes </w:t>
            </w:r>
            <w:r>
              <w:rPr>
                <w:rFonts w:ascii="Times New Roman" w:cs="Times New Roman" w:eastAsia="Times New Roman" w:hAnsi="Times New Roman"/>
                <w:sz w:val="22"/>
                <w:szCs w:val="22"/>
                <w:color w:val="auto"/>
                <w:vertAlign w:val="superscript"/>
              </w:rPr>
              <w:t>(9)</w:t>
            </w:r>
          </w:p>
        </w:tc>
        <w:tc>
          <w:tcPr>
            <w:tcW w:w="2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6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Selected items impacting comparability - Adjusted EBITDA</w:t>
            </w:r>
          </w:p>
        </w:tc>
        <w:tc>
          <w:tcPr>
            <w:tcW w:w="26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100" w:type="dxa"/>
            <w:vAlign w:val="bottom"/>
          </w:tcPr>
          <w:p>
            <w:pPr>
              <w:spacing w:after="0"/>
              <w:rPr>
                <w:sz w:val="18"/>
                <w:szCs w:val="18"/>
                <w:color w:val="auto"/>
              </w:rPr>
            </w:pPr>
          </w:p>
        </w:tc>
        <w:tc>
          <w:tcPr>
            <w:tcW w:w="720" w:type="dxa"/>
            <w:vAlign w:val="bottom"/>
            <w:tcBorders>
              <w:top w:val="single" w:sz="8" w:color="auto"/>
            </w:tcBorders>
          </w:tcPr>
          <w:p>
            <w:pPr>
              <w:jc w:val="right"/>
              <w:ind w:right="538"/>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(362)</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w:t>
            </w:r>
          </w:p>
        </w:tc>
      </w:tr>
      <w:tr>
        <w:trPr>
          <w:trHeight w:val="216"/>
        </w:trPr>
        <w:tc>
          <w:tcPr>
            <w:tcW w:w="664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Losses from derivative activities </w:t>
            </w:r>
            <w:r>
              <w:rPr>
                <w:rFonts w:ascii="Times New Roman" w:cs="Times New Roman" w:eastAsia="Times New Roman" w:hAnsi="Times New Roman"/>
                <w:sz w:val="22"/>
                <w:szCs w:val="22"/>
                <w:color w:val="auto"/>
                <w:vertAlign w:val="superscript"/>
              </w:rPr>
              <w:t>(2)</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 on/(impairment of) investments in unconsolidated entities, net</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w:t>
            </w:r>
          </w:p>
        </w:tc>
      </w:tr>
      <w:tr>
        <w:trPr>
          <w:trHeight w:val="21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Gains/(losses) on asset sales and asset impairments, net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Goodwill impairment losses</w:t>
            </w:r>
          </w:p>
        </w:tc>
        <w:tc>
          <w:tcPr>
            <w:tcW w:w="2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 effect on selected items impacting comparability</w:t>
            </w: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10"/>
        </w:trPr>
        <w:tc>
          <w:tcPr>
            <w:tcW w:w="66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Selected items impacting comparability - Adjusted net income attributable to PAA</w:t>
            </w:r>
          </w:p>
        </w:tc>
        <w:tc>
          <w:tcPr>
            <w:tcW w:w="2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(239)</w:t>
            </w:r>
          </w:p>
        </w:tc>
        <w:tc>
          <w:tcPr>
            <w:tcW w:w="100" w:type="dxa"/>
            <w:vAlign w:val="bottom"/>
          </w:tcPr>
          <w:p>
            <w:pPr>
              <w:spacing w:after="0"/>
              <w:rPr>
                <w:sz w:val="18"/>
                <w:szCs w:val="18"/>
                <w:color w:val="auto"/>
              </w:rPr>
            </w:pPr>
          </w:p>
        </w:tc>
        <w:tc>
          <w:tcPr>
            <w:tcW w:w="72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(3,632)</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319</w:t>
            </w:r>
          </w:p>
        </w:tc>
      </w:tr>
      <w:tr>
        <w:trPr>
          <w:trHeight w:val="20"/>
        </w:trPr>
        <w:tc>
          <w:tcPr>
            <w:tcW w:w="6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Certain of our non-GAAP financial measures may not be impacted by each of the selected items impacting comparability.</w:t>
      </w:r>
    </w:p>
    <w:p>
      <w:pPr>
        <w:spacing w:after="0" w:line="52" w:lineRule="exact"/>
        <w:rPr>
          <w:rFonts w:ascii="Times New Roman" w:cs="Times New Roman" w:eastAsia="Times New Roman" w:hAnsi="Times New Roman"/>
          <w:sz w:val="16"/>
          <w:szCs w:val="16"/>
          <w:color w:val="auto"/>
          <w:vertAlign w:val="superscript"/>
        </w:rPr>
      </w:pPr>
    </w:p>
    <w:p>
      <w:pPr>
        <w:ind w:left="340" w:right="60" w:hanging="332"/>
        <w:spacing w:after="0" w:line="228" w:lineRule="auto"/>
        <w:tabs>
          <w:tab w:leader="none" w:pos="327" w:val="left"/>
        </w:tabs>
        <w:numPr>
          <w:ilvl w:val="0"/>
          <w:numId w:val="1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 determining adjusted results. In addition, we exclude gains and losses on derivatives that are related to investing activities, such as the purchase of linefill. We also exclude the impact of corresponding inventory valuation adjustments, as applicable, as well as the mark-to-market adjustment related to our Preferred Distribution Rate Reset Option.</w:t>
      </w:r>
    </w:p>
    <w:p>
      <w:pPr>
        <w:spacing w:after="0" w:line="39" w:lineRule="exact"/>
        <w:rPr>
          <w:rFonts w:ascii="Times New Roman" w:cs="Times New Roman" w:eastAsia="Times New Roman" w:hAnsi="Times New Roman"/>
          <w:sz w:val="16"/>
          <w:szCs w:val="16"/>
          <w:color w:val="auto"/>
          <w:vertAlign w:val="superscript"/>
        </w:rPr>
      </w:pPr>
    </w:p>
    <w:p>
      <w:pPr>
        <w:ind w:left="340" w:right="80" w:hanging="332"/>
        <w:spacing w:after="0" w:line="231" w:lineRule="auto"/>
        <w:tabs>
          <w:tab w:leader="none" w:pos="327" w:val="left"/>
        </w:tabs>
        <w:numPr>
          <w:ilvl w:val="0"/>
          <w:numId w:val="1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We carry crude oil and NGL inventory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39" w:lineRule="exact"/>
        <w:rPr>
          <w:rFonts w:ascii="Times New Roman" w:cs="Times New Roman" w:eastAsia="Times New Roman" w:hAnsi="Times New Roman"/>
          <w:sz w:val="16"/>
          <w:szCs w:val="16"/>
          <w:color w:val="auto"/>
          <w:vertAlign w:val="superscript"/>
        </w:rPr>
      </w:pPr>
    </w:p>
    <w:p>
      <w:pPr>
        <w:ind w:left="340" w:right="60" w:hanging="332"/>
        <w:spacing w:after="0" w:line="234" w:lineRule="auto"/>
        <w:tabs>
          <w:tab w:leader="none" w:pos="327" w:val="left"/>
        </w:tabs>
        <w:numPr>
          <w:ilvl w:val="0"/>
          <w:numId w:val="1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42" w:lineRule="exact"/>
        <w:rPr>
          <w:rFonts w:ascii="Times New Roman" w:cs="Times New Roman" w:eastAsia="Times New Roman" w:hAnsi="Times New Roman"/>
          <w:sz w:val="16"/>
          <w:szCs w:val="16"/>
          <w:color w:val="auto"/>
          <w:vertAlign w:val="superscript"/>
        </w:rPr>
      </w:pPr>
    </w:p>
    <w:p>
      <w:pPr>
        <w:ind w:left="340" w:right="240" w:hanging="332"/>
        <w:spacing w:after="0" w:line="231" w:lineRule="auto"/>
        <w:tabs>
          <w:tab w:leader="none" w:pos="327" w:val="left"/>
        </w:tabs>
        <w:numPr>
          <w:ilvl w:val="0"/>
          <w:numId w:val="1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Our total equity-indexed compensation expense includes expense associated with awards that will or may be settled in units and awards that will or may be settled in cash. The awards that will or may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and the majority of the awards are expected to be settled in units. The portion of compensation expense associated with awards that are certain to be settled in cash is not considered a selected item impacting comparability.</w:t>
      </w:r>
    </w:p>
    <w:p>
      <w:pPr>
        <w:spacing w:after="0" w:line="39" w:lineRule="exact"/>
        <w:rPr>
          <w:rFonts w:ascii="Times New Roman" w:cs="Times New Roman" w:eastAsia="Times New Roman" w:hAnsi="Times New Roman"/>
          <w:sz w:val="16"/>
          <w:szCs w:val="16"/>
          <w:color w:val="auto"/>
          <w:vertAlign w:val="superscript"/>
        </w:rPr>
      </w:pPr>
    </w:p>
    <w:p>
      <w:pPr>
        <w:ind w:left="340" w:right="160" w:hanging="332"/>
        <w:spacing w:after="0" w:line="225" w:lineRule="auto"/>
        <w:tabs>
          <w:tab w:leader="none" w:pos="327" w:val="left"/>
        </w:tabs>
        <w:numPr>
          <w:ilvl w:val="0"/>
          <w:numId w:val="1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During the periods presented, there were fluctuations in the value of the Canadian dollar to the U.S. dollar, resulting in gains and losses that were not related to our core operating results for the period and were thus classified as a selected item impacting comparability.</w:t>
      </w:r>
    </w:p>
    <w:p>
      <w:pPr>
        <w:spacing w:after="0" w:line="18" w:lineRule="exact"/>
        <w:rPr>
          <w:rFonts w:ascii="Times New Roman" w:cs="Times New Roman" w:eastAsia="Times New Roman" w:hAnsi="Times New Roman"/>
          <w:sz w:val="16"/>
          <w:szCs w:val="16"/>
          <w:color w:val="auto"/>
          <w:vertAlign w:val="superscript"/>
        </w:rPr>
      </w:pPr>
    </w:p>
    <w:p>
      <w:pPr>
        <w:ind w:left="320" w:hanging="312"/>
        <w:spacing w:after="0"/>
        <w:tabs>
          <w:tab w:leader="none" w:pos="320" w:val="left"/>
        </w:tabs>
        <w:numPr>
          <w:ilvl w:val="0"/>
          <w:numId w:val="1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Includes costs recognized during the period related to the Line 901 incident that occurred in May 2015, net of amounts we believe are probable of recovery from insurance.</w:t>
      </w:r>
    </w:p>
    <w:p>
      <w:pPr>
        <w:spacing w:after="0" w:line="52" w:lineRule="exact"/>
        <w:rPr>
          <w:rFonts w:ascii="Times New Roman" w:cs="Times New Roman" w:eastAsia="Times New Roman" w:hAnsi="Times New Roman"/>
          <w:sz w:val="16"/>
          <w:szCs w:val="16"/>
          <w:color w:val="auto"/>
          <w:vertAlign w:val="superscript"/>
        </w:rPr>
      </w:pPr>
    </w:p>
    <w:p>
      <w:pPr>
        <w:ind w:left="320" w:hanging="312"/>
        <w:spacing w:after="0" w:line="195" w:lineRule="auto"/>
        <w:tabs>
          <w:tab w:leader="none" w:pos="320" w:val="left"/>
        </w:tabs>
        <w:numPr>
          <w:ilvl w:val="0"/>
          <w:numId w:val="1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Includes acquisition-related expenses associated with the Felix Midstream LLC acquisition in February 2020.</w:t>
      </w:r>
    </w:p>
    <w:p>
      <w:pPr>
        <w:spacing w:after="0" w:line="53" w:lineRule="exact"/>
        <w:rPr>
          <w:rFonts w:ascii="Times New Roman" w:cs="Times New Roman" w:eastAsia="Times New Roman" w:hAnsi="Times New Roman"/>
          <w:sz w:val="16"/>
          <w:szCs w:val="16"/>
          <w:color w:val="auto"/>
          <w:vertAlign w:val="superscript"/>
        </w:rPr>
      </w:pPr>
    </w:p>
    <w:p>
      <w:pPr>
        <w:ind w:left="320" w:hanging="312"/>
        <w:spacing w:after="0" w:line="195" w:lineRule="auto"/>
        <w:tabs>
          <w:tab w:leader="none" w:pos="320" w:val="left"/>
        </w:tabs>
        <w:numPr>
          <w:ilvl w:val="0"/>
          <w:numId w:val="1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Includes net gains recognized in connection with the repurchase of our outstanding senior notes on the open market.</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auto"/>
        </w:rPr>
        <w:t>Page 14</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SELECTED ITEMS IMPACTING COMPARABILITY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71" w:lineRule="exact"/>
        <w:rPr>
          <w:sz w:val="20"/>
          <w:szCs w:val="20"/>
          <w:color w:val="auto"/>
        </w:rPr>
      </w:pPr>
    </w:p>
    <w:p>
      <w:pPr>
        <w:jc w:val="center"/>
        <w:ind w:left="8980"/>
        <w:spacing w:after="0"/>
        <w:rPr>
          <w:sz w:val="20"/>
          <w:szCs w:val="20"/>
          <w:color w:val="auto"/>
        </w:rPr>
      </w:pPr>
      <w:r>
        <w:rPr>
          <w:rFonts w:ascii="Times New Roman" w:cs="Times New Roman" w:eastAsia="Times New Roman" w:hAnsi="Times New Roman"/>
          <w:sz w:val="14"/>
          <w:szCs w:val="14"/>
          <w:b w:val="1"/>
          <w:bCs w:val="1"/>
          <w:color w:val="auto"/>
        </w:rPr>
        <w:t>Twelve Months Ended</w:t>
      </w:r>
    </w:p>
    <w:p>
      <w:pPr>
        <w:jc w:val="center"/>
        <w:ind w:left="89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90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96"/>
        </w:trPr>
        <w:tc>
          <w:tcPr>
            <w:tcW w:w="90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7"/>
                <w:szCs w:val="17"/>
                <w:b w:val="1"/>
                <w:bCs w:val="1"/>
                <w:color w:val="auto"/>
              </w:rPr>
              <w:t xml:space="preserve">Selected Items Impacting Comparability: </w:t>
            </w:r>
            <w:r>
              <w:rPr>
                <w:rFonts w:ascii="Times New Roman" w:cs="Times New Roman" w:eastAsia="Times New Roman" w:hAnsi="Times New Roman"/>
                <w:sz w:val="22"/>
                <w:szCs w:val="22"/>
                <w:b w:val="1"/>
                <w:bCs w:val="1"/>
                <w:color w:val="auto"/>
                <w:vertAlign w:val="superscript"/>
              </w:rPr>
              <w:t>(1)</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16"/>
        </w:trPr>
        <w:tc>
          <w:tcPr>
            <w:tcW w:w="9000" w:type="dxa"/>
            <w:vAlign w:val="bottom"/>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Gains/(losses) from derivative activities, net of inventory valuation adjustments </w:t>
            </w:r>
            <w:r>
              <w:rPr>
                <w:rFonts w:ascii="Times New Roman" w:cs="Times New Roman" w:eastAsia="Times New Roman" w:hAnsi="Times New Roman"/>
                <w:sz w:val="22"/>
                <w:szCs w:val="22"/>
                <w:color w:val="auto"/>
                <w:vertAlign w:val="superscript"/>
              </w:rPr>
              <w:t>(2)</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w:t>
            </w:r>
          </w:p>
        </w:tc>
        <w:tc>
          <w:tcPr>
            <w:tcW w:w="12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505</w:t>
            </w:r>
          </w:p>
        </w:tc>
      </w:tr>
      <w:tr>
        <w:trPr>
          <w:trHeight w:val="216"/>
        </w:trPr>
        <w:tc>
          <w:tcPr>
            <w:tcW w:w="900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Long-term inventory costing adjustments </w:t>
            </w:r>
            <w:r>
              <w:rPr>
                <w:rFonts w:ascii="Times New Roman" w:cs="Times New Roman" w:eastAsia="Times New Roman" w:hAnsi="Times New Roman"/>
                <w:sz w:val="22"/>
                <w:szCs w:val="22"/>
                <w:color w:val="auto"/>
                <w:vertAlign w:val="superscript"/>
              </w:rPr>
              <w:t>(3)</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16"/>
        </w:trPr>
        <w:tc>
          <w:tcPr>
            <w:tcW w:w="9000" w:type="dxa"/>
            <w:vAlign w:val="bottom"/>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Deficiencies under minimum volume commitments, net </w:t>
            </w:r>
            <w:r>
              <w:rPr>
                <w:rFonts w:ascii="Times New Roman" w:cs="Times New Roman" w:eastAsia="Times New Roman" w:hAnsi="Times New Roman"/>
                <w:sz w:val="22"/>
                <w:szCs w:val="22"/>
                <w:color w:val="auto"/>
                <w:vertAlign w:val="superscript"/>
              </w:rPr>
              <w:t>(4)</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16"/>
        </w:trPr>
        <w:tc>
          <w:tcPr>
            <w:tcW w:w="900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Equity-indexed compensation expense </w:t>
            </w:r>
            <w:r>
              <w:rPr>
                <w:rFonts w:ascii="Times New Roman" w:cs="Times New Roman" w:eastAsia="Times New Roman" w:hAnsi="Times New Roman"/>
                <w:sz w:val="22"/>
                <w:szCs w:val="22"/>
                <w:color w:val="auto"/>
                <w:vertAlign w:val="superscript"/>
              </w:rPr>
              <w:t>(5)</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r>
      <w:tr>
        <w:trPr>
          <w:trHeight w:val="216"/>
        </w:trPr>
        <w:tc>
          <w:tcPr>
            <w:tcW w:w="9000" w:type="dxa"/>
            <w:vAlign w:val="bottom"/>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Net gain on foreign currency revaluation </w:t>
            </w:r>
            <w:r>
              <w:rPr>
                <w:rFonts w:ascii="Times New Roman" w:cs="Times New Roman" w:eastAsia="Times New Roman" w:hAnsi="Times New Roman"/>
                <w:sz w:val="22"/>
                <w:szCs w:val="22"/>
                <w:color w:val="auto"/>
                <w:vertAlign w:val="superscript"/>
              </w:rPr>
              <w:t>(6)</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16"/>
        </w:trPr>
        <w:tc>
          <w:tcPr>
            <w:tcW w:w="900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Line 901 incident </w:t>
            </w:r>
            <w:r>
              <w:rPr>
                <w:rFonts w:ascii="Times New Roman" w:cs="Times New Roman" w:eastAsia="Times New Roman" w:hAnsi="Times New Roman"/>
                <w:sz w:val="22"/>
                <w:szCs w:val="22"/>
                <w:color w:val="auto"/>
                <w:vertAlign w:val="superscript"/>
              </w:rPr>
              <w:t>(7)</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90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Selected items impacting comparability - Adjusted EBITDA</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2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423</w:t>
            </w:r>
          </w:p>
        </w:tc>
      </w:tr>
      <w:tr>
        <w:trPr>
          <w:trHeight w:val="216"/>
        </w:trPr>
        <w:tc>
          <w:tcPr>
            <w:tcW w:w="900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Gains/(losses) from derivative activities </w:t>
            </w:r>
            <w:r>
              <w:rPr>
                <w:rFonts w:ascii="Times New Roman" w:cs="Times New Roman" w:eastAsia="Times New Roman" w:hAnsi="Times New Roman"/>
                <w:sz w:val="22"/>
                <w:szCs w:val="22"/>
                <w:color w:val="auto"/>
                <w:vertAlign w:val="superscript"/>
              </w:rPr>
              <w:t>(2)</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16"/>
        </w:trPr>
        <w:tc>
          <w:tcPr>
            <w:tcW w:w="9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 on investment in unconsolidated entities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w:t>
            </w:r>
          </w:p>
        </w:tc>
      </w:tr>
      <w:tr>
        <w:trPr>
          <w:trHeight w:val="216"/>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Gains/(losses) on asset sales and asset impairments, net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w:t>
            </w:r>
          </w:p>
        </w:tc>
      </w:tr>
      <w:tr>
        <w:trPr>
          <w:trHeight w:val="216"/>
        </w:trPr>
        <w:tc>
          <w:tcPr>
            <w:tcW w:w="9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Tax effect on selected items impacting comparability</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w:t>
            </w:r>
          </w:p>
        </w:tc>
      </w:tr>
      <w:tr>
        <w:trPr>
          <w:trHeight w:val="235"/>
        </w:trPr>
        <w:tc>
          <w:tcPr>
            <w:tcW w:w="9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Selected items impacting comparability - Adjusted net income attributable to PAA</w:t>
            </w: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646</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Certain of our non-GAAP financial measures may not be impacted by each of the selected items impacting comparability.</w:t>
      </w:r>
    </w:p>
    <w:p>
      <w:pPr>
        <w:spacing w:after="0" w:line="43" w:lineRule="exact"/>
        <w:rPr>
          <w:rFonts w:ascii="Times New Roman" w:cs="Times New Roman" w:eastAsia="Times New Roman" w:hAnsi="Times New Roman"/>
          <w:sz w:val="19"/>
          <w:szCs w:val="19"/>
          <w:color w:val="auto"/>
          <w:vertAlign w:val="superscript"/>
        </w:rPr>
      </w:pPr>
    </w:p>
    <w:p>
      <w:pPr>
        <w:ind w:left="340" w:right="40" w:hanging="332"/>
        <w:spacing w:after="0" w:line="230" w:lineRule="auto"/>
        <w:tabs>
          <w:tab w:leader="none" w:pos="327"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 determining adjusted results. In addition, we exclude gains and losses on derivatives that are related to investing activities, such as the purchase of linefill. We also exclude the impact of corresponding inventory valuation adjustments, as applicable, as well as the mark-to-market adjustment related to our Preferred Distribution Rate Reset Option.</w:t>
      </w:r>
    </w:p>
    <w:p>
      <w:pPr>
        <w:spacing w:after="0" w:line="29" w:lineRule="exact"/>
        <w:rPr>
          <w:rFonts w:ascii="Times New Roman" w:cs="Times New Roman" w:eastAsia="Times New Roman" w:hAnsi="Times New Roman"/>
          <w:sz w:val="19"/>
          <w:szCs w:val="19"/>
          <w:color w:val="auto"/>
          <w:vertAlign w:val="superscript"/>
        </w:rPr>
      </w:pPr>
    </w:p>
    <w:p>
      <w:pPr>
        <w:ind w:left="340" w:right="20" w:hanging="332"/>
        <w:spacing w:after="0" w:line="230" w:lineRule="auto"/>
        <w:tabs>
          <w:tab w:leader="none" w:pos="327"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We carry crude oil and NGL inventory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29" w:lineRule="exact"/>
        <w:rPr>
          <w:rFonts w:ascii="Times New Roman" w:cs="Times New Roman" w:eastAsia="Times New Roman" w:hAnsi="Times New Roman"/>
          <w:sz w:val="19"/>
          <w:szCs w:val="19"/>
          <w:color w:val="auto"/>
          <w:vertAlign w:val="superscript"/>
        </w:rPr>
      </w:pPr>
    </w:p>
    <w:p>
      <w:pPr>
        <w:ind w:left="340" w:right="80" w:hanging="332"/>
        <w:spacing w:after="0" w:line="235" w:lineRule="auto"/>
        <w:tabs>
          <w:tab w:leader="none" w:pos="327"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32" w:lineRule="exact"/>
        <w:rPr>
          <w:rFonts w:ascii="Times New Roman" w:cs="Times New Roman" w:eastAsia="Times New Roman" w:hAnsi="Times New Roman"/>
          <w:sz w:val="19"/>
          <w:szCs w:val="19"/>
          <w:color w:val="auto"/>
          <w:vertAlign w:val="superscript"/>
        </w:rPr>
      </w:pPr>
    </w:p>
    <w:p>
      <w:pPr>
        <w:ind w:left="340" w:right="100" w:hanging="332"/>
        <w:spacing w:after="0" w:line="232" w:lineRule="auto"/>
        <w:tabs>
          <w:tab w:leader="none" w:pos="327"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Our total equity-indexed compensation expense includes expense associated with awards that will or may be settled in units and awards that will or may be settled in cash. The awards that will or may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and the majority of the awards are expected to be settled in units. The portion of compensation expense associated with awards that are certain to be settled in cash is not considered a selected item impacting comparability.</w:t>
      </w:r>
    </w:p>
    <w:p>
      <w:pPr>
        <w:spacing w:after="0" w:line="30" w:lineRule="exact"/>
        <w:rPr>
          <w:rFonts w:ascii="Times New Roman" w:cs="Times New Roman" w:eastAsia="Times New Roman" w:hAnsi="Times New Roman"/>
          <w:sz w:val="19"/>
          <w:szCs w:val="19"/>
          <w:color w:val="auto"/>
          <w:vertAlign w:val="superscript"/>
        </w:rPr>
      </w:pPr>
    </w:p>
    <w:p>
      <w:pPr>
        <w:ind w:left="340" w:right="60" w:hanging="332"/>
        <w:spacing w:after="0" w:line="221" w:lineRule="auto"/>
        <w:tabs>
          <w:tab w:leader="none" w:pos="327"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During the periods presented, there were fluctuations in the value of the Canadian dollar to the U.S. dollar, resulting in gains and losses that were not related to our core operating results for the period and were thus classified as a selected item impacting comparability.</w:t>
      </w:r>
    </w:p>
    <w:p>
      <w:pPr>
        <w:ind w:left="320" w:hanging="312"/>
        <w:spacing w:after="0" w:line="237" w:lineRule="auto"/>
        <w:tabs>
          <w:tab w:leader="none" w:pos="320"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costs recognized during the period related to the Line 901 incident that occurred in May 2015, net of amounts we believe are probable of recovery from insurance.</w:t>
      </w:r>
    </w:p>
    <w:p>
      <w:pPr>
        <w:spacing w:after="0" w:line="52" w:lineRule="exact"/>
        <w:rPr>
          <w:rFonts w:ascii="Times New Roman" w:cs="Times New Roman" w:eastAsia="Times New Roman" w:hAnsi="Times New Roman"/>
          <w:sz w:val="19"/>
          <w:szCs w:val="19"/>
          <w:color w:val="auto"/>
          <w:vertAlign w:val="superscript"/>
        </w:rPr>
      </w:pPr>
    </w:p>
    <w:p>
      <w:pPr>
        <w:ind w:left="5440" w:hanging="106"/>
        <w:spacing w:after="0"/>
        <w:tabs>
          <w:tab w:leader="none" w:pos="54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3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auto"/>
        </w:rPr>
        <w:t>Page 15</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COMPUTATION OF BASIC AND DILUTED ADJUSTED NET INCOME PER COMMON UNIT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3"/>
          <w:szCs w:val="23"/>
          <w:b w:val="1"/>
          <w:bCs w:val="1"/>
          <w:color w:val="auto"/>
          <w:vertAlign w:val="superscript"/>
        </w:rPr>
        <w:t>(1)</w:t>
      </w:r>
    </w:p>
    <w:p>
      <w:pPr>
        <w:spacing w:after="0"/>
        <w:rPr>
          <w:sz w:val="20"/>
          <w:szCs w:val="20"/>
          <w:color w:val="auto"/>
        </w:rPr>
      </w:pPr>
      <w:r>
        <w:rPr>
          <w:rFonts w:ascii="Times New Roman" w:cs="Times New Roman" w:eastAsia="Times New Roman" w:hAnsi="Times New Roman"/>
          <w:sz w:val="18"/>
          <w:szCs w:val="18"/>
          <w:color w:val="auto"/>
        </w:rPr>
        <w:t>(in millions, except per unit data)</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3"/>
                <w:szCs w:val="13"/>
                <w:color w:val="auto"/>
              </w:rPr>
            </w:pPr>
          </w:p>
        </w:tc>
        <w:tc>
          <w:tcPr>
            <w:tcW w:w="2020" w:type="dxa"/>
            <w:vAlign w:val="bottom"/>
            <w:gridSpan w:val="4"/>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80" w:type="dxa"/>
            <w:vAlign w:val="bottom"/>
            <w:gridSpan w:val="4"/>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62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24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1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Adjusted Net Income per Common Unit</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income/(loss) attributable to PAA</w:t>
            </w:r>
          </w:p>
        </w:tc>
        <w:tc>
          <w:tcPr>
            <w:tcW w:w="740" w:type="dxa"/>
            <w:vAlign w:val="bottom"/>
          </w:tcPr>
          <w:p>
            <w:pPr>
              <w:jc w:val="right"/>
              <w:ind w:right="55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19"/>
                <w:szCs w:val="19"/>
                <w:color w:val="auto"/>
              </w:rPr>
            </w:pPr>
          </w:p>
        </w:tc>
        <w:tc>
          <w:tcPr>
            <w:tcW w:w="76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(2,562)</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0" w:type="dxa"/>
            <w:vAlign w:val="bottom"/>
          </w:tcPr>
          <w:p>
            <w:pPr>
              <w:spacing w:after="0"/>
              <w:rPr>
                <w:sz w:val="1"/>
                <w:szCs w:val="1"/>
                <w:color w:val="auto"/>
              </w:rPr>
            </w:pPr>
          </w:p>
        </w:tc>
      </w:tr>
      <w:tr>
        <w:trPr>
          <w:trHeight w:val="175"/>
        </w:trPr>
        <w:tc>
          <w:tcPr>
            <w:tcW w:w="624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Selected items impacting comparability - Adjusted net income attributable to PAA</w:t>
            </w:r>
          </w:p>
        </w:tc>
        <w:tc>
          <w:tcPr>
            <w:tcW w:w="740" w:type="dxa"/>
            <w:vAlign w:val="bottom"/>
            <w:shd w:val="clear" w:color="auto" w:fill="CCEEFF"/>
          </w:tcPr>
          <w:p>
            <w:pPr>
              <w:spacing w:after="0"/>
              <w:rPr>
                <w:sz w:val="15"/>
                <w:szCs w:val="15"/>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162"/>
        </w:trPr>
        <w:tc>
          <w:tcPr>
            <w:tcW w:w="6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(2)</w:t>
            </w:r>
          </w:p>
        </w:tc>
        <w:tc>
          <w:tcPr>
            <w:tcW w:w="7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 attributable to PAA</w:t>
            </w:r>
          </w:p>
        </w:tc>
        <w:tc>
          <w:tcPr>
            <w:tcW w:w="740" w:type="dxa"/>
            <w:vAlign w:val="bottom"/>
          </w:tcPr>
          <w:p>
            <w:pPr>
              <w:jc w:val="right"/>
              <w:ind w:right="55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9"/>
                <w:szCs w:val="19"/>
                <w:color w:val="auto"/>
              </w:rPr>
            </w:pPr>
          </w:p>
        </w:tc>
        <w:tc>
          <w:tcPr>
            <w:tcW w:w="76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Distributions to Series A preferred unitholders</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29"/>
        </w:trPr>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Distributions to Series B preferred unitholders</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7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 allocated to common unitholders</w:t>
            </w:r>
          </w:p>
        </w:tc>
        <w:tc>
          <w:tcPr>
            <w:tcW w:w="7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0" w:type="dxa"/>
            <w:vAlign w:val="bottom"/>
          </w:tcPr>
          <w:p>
            <w:pPr>
              <w:spacing w:after="0"/>
              <w:rPr>
                <w:sz w:val="1"/>
                <w:szCs w:val="1"/>
                <w:color w:val="auto"/>
              </w:rPr>
            </w:pP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weighted average common units outstanding</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0" w:type="dxa"/>
            <w:vAlign w:val="bottom"/>
          </w:tcPr>
          <w:p>
            <w:pPr>
              <w:spacing w:after="0"/>
              <w:rPr>
                <w:sz w:val="1"/>
                <w:szCs w:val="1"/>
                <w:color w:val="auto"/>
              </w:rPr>
            </w:pPr>
          </w:p>
        </w:tc>
      </w:tr>
      <w:tr>
        <w:trPr>
          <w:trHeight w:val="256"/>
        </w:trPr>
        <w:tc>
          <w:tcPr>
            <w:tcW w:w="62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adjusted net income per common unit</w:t>
            </w:r>
          </w:p>
        </w:tc>
        <w:tc>
          <w:tcPr>
            <w:tcW w:w="7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2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Adjusted Net Income per Common Unit</w:t>
            </w: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income/(loss) attributable to PAA</w:t>
            </w:r>
          </w:p>
        </w:tc>
        <w:tc>
          <w:tcPr>
            <w:tcW w:w="740" w:type="dxa"/>
            <w:vAlign w:val="bottom"/>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0" w:type="dxa"/>
            <w:vAlign w:val="bottom"/>
          </w:tcPr>
          <w:p>
            <w:pPr>
              <w:spacing w:after="0"/>
              <w:rPr>
                <w:sz w:val="1"/>
                <w:szCs w:val="1"/>
                <w:color w:val="auto"/>
              </w:rPr>
            </w:pPr>
          </w:p>
        </w:tc>
      </w:tr>
      <w:tr>
        <w:trPr>
          <w:trHeight w:val="176"/>
        </w:trPr>
        <w:tc>
          <w:tcPr>
            <w:tcW w:w="624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Selected items impacting comparability - Adjusted net income attributable to PAA</w:t>
            </w:r>
          </w:p>
        </w:tc>
        <w:tc>
          <w:tcPr>
            <w:tcW w:w="740" w:type="dxa"/>
            <w:vAlign w:val="bottom"/>
          </w:tcPr>
          <w:p>
            <w:pPr>
              <w:spacing w:after="0"/>
              <w:rPr>
                <w:sz w:val="15"/>
                <w:szCs w:val="15"/>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3,632</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162"/>
        </w:trPr>
        <w:tc>
          <w:tcPr>
            <w:tcW w:w="6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2"/>
                <w:szCs w:val="12"/>
                <w:color w:val="auto"/>
              </w:rPr>
              <w:t>(2)</w:t>
            </w:r>
          </w:p>
        </w:tc>
        <w:tc>
          <w:tcPr>
            <w:tcW w:w="7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net income attributable to PAA</w:t>
            </w:r>
          </w:p>
        </w:tc>
        <w:tc>
          <w:tcPr>
            <w:tcW w:w="740" w:type="dxa"/>
            <w:vAlign w:val="bottom"/>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0" w:type="dxa"/>
            <w:vAlign w:val="bottom"/>
          </w:tcPr>
          <w:p>
            <w:pPr>
              <w:spacing w:after="0"/>
              <w:rPr>
                <w:sz w:val="1"/>
                <w:szCs w:val="1"/>
                <w:color w:val="auto"/>
              </w:rPr>
            </w:pPr>
          </w:p>
        </w:tc>
      </w:tr>
      <w:tr>
        <w:trPr>
          <w:trHeight w:val="230"/>
        </w:trPr>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Distributions to Series A preferred unitholders</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Distributions to Series B preferred unitholders</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0"/>
        </w:trPr>
        <w:tc>
          <w:tcPr>
            <w:tcW w:w="6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8"/>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net income allocated to common unitholders</w:t>
            </w:r>
          </w:p>
        </w:tc>
        <w:tc>
          <w:tcPr>
            <w:tcW w:w="740" w:type="dxa"/>
            <w:vAlign w:val="bottom"/>
            <w:tcBorders>
              <w:bottom w:val="single" w:sz="8" w:color="auto"/>
            </w:tcBorders>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 average common units outstanding</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Series A preferred units </w:t>
            </w:r>
            <w:r>
              <w:rPr>
                <w:rFonts w:ascii="Times New Roman" w:cs="Times New Roman" w:eastAsia="Times New Roman" w:hAnsi="Times New Roman"/>
                <w:sz w:val="23"/>
                <w:szCs w:val="23"/>
                <w:color w:val="auto"/>
                <w:vertAlign w:val="superscript"/>
              </w:rPr>
              <w:t>(3)</w:t>
            </w:r>
          </w:p>
        </w:tc>
        <w:tc>
          <w:tcPr>
            <w:tcW w:w="7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30"/>
        </w:trPr>
        <w:tc>
          <w:tcPr>
            <w:tcW w:w="624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Equity-indexed compensation plan awards </w:t>
            </w:r>
            <w:r>
              <w:rPr>
                <w:rFonts w:ascii="Times New Roman" w:cs="Times New Roman" w:eastAsia="Times New Roman" w:hAnsi="Times New Roman"/>
                <w:sz w:val="23"/>
                <w:szCs w:val="23"/>
                <w:color w:val="auto"/>
                <w:vertAlign w:val="superscript"/>
              </w:rPr>
              <w:t>(4)</w:t>
            </w:r>
          </w:p>
        </w:tc>
        <w:tc>
          <w:tcPr>
            <w:tcW w:w="74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8"/>
        </w:trPr>
        <w:tc>
          <w:tcPr>
            <w:tcW w:w="6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common units outstanding</w:t>
            </w:r>
          </w:p>
        </w:tc>
        <w:tc>
          <w:tcPr>
            <w:tcW w:w="740" w:type="dxa"/>
            <w:vAlign w:val="bottom"/>
            <w:tcBorders>
              <w:top w:val="single" w:sz="8" w:color="auto"/>
              <w:bottom w:val="single" w:sz="8" w:color="auto"/>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adjusted net income per common unit</w:t>
            </w:r>
          </w:p>
        </w:tc>
        <w:tc>
          <w:tcPr>
            <w:tcW w:w="740" w:type="dxa"/>
            <w:vAlign w:val="bottom"/>
            <w:tcBorders>
              <w:bottom w:val="single" w:sz="8" w:color="auto"/>
            </w:tcBorders>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340" w:right="100" w:hanging="332"/>
        <w:spacing w:after="0" w:line="227" w:lineRule="auto"/>
        <w:tabs>
          <w:tab w:leader="none" w:pos="327"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We calculate adjusted net income allocated to common unitholders based on the distributions pertaining to the current period’s net income (whether paid in cash or in-kind). After adjusting for the appropriate period’s distributions, the remaining undistributed earnings or excess distributions over earnings, if any, are allocated to the common unitholders and participating securities in accordance with the contractual terms of our partnership agreement in effect for the period and as further prescribed under the two-class method.</w:t>
      </w:r>
    </w:p>
    <w:p>
      <w:pPr>
        <w:spacing w:after="0" w:line="1" w:lineRule="exact"/>
        <w:rPr>
          <w:rFonts w:ascii="Times New Roman" w:cs="Times New Roman" w:eastAsia="Times New Roman" w:hAnsi="Times New Roman"/>
          <w:sz w:val="19"/>
          <w:szCs w:val="19"/>
          <w:color w:val="auto"/>
          <w:vertAlign w:val="superscript"/>
        </w:rPr>
      </w:pPr>
    </w:p>
    <w:p>
      <w:pPr>
        <w:ind w:left="320" w:hanging="312"/>
        <w:spacing w:after="0" w:line="237" w:lineRule="auto"/>
        <w:tabs>
          <w:tab w:leader="none" w:pos="320"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Certain of our non-GAAP financial measures may not be impacted by each of the selected items impacting comparability.</w:t>
      </w:r>
    </w:p>
    <w:p>
      <w:pPr>
        <w:spacing w:after="0" w:line="44" w:lineRule="exact"/>
        <w:rPr>
          <w:rFonts w:ascii="Times New Roman" w:cs="Times New Roman" w:eastAsia="Times New Roman" w:hAnsi="Times New Roman"/>
          <w:sz w:val="19"/>
          <w:szCs w:val="19"/>
          <w:color w:val="auto"/>
          <w:vertAlign w:val="superscript"/>
        </w:rPr>
      </w:pPr>
    </w:p>
    <w:p>
      <w:pPr>
        <w:ind w:left="340" w:right="100" w:hanging="332"/>
        <w:spacing w:after="0" w:line="211" w:lineRule="auto"/>
        <w:tabs>
          <w:tab w:leader="none" w:pos="327"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possible conversion of our Series A preferred units were excluded from the calculation of diluted net income per common unit for the three and nine months ended September 30, 2020 and the three months ended September 30, 2019 as the effect was antidilutive.</w:t>
      </w:r>
    </w:p>
    <w:p>
      <w:pPr>
        <w:spacing w:after="0" w:line="28" w:lineRule="exact"/>
        <w:rPr>
          <w:rFonts w:ascii="Times New Roman" w:cs="Times New Roman" w:eastAsia="Times New Roman" w:hAnsi="Times New Roman"/>
          <w:sz w:val="19"/>
          <w:szCs w:val="19"/>
          <w:color w:val="auto"/>
          <w:vertAlign w:val="superscript"/>
        </w:rPr>
      </w:pPr>
    </w:p>
    <w:p>
      <w:pPr>
        <w:ind w:left="340" w:right="80" w:hanging="332"/>
        <w:spacing w:after="0" w:line="232" w:lineRule="auto"/>
        <w:tabs>
          <w:tab w:leader="none" w:pos="327"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 For the three months ended September 30, 2020, there were no potentially dilutive equity-indexed compensation plan awards and for the nine months ended September 30, 2020, the effect of equity-indexed compensation plan awards was antidilutive.</w:t>
      </w:r>
    </w:p>
    <w:p>
      <w:pPr>
        <w:spacing w:after="0" w:line="34" w:lineRule="exact"/>
        <w:rPr>
          <w:rFonts w:ascii="Times New Roman" w:cs="Times New Roman" w:eastAsia="Times New Roman" w:hAnsi="Times New Roman"/>
          <w:sz w:val="19"/>
          <w:szCs w:val="19"/>
          <w:color w:val="auto"/>
          <w:vertAlign w:val="superscript"/>
        </w:rPr>
      </w:pPr>
    </w:p>
    <w:p>
      <w:pPr>
        <w:ind w:left="5440" w:hanging="106"/>
        <w:spacing w:after="0"/>
        <w:tabs>
          <w:tab w:leader="none" w:pos="54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auto"/>
        </w:rPr>
        <w:t>Page 16</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RECONCILIATIONS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Income/(Loss) Per Common Unit to Adjusted Net Income Per Common Unit Reconciliations: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3"/>
                <w:szCs w:val="13"/>
                <w:color w:val="auto"/>
              </w:rPr>
            </w:pPr>
          </w:p>
        </w:tc>
        <w:tc>
          <w:tcPr>
            <w:tcW w:w="2540" w:type="dxa"/>
            <w:vAlign w:val="bottom"/>
            <w:gridSpan w:val="6"/>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2180" w:type="dxa"/>
            <w:vAlign w:val="bottom"/>
            <w:gridSpan w:val="4"/>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9"/>
        </w:trPr>
        <w:tc>
          <w:tcPr>
            <w:tcW w:w="62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r>
      <w:tr>
        <w:trPr>
          <w:trHeight w:val="183"/>
        </w:trPr>
        <w:tc>
          <w:tcPr>
            <w:tcW w:w="624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income/(loss) per common unit</w:t>
            </w:r>
          </w:p>
        </w:tc>
        <w:tc>
          <w:tcPr>
            <w:tcW w:w="74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center"/>
              <w:ind w:left="193"/>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center"/>
              <w:ind w:left="336"/>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center"/>
              <w:ind w:left="213"/>
              <w:spacing w:after="0"/>
              <w:rPr>
                <w:sz w:val="20"/>
                <w:szCs w:val="20"/>
                <w:color w:val="auto"/>
              </w:rPr>
            </w:pPr>
            <w:r>
              <w:rPr>
                <w:rFonts w:ascii="Times New Roman" w:cs="Times New Roman" w:eastAsia="Times New Roman" w:hAnsi="Times New Roman"/>
                <w:sz w:val="18"/>
                <w:szCs w:val="18"/>
                <w:color w:val="auto"/>
                <w:w w:val="95"/>
              </w:rPr>
              <w:t>2.35</w:t>
            </w:r>
          </w:p>
        </w:tc>
      </w:tr>
      <w:tr>
        <w:trPr>
          <w:trHeight w:val="229"/>
        </w:trPr>
        <w:tc>
          <w:tcPr>
            <w:tcW w:w="62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Selected items impacting comparability per common unit </w:t>
            </w:r>
            <w:r>
              <w:rPr>
                <w:rFonts w:ascii="Times New Roman" w:cs="Times New Roman" w:eastAsia="Times New Roman" w:hAnsi="Times New Roman"/>
                <w:sz w:val="23"/>
                <w:szCs w:val="23"/>
                <w:color w:val="auto"/>
                <w:vertAlign w:val="superscript"/>
              </w:rPr>
              <w:t>(1)</w:t>
            </w: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left="173"/>
              <w:spacing w:after="0"/>
              <w:rPr>
                <w:sz w:val="20"/>
                <w:szCs w:val="20"/>
                <w:color w:val="auto"/>
              </w:rPr>
            </w:pPr>
            <w:r>
              <w:rPr>
                <w:rFonts w:ascii="Times New Roman" w:cs="Times New Roman" w:eastAsia="Times New Roman" w:hAnsi="Times New Roman"/>
                <w:sz w:val="18"/>
                <w:szCs w:val="18"/>
                <w:color w:val="auto"/>
                <w:w w:val="96"/>
              </w:rPr>
              <w:t>(0.03)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356"/>
              <w:spacing w:after="0"/>
              <w:rPr>
                <w:sz w:val="20"/>
                <w:szCs w:val="20"/>
                <w:color w:val="auto"/>
              </w:rPr>
            </w:pPr>
            <w:r>
              <w:rPr>
                <w:rFonts w:ascii="Times New Roman" w:cs="Times New Roman" w:eastAsia="Times New Roman" w:hAnsi="Times New Roman"/>
                <w:sz w:val="18"/>
                <w:szCs w:val="18"/>
                <w:color w:val="auto"/>
                <w:w w:val="95"/>
              </w:rPr>
              <w:t>4.98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left="193"/>
              <w:spacing w:after="0"/>
              <w:rPr>
                <w:sz w:val="20"/>
                <w:szCs w:val="20"/>
                <w:color w:val="auto"/>
              </w:rPr>
            </w:pPr>
            <w:r>
              <w:rPr>
                <w:rFonts w:ascii="Times New Roman" w:cs="Times New Roman" w:eastAsia="Times New Roman" w:hAnsi="Times New Roman"/>
                <w:sz w:val="18"/>
                <w:szCs w:val="18"/>
                <w:color w:val="auto"/>
              </w:rPr>
              <w:t>(0.43)</w:t>
            </w:r>
          </w:p>
        </w:tc>
      </w:tr>
      <w:tr>
        <w:trPr>
          <w:trHeight w:val="248"/>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adjusted net income per common unit</w:t>
            </w:r>
          </w:p>
        </w:tc>
        <w:tc>
          <w:tcPr>
            <w:tcW w:w="740" w:type="dxa"/>
            <w:vAlign w:val="bottom"/>
            <w:tcBorders>
              <w:bottom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0.45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center"/>
              <w:ind w:left="193"/>
              <w:spacing w:after="0"/>
              <w:rPr>
                <w:sz w:val="20"/>
                <w:szCs w:val="20"/>
                <w:color w:val="auto"/>
              </w:rPr>
            </w:pPr>
            <w:r>
              <w:rPr>
                <w:rFonts w:ascii="Times New Roman" w:cs="Times New Roman" w:eastAsia="Times New Roman" w:hAnsi="Times New Roman"/>
                <w:sz w:val="18"/>
                <w:szCs w:val="18"/>
                <w:color w:val="auto"/>
              </w:rPr>
              <w:t>0.52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center"/>
              <w:ind w:left="356"/>
              <w:spacing w:after="0"/>
              <w:rPr>
                <w:sz w:val="20"/>
                <w:szCs w:val="20"/>
                <w:color w:val="auto"/>
              </w:rPr>
            </w:pPr>
            <w:r>
              <w:rPr>
                <w:rFonts w:ascii="Times New Roman" w:cs="Times New Roman" w:eastAsia="Times New Roman" w:hAnsi="Times New Roman"/>
                <w:sz w:val="18"/>
                <w:szCs w:val="18"/>
                <w:color w:val="auto"/>
                <w:w w:val="95"/>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center"/>
              <w:ind w:left="213"/>
              <w:spacing w:after="0"/>
              <w:rPr>
                <w:sz w:val="20"/>
                <w:szCs w:val="20"/>
                <w:color w:val="auto"/>
              </w:rPr>
            </w:pPr>
            <w:r>
              <w:rPr>
                <w:rFonts w:ascii="Times New Roman" w:cs="Times New Roman" w:eastAsia="Times New Roman" w:hAnsi="Times New Roman"/>
                <w:sz w:val="18"/>
                <w:szCs w:val="18"/>
                <w:color w:val="auto"/>
                <w:w w:val="95"/>
              </w:rPr>
              <w:t>1.92</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6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income/(loss) per common unit</w:t>
            </w:r>
          </w:p>
        </w:tc>
        <w:tc>
          <w:tcPr>
            <w:tcW w:w="74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center"/>
              <w:ind w:left="193"/>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center"/>
              <w:ind w:left="336"/>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center"/>
              <w:ind w:left="213"/>
              <w:spacing w:after="0"/>
              <w:rPr>
                <w:sz w:val="20"/>
                <w:szCs w:val="20"/>
                <w:color w:val="auto"/>
              </w:rPr>
            </w:pPr>
            <w:r>
              <w:rPr>
                <w:rFonts w:ascii="Times New Roman" w:cs="Times New Roman" w:eastAsia="Times New Roman" w:hAnsi="Times New Roman"/>
                <w:sz w:val="18"/>
                <w:szCs w:val="18"/>
                <w:color w:val="auto"/>
                <w:w w:val="95"/>
              </w:rPr>
              <w:t>2.28</w:t>
            </w:r>
          </w:p>
        </w:tc>
      </w:tr>
      <w:tr>
        <w:trPr>
          <w:trHeight w:val="229"/>
        </w:trPr>
        <w:tc>
          <w:tcPr>
            <w:tcW w:w="62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Selected items impacting comparability per common unit </w:t>
            </w:r>
            <w:r>
              <w:rPr>
                <w:rFonts w:ascii="Times New Roman" w:cs="Times New Roman" w:eastAsia="Times New Roman" w:hAnsi="Times New Roman"/>
                <w:sz w:val="23"/>
                <w:szCs w:val="23"/>
                <w:color w:val="auto"/>
                <w:vertAlign w:val="superscript"/>
              </w:rPr>
              <w:t>(1)</w:t>
            </w: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left="173"/>
              <w:spacing w:after="0"/>
              <w:rPr>
                <w:sz w:val="20"/>
                <w:szCs w:val="20"/>
                <w:color w:val="auto"/>
              </w:rPr>
            </w:pPr>
            <w:r>
              <w:rPr>
                <w:rFonts w:ascii="Times New Roman" w:cs="Times New Roman" w:eastAsia="Times New Roman" w:hAnsi="Times New Roman"/>
                <w:sz w:val="18"/>
                <w:szCs w:val="18"/>
                <w:color w:val="auto"/>
                <w:w w:val="96"/>
              </w:rPr>
              <w:t>(0.03)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356"/>
              <w:spacing w:after="0"/>
              <w:rPr>
                <w:sz w:val="20"/>
                <w:szCs w:val="20"/>
                <w:color w:val="auto"/>
              </w:rPr>
            </w:pPr>
            <w:r>
              <w:rPr>
                <w:rFonts w:ascii="Times New Roman" w:cs="Times New Roman" w:eastAsia="Times New Roman" w:hAnsi="Times New Roman"/>
                <w:sz w:val="18"/>
                <w:szCs w:val="18"/>
                <w:color w:val="auto"/>
                <w:w w:val="95"/>
              </w:rPr>
              <w:t>4.98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left="193"/>
              <w:spacing w:after="0"/>
              <w:rPr>
                <w:sz w:val="20"/>
                <w:szCs w:val="20"/>
                <w:color w:val="auto"/>
              </w:rPr>
            </w:pPr>
            <w:r>
              <w:rPr>
                <w:rFonts w:ascii="Times New Roman" w:cs="Times New Roman" w:eastAsia="Times New Roman" w:hAnsi="Times New Roman"/>
                <w:sz w:val="18"/>
                <w:szCs w:val="18"/>
                <w:color w:val="auto"/>
              </w:rPr>
              <w:t>(0.40)</w:t>
            </w:r>
          </w:p>
        </w:tc>
      </w:tr>
      <w:tr>
        <w:trPr>
          <w:trHeight w:val="248"/>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adjusted net income per common unit</w:t>
            </w:r>
          </w:p>
        </w:tc>
        <w:tc>
          <w:tcPr>
            <w:tcW w:w="740" w:type="dxa"/>
            <w:vAlign w:val="bottom"/>
            <w:tcBorders>
              <w:bottom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0.46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center"/>
              <w:ind w:left="193"/>
              <w:spacing w:after="0"/>
              <w:rPr>
                <w:sz w:val="20"/>
                <w:szCs w:val="20"/>
                <w:color w:val="auto"/>
              </w:rPr>
            </w:pPr>
            <w:r>
              <w:rPr>
                <w:rFonts w:ascii="Times New Roman" w:cs="Times New Roman" w:eastAsia="Times New Roman" w:hAnsi="Times New Roman"/>
                <w:sz w:val="18"/>
                <w:szCs w:val="18"/>
                <w:color w:val="auto"/>
              </w:rPr>
              <w:t>0.52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center"/>
              <w:ind w:left="356"/>
              <w:spacing w:after="0"/>
              <w:rPr>
                <w:sz w:val="20"/>
                <w:szCs w:val="20"/>
                <w:color w:val="auto"/>
              </w:rPr>
            </w:pPr>
            <w:r>
              <w:rPr>
                <w:rFonts w:ascii="Times New Roman" w:cs="Times New Roman" w:eastAsia="Times New Roman" w:hAnsi="Times New Roman"/>
                <w:sz w:val="18"/>
                <w:szCs w:val="18"/>
                <w:color w:val="auto"/>
                <w:w w:val="95"/>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center"/>
              <w:ind w:left="213"/>
              <w:spacing w:after="0"/>
              <w:rPr>
                <w:sz w:val="20"/>
                <w:szCs w:val="20"/>
                <w:color w:val="auto"/>
              </w:rPr>
            </w:pPr>
            <w:r>
              <w:rPr>
                <w:rFonts w:ascii="Times New Roman" w:cs="Times New Roman" w:eastAsia="Times New Roman" w:hAnsi="Times New Roman"/>
                <w:sz w:val="18"/>
                <w:szCs w:val="18"/>
                <w:color w:val="auto"/>
                <w:w w:val="95"/>
              </w:rPr>
              <w:t>1.88</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340" w:right="120" w:hanging="332"/>
        <w:spacing w:after="0" w:line="229" w:lineRule="auto"/>
        <w:tabs>
          <w:tab w:leader="none" w:pos="328"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the “Selected Items Impacting Comparability” and the “Computation of Basic and Diluted Adjusted Net Income/(Loss) Per Common Unit” tables for additional information.</w:t>
      </w:r>
    </w:p>
    <w:p>
      <w:pPr>
        <w:spacing w:after="0" w:line="359" w:lineRule="exact"/>
        <w:rPr>
          <w:sz w:val="20"/>
          <w:szCs w:val="20"/>
          <w:color w:val="auto"/>
        </w:rPr>
      </w:pPr>
    </w:p>
    <w:p>
      <w:pPr>
        <w:jc w:val="center"/>
        <w:ind w:left="8700"/>
        <w:spacing w:after="0"/>
        <w:rPr>
          <w:sz w:val="20"/>
          <w:szCs w:val="20"/>
          <w:color w:val="auto"/>
        </w:rPr>
      </w:pPr>
      <w:r>
        <w:rPr>
          <w:rFonts w:ascii="Times New Roman" w:cs="Times New Roman" w:eastAsia="Times New Roman" w:hAnsi="Times New Roman"/>
          <w:sz w:val="14"/>
          <w:szCs w:val="14"/>
          <w:b w:val="1"/>
          <w:bCs w:val="1"/>
          <w:color w:val="auto"/>
        </w:rPr>
        <w:t>Twelve Months Ended</w:t>
      </w:r>
    </w:p>
    <w:p>
      <w:pPr>
        <w:jc w:val="center"/>
        <w:ind w:left="87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1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72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3"/>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income per common unit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center"/>
              <w:ind w:left="355"/>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center"/>
              <w:ind w:left="355"/>
              <w:spacing w:after="0"/>
              <w:rPr>
                <w:sz w:val="20"/>
                <w:szCs w:val="20"/>
                <w:color w:val="auto"/>
              </w:rPr>
            </w:pPr>
            <w:r>
              <w:rPr>
                <w:rFonts w:ascii="Times New Roman" w:cs="Times New Roman" w:eastAsia="Times New Roman" w:hAnsi="Times New Roman"/>
                <w:sz w:val="18"/>
                <w:szCs w:val="18"/>
                <w:color w:val="auto"/>
              </w:rPr>
              <w:t>2.71</w:t>
            </w:r>
          </w:p>
        </w:tc>
      </w:tr>
      <w:tr>
        <w:trPr>
          <w:trHeight w:val="229"/>
        </w:trPr>
        <w:tc>
          <w:tcPr>
            <w:tcW w:w="87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Selected items impacting comparability per common unit </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left="315"/>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left="315"/>
              <w:spacing w:after="0"/>
              <w:rPr>
                <w:sz w:val="20"/>
                <w:szCs w:val="20"/>
                <w:color w:val="auto"/>
              </w:rPr>
            </w:pPr>
            <w:r>
              <w:rPr>
                <w:rFonts w:ascii="Times New Roman" w:cs="Times New Roman" w:eastAsia="Times New Roman" w:hAnsi="Times New Roman"/>
                <w:sz w:val="18"/>
                <w:szCs w:val="18"/>
                <w:color w:val="auto"/>
              </w:rPr>
              <w:t>(0.83)</w:t>
            </w:r>
          </w:p>
        </w:tc>
      </w:tr>
      <w:tr>
        <w:trPr>
          <w:trHeight w:val="248"/>
        </w:trPr>
        <w:tc>
          <w:tcPr>
            <w:tcW w:w="8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adjusted net income per common unit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center"/>
              <w:ind w:left="355"/>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center"/>
              <w:ind w:left="355"/>
              <w:spacing w:after="0"/>
              <w:rPr>
                <w:sz w:val="20"/>
                <w:szCs w:val="20"/>
                <w:color w:val="auto"/>
              </w:rPr>
            </w:pPr>
            <w:r>
              <w:rPr>
                <w:rFonts w:ascii="Times New Roman" w:cs="Times New Roman" w:eastAsia="Times New Roman" w:hAnsi="Times New Roman"/>
                <w:sz w:val="18"/>
                <w:szCs w:val="18"/>
                <w:color w:val="auto"/>
              </w:rPr>
              <w:t>1.88</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24599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the “Selected Items Impacting Comparability” table for additional information.</w:t>
      </w:r>
    </w:p>
    <w:p>
      <w:pPr>
        <w:spacing w:after="0" w:line="55" w:lineRule="exact"/>
        <w:rPr>
          <w:rFonts w:ascii="Times New Roman" w:cs="Times New Roman" w:eastAsia="Times New Roman" w:hAnsi="Times New Roman"/>
          <w:sz w:val="23"/>
          <w:szCs w:val="23"/>
          <w:color w:val="auto"/>
          <w:vertAlign w:val="superscript"/>
        </w:rPr>
      </w:pPr>
    </w:p>
    <w:p>
      <w:pPr>
        <w:ind w:left="5440" w:hanging="106"/>
        <w:spacing w:after="0"/>
        <w:tabs>
          <w:tab w:leader="none" w:pos="54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3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auto"/>
        </w:rPr>
        <w:t>Page 17</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RECONCILIATIONS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per unit and ratio data)</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3"/>
                <w:szCs w:val="13"/>
                <w:color w:val="auto"/>
              </w:rPr>
            </w:pPr>
          </w:p>
        </w:tc>
        <w:tc>
          <w:tcPr>
            <w:tcW w:w="2000" w:type="dxa"/>
            <w:vAlign w:val="bottom"/>
            <w:gridSpan w:val="4"/>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80" w:type="dxa"/>
            <w:vAlign w:val="bottom"/>
            <w:gridSpan w:val="4"/>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624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24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1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Income/(Loss) to Adjusted EBITDA and Implied DCF Reconciliation</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Income/(Loss)</w:t>
            </w:r>
          </w:p>
        </w:tc>
        <w:tc>
          <w:tcPr>
            <w:tcW w:w="720" w:type="dxa"/>
            <w:vAlign w:val="bottom"/>
          </w:tcPr>
          <w:p>
            <w:pPr>
              <w:jc w:val="right"/>
              <w:ind w:right="53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9"/>
                <w:szCs w:val="19"/>
                <w:color w:val="auto"/>
              </w:rPr>
            </w:pPr>
          </w:p>
        </w:tc>
        <w:tc>
          <w:tcPr>
            <w:tcW w:w="7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(2,555)</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30"/>
        </w:trPr>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expense/(benefit)</w:t>
            </w: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29"/>
        </w:trPr>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(Gains)/losses on asset sales and asset impairments, net</w:t>
            </w: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 impairment losses</w:t>
            </w:r>
          </w:p>
        </w:tc>
        <w:tc>
          <w:tcPr>
            <w:tcW w:w="7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on)/impairment of investments in unconsolidated entities, net</w:t>
            </w: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Depreciation and amortization of unconsolidated entities </w:t>
            </w:r>
            <w:r>
              <w:rPr>
                <w:rFonts w:ascii="Times New Roman" w:cs="Times New Roman" w:eastAsia="Times New Roman" w:hAnsi="Times New Roman"/>
                <w:sz w:val="23"/>
                <w:szCs w:val="23"/>
                <w:color w:val="auto"/>
                <w:vertAlign w:val="superscript"/>
              </w:rPr>
              <w:t>(1)</w:t>
            </w: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9"/>
        </w:trPr>
        <w:tc>
          <w:tcPr>
            <w:tcW w:w="6240" w:type="dxa"/>
            <w:vAlign w:val="bottom"/>
            <w:tcBorders>
              <w:bottom w:val="single" w:sz="8" w:color="CCEEFF"/>
            </w:tcBorders>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Selected items impacting comparability - Adjusted EBITDA </w:t>
            </w:r>
            <w:r>
              <w:rPr>
                <w:rFonts w:ascii="Times New Roman" w:cs="Times New Roman" w:eastAsia="Times New Roman" w:hAnsi="Times New Roman"/>
                <w:sz w:val="23"/>
                <w:szCs w:val="23"/>
                <w:color w:val="auto"/>
                <w:vertAlign w:val="superscript"/>
              </w:rPr>
              <w:t>(2)</w:t>
            </w:r>
          </w:p>
        </w:tc>
        <w:tc>
          <w:tcPr>
            <w:tcW w:w="7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720" w:type="dxa"/>
            <w:vAlign w:val="bottom"/>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0" w:type="dxa"/>
            <w:vAlign w:val="bottom"/>
          </w:tcPr>
          <w:p>
            <w:pPr>
              <w:spacing w:after="0"/>
              <w:rPr>
                <w:sz w:val="1"/>
                <w:szCs w:val="1"/>
                <w:color w:val="auto"/>
              </w:rPr>
            </w:pPr>
          </w:p>
        </w:tc>
      </w:tr>
      <w:tr>
        <w:trPr>
          <w:trHeight w:val="229"/>
        </w:trPr>
        <w:tc>
          <w:tcPr>
            <w:tcW w:w="624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Interest expense, net of certain non-cash items </w:t>
            </w:r>
            <w:r>
              <w:rPr>
                <w:rFonts w:ascii="Times New Roman" w:cs="Times New Roman" w:eastAsia="Times New Roman" w:hAnsi="Times New Roman"/>
                <w:sz w:val="23"/>
                <w:szCs w:val="23"/>
                <w:color w:val="auto"/>
                <w:vertAlign w:val="superscript"/>
              </w:rPr>
              <w:t>(3)</w:t>
            </w: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(107)</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Maintenance capital</w:t>
            </w: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30"/>
        </w:trPr>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175"/>
        </w:trPr>
        <w:tc>
          <w:tcPr>
            <w:tcW w:w="624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Distributions from unconsolidated entities in excess of/(less than) adjusted equity</w:t>
            </w:r>
          </w:p>
        </w:tc>
        <w:tc>
          <w:tcPr>
            <w:tcW w:w="720" w:type="dxa"/>
            <w:vAlign w:val="bottom"/>
            <w:shd w:val="clear" w:color="auto" w:fill="CCEEFF"/>
          </w:tcPr>
          <w:p>
            <w:pPr>
              <w:spacing w:after="0"/>
              <w:rPr>
                <w:sz w:val="15"/>
                <w:szCs w:val="15"/>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earnings </w:t>
            </w:r>
            <w:r>
              <w:rPr>
                <w:rFonts w:ascii="Times New Roman" w:cs="Times New Roman" w:eastAsia="Times New Roman" w:hAnsi="Times New Roman"/>
                <w:sz w:val="23"/>
                <w:szCs w:val="23"/>
                <w:color w:val="auto"/>
                <w:vertAlign w:val="superscript"/>
              </w:rPr>
              <w:t>(4)</w:t>
            </w:r>
          </w:p>
        </w:tc>
        <w:tc>
          <w:tcPr>
            <w:tcW w:w="720" w:type="dxa"/>
            <w:vAlign w:val="bottom"/>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tcBorders>
              <w:bottom w:val="single" w:sz="8" w:color="CCEEFF"/>
            </w:tcBorders>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Distributions to noncontrolling interests </w:t>
            </w:r>
            <w:r>
              <w:rPr>
                <w:rFonts w:ascii="Times New Roman" w:cs="Times New Roman" w:eastAsia="Times New Roman" w:hAnsi="Times New Roman"/>
                <w:sz w:val="23"/>
                <w:szCs w:val="23"/>
                <w:color w:val="auto"/>
                <w:vertAlign w:val="superscript"/>
              </w:rPr>
              <w:t>(5)</w:t>
            </w:r>
          </w:p>
        </w:tc>
        <w:tc>
          <w:tcPr>
            <w:tcW w:w="7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Implied DCF</w:t>
            </w:r>
          </w:p>
        </w:tc>
        <w:tc>
          <w:tcPr>
            <w:tcW w:w="720" w:type="dxa"/>
            <w:vAlign w:val="bottom"/>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0" w:type="dxa"/>
            <w:vAlign w:val="bottom"/>
          </w:tcPr>
          <w:p>
            <w:pPr>
              <w:spacing w:after="0"/>
              <w:rPr>
                <w:sz w:val="1"/>
                <w:szCs w:val="1"/>
                <w:color w:val="auto"/>
              </w:rPr>
            </w:pPr>
          </w:p>
        </w:tc>
      </w:tr>
      <w:tr>
        <w:trPr>
          <w:trHeight w:val="230"/>
        </w:trPr>
        <w:tc>
          <w:tcPr>
            <w:tcW w:w="6240" w:type="dxa"/>
            <w:vAlign w:val="bottom"/>
            <w:tcBorders>
              <w:bottom w:val="single" w:sz="8" w:color="CCEEFF"/>
            </w:tcBorders>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Preferred unit distributions paid </w:t>
            </w:r>
            <w:r>
              <w:rPr>
                <w:rFonts w:ascii="Times New Roman" w:cs="Times New Roman" w:eastAsia="Times New Roman" w:hAnsi="Times New Roman"/>
                <w:sz w:val="23"/>
                <w:szCs w:val="23"/>
                <w:color w:val="auto"/>
                <w:vertAlign w:val="superscript"/>
              </w:rPr>
              <w:t>(6)</w:t>
            </w:r>
          </w:p>
        </w:tc>
        <w:tc>
          <w:tcPr>
            <w:tcW w:w="7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48"/>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Implied DCF Available to Common Unitholders</w:t>
            </w:r>
          </w:p>
        </w:tc>
        <w:tc>
          <w:tcPr>
            <w:tcW w:w="720" w:type="dxa"/>
            <w:vAlign w:val="bottom"/>
            <w:tcBorders>
              <w:bottom w:val="single" w:sz="8" w:color="auto"/>
            </w:tcBorders>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Units Outstanding</w:t>
            </w: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Units and Common Equivalent Units</w:t>
            </w: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0" w:type="dxa"/>
            <w:vAlign w:val="bottom"/>
          </w:tcPr>
          <w:p>
            <w:pPr>
              <w:spacing w:after="0"/>
              <w:rPr>
                <w:sz w:val="1"/>
                <w:szCs w:val="1"/>
                <w:color w:val="auto"/>
              </w:rPr>
            </w:pPr>
          </w:p>
        </w:tc>
      </w:tr>
      <w:tr>
        <w:trPr>
          <w:trHeight w:val="162"/>
        </w:trPr>
        <w:tc>
          <w:tcPr>
            <w:tcW w:w="62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Implied DCF per Common Unit </w:t>
            </w:r>
            <w:r>
              <w:rPr>
                <w:rFonts w:ascii="Times New Roman" w:cs="Times New Roman" w:eastAsia="Times New Roman" w:hAnsi="Times New Roman"/>
                <w:sz w:val="23"/>
                <w:szCs w:val="23"/>
                <w:color w:val="auto"/>
                <w:vertAlign w:val="superscript"/>
              </w:rPr>
              <w:t>(7)</w:t>
            </w:r>
          </w:p>
        </w:tc>
        <w:tc>
          <w:tcPr>
            <w:tcW w:w="720" w:type="dxa"/>
            <w:vAlign w:val="bottom"/>
          </w:tcPr>
          <w:p>
            <w:pPr>
              <w:jc w:val="right"/>
              <w:ind w:right="53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100" w:type="dxa"/>
            <w:vAlign w:val="bottom"/>
          </w:tcPr>
          <w:p>
            <w:pPr>
              <w:spacing w:after="0"/>
              <w:rPr>
                <w:sz w:val="19"/>
                <w:szCs w:val="19"/>
                <w:color w:val="auto"/>
              </w:rPr>
            </w:pPr>
          </w:p>
        </w:tc>
        <w:tc>
          <w:tcPr>
            <w:tcW w:w="7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Implied DCF per Common Unit and Common Equivalent Unit </w:t>
            </w:r>
            <w:r>
              <w:rPr>
                <w:rFonts w:ascii="Times New Roman" w:cs="Times New Roman" w:eastAsia="Times New Roman" w:hAnsi="Times New Roman"/>
                <w:sz w:val="23"/>
                <w:szCs w:val="23"/>
                <w:color w:val="auto"/>
                <w:vertAlign w:val="superscript"/>
              </w:rPr>
              <w:t>(8)</w:t>
            </w:r>
          </w:p>
        </w:tc>
        <w:tc>
          <w:tcPr>
            <w:tcW w:w="720" w:type="dxa"/>
            <w:vAlign w:val="bottom"/>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162"/>
        </w:trPr>
        <w:tc>
          <w:tcPr>
            <w:tcW w:w="6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Distribution Paid per Common Unit</w:t>
            </w:r>
          </w:p>
        </w:tc>
        <w:tc>
          <w:tcPr>
            <w:tcW w:w="720" w:type="dxa"/>
            <w:vAlign w:val="bottom"/>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Common Unit Cash Distributions </w:t>
            </w:r>
            <w:r>
              <w:rPr>
                <w:rFonts w:ascii="Times New Roman" w:cs="Times New Roman" w:eastAsia="Times New Roman" w:hAnsi="Times New Roman"/>
                <w:sz w:val="23"/>
                <w:szCs w:val="23"/>
                <w:color w:val="auto"/>
                <w:vertAlign w:val="superscript"/>
              </w:rPr>
              <w:t>(5)</w:t>
            </w:r>
          </w:p>
        </w:tc>
        <w:tc>
          <w:tcPr>
            <w:tcW w:w="720" w:type="dxa"/>
            <w:vAlign w:val="bottom"/>
          </w:tcPr>
          <w:p>
            <w:pPr>
              <w:jc w:val="right"/>
              <w:ind w:right="53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9"/>
                <w:szCs w:val="19"/>
                <w:color w:val="auto"/>
              </w:rPr>
            </w:pPr>
          </w:p>
        </w:tc>
        <w:tc>
          <w:tcPr>
            <w:tcW w:w="7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Unit Distribution Coverage Ratio</w:t>
            </w:r>
          </w:p>
        </w:tc>
        <w:tc>
          <w:tcPr>
            <w:tcW w:w="7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3.54x</w:t>
            </w:r>
          </w:p>
        </w:tc>
        <w:tc>
          <w:tcPr>
            <w:tcW w:w="7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1.79x</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2.59x</w:t>
            </w: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2.23x</w:t>
            </w:r>
          </w:p>
        </w:tc>
        <w:tc>
          <w:tcPr>
            <w:tcW w:w="0" w:type="dxa"/>
            <w:vAlign w:val="bottom"/>
          </w:tcPr>
          <w:p>
            <w:pPr>
              <w:spacing w:after="0"/>
              <w:rPr>
                <w:sz w:val="1"/>
                <w:szCs w:val="1"/>
                <w:color w:val="auto"/>
              </w:rPr>
            </w:pPr>
          </w:p>
        </w:tc>
      </w:tr>
      <w:tr>
        <w:trPr>
          <w:trHeight w:val="162"/>
        </w:trPr>
        <w:tc>
          <w:tcPr>
            <w:tcW w:w="6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Implied DCF Excess</w:t>
            </w:r>
          </w:p>
        </w:tc>
        <w:tc>
          <w:tcPr>
            <w:tcW w:w="720" w:type="dxa"/>
            <w:vAlign w:val="bottom"/>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320" w:hanging="312"/>
        <w:spacing w:after="0"/>
        <w:tabs>
          <w:tab w:leader="none" w:pos="320" w:val="left"/>
        </w:tabs>
        <w:numPr>
          <w:ilvl w:val="0"/>
          <w:numId w:val="17"/>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Adjustment to add back our proportionate share of depreciation and amortization expense of unconsolidated entities.</w:t>
      </w:r>
    </w:p>
    <w:p>
      <w:pPr>
        <w:spacing w:after="0" w:line="48" w:lineRule="exact"/>
        <w:rPr>
          <w:rFonts w:ascii="Times New Roman" w:cs="Times New Roman" w:eastAsia="Times New Roman" w:hAnsi="Times New Roman"/>
          <w:sz w:val="15"/>
          <w:szCs w:val="15"/>
          <w:color w:val="auto"/>
          <w:vertAlign w:val="superscript"/>
        </w:rPr>
      </w:pPr>
    </w:p>
    <w:p>
      <w:pPr>
        <w:ind w:left="320" w:hanging="312"/>
        <w:spacing w:after="0" w:line="194" w:lineRule="auto"/>
        <w:tabs>
          <w:tab w:leader="none" w:pos="320" w:val="left"/>
        </w:tabs>
        <w:numPr>
          <w:ilvl w:val="0"/>
          <w:numId w:val="17"/>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Certain of our non-GAAP financial measures may not be impacted by each of the selected items impacting comparability.</w:t>
      </w:r>
    </w:p>
    <w:p>
      <w:pPr>
        <w:spacing w:after="0" w:line="49" w:lineRule="exact"/>
        <w:rPr>
          <w:rFonts w:ascii="Times New Roman" w:cs="Times New Roman" w:eastAsia="Times New Roman" w:hAnsi="Times New Roman"/>
          <w:sz w:val="15"/>
          <w:szCs w:val="15"/>
          <w:color w:val="auto"/>
          <w:vertAlign w:val="superscript"/>
        </w:rPr>
      </w:pPr>
    </w:p>
    <w:p>
      <w:pPr>
        <w:ind w:left="320" w:hanging="312"/>
        <w:spacing w:after="0" w:line="194" w:lineRule="auto"/>
        <w:tabs>
          <w:tab w:leader="none" w:pos="320" w:val="left"/>
        </w:tabs>
        <w:numPr>
          <w:ilvl w:val="0"/>
          <w:numId w:val="17"/>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Excludes certain non-cash items impacting interest expense such as amortization of debt issuance costs and terminated interest rate swaps.</w:t>
      </w:r>
    </w:p>
    <w:p>
      <w:pPr>
        <w:spacing w:after="0" w:line="49" w:lineRule="exact"/>
        <w:rPr>
          <w:rFonts w:ascii="Times New Roman" w:cs="Times New Roman" w:eastAsia="Times New Roman" w:hAnsi="Times New Roman"/>
          <w:sz w:val="15"/>
          <w:szCs w:val="15"/>
          <w:color w:val="auto"/>
          <w:vertAlign w:val="superscript"/>
        </w:rPr>
      </w:pPr>
    </w:p>
    <w:p>
      <w:pPr>
        <w:ind w:left="320" w:hanging="312"/>
        <w:spacing w:after="0" w:line="194" w:lineRule="auto"/>
        <w:tabs>
          <w:tab w:leader="none" w:pos="320" w:val="left"/>
        </w:tabs>
        <w:numPr>
          <w:ilvl w:val="0"/>
          <w:numId w:val="17"/>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Comprised of cash distributions received from unconsolidated entities less equity earnings in unconsolidated entities (adjusted for our proportionate share of depreciation and amortization).</w:t>
      </w:r>
    </w:p>
    <w:p>
      <w:pPr>
        <w:spacing w:after="0" w:line="49" w:lineRule="exact"/>
        <w:rPr>
          <w:rFonts w:ascii="Times New Roman" w:cs="Times New Roman" w:eastAsia="Times New Roman" w:hAnsi="Times New Roman"/>
          <w:sz w:val="15"/>
          <w:szCs w:val="15"/>
          <w:color w:val="auto"/>
          <w:vertAlign w:val="superscript"/>
        </w:rPr>
      </w:pPr>
    </w:p>
    <w:p>
      <w:pPr>
        <w:ind w:left="320" w:hanging="312"/>
        <w:spacing w:after="0" w:line="194" w:lineRule="auto"/>
        <w:tabs>
          <w:tab w:leader="none" w:pos="320" w:val="left"/>
        </w:tabs>
        <w:numPr>
          <w:ilvl w:val="0"/>
          <w:numId w:val="17"/>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Cash distributions paid during the period presented.</w:t>
      </w:r>
    </w:p>
    <w:p>
      <w:pPr>
        <w:spacing w:after="0" w:line="49" w:lineRule="exact"/>
        <w:rPr>
          <w:rFonts w:ascii="Times New Roman" w:cs="Times New Roman" w:eastAsia="Times New Roman" w:hAnsi="Times New Roman"/>
          <w:sz w:val="15"/>
          <w:szCs w:val="15"/>
          <w:color w:val="auto"/>
          <w:vertAlign w:val="superscript"/>
        </w:rPr>
      </w:pPr>
    </w:p>
    <w:p>
      <w:pPr>
        <w:jc w:val="both"/>
        <w:ind w:left="340" w:right="160" w:hanging="332"/>
        <w:spacing w:after="0" w:line="219" w:lineRule="auto"/>
        <w:tabs>
          <w:tab w:leader="none" w:pos="334" w:val="left"/>
        </w:tabs>
        <w:numPr>
          <w:ilvl w:val="0"/>
          <w:numId w:val="17"/>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Cash distributions paid to our preferred unitholders during the period presented. The current $0.5250 quarterly ($2.10 annualized) per unit distribution requirement of our Series A preferred units was paid-in-kind for each quarterly distribution from their issuance through February 2018. Distributions on our Series A preferred units have been paid in cash since the May 2018 quarterly distribution. The current $61.25 per unit annual distribution requirement of our Series B preferred units, is payable in cash semi-annually in arrears on May 15 and November 15.</w:t>
      </w:r>
    </w:p>
    <w:p>
      <w:pPr>
        <w:spacing w:after="0" w:line="17" w:lineRule="exact"/>
        <w:rPr>
          <w:rFonts w:ascii="Times New Roman" w:cs="Times New Roman" w:eastAsia="Times New Roman" w:hAnsi="Times New Roman"/>
          <w:sz w:val="15"/>
          <w:szCs w:val="15"/>
          <w:color w:val="auto"/>
          <w:vertAlign w:val="superscript"/>
        </w:rPr>
      </w:pPr>
    </w:p>
    <w:p>
      <w:pPr>
        <w:ind w:left="320" w:hanging="312"/>
        <w:spacing w:after="0"/>
        <w:tabs>
          <w:tab w:leader="none" w:pos="320" w:val="left"/>
        </w:tabs>
        <w:numPr>
          <w:ilvl w:val="0"/>
          <w:numId w:val="17"/>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Implied DCF Available to Common Unitholders for the period divided by the weighted average common units outstanding for the period.</w:t>
      </w:r>
    </w:p>
    <w:p>
      <w:pPr>
        <w:spacing w:after="0" w:line="48" w:lineRule="exact"/>
        <w:rPr>
          <w:rFonts w:ascii="Times New Roman" w:cs="Times New Roman" w:eastAsia="Times New Roman" w:hAnsi="Times New Roman"/>
          <w:sz w:val="15"/>
          <w:szCs w:val="15"/>
          <w:color w:val="auto"/>
          <w:vertAlign w:val="superscript"/>
        </w:rPr>
      </w:pPr>
    </w:p>
    <w:p>
      <w:pPr>
        <w:ind w:left="340" w:right="40" w:hanging="332"/>
        <w:spacing w:after="0" w:line="212" w:lineRule="auto"/>
        <w:tabs>
          <w:tab w:leader="none" w:pos="334" w:val="left"/>
        </w:tabs>
        <w:numPr>
          <w:ilvl w:val="0"/>
          <w:numId w:val="17"/>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Implied DCF Available to Common Unitholders for the period, adjusted for Series A preferred unit cash distributions paid, divided by the weighted average common units and common equivalent units outstanding for the period. Our Series A preferred units are convertible into common units, generally on a one-for-one basis and subject to customary anti-dilution adjustments, in whole or in part, subject to certain minimum conversion amounts.</w:t>
      </w:r>
    </w:p>
    <w:p>
      <w:pPr>
        <w:spacing w:after="0" w:line="29" w:lineRule="exact"/>
        <w:rPr>
          <w:rFonts w:ascii="Times New Roman" w:cs="Times New Roman" w:eastAsia="Times New Roman" w:hAnsi="Times New Roman"/>
          <w:sz w:val="15"/>
          <w:szCs w:val="15"/>
          <w:color w:val="auto"/>
          <w:vertAlign w:val="superscript"/>
        </w:rPr>
      </w:pPr>
    </w:p>
    <w:p>
      <w:pPr>
        <w:ind w:left="5440" w:hanging="106"/>
        <w:spacing w:after="0"/>
        <w:tabs>
          <w:tab w:leader="none" w:pos="54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auto"/>
        </w:rPr>
        <w:t>Page 18</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RECONCILIATIONS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per unit and ratio data)</w:t>
      </w:r>
    </w:p>
    <w:p>
      <w:pPr>
        <w:spacing w:after="0" w:line="17" w:lineRule="exact"/>
        <w:rPr>
          <w:sz w:val="20"/>
          <w:szCs w:val="20"/>
          <w:color w:val="auto"/>
        </w:rPr>
      </w:pPr>
    </w:p>
    <w:p>
      <w:pPr>
        <w:jc w:val="center"/>
        <w:ind w:left="8760"/>
        <w:spacing w:after="0"/>
        <w:rPr>
          <w:sz w:val="20"/>
          <w:szCs w:val="20"/>
          <w:color w:val="auto"/>
        </w:rPr>
      </w:pPr>
      <w:r>
        <w:rPr>
          <w:rFonts w:ascii="Times New Roman" w:cs="Times New Roman" w:eastAsia="Times New Roman" w:hAnsi="Times New Roman"/>
          <w:sz w:val="14"/>
          <w:szCs w:val="14"/>
          <w:b w:val="1"/>
          <w:bCs w:val="1"/>
          <w:color w:val="auto"/>
        </w:rPr>
        <w:t>Twelve Months Ended</w:t>
      </w:r>
    </w:p>
    <w:p>
      <w:pPr>
        <w:jc w:val="center"/>
        <w:ind w:left="876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78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10"/>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to Adjusted EBITDA and Implied DCF Reconciliation</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w:t>
            </w:r>
          </w:p>
        </w:tc>
      </w:tr>
      <w:tr>
        <w:trPr>
          <w:trHeight w:val="229"/>
        </w:trPr>
        <w:tc>
          <w:tcPr>
            <w:tcW w:w="8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r>
      <w:tr>
        <w:trPr>
          <w:trHeight w:val="230"/>
        </w:trPr>
        <w:tc>
          <w:tcPr>
            <w:tcW w:w="8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29"/>
        </w:trPr>
        <w:tc>
          <w:tcPr>
            <w:tcW w:w="8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r>
      <w:tr>
        <w:trPr>
          <w:trHeight w:val="230"/>
        </w:trPr>
        <w:tc>
          <w:tcPr>
            <w:tcW w:w="8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(Gains)/losses on asset sales and asset impairments, net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29"/>
        </w:trPr>
        <w:tc>
          <w:tcPr>
            <w:tcW w:w="8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investment in unconsolidated entities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29"/>
        </w:trPr>
        <w:tc>
          <w:tcPr>
            <w:tcW w:w="878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Depreciation and amortization of unconsolidated entities </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878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Selected items impacting comparability - Adjusted EBITDA </w:t>
            </w:r>
            <w:r>
              <w:rPr>
                <w:rFonts w:ascii="Times New Roman" w:cs="Times New Roman" w:eastAsia="Times New Roman" w:hAnsi="Times New Roman"/>
                <w:sz w:val="23"/>
                <w:szCs w:val="23"/>
                <w:color w:val="auto"/>
                <w:vertAlign w:val="superscript"/>
              </w:rPr>
              <w:t>(2)</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r>
      <w:tr>
        <w:trPr>
          <w:trHeight w:val="223"/>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2,684</w:t>
            </w:r>
          </w:p>
        </w:tc>
      </w:tr>
      <w:tr>
        <w:trPr>
          <w:trHeight w:val="20"/>
        </w:trPr>
        <w:tc>
          <w:tcPr>
            <w:tcW w:w="87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23"/>
        </w:trPr>
        <w:tc>
          <w:tcPr>
            <w:tcW w:w="8780" w:type="dxa"/>
            <w:vAlign w:val="bottom"/>
            <w:shd w:val="clear" w:color="auto" w:fill="CCEEFF"/>
          </w:tcPr>
          <w:p>
            <w:pPr>
              <w:ind w:left="180"/>
              <w:spacing w:after="0" w:line="223" w:lineRule="exact"/>
              <w:rPr>
                <w:sz w:val="20"/>
                <w:szCs w:val="20"/>
                <w:color w:val="auto"/>
              </w:rPr>
            </w:pPr>
            <w:r>
              <w:rPr>
                <w:rFonts w:ascii="Times New Roman" w:cs="Times New Roman" w:eastAsia="Times New Roman" w:hAnsi="Times New Roman"/>
                <w:sz w:val="18"/>
                <w:szCs w:val="18"/>
                <w:color w:val="auto"/>
              </w:rPr>
              <w:t xml:space="preserve">Interest expense, net of certain non-cash items </w:t>
            </w:r>
            <w:r>
              <w:rPr>
                <w:rFonts w:ascii="Times New Roman" w:cs="Times New Roman" w:eastAsia="Times New Roman" w:hAnsi="Times New Roman"/>
                <w:sz w:val="23"/>
                <w:szCs w:val="23"/>
                <w:color w:val="auto"/>
                <w:vertAlign w:val="superscript"/>
              </w:rPr>
              <w:t>(3)</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230"/>
        </w:trPr>
        <w:tc>
          <w:tcPr>
            <w:tcW w:w="8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Maintenance capital</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29"/>
        </w:trPr>
        <w:tc>
          <w:tcPr>
            <w:tcW w:w="8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0"/>
        </w:trPr>
        <w:tc>
          <w:tcPr>
            <w:tcW w:w="878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Distributions from unconsolidated entities in excess of/(less than) adjusted equity earnings </w:t>
            </w:r>
            <w:r>
              <w:rPr>
                <w:rFonts w:ascii="Times New Roman" w:cs="Times New Roman" w:eastAsia="Times New Roman" w:hAnsi="Times New Roman"/>
                <w:sz w:val="23"/>
                <w:szCs w:val="23"/>
                <w:color w:val="auto"/>
                <w:vertAlign w:val="superscript"/>
              </w:rPr>
              <w:t>(4)</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878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Distributions to noncontrolling interests </w:t>
            </w:r>
            <w:r>
              <w:rPr>
                <w:rFonts w:ascii="Times New Roman" w:cs="Times New Roman" w:eastAsia="Times New Roman" w:hAnsi="Times New Roman"/>
                <w:sz w:val="23"/>
                <w:szCs w:val="23"/>
                <w:color w:val="auto"/>
                <w:vertAlign w:val="superscript"/>
              </w:rPr>
              <w:t>(5)</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Implied DCF</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w:t>
            </w:r>
          </w:p>
        </w:tc>
      </w:tr>
      <w:tr>
        <w:trPr>
          <w:trHeight w:val="230"/>
        </w:trPr>
        <w:tc>
          <w:tcPr>
            <w:tcW w:w="878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Preferred unit distributions paid </w:t>
            </w:r>
            <w:r>
              <w:rPr>
                <w:rFonts w:ascii="Times New Roman" w:cs="Times New Roman" w:eastAsia="Times New Roman" w:hAnsi="Times New Roman"/>
                <w:sz w:val="23"/>
                <w:szCs w:val="23"/>
                <w:color w:val="auto"/>
                <w:vertAlign w:val="superscript"/>
              </w:rPr>
              <w:t>(6)</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23"/>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Implied DCF Available to Common Unitholders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1,787</w:t>
            </w:r>
          </w:p>
        </w:tc>
      </w:tr>
      <w:tr>
        <w:trPr>
          <w:trHeight w:val="20"/>
        </w:trPr>
        <w:tc>
          <w:tcPr>
            <w:tcW w:w="87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29"/>
        </w:trPr>
        <w:tc>
          <w:tcPr>
            <w:tcW w:w="87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230"/>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Units Outstanding</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r>
      <w:tr>
        <w:trPr>
          <w:trHeight w:val="230"/>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Units and Common Equivalent Units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r>
      <w:tr>
        <w:trPr>
          <w:trHeight w:val="162"/>
        </w:trPr>
        <w:tc>
          <w:tcPr>
            <w:tcW w:w="8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30"/>
        </w:trPr>
        <w:tc>
          <w:tcPr>
            <w:tcW w:w="8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Implied DCF per Common Unit </w:t>
            </w:r>
            <w:r>
              <w:rPr>
                <w:rFonts w:ascii="Times New Roman" w:cs="Times New Roman" w:eastAsia="Times New Roman" w:hAnsi="Times New Roman"/>
                <w:sz w:val="23"/>
                <w:szCs w:val="23"/>
                <w:color w:val="auto"/>
                <w:vertAlign w:val="superscript"/>
              </w:rPr>
              <w:t>(7)</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29"/>
        </w:trPr>
        <w:tc>
          <w:tcPr>
            <w:tcW w:w="87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Implied DCF per Common Unit and Common Equivalent Unit </w:t>
            </w:r>
            <w:r>
              <w:rPr>
                <w:rFonts w:ascii="Times New Roman" w:cs="Times New Roman" w:eastAsia="Times New Roman" w:hAnsi="Times New Roman"/>
                <w:sz w:val="23"/>
                <w:szCs w:val="23"/>
                <w:color w:val="auto"/>
                <w:vertAlign w:val="superscript"/>
              </w:rPr>
              <w:t>(8)</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162"/>
        </w:trPr>
        <w:tc>
          <w:tcPr>
            <w:tcW w:w="87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230"/>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Distribution Paid per Common Unit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30"/>
        </w:trPr>
        <w:tc>
          <w:tcPr>
            <w:tcW w:w="8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Common Unit Cash Distributions </w:t>
            </w:r>
            <w:r>
              <w:rPr>
                <w:rFonts w:ascii="Times New Roman" w:cs="Times New Roman" w:eastAsia="Times New Roman" w:hAnsi="Times New Roman"/>
                <w:sz w:val="23"/>
                <w:szCs w:val="23"/>
                <w:color w:val="auto"/>
                <w:vertAlign w:val="superscript"/>
              </w:rPr>
              <w:t>(5)</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r>
      <w:tr>
        <w:trPr>
          <w:trHeight w:val="229"/>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Unit Distribution Coverage Ratio</w:t>
            </w:r>
          </w:p>
        </w:tc>
        <w:tc>
          <w:tcPr>
            <w:tcW w:w="28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2.17x</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2.05x</w:t>
            </w:r>
          </w:p>
        </w:tc>
      </w:tr>
      <w:tr>
        <w:trPr>
          <w:trHeight w:val="162"/>
        </w:trPr>
        <w:tc>
          <w:tcPr>
            <w:tcW w:w="87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234"/>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Implied DCF Excess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24599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320" w:hanging="312"/>
        <w:spacing w:after="0"/>
        <w:tabs>
          <w:tab w:leader="none" w:pos="320" w:val="left"/>
        </w:tabs>
        <w:numPr>
          <w:ilvl w:val="0"/>
          <w:numId w:val="18"/>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Adjustment to add back our proportionate share of depreciation and amortization expense of unconsolidated entities.</w:t>
      </w:r>
    </w:p>
    <w:p>
      <w:pPr>
        <w:spacing w:after="0" w:line="48" w:lineRule="exact"/>
        <w:rPr>
          <w:rFonts w:ascii="Times New Roman" w:cs="Times New Roman" w:eastAsia="Times New Roman" w:hAnsi="Times New Roman"/>
          <w:sz w:val="15"/>
          <w:szCs w:val="15"/>
          <w:color w:val="auto"/>
          <w:vertAlign w:val="superscript"/>
        </w:rPr>
      </w:pPr>
    </w:p>
    <w:p>
      <w:pPr>
        <w:ind w:left="320" w:hanging="312"/>
        <w:spacing w:after="0" w:line="194" w:lineRule="auto"/>
        <w:tabs>
          <w:tab w:leader="none" w:pos="320" w:val="left"/>
        </w:tabs>
        <w:numPr>
          <w:ilvl w:val="0"/>
          <w:numId w:val="18"/>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Certain of our non-GAAP financial measures may not be impacted by each of the selected items impacting comparability.</w:t>
      </w:r>
    </w:p>
    <w:p>
      <w:pPr>
        <w:spacing w:after="0" w:line="49" w:lineRule="exact"/>
        <w:rPr>
          <w:rFonts w:ascii="Times New Roman" w:cs="Times New Roman" w:eastAsia="Times New Roman" w:hAnsi="Times New Roman"/>
          <w:sz w:val="15"/>
          <w:szCs w:val="15"/>
          <w:color w:val="auto"/>
          <w:vertAlign w:val="superscript"/>
        </w:rPr>
      </w:pPr>
    </w:p>
    <w:p>
      <w:pPr>
        <w:ind w:left="320" w:hanging="312"/>
        <w:spacing w:after="0" w:line="194" w:lineRule="auto"/>
        <w:tabs>
          <w:tab w:leader="none" w:pos="320" w:val="left"/>
        </w:tabs>
        <w:numPr>
          <w:ilvl w:val="0"/>
          <w:numId w:val="18"/>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Excludes certain non-cash items impacting interest expense such as amortization of debt issuance costs and terminated interest rate swaps.</w:t>
      </w:r>
    </w:p>
    <w:p>
      <w:pPr>
        <w:spacing w:after="0" w:line="49" w:lineRule="exact"/>
        <w:rPr>
          <w:rFonts w:ascii="Times New Roman" w:cs="Times New Roman" w:eastAsia="Times New Roman" w:hAnsi="Times New Roman"/>
          <w:sz w:val="15"/>
          <w:szCs w:val="15"/>
          <w:color w:val="auto"/>
          <w:vertAlign w:val="superscript"/>
        </w:rPr>
      </w:pPr>
    </w:p>
    <w:p>
      <w:pPr>
        <w:ind w:left="320" w:hanging="312"/>
        <w:spacing w:after="0" w:line="194" w:lineRule="auto"/>
        <w:tabs>
          <w:tab w:leader="none" w:pos="320" w:val="left"/>
        </w:tabs>
        <w:numPr>
          <w:ilvl w:val="0"/>
          <w:numId w:val="18"/>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Comprised of cash distributions received from unconsolidated entities less equity earnings in unconsolidated entities (adjusted for our proportionate share of depreciation and amortization).</w:t>
      </w:r>
    </w:p>
    <w:p>
      <w:pPr>
        <w:spacing w:after="0" w:line="49" w:lineRule="exact"/>
        <w:rPr>
          <w:rFonts w:ascii="Times New Roman" w:cs="Times New Roman" w:eastAsia="Times New Roman" w:hAnsi="Times New Roman"/>
          <w:sz w:val="15"/>
          <w:szCs w:val="15"/>
          <w:color w:val="auto"/>
          <w:vertAlign w:val="superscript"/>
        </w:rPr>
      </w:pPr>
    </w:p>
    <w:p>
      <w:pPr>
        <w:ind w:left="320" w:hanging="312"/>
        <w:spacing w:after="0" w:line="194" w:lineRule="auto"/>
        <w:tabs>
          <w:tab w:leader="none" w:pos="320" w:val="left"/>
        </w:tabs>
        <w:numPr>
          <w:ilvl w:val="0"/>
          <w:numId w:val="18"/>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Cash distributions paid during the period presented.</w:t>
      </w:r>
    </w:p>
    <w:p>
      <w:pPr>
        <w:spacing w:after="0" w:line="49" w:lineRule="exact"/>
        <w:rPr>
          <w:rFonts w:ascii="Times New Roman" w:cs="Times New Roman" w:eastAsia="Times New Roman" w:hAnsi="Times New Roman"/>
          <w:sz w:val="15"/>
          <w:szCs w:val="15"/>
          <w:color w:val="auto"/>
          <w:vertAlign w:val="superscript"/>
        </w:rPr>
      </w:pPr>
    </w:p>
    <w:p>
      <w:pPr>
        <w:ind w:left="340" w:right="40" w:hanging="332"/>
        <w:spacing w:after="0" w:line="219" w:lineRule="auto"/>
        <w:tabs>
          <w:tab w:leader="none" w:pos="334" w:val="left"/>
        </w:tabs>
        <w:numPr>
          <w:ilvl w:val="0"/>
          <w:numId w:val="18"/>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Cash distributions paid to our preferred unitholders during the period presented. The $0.5250 quarterly ($2.10 annualized) per unit distribution requirement of our Series A preferred units was paid-in-kind for each quarterly distribution from their issuance through February 2018. Distributions on our Series A preferred units have been paid in cash since the May 2018 quarterly distribution. The $61.25 per unit annual distribution requirement of our Series B preferred units, is payable in cash semi-annually in arrears on May 15 and November 15.</w:t>
      </w:r>
    </w:p>
    <w:p>
      <w:pPr>
        <w:spacing w:after="0" w:line="17" w:lineRule="exact"/>
        <w:rPr>
          <w:rFonts w:ascii="Times New Roman" w:cs="Times New Roman" w:eastAsia="Times New Roman" w:hAnsi="Times New Roman"/>
          <w:sz w:val="15"/>
          <w:szCs w:val="15"/>
          <w:color w:val="auto"/>
          <w:vertAlign w:val="superscript"/>
        </w:rPr>
      </w:pPr>
    </w:p>
    <w:p>
      <w:pPr>
        <w:ind w:left="320" w:hanging="312"/>
        <w:spacing w:after="0"/>
        <w:tabs>
          <w:tab w:leader="none" w:pos="320" w:val="left"/>
        </w:tabs>
        <w:numPr>
          <w:ilvl w:val="0"/>
          <w:numId w:val="18"/>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Implied DCF Available to Common Unitholders for the period divided by the weighted average common units outstanding for the period.</w:t>
      </w:r>
    </w:p>
    <w:p>
      <w:pPr>
        <w:spacing w:after="0" w:line="48" w:lineRule="exact"/>
        <w:rPr>
          <w:rFonts w:ascii="Times New Roman" w:cs="Times New Roman" w:eastAsia="Times New Roman" w:hAnsi="Times New Roman"/>
          <w:sz w:val="15"/>
          <w:szCs w:val="15"/>
          <w:color w:val="auto"/>
          <w:vertAlign w:val="superscript"/>
        </w:rPr>
      </w:pPr>
    </w:p>
    <w:p>
      <w:pPr>
        <w:ind w:left="340" w:right="40" w:hanging="332"/>
        <w:spacing w:after="0" w:line="212" w:lineRule="auto"/>
        <w:tabs>
          <w:tab w:leader="none" w:pos="334" w:val="left"/>
        </w:tabs>
        <w:numPr>
          <w:ilvl w:val="0"/>
          <w:numId w:val="18"/>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Implied DCF Available to Common Unitholders for the period, adjusted for Series A preferred unit cash distributions paid, divided by the weighted average common units and common equivalent units outstanding for the period. Our Series A preferred units are convertible into common units, generally on a one-for-one basis and subject to customary anti-dilution adjustments, in whole or in part, subject to certain minimum conversion amounts.</w:t>
      </w:r>
    </w:p>
    <w:p>
      <w:pPr>
        <w:spacing w:after="0" w:line="272" w:lineRule="exact"/>
        <w:rPr>
          <w:rFonts w:ascii="Times New Roman" w:cs="Times New Roman" w:eastAsia="Times New Roman" w:hAnsi="Times New Roman"/>
          <w:sz w:val="15"/>
          <w:szCs w:val="15"/>
          <w:color w:val="auto"/>
          <w:vertAlign w:val="superscript"/>
        </w:rPr>
      </w:pPr>
    </w:p>
    <w:p>
      <w:pPr>
        <w:ind w:left="5440" w:hanging="106"/>
        <w:spacing w:after="0"/>
        <w:tabs>
          <w:tab w:leader="none" w:pos="54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auto"/>
        </w:rPr>
        <w:t>Page 19</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RECONCILIATIONS (continued)</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Income/(Loss) Per Common Unit to Implied DCF Per Common Unit and Common Equivalent Unit Reconciliations: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3"/>
                <w:szCs w:val="13"/>
                <w:color w:val="auto"/>
              </w:rPr>
            </w:pPr>
          </w:p>
        </w:tc>
        <w:tc>
          <w:tcPr>
            <w:tcW w:w="2020" w:type="dxa"/>
            <w:vAlign w:val="bottom"/>
            <w:gridSpan w:val="4"/>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8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9"/>
        </w:trPr>
        <w:tc>
          <w:tcPr>
            <w:tcW w:w="62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r>
      <w:tr>
        <w:trPr>
          <w:trHeight w:val="183"/>
        </w:trPr>
        <w:tc>
          <w:tcPr>
            <w:tcW w:w="624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income/(loss) per common unit</w:t>
            </w:r>
          </w:p>
        </w:tc>
        <w:tc>
          <w:tcPr>
            <w:tcW w:w="74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center"/>
              <w:ind w:left="213"/>
              <w:spacing w:after="0"/>
              <w:rPr>
                <w:sz w:val="20"/>
                <w:szCs w:val="20"/>
                <w:color w:val="auto"/>
              </w:rPr>
            </w:pPr>
            <w:r>
              <w:rPr>
                <w:rFonts w:ascii="Times New Roman" w:cs="Times New Roman" w:eastAsia="Times New Roman" w:hAnsi="Times New Roman"/>
                <w:sz w:val="18"/>
                <w:szCs w:val="18"/>
                <w:color w:val="auto"/>
                <w:w w:val="95"/>
              </w:rPr>
              <w:t>2.35</w:t>
            </w:r>
          </w:p>
        </w:tc>
      </w:tr>
      <w:tr>
        <w:trPr>
          <w:trHeight w:val="229"/>
        </w:trPr>
        <w:tc>
          <w:tcPr>
            <w:tcW w:w="62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Reconciling items per common unit </w:t>
            </w:r>
            <w:r>
              <w:rPr>
                <w:rFonts w:ascii="Times New Roman" w:cs="Times New Roman" w:eastAsia="Times New Roman" w:hAnsi="Times New Roman"/>
                <w:sz w:val="23"/>
                <w:szCs w:val="23"/>
                <w:color w:val="auto"/>
                <w:vertAlign w:val="superscript"/>
              </w:rPr>
              <w:t>(1) (2)</w:t>
            </w: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left="193"/>
              <w:spacing w:after="0"/>
              <w:rPr>
                <w:sz w:val="20"/>
                <w:szCs w:val="20"/>
                <w:color w:val="auto"/>
              </w:rPr>
            </w:pPr>
            <w:r>
              <w:rPr>
                <w:rFonts w:ascii="Times New Roman" w:cs="Times New Roman" w:eastAsia="Times New Roman" w:hAnsi="Times New Roman"/>
                <w:sz w:val="18"/>
                <w:szCs w:val="18"/>
                <w:color w:val="auto"/>
              </w:rPr>
              <w:t>(0.08)</w:t>
            </w:r>
          </w:p>
        </w:tc>
      </w:tr>
      <w:tr>
        <w:trPr>
          <w:trHeight w:val="248"/>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Implied DCF per common unit</w:t>
            </w:r>
          </w:p>
        </w:tc>
        <w:tc>
          <w:tcPr>
            <w:tcW w:w="740" w:type="dxa"/>
            <w:vAlign w:val="bottom"/>
            <w:tcBorders>
              <w:bottom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0.64</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center"/>
              <w:ind w:left="213"/>
              <w:spacing w:after="0"/>
              <w:rPr>
                <w:sz w:val="20"/>
                <w:szCs w:val="20"/>
                <w:color w:val="auto"/>
              </w:rPr>
            </w:pPr>
            <w:r>
              <w:rPr>
                <w:rFonts w:ascii="Times New Roman" w:cs="Times New Roman" w:eastAsia="Times New Roman" w:hAnsi="Times New Roman"/>
                <w:sz w:val="18"/>
                <w:szCs w:val="18"/>
                <w:color w:val="auto"/>
                <w:w w:val="95"/>
              </w:rPr>
              <w:t>2.27</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income/(loss) per common unit</w:t>
            </w:r>
          </w:p>
        </w:tc>
        <w:tc>
          <w:tcPr>
            <w:tcW w:w="74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center"/>
              <w:ind w:left="213"/>
              <w:spacing w:after="0"/>
              <w:rPr>
                <w:sz w:val="20"/>
                <w:szCs w:val="20"/>
                <w:color w:val="auto"/>
              </w:rPr>
            </w:pPr>
            <w:r>
              <w:rPr>
                <w:rFonts w:ascii="Times New Roman" w:cs="Times New Roman" w:eastAsia="Times New Roman" w:hAnsi="Times New Roman"/>
                <w:sz w:val="18"/>
                <w:szCs w:val="18"/>
                <w:color w:val="auto"/>
                <w:w w:val="95"/>
              </w:rPr>
              <w:t>2.35</w:t>
            </w:r>
          </w:p>
        </w:tc>
      </w:tr>
      <w:tr>
        <w:trPr>
          <w:trHeight w:val="229"/>
        </w:trPr>
        <w:tc>
          <w:tcPr>
            <w:tcW w:w="62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Reconciling items per common unit and common equivalent unit </w:t>
            </w:r>
            <w:r>
              <w:rPr>
                <w:rFonts w:ascii="Times New Roman" w:cs="Times New Roman" w:eastAsia="Times New Roman" w:hAnsi="Times New Roman"/>
                <w:sz w:val="23"/>
                <w:szCs w:val="23"/>
                <w:color w:val="auto"/>
                <w:vertAlign w:val="superscript"/>
              </w:rPr>
              <w:t>(1) (3)</w:t>
            </w: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left="193"/>
              <w:spacing w:after="0"/>
              <w:rPr>
                <w:sz w:val="20"/>
                <w:szCs w:val="20"/>
                <w:color w:val="auto"/>
              </w:rPr>
            </w:pPr>
            <w:r>
              <w:rPr>
                <w:rFonts w:ascii="Times New Roman" w:cs="Times New Roman" w:eastAsia="Times New Roman" w:hAnsi="Times New Roman"/>
                <w:sz w:val="18"/>
                <w:szCs w:val="18"/>
                <w:color w:val="auto"/>
              </w:rPr>
              <w:t>(0.14)</w:t>
            </w:r>
          </w:p>
        </w:tc>
      </w:tr>
      <w:tr>
        <w:trPr>
          <w:trHeight w:val="248"/>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Implied DCF per common unit and common equivalent unit</w:t>
            </w:r>
          </w:p>
        </w:tc>
        <w:tc>
          <w:tcPr>
            <w:tcW w:w="740" w:type="dxa"/>
            <w:vAlign w:val="bottom"/>
            <w:tcBorders>
              <w:bottom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0.63</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center"/>
              <w:ind w:left="213"/>
              <w:spacing w:after="0"/>
              <w:rPr>
                <w:sz w:val="20"/>
                <w:szCs w:val="20"/>
                <w:color w:val="auto"/>
              </w:rPr>
            </w:pPr>
            <w:r>
              <w:rPr>
                <w:rFonts w:ascii="Times New Roman" w:cs="Times New Roman" w:eastAsia="Times New Roman" w:hAnsi="Times New Roman"/>
                <w:sz w:val="18"/>
                <w:szCs w:val="18"/>
                <w:color w:val="auto"/>
                <w:w w:val="95"/>
              </w:rPr>
              <w:t>2.21</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r>
      <w:tr>
        <w:trPr>
          <w:trHeight w:val="541"/>
        </w:trPr>
        <w:tc>
          <w:tcPr>
            <w:tcW w:w="6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8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89"/>
        </w:trPr>
        <w:tc>
          <w:tcPr>
            <w:tcW w:w="6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6"/>
                <w:szCs w:val="16"/>
                <w:color w:val="auto"/>
              </w:rPr>
            </w:pPr>
          </w:p>
        </w:tc>
      </w:tr>
      <w:tr>
        <w:trPr>
          <w:trHeight w:val="183"/>
        </w:trPr>
        <w:tc>
          <w:tcPr>
            <w:tcW w:w="624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income per common unit</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center"/>
              <w:ind w:left="213"/>
              <w:spacing w:after="0"/>
              <w:rPr>
                <w:sz w:val="20"/>
                <w:szCs w:val="20"/>
                <w:color w:val="auto"/>
              </w:rPr>
            </w:pPr>
            <w:r>
              <w:rPr>
                <w:rFonts w:ascii="Times New Roman" w:cs="Times New Roman" w:eastAsia="Times New Roman" w:hAnsi="Times New Roman"/>
                <w:sz w:val="18"/>
                <w:szCs w:val="18"/>
                <w:color w:val="auto"/>
                <w:w w:val="95"/>
              </w:rPr>
              <w:t>2.77</w:t>
            </w:r>
          </w:p>
        </w:tc>
      </w:tr>
      <w:tr>
        <w:trPr>
          <w:trHeight w:val="229"/>
        </w:trPr>
        <w:tc>
          <w:tcPr>
            <w:tcW w:w="62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Reconciling items per common unit </w:t>
            </w:r>
            <w:r>
              <w:rPr>
                <w:rFonts w:ascii="Times New Roman" w:cs="Times New Roman" w:eastAsia="Times New Roman" w:hAnsi="Times New Roman"/>
                <w:sz w:val="23"/>
                <w:szCs w:val="23"/>
                <w:color w:val="auto"/>
                <w:vertAlign w:val="superscript"/>
              </w:rPr>
              <w:t>(1) (4)</w:t>
            </w:r>
          </w:p>
        </w:tc>
        <w:tc>
          <w:tcPr>
            <w:tcW w:w="74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left="193"/>
              <w:spacing w:after="0"/>
              <w:rPr>
                <w:sz w:val="20"/>
                <w:szCs w:val="20"/>
                <w:color w:val="auto"/>
              </w:rPr>
            </w:pPr>
            <w:r>
              <w:rPr>
                <w:rFonts w:ascii="Times New Roman" w:cs="Times New Roman" w:eastAsia="Times New Roman" w:hAnsi="Times New Roman"/>
                <w:sz w:val="18"/>
                <w:szCs w:val="18"/>
                <w:color w:val="auto"/>
              </w:rPr>
              <w:t>(0.31)</w:t>
            </w:r>
          </w:p>
        </w:tc>
      </w:tr>
      <w:tr>
        <w:trPr>
          <w:trHeight w:val="248"/>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Implied DCF per common unit</w:t>
            </w:r>
          </w:p>
        </w:tc>
        <w:tc>
          <w:tcPr>
            <w:tcW w:w="7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center"/>
              <w:ind w:left="213"/>
              <w:spacing w:after="0"/>
              <w:rPr>
                <w:sz w:val="20"/>
                <w:szCs w:val="20"/>
                <w:color w:val="auto"/>
              </w:rPr>
            </w:pPr>
            <w:r>
              <w:rPr>
                <w:rFonts w:ascii="Times New Roman" w:cs="Times New Roman" w:eastAsia="Times New Roman" w:hAnsi="Times New Roman"/>
                <w:sz w:val="18"/>
                <w:szCs w:val="18"/>
                <w:color w:val="auto"/>
                <w:w w:val="95"/>
              </w:rPr>
              <w:t>2.46</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income per common unit</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center"/>
              <w:ind w:left="213"/>
              <w:spacing w:after="0"/>
              <w:rPr>
                <w:sz w:val="20"/>
                <w:szCs w:val="20"/>
                <w:color w:val="auto"/>
              </w:rPr>
            </w:pPr>
            <w:r>
              <w:rPr>
                <w:rFonts w:ascii="Times New Roman" w:cs="Times New Roman" w:eastAsia="Times New Roman" w:hAnsi="Times New Roman"/>
                <w:sz w:val="18"/>
                <w:szCs w:val="18"/>
                <w:color w:val="auto"/>
                <w:w w:val="95"/>
              </w:rPr>
              <w:t>2.77</w:t>
            </w:r>
          </w:p>
        </w:tc>
      </w:tr>
      <w:tr>
        <w:trPr>
          <w:trHeight w:val="230"/>
        </w:trPr>
        <w:tc>
          <w:tcPr>
            <w:tcW w:w="62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Reconciling items per common unit and common equivalent unit </w:t>
            </w:r>
            <w:r>
              <w:rPr>
                <w:rFonts w:ascii="Times New Roman" w:cs="Times New Roman" w:eastAsia="Times New Roman" w:hAnsi="Times New Roman"/>
                <w:sz w:val="23"/>
                <w:szCs w:val="23"/>
                <w:color w:val="auto"/>
                <w:vertAlign w:val="superscript"/>
              </w:rPr>
              <w:t>(1) (3)</w:t>
            </w:r>
          </w:p>
        </w:tc>
        <w:tc>
          <w:tcPr>
            <w:tcW w:w="74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left="193"/>
              <w:spacing w:after="0"/>
              <w:rPr>
                <w:sz w:val="20"/>
                <w:szCs w:val="20"/>
                <w:color w:val="auto"/>
              </w:rPr>
            </w:pPr>
            <w:r>
              <w:rPr>
                <w:rFonts w:ascii="Times New Roman" w:cs="Times New Roman" w:eastAsia="Times New Roman" w:hAnsi="Times New Roman"/>
                <w:sz w:val="18"/>
                <w:szCs w:val="18"/>
                <w:color w:val="auto"/>
              </w:rPr>
              <w:t>(0.39)</w:t>
            </w:r>
          </w:p>
        </w:tc>
      </w:tr>
      <w:tr>
        <w:trPr>
          <w:trHeight w:val="248"/>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Implied DCF per common unit and common equivalent unit</w:t>
            </w:r>
          </w:p>
        </w:tc>
        <w:tc>
          <w:tcPr>
            <w:tcW w:w="7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center"/>
              <w:ind w:left="213"/>
              <w:spacing w:after="0"/>
              <w:rPr>
                <w:sz w:val="20"/>
                <w:szCs w:val="20"/>
                <w:color w:val="auto"/>
              </w:rPr>
            </w:pPr>
            <w:r>
              <w:rPr>
                <w:rFonts w:ascii="Times New Roman" w:cs="Times New Roman" w:eastAsia="Times New Roman" w:hAnsi="Times New Roman"/>
                <w:sz w:val="18"/>
                <w:szCs w:val="18"/>
                <w:color w:val="auto"/>
                <w:w w:val="95"/>
              </w:rPr>
              <w:t>2.38</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340" w:right="80" w:hanging="332"/>
        <w:spacing w:after="0" w:line="229" w:lineRule="auto"/>
        <w:tabs>
          <w:tab w:leader="none" w:pos="328"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adjustments to Net Income to calculate Implied DCF Available to Common Unitholders. See the “Net Income/(Loss) to Adjusted EBITDA and Implied DCF Reconciliation” table for additional information.</w:t>
      </w:r>
    </w:p>
    <w:p>
      <w:pPr>
        <w:spacing w:after="0" w:line="6"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weighted average common units outstanding for the period of 728 million, 728 million, 728 million and 727 million, respectively.</w:t>
      </w:r>
    </w:p>
    <w:p>
      <w:pPr>
        <w:spacing w:after="0" w:line="55" w:lineRule="exact"/>
        <w:rPr>
          <w:rFonts w:ascii="Times New Roman" w:cs="Times New Roman" w:eastAsia="Times New Roman" w:hAnsi="Times New Roman"/>
          <w:sz w:val="23"/>
          <w:szCs w:val="23"/>
          <w:color w:val="auto"/>
          <w:vertAlign w:val="superscript"/>
        </w:rPr>
      </w:pPr>
    </w:p>
    <w:p>
      <w:pPr>
        <w:ind w:left="340" w:right="240" w:hanging="332"/>
        <w:spacing w:after="0" w:line="219" w:lineRule="auto"/>
        <w:tabs>
          <w:tab w:leader="none" w:pos="328"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weighted average common units outstanding for the period, as well as weighted average Series A preferred units outstanding of 71 million for each of the periods presented.</w:t>
      </w:r>
    </w:p>
    <w:p>
      <w:pPr>
        <w:spacing w:after="0" w:line="5"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weighted average common units outstanding for the period of 727 million and 726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auto"/>
        </w:rPr>
        <w:t>Page 20</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RECONCILIATIONS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3"/>
                <w:szCs w:val="13"/>
                <w:color w:val="auto"/>
              </w:rPr>
            </w:pPr>
          </w:p>
        </w:tc>
        <w:tc>
          <w:tcPr>
            <w:tcW w:w="2000" w:type="dxa"/>
            <w:vAlign w:val="bottom"/>
            <w:gridSpan w:val="4"/>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80" w:type="dxa"/>
            <w:vAlign w:val="bottom"/>
            <w:gridSpan w:val="4"/>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9"/>
        </w:trPr>
        <w:tc>
          <w:tcPr>
            <w:tcW w:w="624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r>
      <w:tr>
        <w:trPr>
          <w:trHeight w:val="183"/>
        </w:trPr>
        <w:tc>
          <w:tcPr>
            <w:tcW w:w="624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09"/>
        </w:trPr>
        <w:tc>
          <w:tcPr>
            <w:tcW w:w="624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b w:val="1"/>
                <w:bCs w:val="1"/>
                <w:color w:val="auto"/>
              </w:rPr>
              <w:t xml:space="preserve">Free Cash Flow and Free Cash Flow After Distributions Reconciliation </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720" w:type="dxa"/>
            <w:vAlign w:val="bottom"/>
          </w:tcPr>
          <w:p>
            <w:pPr>
              <w:jc w:val="right"/>
              <w:ind w:right="537"/>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19"/>
                <w:szCs w:val="19"/>
                <w:color w:val="auto"/>
              </w:rPr>
            </w:pPr>
          </w:p>
        </w:tc>
        <w:tc>
          <w:tcPr>
            <w:tcW w:w="740" w:type="dxa"/>
            <w:vAlign w:val="bottom"/>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w:t>
            </w: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cash provided by operating activities to free cash flow:</w:t>
            </w: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(208)</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w:t>
            </w:r>
          </w:p>
        </w:tc>
      </w:tr>
      <w:tr>
        <w:trPr>
          <w:trHeight w:val="229"/>
        </w:trPr>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contributions from noncontrolling interests</w:t>
            </w: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Cash distributions paid to noncontrolling interests </w:t>
            </w:r>
            <w:r>
              <w:rPr>
                <w:rFonts w:ascii="Times New Roman" w:cs="Times New Roman" w:eastAsia="Times New Roman" w:hAnsi="Times New Roman"/>
                <w:sz w:val="23"/>
                <w:szCs w:val="23"/>
                <w:color w:val="auto"/>
                <w:vertAlign w:val="superscript"/>
              </w:rPr>
              <w:t>(2)</w:t>
            </w: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Sale of noncontrolling interest in a subsidiary</w:t>
            </w:r>
          </w:p>
        </w:tc>
        <w:tc>
          <w:tcPr>
            <w:tcW w:w="7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2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720" w:type="dxa"/>
            <w:vAlign w:val="bottom"/>
            <w:tcBorders>
              <w:top w:val="single" w:sz="8" w:color="auto"/>
            </w:tcBorders>
          </w:tcPr>
          <w:p>
            <w:pPr>
              <w:jc w:val="right"/>
              <w:ind w:right="537"/>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740" w:type="dxa"/>
            <w:vAlign w:val="bottom"/>
            <w:tcBorders>
              <w:top w:val="single" w:sz="8" w:color="auto"/>
            </w:tcBorders>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19"/>
                <w:szCs w:val="19"/>
                <w:color w:val="auto"/>
              </w:rPr>
            </w:pP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w:t>
            </w:r>
          </w:p>
        </w:tc>
      </w:tr>
      <w:tr>
        <w:trPr>
          <w:trHeight w:val="230"/>
        </w:trPr>
        <w:tc>
          <w:tcPr>
            <w:tcW w:w="62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Cash distributions </w:t>
            </w:r>
            <w:r>
              <w:rPr>
                <w:rFonts w:ascii="Times New Roman" w:cs="Times New Roman" w:eastAsia="Times New Roman" w:hAnsi="Times New Roman"/>
                <w:sz w:val="23"/>
                <w:szCs w:val="23"/>
                <w:color w:val="auto"/>
                <w:vertAlign w:val="superscript"/>
              </w:rPr>
              <w:t>(3)</w:t>
            </w:r>
          </w:p>
        </w:tc>
        <w:tc>
          <w:tcPr>
            <w:tcW w:w="7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(168)</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(299)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r>
      <w:tr>
        <w:trPr>
          <w:trHeight w:val="22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Free cash flow after distributions</w:t>
            </w:r>
          </w:p>
        </w:tc>
        <w:tc>
          <w:tcPr>
            <w:tcW w:w="72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(378)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1"/>
        </w:trPr>
        <w:tc>
          <w:tcPr>
            <w:tcW w:w="6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340" w:right="420" w:hanging="332"/>
        <w:spacing w:after="0" w:line="229" w:lineRule="auto"/>
        <w:tabs>
          <w:tab w:leader="none" w:pos="328"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Management uses the Non-GAAP financial measures Free Cash Flow and Free Cash Flow After Distributions to assess the amount of cash that is available for distributions, debt repayments and other general partnership purposes.</w:t>
      </w:r>
    </w:p>
    <w:p>
      <w:pPr>
        <w:spacing w:after="0" w:line="6"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Cash distributions paid during the period presented.</w:t>
      </w:r>
    </w:p>
    <w:p>
      <w:pPr>
        <w:spacing w:after="0" w:line="55" w:lineRule="exact"/>
        <w:rPr>
          <w:rFonts w:ascii="Times New Roman" w:cs="Times New Roman" w:eastAsia="Times New Roman" w:hAnsi="Times New Roman"/>
          <w:sz w:val="23"/>
          <w:szCs w:val="23"/>
          <w:color w:val="auto"/>
          <w:vertAlign w:val="superscript"/>
        </w:rPr>
      </w:pPr>
    </w:p>
    <w:p>
      <w:pPr>
        <w:ind w:left="320" w:hanging="312"/>
        <w:spacing w:after="0" w:line="194" w:lineRule="auto"/>
        <w:tabs>
          <w:tab w:leader="none" w:pos="32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Cash distributions paid to preferred and common unitholders during the period.</w:t>
      </w:r>
    </w:p>
    <w:p>
      <w:pPr>
        <w:spacing w:after="0" w:line="56" w:lineRule="exact"/>
        <w:rPr>
          <w:rFonts w:ascii="Times New Roman" w:cs="Times New Roman" w:eastAsia="Times New Roman" w:hAnsi="Times New Roman"/>
          <w:sz w:val="23"/>
          <w:szCs w:val="23"/>
          <w:color w:val="auto"/>
          <w:vertAlign w:val="superscript"/>
        </w:rPr>
      </w:pPr>
    </w:p>
    <w:p>
      <w:pPr>
        <w:ind w:left="5440" w:hanging="106"/>
        <w:spacing w:after="0"/>
        <w:tabs>
          <w:tab w:leader="none" w:pos="54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3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auto"/>
        </w:rPr>
        <w:t>Page 21</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SELECTED FINANCIAL DATA BY SEGMENT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6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8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0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3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180" w:type="dxa"/>
            <w:vAlign w:val="bottom"/>
          </w:tcPr>
          <w:p>
            <w:pPr>
              <w:spacing w:after="0"/>
              <w:rPr>
                <w:sz w:val="11"/>
                <w:szCs w:val="11"/>
                <w:color w:val="auto"/>
              </w:rPr>
            </w:pPr>
          </w:p>
        </w:tc>
        <w:tc>
          <w:tcPr>
            <w:tcW w:w="1060" w:type="dxa"/>
            <w:vAlign w:val="bottom"/>
          </w:tcPr>
          <w:p>
            <w:pPr>
              <w:jc w:val="center"/>
              <w:ind w:right="112"/>
              <w:spacing w:after="0" w:line="129" w:lineRule="exact"/>
              <w:rPr>
                <w:sz w:val="20"/>
                <w:szCs w:val="20"/>
                <w:color w:val="auto"/>
              </w:rPr>
            </w:pPr>
            <w:r>
              <w:rPr>
                <w:rFonts w:ascii="Times New Roman" w:cs="Times New Roman" w:eastAsia="Times New Roman" w:hAnsi="Times New Roman"/>
                <w:sz w:val="14"/>
                <w:szCs w:val="14"/>
                <w:b w:val="1"/>
                <w:bCs w:val="1"/>
                <w:color w:val="auto"/>
              </w:rPr>
              <w:t>Supply and</w:t>
            </w:r>
          </w:p>
        </w:tc>
        <w:tc>
          <w:tcPr>
            <w:tcW w:w="22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180" w:type="dxa"/>
            <w:vAlign w:val="bottom"/>
          </w:tcPr>
          <w:p>
            <w:pPr>
              <w:spacing w:after="0"/>
              <w:rPr>
                <w:sz w:val="11"/>
                <w:szCs w:val="11"/>
                <w:color w:val="auto"/>
              </w:rPr>
            </w:pPr>
          </w:p>
        </w:tc>
        <w:tc>
          <w:tcPr>
            <w:tcW w:w="1080" w:type="dxa"/>
            <w:vAlign w:val="bottom"/>
          </w:tcPr>
          <w:p>
            <w:pPr>
              <w:jc w:val="right"/>
              <w:ind w:right="212"/>
              <w:spacing w:after="0" w:line="129" w:lineRule="exact"/>
              <w:rPr>
                <w:sz w:val="20"/>
                <w:szCs w:val="20"/>
                <w:color w:val="auto"/>
              </w:rPr>
            </w:pPr>
            <w:r>
              <w:rPr>
                <w:rFonts w:ascii="Times New Roman" w:cs="Times New Roman" w:eastAsia="Times New Roman" w:hAnsi="Times New Roman"/>
                <w:sz w:val="14"/>
                <w:szCs w:val="14"/>
                <w:b w:val="1"/>
                <w:bCs w:val="1"/>
                <w:color w:val="auto"/>
              </w:rPr>
              <w:t>Supply and</w:t>
            </w:r>
          </w:p>
        </w:tc>
        <w:tc>
          <w:tcPr>
            <w:tcW w:w="0" w:type="dxa"/>
            <w:vAlign w:val="bottom"/>
          </w:tcPr>
          <w:p>
            <w:pPr>
              <w:spacing w:after="0"/>
              <w:rPr>
                <w:sz w:val="1"/>
                <w:szCs w:val="1"/>
                <w:color w:val="auto"/>
              </w:rPr>
            </w:pPr>
          </w:p>
        </w:tc>
      </w:tr>
      <w:tr>
        <w:trPr>
          <w:trHeight w:val="189"/>
        </w:trPr>
        <w:tc>
          <w:tcPr>
            <w:tcW w:w="3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Logistics</w:t>
            </w: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Logistics</w:t>
            </w:r>
          </w:p>
        </w:tc>
        <w:tc>
          <w:tcPr>
            <w:tcW w:w="0" w:type="dxa"/>
            <w:vAlign w:val="bottom"/>
          </w:tcPr>
          <w:p>
            <w:pPr>
              <w:spacing w:after="0"/>
              <w:rPr>
                <w:sz w:val="1"/>
                <w:szCs w:val="1"/>
                <w:color w:val="auto"/>
              </w:rPr>
            </w:pPr>
          </w:p>
        </w:tc>
      </w:tr>
      <w:tr>
        <w:trPr>
          <w:trHeight w:val="223"/>
        </w:trPr>
        <w:tc>
          <w:tcPr>
            <w:tcW w:w="300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Revenues </w:t>
            </w:r>
            <w:r>
              <w:rPr>
                <w:rFonts w:ascii="Times New Roman" w:cs="Times New Roman" w:eastAsia="Times New Roman" w:hAnsi="Times New Roman"/>
                <w:sz w:val="23"/>
                <w:szCs w:val="23"/>
                <w:color w:val="auto"/>
                <w:vertAlign w:val="superscript"/>
              </w:rPr>
              <w:t>(1)</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5,537</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7,542</w:t>
            </w:r>
          </w:p>
        </w:tc>
        <w:tc>
          <w:tcPr>
            <w:tcW w:w="0" w:type="dxa"/>
            <w:vAlign w:val="bottom"/>
          </w:tcPr>
          <w:p>
            <w:pPr>
              <w:spacing w:after="0"/>
              <w:rPr>
                <w:sz w:val="1"/>
                <w:szCs w:val="1"/>
                <w:color w:val="auto"/>
              </w:rPr>
            </w:pPr>
          </w:p>
        </w:tc>
      </w:tr>
      <w:tr>
        <w:trPr>
          <w:trHeight w:val="229"/>
        </w:trPr>
        <w:tc>
          <w:tcPr>
            <w:tcW w:w="30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Purchases and related costs </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(5,510)</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(7,337)</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Field operating costs </w:t>
            </w:r>
            <w:r>
              <w:rPr>
                <w:rFonts w:ascii="Times New Roman" w:cs="Times New Roman" w:eastAsia="Times New Roman" w:hAnsi="Times New Roman"/>
                <w:sz w:val="23"/>
                <w:szCs w:val="23"/>
                <w:color w:val="auto"/>
                <w:vertAlign w:val="superscript"/>
              </w:rPr>
              <w:t>(1) (2)</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176"/>
        </w:trPr>
        <w:tc>
          <w:tcPr>
            <w:tcW w:w="30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Segment general and administrative</w:t>
            </w: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9"/>
        </w:trPr>
        <w:tc>
          <w:tcPr>
            <w:tcW w:w="300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expenses </w:t>
            </w:r>
            <w:r>
              <w:rPr>
                <w:rFonts w:ascii="Times New Roman" w:cs="Times New Roman" w:eastAsia="Times New Roman" w:hAnsi="Times New Roman"/>
                <w:sz w:val="23"/>
                <w:szCs w:val="23"/>
                <w:color w:val="auto"/>
                <w:vertAlign w:val="superscript"/>
              </w:rPr>
              <w:t>(2) (3)</w:t>
            </w: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Equity earnings in unconsolidated</w:t>
            </w: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entities</w:t>
            </w: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tcBorders>
              <w:right w:val="single" w:sz="8" w:color="auto"/>
            </w:tcBorders>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Adjustments: </w:t>
            </w:r>
            <w:r>
              <w:rPr>
                <w:rFonts w:ascii="Times New Roman" w:cs="Times New Roman" w:eastAsia="Times New Roman" w:hAnsi="Times New Roman"/>
                <w:sz w:val="23"/>
                <w:szCs w:val="23"/>
                <w:color w:val="auto"/>
                <w:vertAlign w:val="superscript"/>
              </w:rPr>
              <w:t>(4)</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00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Depreciation and amortization of</w:t>
            </w: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Borders>
              <w:right w:val="single" w:sz="8" w:color="auto"/>
            </w:tcBorders>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unconsolidated entities</w:t>
            </w: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Borders>
              <w:right w:val="single" w:sz="8" w:color="auto"/>
            </w:tcBorders>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00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(Gains)/losses from derivative</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0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activities, net of inventory valuation</w:t>
            </w: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w:t>
            </w: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0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Long-term inventory costing</w:t>
            </w: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3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adjustments</w:t>
            </w: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0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Deficiencies under minimum volume</w:t>
            </w: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5"/>
                <w:szCs w:val="15"/>
                <w:color w:val="auto"/>
              </w:rPr>
            </w:pPr>
          </w:p>
        </w:tc>
        <w:tc>
          <w:tcPr>
            <w:tcW w:w="118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commitments, net</w:t>
            </w: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tcBorders>
              <w:right w:val="single" w:sz="8" w:color="auto"/>
            </w:tcBorders>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Equity-indexed compensation expense</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75"/>
        </w:trPr>
        <w:tc>
          <w:tcPr>
            <w:tcW w:w="300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Net (gain)/loss on foreign currency</w:t>
            </w: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revaluation</w:t>
            </w: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Maintenance capital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3"/>
                <w:szCs w:val="23"/>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3"/>
                <w:szCs w:val="23"/>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Includes intersegment amounts.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Field operating costs and Segment general and administrative expenses include equity-indexed compensation expense.</w:t>
      </w:r>
    </w:p>
    <w:p>
      <w:pPr>
        <w:spacing w:after="0" w:line="75" w:lineRule="exact"/>
        <w:rPr>
          <w:sz w:val="20"/>
          <w:szCs w:val="20"/>
          <w:color w:val="auto"/>
        </w:rPr>
      </w:pPr>
    </w:p>
    <w:p>
      <w:pPr>
        <w:sectPr>
          <w:pgSz w:w="11900" w:h="16838" w:orient="portrait"/>
          <w:cols w:equalWidth="0" w:num="2">
            <w:col w:w="140" w:space="180"/>
            <w:col w:w="10900"/>
          </w:cols>
          <w:pgMar w:left="320" w:top="364" w:right="359" w:bottom="1440" w:gutter="0" w:footer="0" w:header="0"/>
          <w:type w:val="continuous"/>
        </w:sectPr>
      </w:pPr>
    </w:p>
    <w:p>
      <w:pPr>
        <w:ind w:left="340" w:right="80" w:hanging="332"/>
        <w:spacing w:after="0" w:line="229" w:lineRule="auto"/>
        <w:tabs>
          <w:tab w:leader="none" w:pos="328"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36" w:lineRule="exact"/>
        <w:rPr>
          <w:rFonts w:ascii="Times New Roman" w:cs="Times New Roman" w:eastAsia="Times New Roman" w:hAnsi="Times New Roman"/>
          <w:sz w:val="23"/>
          <w:szCs w:val="23"/>
          <w:color w:val="auto"/>
          <w:vertAlign w:val="superscript"/>
        </w:rPr>
      </w:pPr>
    </w:p>
    <w:p>
      <w:pPr>
        <w:ind w:left="340" w:right="120" w:hanging="332"/>
        <w:spacing w:after="0" w:line="235" w:lineRule="auto"/>
        <w:tabs>
          <w:tab w:leader="none" w:pos="328"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20"/>
          </w:cols>
          <w:pgMar w:left="320" w:top="364" w:right="35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auto"/>
        </w:rPr>
        <w:t>Page 22</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SELECTED FINANCIAL DATA BY SEGMENT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8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0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3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180" w:type="dxa"/>
            <w:vAlign w:val="bottom"/>
          </w:tcPr>
          <w:p>
            <w:pPr>
              <w:spacing w:after="0"/>
              <w:rPr>
                <w:sz w:val="11"/>
                <w:szCs w:val="11"/>
                <w:color w:val="auto"/>
              </w:rPr>
            </w:pPr>
          </w:p>
        </w:tc>
        <w:tc>
          <w:tcPr>
            <w:tcW w:w="1060" w:type="dxa"/>
            <w:vAlign w:val="bottom"/>
          </w:tcPr>
          <w:p>
            <w:pPr>
              <w:jc w:val="center"/>
              <w:ind w:right="112"/>
              <w:spacing w:after="0" w:line="129" w:lineRule="exact"/>
              <w:rPr>
                <w:sz w:val="20"/>
                <w:szCs w:val="20"/>
                <w:color w:val="auto"/>
              </w:rPr>
            </w:pPr>
            <w:r>
              <w:rPr>
                <w:rFonts w:ascii="Times New Roman" w:cs="Times New Roman" w:eastAsia="Times New Roman" w:hAnsi="Times New Roman"/>
                <w:sz w:val="14"/>
                <w:szCs w:val="14"/>
                <w:b w:val="1"/>
                <w:bCs w:val="1"/>
                <w:color w:val="auto"/>
              </w:rPr>
              <w:t>Supply and</w:t>
            </w:r>
          </w:p>
        </w:tc>
        <w:tc>
          <w:tcPr>
            <w:tcW w:w="22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180" w:type="dxa"/>
            <w:vAlign w:val="bottom"/>
          </w:tcPr>
          <w:p>
            <w:pPr>
              <w:spacing w:after="0"/>
              <w:rPr>
                <w:sz w:val="11"/>
                <w:szCs w:val="11"/>
                <w:color w:val="auto"/>
              </w:rPr>
            </w:pPr>
          </w:p>
        </w:tc>
        <w:tc>
          <w:tcPr>
            <w:tcW w:w="1080" w:type="dxa"/>
            <w:vAlign w:val="bottom"/>
          </w:tcPr>
          <w:p>
            <w:pPr>
              <w:jc w:val="right"/>
              <w:ind w:right="212"/>
              <w:spacing w:after="0" w:line="129" w:lineRule="exact"/>
              <w:rPr>
                <w:sz w:val="20"/>
                <w:szCs w:val="20"/>
                <w:color w:val="auto"/>
              </w:rPr>
            </w:pPr>
            <w:r>
              <w:rPr>
                <w:rFonts w:ascii="Times New Roman" w:cs="Times New Roman" w:eastAsia="Times New Roman" w:hAnsi="Times New Roman"/>
                <w:sz w:val="14"/>
                <w:szCs w:val="14"/>
                <w:b w:val="1"/>
                <w:bCs w:val="1"/>
                <w:color w:val="auto"/>
              </w:rPr>
              <w:t>Supply and</w:t>
            </w:r>
          </w:p>
        </w:tc>
        <w:tc>
          <w:tcPr>
            <w:tcW w:w="0" w:type="dxa"/>
            <w:vAlign w:val="bottom"/>
          </w:tcPr>
          <w:p>
            <w:pPr>
              <w:spacing w:after="0"/>
              <w:rPr>
                <w:sz w:val="1"/>
                <w:szCs w:val="1"/>
                <w:color w:val="auto"/>
              </w:rPr>
            </w:pPr>
          </w:p>
        </w:tc>
      </w:tr>
      <w:tr>
        <w:trPr>
          <w:trHeight w:val="189"/>
        </w:trPr>
        <w:tc>
          <w:tcPr>
            <w:tcW w:w="3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Logistics</w:t>
            </w: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Logistics</w:t>
            </w:r>
          </w:p>
        </w:tc>
        <w:tc>
          <w:tcPr>
            <w:tcW w:w="0" w:type="dxa"/>
            <w:vAlign w:val="bottom"/>
          </w:tcPr>
          <w:p>
            <w:pPr>
              <w:spacing w:after="0"/>
              <w:rPr>
                <w:sz w:val="1"/>
                <w:szCs w:val="1"/>
                <w:color w:val="auto"/>
              </w:rPr>
            </w:pPr>
          </w:p>
        </w:tc>
      </w:tr>
      <w:tr>
        <w:trPr>
          <w:trHeight w:val="223"/>
        </w:trPr>
        <w:tc>
          <w:tcPr>
            <w:tcW w:w="300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Revenues </w:t>
            </w:r>
            <w:r>
              <w:rPr>
                <w:rFonts w:ascii="Times New Roman" w:cs="Times New Roman" w:eastAsia="Times New Roman" w:hAnsi="Times New Roman"/>
                <w:sz w:val="23"/>
                <w:szCs w:val="23"/>
                <w:color w:val="auto"/>
                <w:vertAlign w:val="superscript"/>
              </w:rPr>
              <w:t>(1)</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16,371</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23,480</w:t>
            </w:r>
          </w:p>
        </w:tc>
        <w:tc>
          <w:tcPr>
            <w:tcW w:w="0" w:type="dxa"/>
            <w:vAlign w:val="bottom"/>
          </w:tcPr>
          <w:p>
            <w:pPr>
              <w:spacing w:after="0"/>
              <w:rPr>
                <w:sz w:val="1"/>
                <w:szCs w:val="1"/>
                <w:color w:val="auto"/>
              </w:rPr>
            </w:pPr>
          </w:p>
        </w:tc>
      </w:tr>
      <w:tr>
        <w:trPr>
          <w:trHeight w:val="229"/>
        </w:trPr>
        <w:tc>
          <w:tcPr>
            <w:tcW w:w="30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Purchases and related costs </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(16,227)</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(22,599)</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Field operating costs </w:t>
            </w:r>
            <w:r>
              <w:rPr>
                <w:rFonts w:ascii="Times New Roman" w:cs="Times New Roman" w:eastAsia="Times New Roman" w:hAnsi="Times New Roman"/>
                <w:sz w:val="23"/>
                <w:szCs w:val="23"/>
                <w:color w:val="auto"/>
                <w:vertAlign w:val="superscript"/>
              </w:rPr>
              <w:t>(1) (2)</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176"/>
        </w:trPr>
        <w:tc>
          <w:tcPr>
            <w:tcW w:w="30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Segment general and administrative</w:t>
            </w: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29"/>
        </w:trPr>
        <w:tc>
          <w:tcPr>
            <w:tcW w:w="300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expenses </w:t>
            </w:r>
            <w:r>
              <w:rPr>
                <w:rFonts w:ascii="Times New Roman" w:cs="Times New Roman" w:eastAsia="Times New Roman" w:hAnsi="Times New Roman"/>
                <w:sz w:val="23"/>
                <w:szCs w:val="23"/>
                <w:color w:val="auto"/>
                <w:vertAlign w:val="superscript"/>
              </w:rPr>
              <w:t>(2) (3)</w:t>
            </w: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Equity earnings in unconsolidated</w:t>
            </w: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entities</w:t>
            </w: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tcBorders>
              <w:right w:val="single" w:sz="8" w:color="auto"/>
            </w:tcBorders>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Adjustments: </w:t>
            </w:r>
            <w:r>
              <w:rPr>
                <w:rFonts w:ascii="Times New Roman" w:cs="Times New Roman" w:eastAsia="Times New Roman" w:hAnsi="Times New Roman"/>
                <w:sz w:val="23"/>
                <w:szCs w:val="23"/>
                <w:color w:val="auto"/>
                <w:vertAlign w:val="superscript"/>
              </w:rPr>
              <w:t>(4)</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00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Depreciation and amortization of</w:t>
            </w: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Borders>
              <w:right w:val="single" w:sz="8" w:color="auto"/>
            </w:tcBorders>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unconsolidated entities</w:t>
            </w: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Borders>
              <w:right w:val="single" w:sz="8" w:color="auto"/>
            </w:tcBorders>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00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(Gains)/losses from derivative</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0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activities, net of inventory valuation</w:t>
            </w: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w:t>
            </w: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0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Long-term inventory costing</w:t>
            </w: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3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adjustments</w:t>
            </w: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0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Deficiencies under minimum volume</w:t>
            </w: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commitments, net</w:t>
            </w: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tcBorders>
              <w:right w:val="single" w:sz="8" w:color="auto"/>
            </w:tcBorders>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Equity-indexed compensation expense</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75"/>
        </w:trPr>
        <w:tc>
          <w:tcPr>
            <w:tcW w:w="300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Net (gain)/loss on foreign currency</w:t>
            </w: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revaluation</w:t>
            </w: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Line 901 incident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8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300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Significant acquisition-related</w:t>
            </w: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5"/>
                <w:szCs w:val="15"/>
                <w:color w:val="auto"/>
              </w:rPr>
            </w:pPr>
          </w:p>
        </w:tc>
        <w:tc>
          <w:tcPr>
            <w:tcW w:w="118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expenses</w:t>
            </w: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tcBorders>
              <w:right w:val="single" w:sz="8" w:color="auto"/>
            </w:tcBorders>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Maintenance capital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23"/>
                <w:szCs w:val="23"/>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23"/>
                <w:szCs w:val="23"/>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Includes intersegment amounts.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Field operating costs and Segment general and administrative expenses include equity-indexed compensation expense.</w:t>
      </w:r>
    </w:p>
    <w:p>
      <w:pPr>
        <w:spacing w:after="0" w:line="75" w:lineRule="exact"/>
        <w:rPr>
          <w:sz w:val="20"/>
          <w:szCs w:val="20"/>
          <w:color w:val="auto"/>
        </w:rPr>
      </w:pPr>
    </w:p>
    <w:p>
      <w:pPr>
        <w:sectPr>
          <w:pgSz w:w="11900" w:h="16838" w:orient="portrait"/>
          <w:cols w:equalWidth="0" w:num="2">
            <w:col w:w="140" w:space="180"/>
            <w:col w:w="10900"/>
          </w:cols>
          <w:pgMar w:left="320" w:top="364" w:right="359" w:bottom="1440" w:gutter="0" w:footer="0" w:header="0"/>
          <w:type w:val="continuous"/>
        </w:sectPr>
      </w:pPr>
    </w:p>
    <w:p>
      <w:pPr>
        <w:ind w:left="340" w:right="80" w:hanging="332"/>
        <w:spacing w:after="0" w:line="229" w:lineRule="auto"/>
        <w:tabs>
          <w:tab w:leader="none" w:pos="328"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36" w:lineRule="exact"/>
        <w:rPr>
          <w:rFonts w:ascii="Times New Roman" w:cs="Times New Roman" w:eastAsia="Times New Roman" w:hAnsi="Times New Roman"/>
          <w:sz w:val="23"/>
          <w:szCs w:val="23"/>
          <w:color w:val="auto"/>
          <w:vertAlign w:val="superscript"/>
        </w:rPr>
      </w:pPr>
    </w:p>
    <w:p>
      <w:pPr>
        <w:ind w:left="340" w:right="120" w:hanging="332"/>
        <w:spacing w:after="0" w:line="235" w:lineRule="auto"/>
        <w:tabs>
          <w:tab w:leader="none" w:pos="328"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20"/>
          </w:cols>
          <w:pgMar w:left="320" w:top="364" w:right="35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auto"/>
        </w:rPr>
        <w:t>Page 23</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DATA BY SEGMENT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3"/>
          <w:szCs w:val="23"/>
          <w:b w:val="1"/>
          <w:bCs w:val="1"/>
          <w:color w:val="auto"/>
          <w:vertAlign w:val="superscript"/>
        </w:rPr>
        <w:t>(1)</w:t>
      </w:r>
    </w:p>
    <w:tbl>
      <w:tblPr>
        <w:tblLayout w:type="fixed"/>
        <w:tblInd w:w="0" w:type="dxa"/>
        <w:tblCellMar>
          <w:top w:w="0" w:type="dxa"/>
          <w:left w:w="0" w:type="dxa"/>
          <w:bottom w:w="0" w:type="dxa"/>
          <w:right w:w="0" w:type="dxa"/>
        </w:tblCellMar>
      </w:tblPr>
      <w:tr>
        <w:trPr>
          <w:trHeight w:val="137"/>
        </w:trPr>
        <w:tc>
          <w:tcPr>
            <w:tcW w:w="6220" w:type="dxa"/>
            <w:vAlign w:val="bottom"/>
          </w:tcPr>
          <w:p>
            <w:pPr>
              <w:spacing w:after="0"/>
              <w:rPr>
                <w:sz w:val="11"/>
                <w:szCs w:val="11"/>
                <w:color w:val="auto"/>
              </w:rPr>
            </w:pPr>
          </w:p>
        </w:tc>
        <w:tc>
          <w:tcPr>
            <w:tcW w:w="2560" w:type="dxa"/>
            <w:vAlign w:val="bottom"/>
            <w:gridSpan w:val="5"/>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460" w:type="dxa"/>
            <w:vAlign w:val="bottom"/>
            <w:gridSpan w:val="4"/>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9"/>
        </w:trPr>
        <w:tc>
          <w:tcPr>
            <w:tcW w:w="6220" w:type="dxa"/>
            <w:vAlign w:val="bottom"/>
          </w:tcPr>
          <w:p>
            <w:pPr>
              <w:spacing w:after="0"/>
              <w:rPr>
                <w:sz w:val="16"/>
                <w:szCs w:val="16"/>
                <w:color w:val="auto"/>
              </w:rPr>
            </w:pPr>
          </w:p>
        </w:tc>
        <w:tc>
          <w:tcPr>
            <w:tcW w:w="1700" w:type="dxa"/>
            <w:vAlign w:val="bottom"/>
            <w:tcBorders>
              <w:bottom w:val="single" w:sz="8" w:color="auto"/>
            </w:tcBorders>
            <w:gridSpan w:val="3"/>
          </w:tcPr>
          <w:p>
            <w:pPr>
              <w:jc w:val="center"/>
              <w:ind w:left="65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Borders>
              <w:bottom w:val="single" w:sz="8" w:color="auto"/>
            </w:tcBorders>
            <w:gridSpan w:val="3"/>
          </w:tcPr>
          <w:p>
            <w:pPr>
              <w:jc w:val="center"/>
              <w:ind w:left="69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r>
      <w:tr>
        <w:trPr>
          <w:trHeight w:val="183"/>
        </w:trPr>
        <w:tc>
          <w:tcPr>
            <w:tcW w:w="622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56"/>
        </w:trPr>
        <w:tc>
          <w:tcPr>
            <w:tcW w:w="622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Transportation segment (average daily volumes in thousands of barrels per</w:t>
            </w: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r>
      <w:tr>
        <w:trPr>
          <w:trHeight w:val="229"/>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day):</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9"/>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Tariff activities volumes</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Crude oil pipelines (by region):</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9"/>
        </w:trPr>
        <w:tc>
          <w:tcPr>
            <w:tcW w:w="622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Permian Basin </w:t>
            </w:r>
            <w:r>
              <w:rPr>
                <w:rFonts w:ascii="Times New Roman" w:cs="Times New Roman" w:eastAsia="Times New Roman" w:hAnsi="Times New Roman"/>
                <w:sz w:val="23"/>
                <w:szCs w:val="23"/>
                <w:color w:val="auto"/>
                <w:vertAlign w:val="superscript"/>
              </w:rPr>
              <w:t>(2)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4,852</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4,568</w:t>
            </w:r>
          </w:p>
        </w:tc>
      </w:tr>
      <w:tr>
        <w:trPr>
          <w:trHeight w:val="230"/>
        </w:trPr>
        <w:tc>
          <w:tcPr>
            <w:tcW w:w="622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South Texas / Eagle Ford </w:t>
            </w:r>
            <w:r>
              <w:rPr>
                <w:rFonts w:ascii="Times New Roman" w:cs="Times New Roman" w:eastAsia="Times New Roman" w:hAnsi="Times New Roman"/>
                <w:sz w:val="23"/>
                <w:szCs w:val="23"/>
                <w:color w:val="auto"/>
                <w:vertAlign w:val="superscript"/>
              </w:rPr>
              <w:t>(2)</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r>
      <w:tr>
        <w:trPr>
          <w:trHeight w:val="229"/>
        </w:trPr>
        <w:tc>
          <w:tcPr>
            <w:tcW w:w="622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Central </w:t>
            </w:r>
            <w:r>
              <w:rPr>
                <w:rFonts w:ascii="Times New Roman" w:cs="Times New Roman" w:eastAsia="Times New Roman" w:hAnsi="Times New Roman"/>
                <w:sz w:val="23"/>
                <w:szCs w:val="23"/>
                <w:color w:val="auto"/>
                <w:vertAlign w:val="superscript"/>
              </w:rPr>
              <w:t>(2)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r>
      <w:tr>
        <w:trPr>
          <w:trHeight w:val="229"/>
        </w:trPr>
        <w:tc>
          <w:tcPr>
            <w:tcW w:w="6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Gulf Coast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30"/>
        </w:trPr>
        <w:tc>
          <w:tcPr>
            <w:tcW w:w="622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Rocky Mountain </w:t>
            </w:r>
            <w:r>
              <w:rPr>
                <w:rFonts w:ascii="Times New Roman" w:cs="Times New Roman" w:eastAsia="Times New Roman" w:hAnsi="Times New Roman"/>
                <w:sz w:val="23"/>
                <w:szCs w:val="23"/>
                <w:color w:val="auto"/>
                <w:vertAlign w:val="superscript"/>
              </w:rPr>
              <w:t>(2)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29"/>
        </w:trPr>
        <w:tc>
          <w:tcPr>
            <w:tcW w:w="6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Western</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29"/>
        </w:trPr>
        <w:tc>
          <w:tcPr>
            <w:tcW w:w="6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Canada</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w:t>
            </w:r>
          </w:p>
        </w:tc>
      </w:tr>
      <w:tr>
        <w:trPr>
          <w:trHeight w:val="223"/>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Crude oil pipelines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6,807</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6,512</w:t>
            </w:r>
          </w:p>
        </w:tc>
      </w:tr>
      <w:tr>
        <w:trPr>
          <w:trHeight w:val="229"/>
        </w:trPr>
        <w:tc>
          <w:tcPr>
            <w:tcW w:w="6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NGL pipelines</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23"/>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Tariff activities total volumes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6,707</w:t>
            </w:r>
          </w:p>
        </w:tc>
      </w:tr>
      <w:tr>
        <w:trPr>
          <w:trHeight w:val="229"/>
        </w:trPr>
        <w:tc>
          <w:tcPr>
            <w:tcW w:w="6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Trucking volumes</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48"/>
        </w:trPr>
        <w:tc>
          <w:tcPr>
            <w:tcW w:w="6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Transportation segment total volumes</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7,081</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6,793</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Facilities segment (average monthly volumes):</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9"/>
        </w:trPr>
        <w:tc>
          <w:tcPr>
            <w:tcW w:w="622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Liquids storage (average monthly capacity in millions of barrels) </w:t>
            </w:r>
            <w:r>
              <w:rPr>
                <w:rFonts w:ascii="Times New Roman" w:cs="Times New Roman" w:eastAsia="Times New Roman" w:hAnsi="Times New Roman"/>
                <w:sz w:val="23"/>
                <w:szCs w:val="23"/>
                <w:color w:val="auto"/>
                <w:vertAlign w:val="superscript"/>
              </w:rPr>
              <w:t>(3)</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49"/>
        </w:trPr>
        <w:tc>
          <w:tcPr>
            <w:tcW w:w="6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Natural gas storage (average monthly working capacity in billions of cubic feet)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220" w:type="dxa"/>
            <w:vAlign w:val="bottom"/>
          </w:tcPr>
          <w:p>
            <w:pPr>
              <w:ind w:left="180"/>
              <w:spacing w:after="0" w:line="203" w:lineRule="exact"/>
              <w:rPr>
                <w:sz w:val="20"/>
                <w:szCs w:val="20"/>
                <w:color w:val="auto"/>
              </w:rPr>
            </w:pPr>
            <w:r>
              <w:rPr>
                <w:rFonts w:ascii="Times New Roman" w:cs="Times New Roman" w:eastAsia="Times New Roman" w:hAnsi="Times New Roman"/>
                <w:sz w:val="18"/>
                <w:szCs w:val="18"/>
                <w:color w:val="auto"/>
              </w:rPr>
              <w:t>NGL fractionation (average volumes in thousands of barrels per day)</w:t>
            </w: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145</w:t>
            </w: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49"/>
        </w:trPr>
        <w:tc>
          <w:tcPr>
            <w:tcW w:w="622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Facilities segment total volumes (average monthly volumes in millions of barrels) </w:t>
            </w:r>
            <w:r>
              <w:rPr>
                <w:rFonts w:ascii="Times New Roman" w:cs="Times New Roman" w:eastAsia="Times New Roman" w:hAnsi="Times New Roman"/>
                <w:sz w:val="23"/>
                <w:szCs w:val="23"/>
                <w:color w:val="auto"/>
                <w:vertAlign w:val="superscript"/>
              </w:rPr>
              <w:t>(4)</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5"/>
        </w:trPr>
        <w:tc>
          <w:tcPr>
            <w:tcW w:w="62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Supply and Logistics segment (average daily volumes in thousands of barrels</w:t>
            </w: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230"/>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per day):</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9"/>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Crude oil lease gathering purchases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w:t>
            </w:r>
          </w:p>
        </w:tc>
      </w:tr>
      <w:tr>
        <w:trPr>
          <w:trHeight w:val="230"/>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NGL sales</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23"/>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Supply and Logistics segment total volumes</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10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w:t>
            </w:r>
          </w:p>
        </w:tc>
      </w:tr>
      <w:tr>
        <w:trPr>
          <w:trHeight w:val="20"/>
        </w:trPr>
        <w:tc>
          <w:tcPr>
            <w:tcW w:w="6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320" w:hanging="312"/>
        <w:spacing w:after="0"/>
        <w:tabs>
          <w:tab w:leader="none" w:pos="320"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Average volumes are calculated as the total volumes (attributable to our interest) for the period divided by the number of days or months in the period.</w:t>
      </w:r>
    </w:p>
    <w:p>
      <w:pPr>
        <w:spacing w:after="0" w:line="55" w:lineRule="exact"/>
        <w:rPr>
          <w:rFonts w:ascii="Times New Roman" w:cs="Times New Roman" w:eastAsia="Times New Roman" w:hAnsi="Times New Roman"/>
          <w:sz w:val="23"/>
          <w:szCs w:val="23"/>
          <w:color w:val="auto"/>
          <w:vertAlign w:val="superscript"/>
        </w:rPr>
      </w:pPr>
    </w:p>
    <w:p>
      <w:pPr>
        <w:ind w:left="320" w:hanging="312"/>
        <w:spacing w:after="0" w:line="194" w:lineRule="auto"/>
        <w:tabs>
          <w:tab w:leader="none" w:pos="320"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Region includes volumes (attributable to our interest) from pipelines owned by unconsolidated entities.</w:t>
      </w:r>
    </w:p>
    <w:p>
      <w:pPr>
        <w:spacing w:after="0" w:line="56" w:lineRule="exact"/>
        <w:rPr>
          <w:rFonts w:ascii="Times New Roman" w:cs="Times New Roman" w:eastAsia="Times New Roman" w:hAnsi="Times New Roman"/>
          <w:sz w:val="23"/>
          <w:szCs w:val="23"/>
          <w:color w:val="auto"/>
          <w:vertAlign w:val="superscript"/>
        </w:rPr>
      </w:pPr>
    </w:p>
    <w:p>
      <w:pPr>
        <w:ind w:left="320" w:hanging="312"/>
        <w:spacing w:after="0" w:line="194" w:lineRule="auto"/>
        <w:tabs>
          <w:tab w:leader="none" w:pos="320"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volumes (attributable to our interest) from facilities owned by unconsolidated entities.</w:t>
      </w:r>
    </w:p>
    <w:p>
      <w:pPr>
        <w:spacing w:after="0" w:line="56" w:lineRule="exact"/>
        <w:rPr>
          <w:rFonts w:ascii="Times New Roman" w:cs="Times New Roman" w:eastAsia="Times New Roman" w:hAnsi="Times New Roman"/>
          <w:sz w:val="23"/>
          <w:szCs w:val="23"/>
          <w:color w:val="auto"/>
          <w:vertAlign w:val="superscript"/>
        </w:rPr>
      </w:pPr>
    </w:p>
    <w:p>
      <w:pPr>
        <w:ind w:left="340" w:right="260" w:hanging="332"/>
        <w:spacing w:after="0" w:line="228" w:lineRule="auto"/>
        <w:tabs>
          <w:tab w:leader="none" w:pos="328"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Facilities segment total volumes is calculated as the sum of: (i) liquids storage capacity; (ii) natural gas storage working capacity divided by 6 to account for the 6:1 mcf of natural gas to crude Btu equivalent ratio and further divided by 1,000 to convert to monthly volumes in millions; and (iii) NGL fractionation volumes multiplied by the number of days in the period and divided by the number of months in the period.</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auto"/>
        </w:rPr>
        <w:t>Page 24</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SEGMENT RECONCILIATIONS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Fee-based Segment Adjusted EBITDA to Adjusted EBITDA Reconciliations: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3"/>
                <w:szCs w:val="13"/>
                <w:color w:val="auto"/>
              </w:rPr>
            </w:pPr>
          </w:p>
        </w:tc>
        <w:tc>
          <w:tcPr>
            <w:tcW w:w="2040" w:type="dxa"/>
            <w:vAlign w:val="bottom"/>
            <w:gridSpan w:val="4"/>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80" w:type="dxa"/>
            <w:vAlign w:val="bottom"/>
            <w:gridSpan w:val="4"/>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9"/>
        </w:trPr>
        <w:tc>
          <w:tcPr>
            <w:tcW w:w="624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41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r>
      <w:tr>
        <w:trPr>
          <w:trHeight w:val="183"/>
        </w:trPr>
        <w:tc>
          <w:tcPr>
            <w:tcW w:w="624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Transportation Segment Adjusted EBITDA</w:t>
            </w:r>
          </w:p>
        </w:tc>
        <w:tc>
          <w:tcPr>
            <w:tcW w:w="760" w:type="dxa"/>
            <w:vAlign w:val="bottom"/>
            <w:shd w:val="clear" w:color="auto" w:fill="CCEEFF"/>
          </w:tcPr>
          <w:p>
            <w:pPr>
              <w:jc w:val="right"/>
              <w:ind w:right="557"/>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r>
      <w:tr>
        <w:trPr>
          <w:trHeight w:val="229"/>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Facilities Segment Adjusted EBITDA</w:t>
            </w:r>
          </w:p>
        </w:tc>
        <w:tc>
          <w:tcPr>
            <w:tcW w:w="7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w:t>
            </w:r>
          </w:p>
        </w:tc>
      </w:tr>
      <w:tr>
        <w:trPr>
          <w:trHeight w:val="223"/>
        </w:trPr>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Fee-based Segment Adjusted EBITDA</w:t>
            </w:r>
          </w:p>
        </w:tc>
        <w:tc>
          <w:tcPr>
            <w:tcW w:w="760" w:type="dxa"/>
            <w:vAlign w:val="bottom"/>
            <w:shd w:val="clear" w:color="auto" w:fill="CCEEFF"/>
          </w:tcPr>
          <w:p>
            <w:pPr>
              <w:jc w:val="right"/>
              <w:ind w:right="557"/>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Supply and Logistics Segment Adjusted EBITDA</w:t>
            </w: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r>
      <w:tr>
        <w:trPr>
          <w:trHeight w:val="229"/>
        </w:trPr>
        <w:tc>
          <w:tcPr>
            <w:tcW w:w="6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other income/(expense), net </w:t>
            </w:r>
            <w:r>
              <w:rPr>
                <w:rFonts w:ascii="Times New Roman" w:cs="Times New Roman" w:eastAsia="Times New Roman" w:hAnsi="Times New Roman"/>
                <w:sz w:val="23"/>
                <w:szCs w:val="23"/>
                <w:color w:val="auto"/>
                <w:vertAlign w:val="superscript"/>
              </w:rPr>
              <w:t>(1)</w:t>
            </w:r>
          </w:p>
        </w:tc>
        <w:tc>
          <w:tcPr>
            <w:tcW w:w="7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624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3"/>
                <w:szCs w:val="23"/>
                <w:color w:val="auto"/>
                <w:vertAlign w:val="superscript"/>
              </w:rPr>
              <w:t>(2)</w:t>
            </w:r>
          </w:p>
        </w:tc>
        <w:tc>
          <w:tcPr>
            <w:tcW w:w="76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20" w:type="dxa"/>
            <w:vAlign w:val="bottom"/>
          </w:tcPr>
          <w:p>
            <w:pPr>
              <w:spacing w:after="0"/>
              <w:rPr>
                <w:sz w:val="19"/>
                <w:szCs w:val="19"/>
                <w:color w:val="auto"/>
              </w:rPr>
            </w:pPr>
          </w:p>
        </w:tc>
        <w:tc>
          <w:tcPr>
            <w:tcW w:w="7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2,377</w:t>
            </w:r>
          </w:p>
        </w:tc>
      </w:tr>
      <w:tr>
        <w:trPr>
          <w:trHeight w:val="21"/>
        </w:trPr>
        <w:tc>
          <w:tcPr>
            <w:tcW w:w="6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r>
      <w:tr>
        <w:trPr>
          <w:trHeight w:val="560"/>
        </w:trPr>
        <w:tc>
          <w:tcPr>
            <w:tcW w:w="6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80" w:type="dxa"/>
            <w:vAlign w:val="bottom"/>
            <w:gridSpan w:val="4"/>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89"/>
        </w:trPr>
        <w:tc>
          <w:tcPr>
            <w:tcW w:w="6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41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6"/>
                <w:szCs w:val="16"/>
                <w:color w:val="auto"/>
              </w:rPr>
            </w:pPr>
          </w:p>
        </w:tc>
      </w:tr>
      <w:tr>
        <w:trPr>
          <w:trHeight w:val="183"/>
        </w:trPr>
        <w:tc>
          <w:tcPr>
            <w:tcW w:w="624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Transportation Segment Adjusted EBITDA</w:t>
            </w: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w:t>
            </w:r>
          </w:p>
        </w:tc>
      </w:tr>
      <w:tr>
        <w:trPr>
          <w:trHeight w:val="230"/>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Facilities Segment Adjusted EBITDA</w:t>
            </w:r>
          </w:p>
        </w:tc>
        <w:tc>
          <w:tcPr>
            <w:tcW w:w="76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w:t>
            </w:r>
          </w:p>
        </w:tc>
      </w:tr>
      <w:tr>
        <w:trPr>
          <w:trHeight w:val="223"/>
        </w:trPr>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Fee-based Segment Adjusted EBITDA</w:t>
            </w: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w:t>
            </w: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Supply and Logistics Segment Adjusted EBITDA</w:t>
            </w: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r>
      <w:tr>
        <w:trPr>
          <w:trHeight w:val="229"/>
        </w:trPr>
        <w:tc>
          <w:tcPr>
            <w:tcW w:w="6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other income/(expense), net </w:t>
            </w:r>
            <w:r>
              <w:rPr>
                <w:rFonts w:ascii="Times New Roman" w:cs="Times New Roman" w:eastAsia="Times New Roman" w:hAnsi="Times New Roman"/>
                <w:sz w:val="23"/>
                <w:szCs w:val="23"/>
                <w:color w:val="auto"/>
                <w:vertAlign w:val="superscript"/>
              </w:rPr>
              <w:t>(3)</w:t>
            </w: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624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3"/>
                <w:szCs w:val="23"/>
                <w:color w:val="auto"/>
                <w:vertAlign w:val="superscript"/>
              </w:rPr>
              <w:t>(2)</w:t>
            </w: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3,237</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2,684</w:t>
            </w:r>
          </w:p>
        </w:tc>
      </w:tr>
      <w:tr>
        <w:trPr>
          <w:trHeight w:val="21"/>
        </w:trPr>
        <w:tc>
          <w:tcPr>
            <w:tcW w:w="6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340" w:right="60" w:hanging="332"/>
        <w:spacing w:after="0" w:line="235" w:lineRule="auto"/>
        <w:tabs>
          <w:tab w:leader="none" w:pos="328"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“Other income/(expense), net” as reported on our Condensed Consolidated Statements of Operations, adjusted for selected items impacting comparability of $(4) million, $(1) million, $10 million and $(17) million for the three and nine months ended September 30, 2020 and 2019, respectively. See the “Selected Items Impacting Comparability” table for additional information.</w:t>
      </w:r>
    </w:p>
    <w:p>
      <w:pPr>
        <w:spacing w:after="0" w:line="7"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the “Net Income/(Loss) to Adjusted EBITDA and Implied DCF Reconciliation” table for reconciliation to Net Income/(Loss).</w:t>
      </w:r>
    </w:p>
    <w:p>
      <w:pPr>
        <w:spacing w:after="0" w:line="55" w:lineRule="exact"/>
        <w:rPr>
          <w:rFonts w:ascii="Times New Roman" w:cs="Times New Roman" w:eastAsia="Times New Roman" w:hAnsi="Times New Roman"/>
          <w:sz w:val="23"/>
          <w:szCs w:val="23"/>
          <w:color w:val="auto"/>
          <w:vertAlign w:val="superscript"/>
        </w:rPr>
      </w:pPr>
    </w:p>
    <w:p>
      <w:pPr>
        <w:ind w:left="340" w:right="60" w:hanging="332"/>
        <w:spacing w:after="0" w:line="219" w:lineRule="auto"/>
        <w:tabs>
          <w:tab w:leader="none" w:pos="328"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“Other income/(expense), net” as reported on our Condensed Consolidated Statements of Operations, adjusted for selected items impacting comparability of $(17) million and $10 million for the twelve months ended December 31,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auto"/>
        </w:rPr>
        <w:t>Page 25</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CONSOLIDATING STATEMENTS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1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3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Consolidating</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Consolidating</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PAA</w:t>
            </w:r>
          </w:p>
        </w:tc>
        <w:tc>
          <w:tcPr>
            <w:tcW w:w="100" w:type="dxa"/>
            <w:vAlign w:val="bottom"/>
          </w:tcPr>
          <w:p>
            <w:pPr>
              <w:spacing w:after="0"/>
              <w:rPr>
                <w:sz w:val="17"/>
                <w:szCs w:val="17"/>
                <w:color w:val="auto"/>
              </w:rPr>
            </w:pPr>
          </w:p>
        </w:tc>
        <w:tc>
          <w:tcPr>
            <w:tcW w:w="1420" w:type="dxa"/>
            <w:vAlign w:val="bottom"/>
            <w:gridSpan w:val="2"/>
          </w:tcPr>
          <w:p>
            <w:pPr>
              <w:jc w:val="center"/>
              <w:ind w:right="220"/>
              <w:spacing w:after="0" w:line="203" w:lineRule="exact"/>
              <w:rPr>
                <w:sz w:val="20"/>
                <w:szCs w:val="20"/>
                <w:color w:val="auto"/>
              </w:rPr>
            </w:pPr>
            <w:r>
              <w:rPr>
                <w:rFonts w:ascii="Times New Roman" w:cs="Times New Roman" w:eastAsia="Times New Roman" w:hAnsi="Times New Roman"/>
                <w:sz w:val="14"/>
                <w:szCs w:val="14"/>
                <w:b w:val="1"/>
                <w:bCs w:val="1"/>
                <w:color w:val="auto"/>
                <w:w w:val="98"/>
              </w:rPr>
              <w:t xml:space="preserve">Adjustments </w:t>
            </w:r>
            <w:r>
              <w:rPr>
                <w:rFonts w:ascii="Times New Roman" w:cs="Times New Roman" w:eastAsia="Times New Roman" w:hAnsi="Times New Roman"/>
                <w:sz w:val="18"/>
                <w:szCs w:val="18"/>
                <w:b w:val="1"/>
                <w:bCs w:val="1"/>
                <w:color w:val="auto"/>
                <w:w w:val="98"/>
                <w:vertAlign w:val="superscript"/>
              </w:rPr>
              <w:t>(1)</w:t>
            </w:r>
          </w:p>
        </w:tc>
        <w:tc>
          <w:tcPr>
            <w:tcW w:w="240" w:type="dxa"/>
            <w:vAlign w:val="bottom"/>
          </w:tcPr>
          <w:p>
            <w:pPr>
              <w:spacing w:after="0"/>
              <w:rPr>
                <w:sz w:val="17"/>
                <w:szCs w:val="17"/>
                <w:color w:val="auto"/>
              </w:rPr>
            </w:pPr>
          </w:p>
        </w:tc>
        <w:tc>
          <w:tcPr>
            <w:tcW w:w="90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PAGP</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PAA</w:t>
            </w:r>
          </w:p>
        </w:tc>
        <w:tc>
          <w:tcPr>
            <w:tcW w:w="100" w:type="dxa"/>
            <w:vAlign w:val="bottom"/>
          </w:tcPr>
          <w:p>
            <w:pPr>
              <w:spacing w:after="0"/>
              <w:rPr>
                <w:sz w:val="17"/>
                <w:szCs w:val="17"/>
                <w:color w:val="auto"/>
              </w:rPr>
            </w:pPr>
          </w:p>
        </w:tc>
        <w:tc>
          <w:tcPr>
            <w:tcW w:w="1420" w:type="dxa"/>
            <w:vAlign w:val="bottom"/>
            <w:gridSpan w:val="2"/>
          </w:tcPr>
          <w:p>
            <w:pPr>
              <w:jc w:val="center"/>
              <w:ind w:right="220"/>
              <w:spacing w:after="0" w:line="203" w:lineRule="exact"/>
              <w:rPr>
                <w:sz w:val="20"/>
                <w:szCs w:val="20"/>
                <w:color w:val="auto"/>
              </w:rPr>
            </w:pPr>
            <w:r>
              <w:rPr>
                <w:rFonts w:ascii="Times New Roman" w:cs="Times New Roman" w:eastAsia="Times New Roman" w:hAnsi="Times New Roman"/>
                <w:sz w:val="14"/>
                <w:szCs w:val="14"/>
                <w:b w:val="1"/>
                <w:bCs w:val="1"/>
                <w:color w:val="auto"/>
                <w:w w:val="98"/>
              </w:rPr>
              <w:t xml:space="preserve">Adjustments </w:t>
            </w:r>
            <w:r>
              <w:rPr>
                <w:rFonts w:ascii="Times New Roman" w:cs="Times New Roman" w:eastAsia="Times New Roman" w:hAnsi="Times New Roman"/>
                <w:sz w:val="18"/>
                <w:szCs w:val="18"/>
                <w:b w:val="1"/>
                <w:bCs w:val="1"/>
                <w:color w:val="auto"/>
                <w:w w:val="98"/>
                <w:vertAlign w:val="superscript"/>
              </w:rPr>
              <w:t>(1)</w:t>
            </w:r>
          </w:p>
        </w:tc>
        <w:tc>
          <w:tcPr>
            <w:tcW w:w="240" w:type="dxa"/>
            <w:vAlign w:val="bottom"/>
          </w:tcPr>
          <w:p>
            <w:pPr>
              <w:spacing w:after="0"/>
              <w:rPr>
                <w:sz w:val="17"/>
                <w:szCs w:val="17"/>
                <w:color w:val="auto"/>
              </w:rPr>
            </w:pPr>
          </w:p>
        </w:tc>
        <w:tc>
          <w:tcPr>
            <w:tcW w:w="92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PAGP</w:t>
            </w:r>
          </w:p>
        </w:tc>
        <w:tc>
          <w:tcPr>
            <w:tcW w:w="0" w:type="dxa"/>
            <w:vAlign w:val="bottom"/>
          </w:tcPr>
          <w:p>
            <w:pPr>
              <w:spacing w:after="0"/>
              <w:rPr>
                <w:sz w:val="1"/>
                <w:szCs w:val="1"/>
                <w:color w:val="auto"/>
              </w:rPr>
            </w:pPr>
          </w:p>
        </w:tc>
      </w:tr>
      <w:tr>
        <w:trPr>
          <w:trHeight w:val="223"/>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5,833</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5,833</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7,886</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7,886</w:t>
            </w: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5,107</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6,855</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Field operating costs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176"/>
        </w:trPr>
        <w:tc>
          <w:tcPr>
            <w:tcW w:w="31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(Gains)/losses on asset sales and asset</w:t>
            </w:r>
          </w:p>
        </w:tc>
        <w:tc>
          <w:tcPr>
            <w:tcW w:w="2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impairments, net</w:t>
            </w:r>
          </w:p>
        </w:tc>
        <w:tc>
          <w:tcPr>
            <w:tcW w:w="26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impairment losses</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5,580</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5,582</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7,394</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7,396</w:t>
            </w:r>
          </w:p>
        </w:tc>
        <w:tc>
          <w:tcPr>
            <w:tcW w:w="0" w:type="dxa"/>
            <w:vAlign w:val="bottom"/>
          </w:tcPr>
          <w:p>
            <w:pPr>
              <w:spacing w:after="0"/>
              <w:rPr>
                <w:sz w:val="1"/>
                <w:szCs w:val="1"/>
                <w:color w:val="auto"/>
              </w:rPr>
            </w:pPr>
          </w:p>
        </w:tc>
      </w:tr>
      <w:tr>
        <w:trPr>
          <w:trHeight w:val="148"/>
        </w:trPr>
        <w:tc>
          <w:tcPr>
            <w:tcW w:w="3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149"/>
        </w:trPr>
        <w:tc>
          <w:tcPr>
            <w:tcW w:w="3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INCOME/(EXPENSE)</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176"/>
        </w:trPr>
        <w:tc>
          <w:tcPr>
            <w:tcW w:w="31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Gain on/(impairment of) investments in</w:t>
            </w:r>
          </w:p>
        </w:tc>
        <w:tc>
          <w:tcPr>
            <w:tcW w:w="2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unconsolidated entities, net</w:t>
            </w:r>
          </w:p>
        </w:tc>
        <w:tc>
          <w:tcPr>
            <w:tcW w:w="26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29"/>
        </w:trPr>
        <w:tc>
          <w:tcPr>
            <w:tcW w:w="31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3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right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3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TAX</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3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Deferred income tax (expense)/benefit</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128"/>
        </w:trPr>
        <w:tc>
          <w:tcPr>
            <w:tcW w:w="3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175"/>
        </w:trPr>
        <w:tc>
          <w:tcPr>
            <w:tcW w:w="312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Net income attributable to</w:t>
            </w:r>
          </w:p>
        </w:tc>
        <w:tc>
          <w:tcPr>
            <w:tcW w:w="2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12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NET INCOME ATTRIBUTABLE TO</w:t>
            </w: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3"/>
                <w:szCs w:val="13"/>
                <w:color w:val="auto"/>
              </w:rPr>
            </w:pP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Borders>
              <w:right w:val="single" w:sz="8" w:color="auto"/>
            </w:tcBorders>
          </w:tcPr>
          <w:p>
            <w:pPr>
              <w:spacing w:after="0"/>
              <w:rPr>
                <w:sz w:val="13"/>
                <w:szCs w:val="13"/>
                <w:color w:val="auto"/>
              </w:rPr>
            </w:pPr>
          </w:p>
        </w:tc>
        <w:tc>
          <w:tcPr>
            <w:tcW w:w="34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2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Pr>
          <w:p>
            <w:pPr>
              <w:spacing w:after="0"/>
              <w:rPr>
                <w:sz w:val="13"/>
                <w:szCs w:val="13"/>
                <w:color w:val="auto"/>
              </w:rPr>
            </w:pP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03"/>
        </w:trPr>
        <w:tc>
          <w:tcPr>
            <w:tcW w:w="312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b w:val="1"/>
                <w:bCs w:val="1"/>
                <w:color w:val="auto"/>
              </w:rPr>
              <w:t>PAGP</w:t>
            </w:r>
          </w:p>
        </w:tc>
        <w:tc>
          <w:tcPr>
            <w:tcW w:w="26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4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43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BASIC NET INCOME PER CLASS A SHARE</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4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43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DILUTED NET INCOME PER CLASS A SHARE</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4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586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BASIC WEIGHTED AVERAGE CLASS A SHARES OUTSTANDING</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4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4440" w:type="dxa"/>
            <w:vAlign w:val="bottom"/>
            <w:gridSpan w:val="5"/>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DILUTED WEIGHTED AVERAGE CLASS A SHARES</w:t>
            </w: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43"/>
        </w:trPr>
        <w:tc>
          <w:tcPr>
            <w:tcW w:w="312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b w:val="1"/>
                <w:bCs w:val="1"/>
                <w:color w:val="auto"/>
              </w:rPr>
              <w:t>OUTSTANDING</w:t>
            </w: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320" w:hanging="312"/>
        <w:spacing w:after="0"/>
        <w:tabs>
          <w:tab w:leader="none" w:pos="320" w:val="left"/>
        </w:tabs>
        <w:numPr>
          <w:ilvl w:val="0"/>
          <w:numId w:val="2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the aggregate consolidating adjustments necessary to produce consolidated financial statements for PAGP.</w:t>
      </w:r>
    </w:p>
    <w:p>
      <w:pPr>
        <w:spacing w:after="0" w:line="57" w:lineRule="exact"/>
        <w:rPr>
          <w:rFonts w:ascii="Times New Roman" w:cs="Times New Roman" w:eastAsia="Times New Roman" w:hAnsi="Times New Roman"/>
          <w:sz w:val="22"/>
          <w:szCs w:val="22"/>
          <w:color w:val="auto"/>
          <w:vertAlign w:val="superscript"/>
        </w:rPr>
      </w:pPr>
    </w:p>
    <w:p>
      <w:pPr>
        <w:ind w:left="5440" w:hanging="106"/>
        <w:spacing w:after="0"/>
        <w:tabs>
          <w:tab w:leader="none" w:pos="54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3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00"/>
          </w:cols>
          <w:pgMar w:left="320" w:top="364"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auto"/>
        </w:rPr>
        <w:t>Page 26</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CONSOLIDATING STATEMENTS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1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3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Consolidating</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Consolidating</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PAA</w:t>
            </w:r>
          </w:p>
        </w:tc>
        <w:tc>
          <w:tcPr>
            <w:tcW w:w="100" w:type="dxa"/>
            <w:vAlign w:val="bottom"/>
          </w:tcPr>
          <w:p>
            <w:pPr>
              <w:spacing w:after="0"/>
              <w:rPr>
                <w:sz w:val="17"/>
                <w:szCs w:val="17"/>
                <w:color w:val="auto"/>
              </w:rPr>
            </w:pPr>
          </w:p>
        </w:tc>
        <w:tc>
          <w:tcPr>
            <w:tcW w:w="1400" w:type="dxa"/>
            <w:vAlign w:val="bottom"/>
            <w:gridSpan w:val="2"/>
          </w:tcPr>
          <w:p>
            <w:pPr>
              <w:jc w:val="center"/>
              <w:ind w:right="220"/>
              <w:spacing w:after="0" w:line="203" w:lineRule="exact"/>
              <w:rPr>
                <w:sz w:val="20"/>
                <w:szCs w:val="20"/>
                <w:color w:val="auto"/>
              </w:rPr>
            </w:pPr>
            <w:r>
              <w:rPr>
                <w:rFonts w:ascii="Times New Roman" w:cs="Times New Roman" w:eastAsia="Times New Roman" w:hAnsi="Times New Roman"/>
                <w:sz w:val="14"/>
                <w:szCs w:val="14"/>
                <w:b w:val="1"/>
                <w:bCs w:val="1"/>
                <w:color w:val="auto"/>
              </w:rPr>
              <w:t xml:space="preserve">Adjustments </w:t>
            </w:r>
            <w:r>
              <w:rPr>
                <w:rFonts w:ascii="Times New Roman" w:cs="Times New Roman" w:eastAsia="Times New Roman" w:hAnsi="Times New Roman"/>
                <w:sz w:val="18"/>
                <w:szCs w:val="18"/>
                <w:b w:val="1"/>
                <w:bCs w:val="1"/>
                <w:color w:val="auto"/>
                <w:vertAlign w:val="superscript"/>
              </w:rPr>
              <w:t>(1)</w:t>
            </w:r>
          </w:p>
        </w:tc>
        <w:tc>
          <w:tcPr>
            <w:tcW w:w="240" w:type="dxa"/>
            <w:vAlign w:val="bottom"/>
          </w:tcPr>
          <w:p>
            <w:pPr>
              <w:spacing w:after="0"/>
              <w:rPr>
                <w:sz w:val="17"/>
                <w:szCs w:val="17"/>
                <w:color w:val="auto"/>
              </w:rPr>
            </w:pPr>
          </w:p>
        </w:tc>
        <w:tc>
          <w:tcPr>
            <w:tcW w:w="92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PAGP</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PAA</w:t>
            </w:r>
          </w:p>
        </w:tc>
        <w:tc>
          <w:tcPr>
            <w:tcW w:w="100" w:type="dxa"/>
            <w:vAlign w:val="bottom"/>
          </w:tcPr>
          <w:p>
            <w:pPr>
              <w:spacing w:after="0"/>
              <w:rPr>
                <w:sz w:val="17"/>
                <w:szCs w:val="17"/>
                <w:color w:val="auto"/>
              </w:rPr>
            </w:pPr>
          </w:p>
        </w:tc>
        <w:tc>
          <w:tcPr>
            <w:tcW w:w="1420" w:type="dxa"/>
            <w:vAlign w:val="bottom"/>
            <w:gridSpan w:val="2"/>
          </w:tcPr>
          <w:p>
            <w:pPr>
              <w:jc w:val="center"/>
              <w:ind w:right="220"/>
              <w:spacing w:after="0" w:line="203" w:lineRule="exact"/>
              <w:rPr>
                <w:sz w:val="20"/>
                <w:szCs w:val="20"/>
                <w:color w:val="auto"/>
              </w:rPr>
            </w:pPr>
            <w:r>
              <w:rPr>
                <w:rFonts w:ascii="Times New Roman" w:cs="Times New Roman" w:eastAsia="Times New Roman" w:hAnsi="Times New Roman"/>
                <w:sz w:val="14"/>
                <w:szCs w:val="14"/>
                <w:b w:val="1"/>
                <w:bCs w:val="1"/>
                <w:color w:val="auto"/>
                <w:w w:val="98"/>
              </w:rPr>
              <w:t xml:space="preserve">Adjustments </w:t>
            </w:r>
            <w:r>
              <w:rPr>
                <w:rFonts w:ascii="Times New Roman" w:cs="Times New Roman" w:eastAsia="Times New Roman" w:hAnsi="Times New Roman"/>
                <w:sz w:val="18"/>
                <w:szCs w:val="18"/>
                <w:b w:val="1"/>
                <w:bCs w:val="1"/>
                <w:color w:val="auto"/>
                <w:w w:val="98"/>
                <w:vertAlign w:val="superscript"/>
              </w:rPr>
              <w:t>(1)</w:t>
            </w:r>
          </w:p>
        </w:tc>
        <w:tc>
          <w:tcPr>
            <w:tcW w:w="240" w:type="dxa"/>
            <w:vAlign w:val="bottom"/>
          </w:tcPr>
          <w:p>
            <w:pPr>
              <w:spacing w:after="0"/>
              <w:rPr>
                <w:sz w:val="17"/>
                <w:szCs w:val="17"/>
                <w:color w:val="auto"/>
              </w:rPr>
            </w:pPr>
          </w:p>
        </w:tc>
        <w:tc>
          <w:tcPr>
            <w:tcW w:w="92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PAGP</w:t>
            </w:r>
          </w:p>
        </w:tc>
        <w:tc>
          <w:tcPr>
            <w:tcW w:w="0" w:type="dxa"/>
            <w:vAlign w:val="bottom"/>
          </w:tcPr>
          <w:p>
            <w:pPr>
              <w:spacing w:after="0"/>
              <w:rPr>
                <w:sz w:val="1"/>
                <w:szCs w:val="1"/>
                <w:color w:val="auto"/>
              </w:rPr>
            </w:pPr>
          </w:p>
        </w:tc>
      </w:tr>
      <w:tr>
        <w:trPr>
          <w:trHeight w:val="223"/>
        </w:trPr>
        <w:tc>
          <w:tcPr>
            <w:tcW w:w="3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17,327</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17,327</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24,515</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24,515</w:t>
            </w: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21,218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21,218</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Field operating costs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0" w:type="dxa"/>
            <w:vAlign w:val="bottom"/>
          </w:tcPr>
          <w:p>
            <w:pPr>
              <w:spacing w:after="0"/>
              <w:rPr>
                <w:sz w:val="1"/>
                <w:szCs w:val="1"/>
                <w:color w:val="auto"/>
              </w:rPr>
            </w:pPr>
          </w:p>
        </w:tc>
      </w:tr>
      <w:tr>
        <w:trPr>
          <w:trHeight w:val="230"/>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0" w:type="dxa"/>
            <w:vAlign w:val="bottom"/>
          </w:tcPr>
          <w:p>
            <w:pPr>
              <w:spacing w:after="0"/>
              <w:rPr>
                <w:sz w:val="1"/>
                <w:szCs w:val="1"/>
                <w:color w:val="auto"/>
              </w:rPr>
            </w:pPr>
          </w:p>
        </w:tc>
      </w:tr>
      <w:tr>
        <w:trPr>
          <w:trHeight w:val="176"/>
        </w:trPr>
        <w:tc>
          <w:tcPr>
            <w:tcW w:w="31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(Gains)/losses on asset sales and asset</w:t>
            </w:r>
          </w:p>
        </w:tc>
        <w:tc>
          <w:tcPr>
            <w:tcW w:w="2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3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impairments, net</w:t>
            </w: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impairment losses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19,637</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19,644</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22,858</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22,864</w:t>
            </w:r>
          </w:p>
        </w:tc>
        <w:tc>
          <w:tcPr>
            <w:tcW w:w="0" w:type="dxa"/>
            <w:vAlign w:val="bottom"/>
          </w:tcPr>
          <w:p>
            <w:pPr>
              <w:spacing w:after="0"/>
              <w:rPr>
                <w:sz w:val="1"/>
                <w:szCs w:val="1"/>
                <w:color w:val="auto"/>
              </w:rPr>
            </w:pPr>
          </w:p>
        </w:tc>
      </w:tr>
      <w:tr>
        <w:trPr>
          <w:trHeight w:val="148"/>
        </w:trPr>
        <w:tc>
          <w:tcPr>
            <w:tcW w:w="3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INCOME/(LOSS)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INCOME/(EXPENSE)</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176"/>
        </w:trPr>
        <w:tc>
          <w:tcPr>
            <w:tcW w:w="31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Gain on/(impairment of) investments in</w:t>
            </w:r>
          </w:p>
        </w:tc>
        <w:tc>
          <w:tcPr>
            <w:tcW w:w="2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30"/>
        </w:trPr>
        <w:tc>
          <w:tcPr>
            <w:tcW w:w="3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unconsolidated entities, net</w:t>
            </w: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30"/>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income/(expense), net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29"/>
        </w:trPr>
        <w:tc>
          <w:tcPr>
            <w:tcW w:w="3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3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right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3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INCOME/(LOSS) BEFORE TAX</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(2,555)</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30"/>
        </w:trPr>
        <w:tc>
          <w:tcPr>
            <w:tcW w:w="3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 (expense)/benefit</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128"/>
        </w:trPr>
        <w:tc>
          <w:tcPr>
            <w:tcW w:w="3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INCOME/(LOSS)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0" w:type="dxa"/>
            <w:vAlign w:val="bottom"/>
          </w:tcPr>
          <w:p>
            <w:pPr>
              <w:spacing w:after="0"/>
              <w:rPr>
                <w:sz w:val="1"/>
                <w:szCs w:val="1"/>
                <w:color w:val="auto"/>
              </w:rPr>
            </w:pPr>
          </w:p>
        </w:tc>
      </w:tr>
      <w:tr>
        <w:trPr>
          <w:trHeight w:val="175"/>
        </w:trPr>
        <w:tc>
          <w:tcPr>
            <w:tcW w:w="310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Net (income)/loss attributable to</w:t>
            </w:r>
          </w:p>
        </w:tc>
        <w:tc>
          <w:tcPr>
            <w:tcW w:w="2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10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NET INCOME/(LOSS)</w:t>
            </w: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(2,562)</w:t>
            </w:r>
          </w:p>
        </w:tc>
        <w:tc>
          <w:tcPr>
            <w:tcW w:w="12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13"/>
                <w:szCs w:val="13"/>
                <w:color w:val="auto"/>
              </w:rPr>
            </w:pP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40" w:type="dxa"/>
            <w:vAlign w:val="bottom"/>
            <w:tcBorders>
              <w:right w:val="single" w:sz="8" w:color="auto"/>
            </w:tcBorders>
          </w:tcPr>
          <w:p>
            <w:pPr>
              <w:spacing w:after="0"/>
              <w:rPr>
                <w:sz w:val="13"/>
                <w:szCs w:val="13"/>
                <w:color w:val="auto"/>
              </w:rPr>
            </w:pPr>
          </w:p>
        </w:tc>
        <w:tc>
          <w:tcPr>
            <w:tcW w:w="34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12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00" w:type="dxa"/>
            <w:vAlign w:val="bottom"/>
          </w:tcPr>
          <w:p>
            <w:pPr>
              <w:spacing w:after="0"/>
              <w:rPr>
                <w:sz w:val="13"/>
                <w:szCs w:val="13"/>
                <w:color w:val="auto"/>
              </w:rPr>
            </w:pP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03"/>
        </w:trPr>
        <w:tc>
          <w:tcPr>
            <w:tcW w:w="310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b w:val="1"/>
                <w:bCs w:val="1"/>
                <w:color w:val="auto"/>
              </w:rPr>
              <w:t>ATTRIBUTABLE TO PAGP</w:t>
            </w:r>
          </w:p>
        </w:tc>
        <w:tc>
          <w:tcPr>
            <w:tcW w:w="26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43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BASIC NET INCOME/(LOSS) PER CLASS A SHARE</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0"/>
        </w:trPr>
        <w:tc>
          <w:tcPr>
            <w:tcW w:w="3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584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DILUTED NET INCOME/(LOSS) PER CLASS A SHARE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0"/>
        </w:trPr>
        <w:tc>
          <w:tcPr>
            <w:tcW w:w="3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4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584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BASIC WEIGHTED AVERAGE CLASS A SHARES OUTSTANDING</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0"/>
        </w:trPr>
        <w:tc>
          <w:tcPr>
            <w:tcW w:w="3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4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4440" w:type="dxa"/>
            <w:vAlign w:val="bottom"/>
            <w:gridSpan w:val="5"/>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DILUTED WEIGHTED AVERAGE CLASS A SHARES</w:t>
            </w: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43"/>
        </w:trPr>
        <w:tc>
          <w:tcPr>
            <w:tcW w:w="310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b w:val="1"/>
                <w:bCs w:val="1"/>
                <w:color w:val="auto"/>
              </w:rPr>
              <w:t>OUTSTANDING</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320" w:hanging="312"/>
        <w:spacing w:after="0"/>
        <w:tabs>
          <w:tab w:leader="none" w:pos="320" w:val="left"/>
        </w:tabs>
        <w:numPr>
          <w:ilvl w:val="0"/>
          <w:numId w:val="2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the aggregate consolidating adjustments necessary to produce consolidated financial statements for PAGP.</w:t>
      </w:r>
    </w:p>
    <w:p>
      <w:pPr>
        <w:spacing w:after="0" w:line="57" w:lineRule="exact"/>
        <w:rPr>
          <w:rFonts w:ascii="Times New Roman" w:cs="Times New Roman" w:eastAsia="Times New Roman" w:hAnsi="Times New Roman"/>
          <w:sz w:val="22"/>
          <w:szCs w:val="22"/>
          <w:color w:val="auto"/>
          <w:vertAlign w:val="superscript"/>
        </w:rPr>
      </w:pPr>
    </w:p>
    <w:p>
      <w:pPr>
        <w:ind w:left="5440" w:hanging="106"/>
        <w:spacing w:after="0"/>
        <w:tabs>
          <w:tab w:leader="none" w:pos="54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3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00"/>
          </w:cols>
          <w:pgMar w:left="320" w:top="364"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auto"/>
        </w:rPr>
        <w:t>Page 27</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CONSOLIDATING BALANCE SHEET DATA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3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Consolidating</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Consolidating</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PAA</w:t>
            </w:r>
          </w:p>
        </w:tc>
        <w:tc>
          <w:tcPr>
            <w:tcW w:w="120" w:type="dxa"/>
            <w:vAlign w:val="bottom"/>
          </w:tcPr>
          <w:p>
            <w:pPr>
              <w:spacing w:after="0"/>
              <w:rPr>
                <w:sz w:val="17"/>
                <w:szCs w:val="17"/>
                <w:color w:val="auto"/>
              </w:rPr>
            </w:pPr>
          </w:p>
        </w:tc>
        <w:tc>
          <w:tcPr>
            <w:tcW w:w="1400" w:type="dxa"/>
            <w:vAlign w:val="bottom"/>
            <w:gridSpan w:val="2"/>
          </w:tcPr>
          <w:p>
            <w:pPr>
              <w:jc w:val="center"/>
              <w:ind w:right="220"/>
              <w:spacing w:after="0" w:line="203" w:lineRule="exact"/>
              <w:rPr>
                <w:sz w:val="20"/>
                <w:szCs w:val="20"/>
                <w:color w:val="auto"/>
              </w:rPr>
            </w:pPr>
            <w:r>
              <w:rPr>
                <w:rFonts w:ascii="Times New Roman" w:cs="Times New Roman" w:eastAsia="Times New Roman" w:hAnsi="Times New Roman"/>
                <w:sz w:val="14"/>
                <w:szCs w:val="14"/>
                <w:b w:val="1"/>
                <w:bCs w:val="1"/>
                <w:color w:val="auto"/>
              </w:rPr>
              <w:t xml:space="preserve">Adjustments </w:t>
            </w:r>
            <w:r>
              <w:rPr>
                <w:rFonts w:ascii="Times New Roman" w:cs="Times New Roman" w:eastAsia="Times New Roman" w:hAnsi="Times New Roman"/>
                <w:sz w:val="18"/>
                <w:szCs w:val="18"/>
                <w:b w:val="1"/>
                <w:bCs w:val="1"/>
                <w:color w:val="auto"/>
                <w:vertAlign w:val="superscript"/>
              </w:rPr>
              <w:t>(1)</w:t>
            </w:r>
          </w:p>
        </w:tc>
        <w:tc>
          <w:tcPr>
            <w:tcW w:w="260" w:type="dxa"/>
            <w:vAlign w:val="bottom"/>
          </w:tcPr>
          <w:p>
            <w:pPr>
              <w:spacing w:after="0"/>
              <w:rPr>
                <w:sz w:val="17"/>
                <w:szCs w:val="17"/>
                <w:color w:val="auto"/>
              </w:rPr>
            </w:pPr>
          </w:p>
        </w:tc>
        <w:tc>
          <w:tcPr>
            <w:tcW w:w="112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PAGP</w:t>
            </w:r>
          </w:p>
        </w:tc>
        <w:tc>
          <w:tcPr>
            <w:tcW w:w="280" w:type="dxa"/>
            <w:vAlign w:val="bottom"/>
          </w:tcPr>
          <w:p>
            <w:pPr>
              <w:spacing w:after="0"/>
              <w:rPr>
                <w:sz w:val="17"/>
                <w:szCs w:val="17"/>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PAA</w:t>
            </w:r>
          </w:p>
        </w:tc>
        <w:tc>
          <w:tcPr>
            <w:tcW w:w="120" w:type="dxa"/>
            <w:vAlign w:val="bottom"/>
          </w:tcPr>
          <w:p>
            <w:pPr>
              <w:spacing w:after="0"/>
              <w:rPr>
                <w:sz w:val="17"/>
                <w:szCs w:val="17"/>
                <w:color w:val="auto"/>
              </w:rPr>
            </w:pPr>
          </w:p>
        </w:tc>
        <w:tc>
          <w:tcPr>
            <w:tcW w:w="1400" w:type="dxa"/>
            <w:vAlign w:val="bottom"/>
            <w:gridSpan w:val="2"/>
          </w:tcPr>
          <w:p>
            <w:pPr>
              <w:jc w:val="center"/>
              <w:ind w:right="240"/>
              <w:spacing w:after="0" w:line="203" w:lineRule="exact"/>
              <w:rPr>
                <w:sz w:val="20"/>
                <w:szCs w:val="20"/>
                <w:color w:val="auto"/>
              </w:rPr>
            </w:pPr>
            <w:r>
              <w:rPr>
                <w:rFonts w:ascii="Times New Roman" w:cs="Times New Roman" w:eastAsia="Times New Roman" w:hAnsi="Times New Roman"/>
                <w:sz w:val="14"/>
                <w:szCs w:val="14"/>
                <w:b w:val="1"/>
                <w:bCs w:val="1"/>
                <w:color w:val="auto"/>
                <w:w w:val="98"/>
              </w:rPr>
              <w:t xml:space="preserve">Adjustments </w:t>
            </w:r>
            <w:r>
              <w:rPr>
                <w:rFonts w:ascii="Times New Roman" w:cs="Times New Roman" w:eastAsia="Times New Roman" w:hAnsi="Times New Roman"/>
                <w:sz w:val="18"/>
                <w:szCs w:val="18"/>
                <w:b w:val="1"/>
                <w:bCs w:val="1"/>
                <w:color w:val="auto"/>
                <w:w w:val="98"/>
                <w:vertAlign w:val="superscript"/>
              </w:rPr>
              <w:t>(1)</w:t>
            </w:r>
          </w:p>
        </w:tc>
        <w:tc>
          <w:tcPr>
            <w:tcW w:w="240" w:type="dxa"/>
            <w:vAlign w:val="bottom"/>
          </w:tcPr>
          <w:p>
            <w:pPr>
              <w:spacing w:after="0"/>
              <w:rPr>
                <w:sz w:val="17"/>
                <w:szCs w:val="17"/>
                <w:color w:val="auto"/>
              </w:rPr>
            </w:pPr>
          </w:p>
        </w:tc>
        <w:tc>
          <w:tcPr>
            <w:tcW w:w="92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PAGP</w:t>
            </w:r>
          </w:p>
        </w:tc>
        <w:tc>
          <w:tcPr>
            <w:tcW w:w="0" w:type="dxa"/>
            <w:vAlign w:val="bottom"/>
          </w:tcPr>
          <w:p>
            <w:pPr>
              <w:spacing w:after="0"/>
              <w:rPr>
                <w:sz w:val="1"/>
                <w:szCs w:val="1"/>
                <w:color w:val="auto"/>
              </w:rPr>
            </w:pPr>
          </w:p>
        </w:tc>
      </w:tr>
      <w:tr>
        <w:trPr>
          <w:trHeight w:val="210"/>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3,407</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4,612</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4,614</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14,627</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15,367</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3,743</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3,683</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w:t>
            </w:r>
          </w:p>
        </w:tc>
        <w:tc>
          <w:tcPr>
            <w:tcW w:w="2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Linefill and base gas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0" w:type="dxa"/>
            <w:vAlign w:val="bottom"/>
          </w:tcPr>
          <w:p>
            <w:pPr>
              <w:spacing w:after="0"/>
              <w:rPr>
                <w:sz w:val="1"/>
                <w:szCs w:val="1"/>
                <w:color w:val="auto"/>
              </w:rPr>
            </w:pPr>
          </w:p>
        </w:tc>
      </w:tr>
      <w:tr>
        <w:trPr>
          <w:trHeight w:val="176"/>
        </w:trPr>
        <w:tc>
          <w:tcPr>
            <w:tcW w:w="31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Long-term operating lease right-of-use</w:t>
            </w:r>
          </w:p>
        </w:tc>
        <w:tc>
          <w:tcPr>
            <w:tcW w:w="2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29"/>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 net</w:t>
            </w:r>
          </w:p>
        </w:tc>
        <w:tc>
          <w:tcPr>
            <w:tcW w:w="2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inventory</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30"/>
        </w:trPr>
        <w:tc>
          <w:tcPr>
            <w:tcW w:w="3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assets, net</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0" w:type="dxa"/>
            <w:vAlign w:val="bottom"/>
          </w:tcPr>
          <w:p>
            <w:pPr>
              <w:spacing w:after="0"/>
              <w:rPr>
                <w:sz w:val="1"/>
                <w:szCs w:val="1"/>
                <w:color w:val="auto"/>
              </w:rPr>
            </w:pPr>
          </w:p>
        </w:tc>
      </w:tr>
      <w:tr>
        <w:trPr>
          <w:trHeight w:val="248"/>
        </w:trPr>
        <w:tc>
          <w:tcPr>
            <w:tcW w:w="3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25,693</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29,969</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LIABILITIES AND PARTNERS’</w:t>
            </w: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3,805</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5,019</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net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9,069</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8,939</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debt, net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175"/>
        </w:trPr>
        <w:tc>
          <w:tcPr>
            <w:tcW w:w="31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long-term liabilities and deferred</w:t>
            </w:r>
          </w:p>
        </w:tc>
        <w:tc>
          <w:tcPr>
            <w:tcW w:w="2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0" w:type="dxa"/>
            <w:vAlign w:val="bottom"/>
          </w:tcPr>
          <w:p>
            <w:pPr>
              <w:spacing w:after="0"/>
              <w:rPr>
                <w:sz w:val="1"/>
                <w:szCs w:val="1"/>
                <w:color w:val="auto"/>
              </w:rPr>
            </w:pPr>
          </w:p>
        </w:tc>
      </w:tr>
      <w:tr>
        <w:trPr>
          <w:trHeight w:val="230"/>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credits</w:t>
            </w:r>
          </w:p>
        </w:tc>
        <w:tc>
          <w:tcPr>
            <w:tcW w:w="2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14,396</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15,484</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Partners’ capital excluding noncontrolling</w:t>
            </w:r>
          </w:p>
        </w:tc>
        <w:tc>
          <w:tcPr>
            <w:tcW w:w="2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interests</w:t>
            </w:r>
          </w:p>
        </w:tc>
        <w:tc>
          <w:tcPr>
            <w:tcW w:w="2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9,825</w:t>
            </w: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12,330</w:t>
            </w:r>
          </w:p>
        </w:tc>
        <w:tc>
          <w:tcPr>
            <w:tcW w:w="0" w:type="dxa"/>
            <w:vAlign w:val="bottom"/>
          </w:tcPr>
          <w:p>
            <w:pPr>
              <w:spacing w:after="0"/>
              <w:rPr>
                <w:sz w:val="1"/>
                <w:szCs w:val="1"/>
                <w:color w:val="auto"/>
              </w:rPr>
            </w:pPr>
          </w:p>
        </w:tc>
      </w:tr>
      <w:tr>
        <w:trPr>
          <w:trHeight w:val="223"/>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partners’ capital</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11,297</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14,485</w:t>
            </w:r>
          </w:p>
        </w:tc>
        <w:tc>
          <w:tcPr>
            <w:tcW w:w="0" w:type="dxa"/>
            <w:vAlign w:val="bottom"/>
          </w:tcPr>
          <w:p>
            <w:pPr>
              <w:spacing w:after="0"/>
              <w:rPr>
                <w:sz w:val="1"/>
                <w:szCs w:val="1"/>
                <w:color w:val="auto"/>
              </w:rPr>
            </w:pPr>
          </w:p>
        </w:tc>
      </w:tr>
      <w:tr>
        <w:trPr>
          <w:trHeight w:val="263"/>
        </w:trPr>
        <w:tc>
          <w:tcPr>
            <w:tcW w:w="3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partners’ capital</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24,246</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25,693</w:t>
            </w: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28,677</w:t>
            </w:r>
          </w:p>
        </w:tc>
        <w:tc>
          <w:tcPr>
            <w:tcW w:w="1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320" w:hanging="312"/>
        <w:spacing w:after="0"/>
        <w:tabs>
          <w:tab w:leader="none" w:pos="320"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the aggregate consolidating adjustments necessary to produce consolidated financial statements for PAGP.</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auto"/>
        </w:rPr>
        <w:t>Page 28</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right="396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COMPUTATION OF BASIC AND DILUTED NET INCOME/(LOSS) PER CLASS A SHARE </w:t>
      </w:r>
      <w:r>
        <w:rPr>
          <w:rFonts w:ascii="Times New Roman" w:cs="Times New Roman" w:eastAsia="Times New Roman" w:hAnsi="Times New Roman"/>
          <w:sz w:val="18"/>
          <w:szCs w:val="18"/>
          <w:color w:val="auto"/>
        </w:rPr>
        <w:t>(in millions, except per share data)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2200" w:type="dxa"/>
            <w:vAlign w:val="bottom"/>
            <w:gridSpan w:val="4"/>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40" w:type="dxa"/>
            <w:vAlign w:val="bottom"/>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584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84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Net Income/(Loss) per Class A Share</w:t>
            </w: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income/(loss) attributable to PAGP</w:t>
            </w:r>
          </w:p>
        </w:tc>
        <w:tc>
          <w:tcPr>
            <w:tcW w:w="840" w:type="dxa"/>
            <w:vAlign w:val="bottom"/>
          </w:tcPr>
          <w:p>
            <w:pPr>
              <w:jc w:val="right"/>
              <w:ind w:right="65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8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Basic weighted average Class A shares outstanding</w:t>
            </w: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57"/>
        </w:trPr>
        <w:tc>
          <w:tcPr>
            <w:tcW w:w="58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58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Basic net income/(loss) per Class A share</w:t>
            </w:r>
          </w:p>
        </w:tc>
        <w:tc>
          <w:tcPr>
            <w:tcW w:w="840" w:type="dxa"/>
            <w:vAlign w:val="bottom"/>
            <w:tcBorders>
              <w:bottom w:val="single" w:sz="8" w:color="auto"/>
            </w:tcBorders>
            <w:shd w:val="clear" w:color="auto" w:fill="CCEEFF"/>
          </w:tcPr>
          <w:p>
            <w:pPr>
              <w:jc w:val="right"/>
              <w:ind w:right="65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Net Income/(Loss) per Class A Share</w:t>
            </w: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income/(loss) attributable to PAGP</w:t>
            </w:r>
          </w:p>
        </w:tc>
        <w:tc>
          <w:tcPr>
            <w:tcW w:w="840" w:type="dxa"/>
            <w:vAlign w:val="bottom"/>
          </w:tcPr>
          <w:p>
            <w:pPr>
              <w:jc w:val="right"/>
              <w:ind w:right="65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8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176"/>
        </w:trPr>
        <w:tc>
          <w:tcPr>
            <w:tcW w:w="584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Incremental net income attributable to PAGP resulting from assumed</w:t>
            </w:r>
          </w:p>
        </w:tc>
        <w:tc>
          <w:tcPr>
            <w:tcW w:w="840" w:type="dxa"/>
            <w:vAlign w:val="bottom"/>
            <w:shd w:val="clear" w:color="auto" w:fill="CCEEFF"/>
          </w:tcPr>
          <w:p>
            <w:pPr>
              <w:spacing w:after="0"/>
              <w:rPr>
                <w:sz w:val="15"/>
                <w:szCs w:val="15"/>
                <w:color w:val="auto"/>
              </w:rPr>
            </w:pPr>
          </w:p>
        </w:tc>
        <w:tc>
          <w:tcPr>
            <w:tcW w:w="5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5"/>
                <w:szCs w:val="15"/>
                <w:color w:val="auto"/>
              </w:rPr>
            </w:pPr>
          </w:p>
        </w:tc>
        <w:tc>
          <w:tcPr>
            <w:tcW w:w="5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exchange of AAP Management Units</w:t>
            </w:r>
          </w:p>
        </w:tc>
        <w:tc>
          <w:tcPr>
            <w:tcW w:w="840" w:type="dxa"/>
            <w:vAlign w:val="bottom"/>
            <w:shd w:val="clear" w:color="auto" w:fill="CCEEFF"/>
          </w:tcPr>
          <w:p>
            <w:pPr>
              <w:spacing w:after="0"/>
              <w:rPr>
                <w:sz w:val="19"/>
                <w:szCs w:val="19"/>
                <w:color w:val="auto"/>
              </w:rPr>
            </w:pPr>
          </w:p>
        </w:tc>
        <w:tc>
          <w:tcPr>
            <w:tcW w:w="540" w:type="dxa"/>
            <w:vAlign w:val="bottom"/>
            <w:gridSpan w:val="2"/>
            <w:vMerge w:val="continue"/>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60" w:type="dxa"/>
            <w:vAlign w:val="bottom"/>
            <w:gridSpan w:val="2"/>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5840" w:type="dxa"/>
            <w:vAlign w:val="bottom"/>
          </w:tcPr>
          <w:p>
            <w:pPr>
              <w:ind w:left="80"/>
              <w:spacing w:after="0" w:line="156" w:lineRule="exact"/>
              <w:rPr>
                <w:sz w:val="20"/>
                <w:szCs w:val="20"/>
                <w:color w:val="auto"/>
              </w:rPr>
            </w:pPr>
            <w:r>
              <w:rPr>
                <w:rFonts w:ascii="Times New Roman" w:cs="Times New Roman" w:eastAsia="Times New Roman" w:hAnsi="Times New Roman"/>
                <w:sz w:val="18"/>
                <w:szCs w:val="18"/>
                <w:color w:val="auto"/>
              </w:rPr>
              <w:t>Net income/(loss) attributable to PAGP including incremental net income from</w:t>
            </w:r>
          </w:p>
        </w:tc>
        <w:tc>
          <w:tcPr>
            <w:tcW w:w="840" w:type="dxa"/>
            <w:vAlign w:val="bottom"/>
            <w:tcBorders>
              <w:top w:val="single" w:sz="8" w:color="auto"/>
            </w:tcBorders>
            <w:vMerge w:val="restart"/>
          </w:tcPr>
          <w:p>
            <w:pPr>
              <w:jc w:val="right"/>
              <w:ind w:right="65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3"/>
                <w:szCs w:val="13"/>
                <w:color w:val="auto"/>
              </w:rPr>
            </w:pPr>
          </w:p>
        </w:tc>
        <w:tc>
          <w:tcPr>
            <w:tcW w:w="820" w:type="dxa"/>
            <w:vAlign w:val="bottom"/>
            <w:tcBorders>
              <w:top w:val="single" w:sz="8" w:color="auto"/>
            </w:tcBorders>
            <w:vMerge w:val="restart"/>
          </w:tcPr>
          <w:p>
            <w:pPr>
              <w:jc w:val="right"/>
              <w:ind w:right="63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3"/>
                <w:szCs w:val="13"/>
                <w:color w:val="auto"/>
              </w:rPr>
            </w:pPr>
          </w:p>
        </w:tc>
        <w:tc>
          <w:tcPr>
            <w:tcW w:w="30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20" w:type="dxa"/>
            <w:vAlign w:val="bottom"/>
          </w:tcPr>
          <w:p>
            <w:pPr>
              <w:spacing w:after="0"/>
              <w:rPr>
                <w:sz w:val="13"/>
                <w:szCs w:val="13"/>
                <w:color w:val="auto"/>
              </w:rPr>
            </w:pPr>
          </w:p>
        </w:tc>
        <w:tc>
          <w:tcPr>
            <w:tcW w:w="420" w:type="dxa"/>
            <w:vAlign w:val="bottom"/>
            <w:tcBorders>
              <w:top w:val="single" w:sz="8" w:color="auto"/>
            </w:tcBorders>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08"/>
        </w:trPr>
        <w:tc>
          <w:tcPr>
            <w:tcW w:w="584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color w:val="auto"/>
              </w:rPr>
              <w:t>assumed exchange of AAP Management Units</w:t>
            </w:r>
          </w:p>
        </w:tc>
        <w:tc>
          <w:tcPr>
            <w:tcW w:w="840" w:type="dxa"/>
            <w:vAlign w:val="bottom"/>
            <w:tcBorders>
              <w:bottom w:val="single" w:sz="8" w:color="auto"/>
            </w:tcBorders>
            <w:vMerge w:val="continue"/>
          </w:tcPr>
          <w:p>
            <w:pPr>
              <w:spacing w:after="0"/>
              <w:rPr>
                <w:sz w:val="17"/>
                <w:szCs w:val="17"/>
                <w:color w:val="auto"/>
              </w:rPr>
            </w:pPr>
          </w:p>
        </w:tc>
        <w:tc>
          <w:tcPr>
            <w:tcW w:w="4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4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bottom w:val="single" w:sz="8" w:color="auto"/>
            </w:tcBorders>
            <w:vMerge w:val="continue"/>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Basic weighted average Class A shares outstanding</w:t>
            </w:r>
          </w:p>
        </w:tc>
        <w:tc>
          <w:tcPr>
            <w:tcW w:w="8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Dilutive shares resulting from assumed exchange of AAP Management Units</w:t>
            </w:r>
          </w:p>
        </w:tc>
        <w:tc>
          <w:tcPr>
            <w:tcW w:w="8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5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Diluted weighted average Class A shares outstanding</w:t>
            </w:r>
          </w:p>
        </w:tc>
        <w:tc>
          <w:tcPr>
            <w:tcW w:w="84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0"/>
        </w:trPr>
        <w:tc>
          <w:tcPr>
            <w:tcW w:w="58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100"/>
              <w:spacing w:after="0" w:line="230" w:lineRule="exact"/>
              <w:rPr>
                <w:sz w:val="20"/>
                <w:szCs w:val="20"/>
                <w:color w:val="auto"/>
              </w:rPr>
            </w:pPr>
            <w:r>
              <w:rPr>
                <w:rFonts w:ascii="Times New Roman" w:cs="Times New Roman" w:eastAsia="Times New Roman" w:hAnsi="Times New Roman"/>
                <w:sz w:val="18"/>
                <w:szCs w:val="18"/>
                <w:color w:val="auto"/>
              </w:rPr>
              <w:t xml:space="preserve">Diluted net income/(loss) per Class A share </w:t>
            </w:r>
            <w:r>
              <w:rPr>
                <w:rFonts w:ascii="Times New Roman" w:cs="Times New Roman" w:eastAsia="Times New Roman" w:hAnsi="Times New Roman"/>
                <w:sz w:val="23"/>
                <w:szCs w:val="23"/>
                <w:color w:val="auto"/>
                <w:vertAlign w:val="superscript"/>
              </w:rPr>
              <w:t>(1)</w:t>
            </w:r>
          </w:p>
        </w:tc>
        <w:tc>
          <w:tcPr>
            <w:tcW w:w="84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20" w:type="dxa"/>
            <w:vAlign w:val="bottom"/>
          </w:tcPr>
          <w:p>
            <w:pPr>
              <w:spacing w:after="0"/>
              <w:rPr>
                <w:sz w:val="19"/>
                <w:szCs w:val="19"/>
                <w:color w:val="auto"/>
              </w:rPr>
            </w:pPr>
          </w:p>
        </w:tc>
        <w:tc>
          <w:tcPr>
            <w:tcW w:w="82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340" w:right="160" w:hanging="332"/>
        <w:spacing w:after="0" w:line="233" w:lineRule="auto"/>
        <w:tabs>
          <w:tab w:leader="none" w:pos="334" w:val="left"/>
        </w:tabs>
        <w:numPr>
          <w:ilvl w:val="0"/>
          <w:numId w:val="2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For the three and nine months ended September 30, 2020 and 2019, the possible exchange of any AAP units would not have had a dilutive effect on basic net income/(loss) per Class A share. For the three months ended September 30, 2020 and 2019 and the nine months ended September 30, 2020, the possible exchange of AAP Management units would not have had a dilutive effect on basic net income/(loss) per Class A share.</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Contacts</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Roy Lamoreaux</w:t>
      </w:r>
    </w:p>
    <w:p>
      <w:pPr>
        <w:spacing w:after="0" w:line="27" w:lineRule="exact"/>
        <w:rPr>
          <w:sz w:val="20"/>
          <w:szCs w:val="20"/>
          <w:color w:val="auto"/>
        </w:rPr>
      </w:pPr>
    </w:p>
    <w:p>
      <w:pPr>
        <w:ind w:left="20" w:right="5480"/>
        <w:spacing w:after="0" w:line="292" w:lineRule="auto"/>
        <w:rPr>
          <w:sz w:val="20"/>
          <w:szCs w:val="20"/>
          <w:color w:val="auto"/>
        </w:rPr>
      </w:pPr>
      <w:r>
        <w:rPr>
          <w:rFonts w:ascii="Times New Roman" w:cs="Times New Roman" w:eastAsia="Times New Roman" w:hAnsi="Times New Roman"/>
          <w:sz w:val="18"/>
          <w:szCs w:val="18"/>
          <w:color w:val="auto"/>
        </w:rPr>
        <w:t>Vice President, Investor Relations, Communications and Government Relations (866) 809-1291</w:t>
      </w: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Brett Magill</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Director, Investor Relations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(866) 809-1291</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499745</wp:posOffset>
            </wp:positionV>
            <wp:extent cx="5846445" cy="7543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84644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340" w:right="260"/>
        <w:spacing w:after="0" w:line="278" w:lineRule="auto"/>
        <w:rPr>
          <w:sz w:val="20"/>
          <w:szCs w:val="20"/>
          <w:color w:val="auto"/>
        </w:rPr>
      </w:pPr>
      <w:r>
        <w:rPr>
          <w:rFonts w:ascii="Times New Roman" w:cs="Times New Roman" w:eastAsia="Times New Roman" w:hAnsi="Times New Roman"/>
          <w:sz w:val="29"/>
          <w:szCs w:val="29"/>
          <w:b w:val="1"/>
          <w:bCs w:val="1"/>
          <w:color w:val="auto"/>
        </w:rPr>
        <w:t>Plains All American Pipeline and Plains GP Holdings Announce $500 Million Common Equity Repurchase Program</w:t>
      </w:r>
    </w:p>
    <w:p>
      <w:pPr>
        <w:spacing w:after="0" w:line="17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(Houston — November 2, 2020) Plains All American Pipeline, L.P. (NYSE: PAA) and Plains GP Holdings, L.P. (NYSE: PAGP) today announced that the board of directors of PAA GP Holdings LLC has approved a $500 million common equity repurchase program (the “Program”) to be utilized as an additional method of returning capital to investors.</w:t>
      </w:r>
    </w:p>
    <w:p>
      <w:pPr>
        <w:spacing w:after="0" w:line="20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“We are committed to managing our business and executing our financial strategy in a disciplined manner for all of our investors. This includes maximizing Free Cash Flow, minimizing capital investment and optimizing capital allocation. Our current equity valuation does not reflect the strength of our asset base or the long-term durability of our business, and we have reached an inflection point where we expect to generate meaningful levels of Free Cash Flow after distributions. Given the combination of these factors, this is an appropriate time to institute a repurchase program, and we intend to manage the program in a prudent and balanced manner consistent with our priority of continuing to reduce leverage over time,” stated Willie Chiang, Chairman and CEO of Plains All American. “Accordingly, we anticipate funding potential repurchase activity with a portion of our Free Cash Flow after distributions, provided that we are comfortable we remain on track to achieve our targeted long-term leverage ratio. In addition to reducing debt, we believe it is appropriate to allocate a portion of our Free Cash Flow after distributions to invest in our equity.”</w:t>
      </w:r>
    </w:p>
    <w:p>
      <w:pPr>
        <w:spacing w:after="0" w:line="21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The Program authorizes the repurchase from time to time of up to $500 million of PAA common units and/or PAGP Class A shares via open market purchases or negotiated transactions conducted in accordance with applicable regulatory requirements, and which may be made pursuant to a repurchase plan that complies with Rule 10b5-1 under the Securities Exchange Act of 1934. Ultimately, the amount, timing and pace of potential repurchase activity will be determined by a number of factors, including market conditions, PAA’s financial performance and flexibility, actual and expected Free Cash Flow after distributions, the absolute and relative equity prices of PAA common units and PAGP Class A shares, and the extent to which PAA is positioned to achieve and maintain its targeted leverage ratio. No time limit has been set for completion of the Program, and the Program may be suspended or discontinued at any time. The Program does not obligate PAA or PAGP to acquire a particular number of common units or Class A shares. Any PAA common units or PAGP Class A shares that are repurchased will be canceled.</w:t>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2"/>
          <w:szCs w:val="22"/>
          <w:b w:val="1"/>
          <w:bCs w:val="1"/>
          <w:i w:val="1"/>
          <w:iCs w:val="1"/>
          <w:color w:val="auto"/>
        </w:rPr>
        <w:t>Forward-Looking Statements</w:t>
      </w:r>
    </w:p>
    <w:p>
      <w:pPr>
        <w:spacing w:after="0" w:line="25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Certain matters discussed in this release are forward-looking statements that involve risks and uncertainties that could cause actual results or outcomes to differ materially from results or outcomes anticipated in the forward-looking statements. Risks and uncertainties impacting our ability to generate Free Cash Flow include, among other things, our ability to achieve our asset sale objectives and financial performance targets, general economic, market or business conditions and other factors and uncertainties as discussed in PAA's and PAGP’s filings with the Securities and Exchange Commission.</w:t>
      </w:r>
    </w:p>
    <w:p>
      <w:pPr>
        <w:spacing w:after="0" w:line="20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PAA is a publicly traded master limited partnership that owns and operates midstream energy infrastructure and provides logistics services for crude oil, natural gas liquids (“NGL”) and natural gas. PAA owns an extensive network of pipeline transportation, terminalling, storage and gathering assets in key crude oil and NGL producing basins and transportation corridors and at major market hubs in the United States and Canada. On average, PAA handles more than 6 million barrels per day of crude oil and NGL in its Transportation segment. PAA is headquartered in Houston, Texas. More information is available at www.plainsallamerican.com.</w:t>
      </w:r>
    </w:p>
    <w:p>
      <w:pPr>
        <w:spacing w:after="0" w:line="21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PAGP is a publicly traded entity that owns an indirect, non-economic controlling general partner interest in PAA and an indirect limited partner interest in PAA, one of the largest energy infrastructure and logistics companies in North America. PAGP is headquartered in Houston, Texas. More information is available at www.plainsallamerican.com.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Contacts</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Roy Lamoreaux</w:t>
      </w:r>
    </w:p>
    <w:p>
      <w:pPr>
        <w:spacing w:after="0" w:line="28" w:lineRule="exact"/>
        <w:rPr>
          <w:sz w:val="20"/>
          <w:szCs w:val="20"/>
          <w:color w:val="auto"/>
        </w:rPr>
      </w:pPr>
    </w:p>
    <w:p>
      <w:pPr>
        <w:ind w:right="4340"/>
        <w:spacing w:after="0" w:line="248" w:lineRule="auto"/>
        <w:rPr>
          <w:sz w:val="20"/>
          <w:szCs w:val="20"/>
          <w:color w:val="auto"/>
        </w:rPr>
      </w:pPr>
      <w:r>
        <w:rPr>
          <w:rFonts w:ascii="Times New Roman" w:cs="Times New Roman" w:eastAsia="Times New Roman" w:hAnsi="Times New Roman"/>
          <w:sz w:val="22"/>
          <w:szCs w:val="22"/>
          <w:color w:val="auto"/>
        </w:rPr>
        <w:t>Vice President, Investor Relations, Communications and Government Relations (866) 809-1291</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Brett Magill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Director, Investor Relations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(866) 809-1291</w:t>
      </w:r>
    </w:p>
    <w:sectPr>
      <w:pgSz w:w="11900" w:h="16838" w:orient="portrait"/>
      <w:cols w:equalWidth="0" w:num="1">
        <w:col w:w="11240"/>
      </w:cols>
      <w:pgMar w:left="320" w:top="10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decimal"/>
      <w:start w:val="104"/>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1)"/>
      <w:numFmt w:val="decimal"/>
      <w:start w:val="1"/>
    </w:lvl>
    <w:lvl w:ilvl="1">
      <w:lvlJc w:val="left"/>
      <w:lvlText w:val="-"/>
      <w:numFmt w:val="bullet"/>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
      <w:numFmt w:val="bullet"/>
      <w:start w:val="1"/>
    </w:lvl>
    <w:lvl w:ilvl="1">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lvl w:ilvl="1">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1)"/>
      <w:numFmt w:val="decimal"/>
      <w:start w:val="1"/>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1)"/>
      <w:numFmt w:val="decimal"/>
      <w:start w:val="1"/>
    </w:lvl>
    <w:lvl w:ilvl="1">
      <w:lvlJc w:val="left"/>
      <w:lvlText w:val="-"/>
      <w:numFmt w:val="bullet"/>
      <w:start w:val="1"/>
    </w:lvl>
  </w:abstractNum>
  <w:abstractNum w:abstractNumId="13">
    <w:nsid w:val="628C895D"/>
    <w:multiLevelType w:val="hybridMultilevel"/>
    <w:lvl w:ilvl="0">
      <w:lvlJc w:val="left"/>
      <w:lvlText w:val="(%1)"/>
      <w:numFmt w:val="decimal"/>
      <w:start w:val="1"/>
    </w:lvl>
    <w:lvl w:ilvl="1">
      <w:lvlJc w:val="left"/>
      <w:lvlText w:val="-"/>
      <w:numFmt w:val="bullet"/>
      <w:start w:val="1"/>
    </w:lvl>
  </w:abstractNum>
  <w:abstractNum w:abstractNumId="14">
    <w:nsid w:val="333AB105"/>
    <w:multiLevelType w:val="hybridMultilevel"/>
    <w:lvl w:ilvl="0">
      <w:lvlJc w:val="left"/>
      <w:lvlText w:val="(%1)"/>
      <w:numFmt w:val="decimal"/>
      <w:start w:val="1"/>
    </w:lvl>
  </w:abstractNum>
  <w:abstractNum w:abstractNumId="15">
    <w:nsid w:val="721DA317"/>
    <w:multiLevelType w:val="hybridMultilevel"/>
    <w:lvl w:ilvl="0">
      <w:lvlJc w:val="left"/>
      <w:lvlText w:val="(%1)"/>
      <w:numFmt w:val="decimal"/>
      <w:start w:val="1"/>
    </w:lvl>
    <w:lvl w:ilvl="1">
      <w:lvlJc w:val="left"/>
      <w:lvlText w:val="-"/>
      <w:numFmt w:val="bullet"/>
      <w:start w:val="1"/>
    </w:lvl>
  </w:abstractNum>
  <w:abstractNum w:abstractNumId="16">
    <w:nsid w:val="2443A858"/>
    <w:multiLevelType w:val="hybridMultilevel"/>
    <w:lvl w:ilvl="0">
      <w:lvlJc w:val="left"/>
      <w:lvlText w:val="(%1)"/>
      <w:numFmt w:val="decimal"/>
      <w:start w:val="1"/>
    </w:lvl>
    <w:lvl w:ilvl="1">
      <w:lvlJc w:val="left"/>
      <w:lvlText w:val="-"/>
      <w:numFmt w:val="bullet"/>
      <w:start w:val="1"/>
    </w:lvl>
  </w:abstractNum>
  <w:abstractNum w:abstractNumId="17">
    <w:nsid w:val="2D1D5AE9"/>
    <w:multiLevelType w:val="hybridMultilevel"/>
    <w:lvl w:ilvl="0">
      <w:lvlJc w:val="left"/>
      <w:lvlText w:val="(%1)"/>
      <w:numFmt w:val="decimal"/>
      <w:start w:val="1"/>
    </w:lvl>
    <w:lvl w:ilvl="1">
      <w:lvlJc w:val="left"/>
      <w:lvlText w:val="-"/>
      <w:numFmt w:val="bullet"/>
      <w:start w:val="1"/>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1)"/>
      <w:numFmt w:val="decimal"/>
      <w:start w:val="1"/>
    </w:lvl>
    <w:lvl w:ilvl="1">
      <w:lvlJc w:val="left"/>
      <w:lvlText w:val="-"/>
      <w:numFmt w:val="bullet"/>
      <w:start w:val="1"/>
    </w:lvl>
  </w:abstractNum>
  <w:abstractNum w:abstractNumId="20">
    <w:nsid w:val="8EDBDAB"/>
    <w:multiLevelType w:val="hybridMultilevel"/>
    <w:lvl w:ilvl="0">
      <w:lvlJc w:val="left"/>
      <w:lvlText w:val="(%1)"/>
      <w:numFmt w:val="decimal"/>
      <w:start w:val="3"/>
    </w:lvl>
  </w:abstractNum>
  <w:abstractNum w:abstractNumId="21">
    <w:nsid w:val="79838CB2"/>
    <w:multiLevelType w:val="hybridMultilevel"/>
    <w:lvl w:ilvl="0">
      <w:lvlJc w:val="left"/>
      <w:lvlText w:val="(%1)"/>
      <w:numFmt w:val="decimal"/>
      <w:start w:val="3"/>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1)"/>
      <w:numFmt w:val="decimal"/>
      <w:start w:val="1"/>
    </w:lvl>
  </w:abstractNum>
  <w:abstractNum w:abstractNumId="24">
    <w:nsid w:val="189A769B"/>
    <w:multiLevelType w:val="hybridMultilevel"/>
    <w:lvl w:ilvl="0">
      <w:lvlJc w:val="left"/>
      <w:lvlText w:val="(%1)"/>
      <w:numFmt w:val="decimal"/>
      <w:start w:val="1"/>
    </w:lvl>
    <w:lvl w:ilvl="1">
      <w:lvlJc w:val="left"/>
      <w:lvlText w:val="-"/>
      <w:numFmt w:val="bullet"/>
      <w:start w:val="1"/>
    </w:lvl>
  </w:abstractNum>
  <w:abstractNum w:abstractNumId="25">
    <w:nsid w:val="54E49EB4"/>
    <w:multiLevelType w:val="hybridMultilevel"/>
    <w:lvl w:ilvl="0">
      <w:lvlJc w:val="left"/>
      <w:lvlText w:val="(%1)"/>
      <w:numFmt w:val="decimal"/>
      <w:start w:val="1"/>
    </w:lvl>
    <w:lvl w:ilvl="1">
      <w:lvlJc w:val="left"/>
      <w:lvlText w:val="-"/>
      <w:numFmt w:val="bullet"/>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2020-11-02T15:33:46Z</dcterms:created>
  <dcterms:modified xsi:type="dcterms:W3CDTF">2020-11-02T15:33:46Z</dcterms:modified>
</cp:coreProperties>
</file>