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19, 2021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3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83"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783" w:right="33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of 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left="1260" w:right="20" w:hanging="1241"/>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On August 19, 2021, the board of directors (the “Board”) of PAA GP Holdings LLC (“GP Holdings”), the general partner of Plains GP Holdings, L.P. (“PAGP”), approved grants of phantom units to certain of those individuals who were identified as Named Executive Officers in PAGP’s 2021 proxy statement. These phantom unit grants were consistent with the annual LTIP targets disclosed in the 2021 proxy statement. The annual LTIP target values and resulting LTIP grants approved by the Board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Annual LTIP Award Target Value</w:t>
            </w:r>
          </w:p>
        </w:tc>
        <w:tc>
          <w:tcPr>
            <w:tcW w:w="1540" w:type="dxa"/>
            <w:vAlign w:val="bottom"/>
            <w:gridSpan w:val="3"/>
          </w:tcPr>
          <w:p>
            <w:pPr>
              <w:spacing w:after="0"/>
              <w:rPr>
                <w:sz w:val="20"/>
                <w:szCs w:val="20"/>
                <w:color w:val="auto"/>
              </w:rPr>
            </w:pPr>
            <w:r>
              <w:rPr>
                <w:rFonts w:ascii="Arial" w:cs="Arial" w:eastAsia="Arial" w:hAnsi="Arial"/>
                <w:sz w:val="18"/>
                <w:szCs w:val="18"/>
                <w:color w:val="auto"/>
              </w:rPr>
              <w:t>2021 Annual LTIP</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No. of Phantom</w:t>
            </w:r>
          </w:p>
        </w:tc>
      </w:tr>
      <w:tr>
        <w:trPr>
          <w:trHeight w:val="267"/>
        </w:trPr>
        <w:tc>
          <w:tcPr>
            <w:tcW w:w="5560" w:type="dxa"/>
            <w:vAlign w:val="bottom"/>
            <w:tcBorders>
              <w:bottom w:val="single" w:sz="8" w:color="auto"/>
            </w:tcBorders>
          </w:tcPr>
          <w:p>
            <w:pPr>
              <w:ind w:left="2140"/>
              <w:spacing w:after="0" w:line="267" w:lineRule="exact"/>
              <w:rPr>
                <w:sz w:val="20"/>
                <w:szCs w:val="20"/>
                <w:color w:val="auto"/>
              </w:rPr>
            </w:pPr>
            <w:r>
              <w:rPr>
                <w:rFonts w:ascii="Arial" w:cs="Arial" w:eastAsia="Arial" w:hAnsi="Arial"/>
                <w:sz w:val="18"/>
                <w:szCs w:val="18"/>
                <w:color w:val="auto"/>
              </w:rPr>
              <w:t>Name and Title</w:t>
            </w:r>
            <w:r>
              <w:rPr>
                <w:rFonts w:ascii="Arial" w:cs="Arial" w:eastAsia="Arial" w:hAnsi="Arial"/>
                <w:sz w:val="29"/>
                <w:szCs w:val="29"/>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(as a percentage of base salary)</w:t>
            </w:r>
          </w:p>
        </w:tc>
        <w:tc>
          <w:tcPr>
            <w:tcW w:w="2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Award Value</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line="267" w:lineRule="exact"/>
              <w:rPr>
                <w:sz w:val="20"/>
                <w:szCs w:val="20"/>
                <w:color w:val="auto"/>
              </w:rPr>
            </w:pPr>
            <w:r>
              <w:rPr>
                <w:rFonts w:ascii="Arial" w:cs="Arial" w:eastAsia="Arial" w:hAnsi="Arial"/>
                <w:sz w:val="18"/>
                <w:szCs w:val="18"/>
                <w:color w:val="auto"/>
                <w:w w:val="89"/>
              </w:rPr>
              <w:t>Units Granted</w:t>
            </w:r>
            <w:r>
              <w:rPr>
                <w:rFonts w:ascii="Arial" w:cs="Arial" w:eastAsia="Arial" w:hAnsi="Arial"/>
                <w:sz w:val="29"/>
                <w:szCs w:val="29"/>
                <w:color w:val="auto"/>
                <w:w w:val="89"/>
                <w:vertAlign w:val="superscript"/>
              </w:rPr>
              <w:t>(2)</w:t>
            </w:r>
          </w:p>
        </w:tc>
        <w:tc>
          <w:tcPr>
            <w:tcW w:w="100" w:type="dxa"/>
            <w:vAlign w:val="bottom"/>
            <w:tcBorders>
              <w:bottom w:val="single" w:sz="8" w:color="CCEEFF"/>
            </w:tcBorders>
          </w:tcPr>
          <w:p>
            <w:pPr>
              <w:spacing w:after="0"/>
              <w:rPr>
                <w:sz w:val="23"/>
                <w:szCs w:val="23"/>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Willie Chiang, Chief Executive Officer</w:t>
            </w: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7"/>
              </w:rPr>
              <w:t>3,000,000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1,200,000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120,200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Richard McGee, Executive Vice President, General Counsel and Secretary</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1,200,000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120,200</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Chris Chandler, Executive Vice President and Chief Operating Officer</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1,200,000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120,200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Jeremy Goebel, Executive Vice President and Chief Commercial Officer</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1,200,000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120,200</w:t>
            </w:r>
          </w:p>
        </w:tc>
      </w:tr>
    </w:tbl>
    <w:p>
      <w:pPr>
        <w:spacing w:after="0" w:line="12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Annual LTIP grants were not awarded to Harry Pefanis, President, as he requested to not participate in the 2021 long-term incentive program.</w:t>
      </w:r>
    </w:p>
    <w:p>
      <w:pPr>
        <w:spacing w:after="0" w:line="55" w:lineRule="exact"/>
        <w:rPr>
          <w:rFonts w:ascii="Arial" w:cs="Arial" w:eastAsia="Arial" w:hAnsi="Arial"/>
          <w:sz w:val="27"/>
          <w:szCs w:val="27"/>
          <w:color w:val="auto"/>
          <w:vertAlign w:val="superscript"/>
        </w:rPr>
      </w:pPr>
    </w:p>
    <w:p>
      <w:pPr>
        <w:ind w:left="660" w:hanging="328"/>
        <w:spacing w:after="0" w:line="194" w:lineRule="auto"/>
        <w:tabs>
          <w:tab w:leader="none" w:pos="660" w:val="left"/>
        </w:tabs>
        <w:numPr>
          <w:ilvl w:val="0"/>
          <w:numId w:val="2"/>
        </w:numPr>
        <w:rPr>
          <w:rFonts w:ascii="Arial" w:cs="Arial" w:eastAsia="Arial" w:hAnsi="Arial"/>
          <w:sz w:val="23"/>
          <w:szCs w:val="23"/>
          <w:color w:val="auto"/>
          <w:vertAlign w:val="superscript"/>
        </w:rPr>
      </w:pPr>
      <w:r>
        <w:rPr>
          <w:rFonts w:ascii="Arial" w:cs="Arial" w:eastAsia="Arial" w:hAnsi="Arial"/>
          <w:sz w:val="15"/>
          <w:szCs w:val="15"/>
          <w:color w:val="auto"/>
        </w:rPr>
        <w:t>Based on a volume weighted average price per unit for a 10-day period preceding the date of grant of $9.98.</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phantom units will vest (become payable 1-for-1 in common units of Plains All American Pipeline, L.P. (“PAA”)) as follows:</w:t>
      </w:r>
    </w:p>
    <w:p>
      <w:pPr>
        <w:spacing w:after="0" w:line="225" w:lineRule="exact"/>
        <w:rPr>
          <w:sz w:val="20"/>
          <w:szCs w:val="20"/>
          <w:color w:val="auto"/>
        </w:rPr>
      </w:pPr>
    </w:p>
    <w:p>
      <w:pPr>
        <w:ind w:left="820" w:right="54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Tranche 1, consisting of 50% of the number of phantom units granted, will vest on the August 2024 distribution date assuming continued service through such date;</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Tranche 2, consisting of 25% of the number of phantom units granted (assuming 100% payout at target), will potentially vest on the August</w:t>
      </w:r>
    </w:p>
    <w:p>
      <w:pPr>
        <w:spacing w:after="0" w:line="34" w:lineRule="exact"/>
        <w:rPr>
          <w:rFonts w:ascii="Arial" w:cs="Arial" w:eastAsia="Arial" w:hAnsi="Arial"/>
          <w:sz w:val="17"/>
          <w:szCs w:val="17"/>
          <w:color w:val="auto"/>
        </w:rPr>
      </w:pPr>
    </w:p>
    <w:p>
      <w:pPr>
        <w:ind w:left="820"/>
        <w:spacing w:after="0" w:line="323" w:lineRule="auto"/>
        <w:rPr>
          <w:rFonts w:ascii="Arial" w:cs="Arial" w:eastAsia="Arial" w:hAnsi="Arial"/>
          <w:sz w:val="17"/>
          <w:szCs w:val="17"/>
          <w:color w:val="auto"/>
        </w:rPr>
      </w:pPr>
      <w:r>
        <w:rPr>
          <w:rFonts w:ascii="Arial" w:cs="Arial" w:eastAsia="Arial" w:hAnsi="Arial"/>
          <w:sz w:val="16"/>
          <w:szCs w:val="16"/>
          <w:color w:val="auto"/>
        </w:rPr>
        <w:t>2024 distribution date at a scaled payout range of between 0% to 200% based on PAA’s total shareholder return (TSR) over the three-year period ending June 30, 2024 compared to the TSR of a selected peer group (payout may be reduced if PAA’s absolute TSR is negative); and</w:t>
      </w:r>
    </w:p>
    <w:p>
      <w:pPr>
        <w:spacing w:after="0" w:line="138" w:lineRule="exact"/>
        <w:rPr>
          <w:rFonts w:ascii="Arial" w:cs="Arial" w:eastAsia="Arial" w:hAnsi="Arial"/>
          <w:sz w:val="17"/>
          <w:szCs w:val="17"/>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Tranche 3, consisting of 25% of the number of phantom units granted (assuming 100% payout at target), will potentially vest on the August</w:t>
      </w:r>
    </w:p>
    <w:p>
      <w:pPr>
        <w:spacing w:after="0" w:line="34" w:lineRule="exact"/>
        <w:rPr>
          <w:rFonts w:ascii="Arial" w:cs="Arial" w:eastAsia="Arial" w:hAnsi="Arial"/>
          <w:sz w:val="17"/>
          <w:szCs w:val="17"/>
          <w:color w:val="auto"/>
        </w:rPr>
      </w:pPr>
    </w:p>
    <w:p>
      <w:pPr>
        <w:ind w:left="820"/>
        <w:spacing w:after="0" w:line="253" w:lineRule="auto"/>
        <w:rPr>
          <w:rFonts w:ascii="Arial" w:cs="Arial" w:eastAsia="Arial" w:hAnsi="Arial"/>
          <w:sz w:val="17"/>
          <w:szCs w:val="17"/>
          <w:color w:val="auto"/>
        </w:rPr>
      </w:pPr>
      <w:r>
        <w:rPr>
          <w:rFonts w:ascii="Arial" w:cs="Arial" w:eastAsia="Arial" w:hAnsi="Arial"/>
          <w:sz w:val="18"/>
          <w:szCs w:val="18"/>
          <w:color w:val="auto"/>
        </w:rPr>
        <w:t>2024 distribution date at a scaled payout range of between 0% to 200%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191" w:lineRule="exact"/>
        <w:rPr>
          <w:sz w:val="20"/>
          <w:szCs w:val="20"/>
          <w:color w:val="auto"/>
        </w:rPr>
      </w:pPr>
    </w:p>
    <w:p>
      <w:pPr>
        <w:jc w:val="both"/>
        <w:ind w:right="20" w:firstLine="363"/>
        <w:spacing w:after="0" w:line="257" w:lineRule="auto"/>
        <w:rPr>
          <w:sz w:val="20"/>
          <w:szCs w:val="20"/>
          <w:color w:val="auto"/>
        </w:rPr>
      </w:pPr>
      <w:r>
        <w:rPr>
          <w:rFonts w:ascii="Arial" w:cs="Arial" w:eastAsia="Arial" w:hAnsi="Arial"/>
          <w:sz w:val="18"/>
          <w:szCs w:val="18"/>
          <w:color w:val="auto"/>
        </w:rPr>
        <w:t>The phantom units include tandem distribution equivalent rights (“DERs”) that vest as follows: (a) DERs associated with Tranche 1 will accrue for the first year and such accrued amount will be paid in cash in a lump sum on the August 2022 distribution date; beginning in November 2022, DERs associated with Tranche 1 will be paid quarterly until the related phantom units vest; and (b) DERs associated with Tranches 2 and 3 will accrue during the three-year vesting period and will be paid in cash in a lump sum on the August 2024 distribution date with respect to the number of phantom units, if any, that vest on such date.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25, 2021</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60"/>
      </w:cols>
      <w:pgMar w:left="32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2021-08-25T16:13:18Z</dcterms:created>
  <dcterms:modified xsi:type="dcterms:W3CDTF">2021-08-25T16:13:18Z</dcterms:modified>
</cp:coreProperties>
</file>