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4"/>
          <w:szCs w:val="24"/>
          <w:color w:val="auto"/>
        </w:rPr>
      </w:pPr>
    </w:p>
    <w:p>
      <w:pPr>
        <w:spacing w:after="0" w:line="26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b w:val="1"/>
          <w:bCs w:val="1"/>
          <w:color w:val="auto"/>
        </w:rPr>
        <w:t> Filed pursuant to Rule 424(b)(5)</w:t>
      </w:r>
    </w:p>
    <w:p>
      <w:pPr>
        <w:spacing w:after="0" w:line="27" w:lineRule="exact"/>
        <w:rPr>
          <w:sz w:val="24"/>
          <w:szCs w:val="24"/>
          <w:color w:val="auto"/>
        </w:rPr>
      </w:pPr>
    </w:p>
    <w:p>
      <w:pPr>
        <w:ind w:left="6920"/>
        <w:spacing w:after="0"/>
        <w:rPr>
          <w:sz w:val="20"/>
          <w:szCs w:val="20"/>
          <w:color w:val="auto"/>
        </w:rPr>
      </w:pPr>
      <w:r>
        <w:rPr>
          <w:rFonts w:ascii="Times New Roman" w:cs="Times New Roman" w:eastAsia="Times New Roman" w:hAnsi="Times New Roman"/>
          <w:sz w:val="17"/>
          <w:szCs w:val="17"/>
          <w:b w:val="1"/>
          <w:bCs w:val="1"/>
          <w:color w:val="auto"/>
        </w:rPr>
        <w:t> Registration No. 333-259387​</w:t>
      </w:r>
    </w:p>
    <w:p>
      <w:pPr>
        <w:spacing w:after="0" w:line="12"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3"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(To prospectus dated September 8, 2021)</w:t>
      </w:r>
    </w:p>
    <w:p>
      <w:pPr>
        <w:spacing w:after="0" w:line="5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4"/>
          <w:szCs w:val="24"/>
          <w:b w:val="1"/>
          <w:bCs w:val="1"/>
          <w:color w:val="auto"/>
        </w:rPr>
        <w:t>$650,000,000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0"/>
          <w:szCs w:val="30"/>
          <w:b w:val="1"/>
          <w:bCs w:val="1"/>
          <w:color w:val="auto"/>
        </w:rPr>
        <w:t>Plains All American Pipeline, L.P.</w:t>
      </w:r>
    </w:p>
    <w:p>
      <w:pPr>
        <w:spacing w:after="0" w:line="1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30"/>
          <w:szCs w:val="30"/>
          <w:b w:val="1"/>
          <w:bCs w:val="1"/>
          <w:color w:val="auto"/>
        </w:rPr>
        <w:t>PAA Finance Corp.</w:t>
      </w:r>
    </w:p>
    <w:p>
      <w:pPr>
        <w:spacing w:after="0" w:line="3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4"/>
          <w:szCs w:val="24"/>
          <w:b w:val="1"/>
          <w:bCs w:val="1"/>
          <w:color w:val="auto"/>
        </w:rPr>
        <w:t>        5.700% Senior Notes due 2034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97790</wp:posOffset>
            </wp:positionV>
            <wp:extent cx="1155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218" w:lineRule="exact"/>
        <w:rPr>
          <w:sz w:val="24"/>
          <w:szCs w:val="24"/>
          <w:color w:val="auto"/>
        </w:rPr>
      </w:pPr>
    </w:p>
    <w:p>
      <w:pPr>
        <w:ind w:left="1180" w:right="1319" w:firstLine="337"/>
        <w:spacing w:after="0" w:line="244" w:lineRule="auto"/>
        <w:rPr>
          <w:sz w:val="20"/>
          <w:szCs w:val="20"/>
          <w:color w:val="auto"/>
        </w:rPr>
      </w:pPr>
      <w:r>
        <w:rPr>
          <w:rFonts w:ascii="Times New Roman" w:cs="Times New Roman" w:eastAsia="Times New Roman" w:hAnsi="Times New Roman"/>
          <w:sz w:val="17"/>
          <w:szCs w:val="17"/>
          <w:color w:val="auto"/>
        </w:rPr>
        <w:t>Plains All American Pipeline, L.P. and PAA Finance Corp. are offering $650 million aggregate principal amount of 5.700% Senior Notes due 2034 (the “Notes”).</w:t>
      </w:r>
    </w:p>
    <w:p>
      <w:pPr>
        <w:spacing w:after="0" w:line="7" w:lineRule="exact"/>
        <w:rPr>
          <w:sz w:val="24"/>
          <w:szCs w:val="24"/>
          <w:color w:val="auto"/>
        </w:rPr>
      </w:pPr>
    </w:p>
    <w:p>
      <w:pPr>
        <w:ind w:left="1180" w:right="719" w:firstLine="337"/>
        <w:spacing w:after="0" w:line="234" w:lineRule="auto"/>
        <w:rPr>
          <w:sz w:val="20"/>
          <w:szCs w:val="20"/>
          <w:color w:val="auto"/>
        </w:rPr>
      </w:pPr>
      <w:r>
        <w:rPr>
          <w:rFonts w:ascii="Times New Roman" w:cs="Times New Roman" w:eastAsia="Times New Roman" w:hAnsi="Times New Roman"/>
          <w:sz w:val="17"/>
          <w:szCs w:val="17"/>
          <w:color w:val="auto"/>
        </w:rPr>
        <w:t>We will pay interest on the Notes semi-annually in arrears on March 15 and September 15 of each year, beginning on March 15, 2025. The Notes will mature on September 15, 2034, unless redeemed prior to the maturity date.</w:t>
      </w:r>
    </w:p>
    <w:p>
      <w:pPr>
        <w:spacing w:after="0" w:line="9" w:lineRule="exact"/>
        <w:rPr>
          <w:sz w:val="24"/>
          <w:szCs w:val="24"/>
          <w:color w:val="auto"/>
        </w:rPr>
      </w:pPr>
    </w:p>
    <w:p>
      <w:pPr>
        <w:ind w:left="1180" w:right="1059" w:firstLine="337"/>
        <w:spacing w:after="0" w:line="234" w:lineRule="auto"/>
        <w:rPr>
          <w:sz w:val="20"/>
          <w:szCs w:val="20"/>
          <w:color w:val="auto"/>
        </w:rPr>
      </w:pPr>
      <w:r>
        <w:rPr>
          <w:rFonts w:ascii="Times New Roman" w:cs="Times New Roman" w:eastAsia="Times New Roman" w:hAnsi="Times New Roman"/>
          <w:sz w:val="17"/>
          <w:szCs w:val="17"/>
          <w:color w:val="auto"/>
        </w:rPr>
        <w:t>We may, at our option, redeem the Notes at any time in whole or from time to time in part, prior to maturity, at the redemption prices as described herein under “Description of Notes — Optional Redemption.”</w:t>
      </w:r>
    </w:p>
    <w:p>
      <w:pPr>
        <w:spacing w:after="0" w:line="9" w:lineRule="exact"/>
        <w:rPr>
          <w:sz w:val="24"/>
          <w:szCs w:val="24"/>
          <w:color w:val="auto"/>
        </w:rPr>
      </w:pPr>
    </w:p>
    <w:p>
      <w:pPr>
        <w:ind w:left="1180" w:right="919" w:firstLine="337"/>
        <w:spacing w:after="0" w:line="234" w:lineRule="auto"/>
        <w:rPr>
          <w:sz w:val="20"/>
          <w:szCs w:val="20"/>
          <w:color w:val="auto"/>
        </w:rPr>
      </w:pPr>
      <w:r>
        <w:rPr>
          <w:rFonts w:ascii="Times New Roman" w:cs="Times New Roman" w:eastAsia="Times New Roman" w:hAnsi="Times New Roman"/>
          <w:sz w:val="17"/>
          <w:szCs w:val="17"/>
          <w:color w:val="auto"/>
        </w:rPr>
        <w:t>The Notes will be the unsecured senior obligations of Plains All American Pipeline, L.P. and PAA Finance Corp. and will rank equally in right of payment with their other senior indebtedness from time to time outstanding.</w:t>
      </w:r>
    </w:p>
    <w:p>
      <w:pPr>
        <w:spacing w:after="0" w:line="9" w:lineRule="exact"/>
        <w:rPr>
          <w:sz w:val="24"/>
          <w:szCs w:val="24"/>
          <w:color w:val="auto"/>
        </w:rPr>
      </w:pPr>
    </w:p>
    <w:p>
      <w:pPr>
        <w:ind w:left="1180" w:right="799" w:firstLine="337"/>
        <w:spacing w:after="0" w:line="234" w:lineRule="auto"/>
        <w:rPr>
          <w:sz w:val="20"/>
          <w:szCs w:val="20"/>
          <w:color w:val="auto"/>
        </w:rPr>
      </w:pPr>
      <w:r>
        <w:rPr>
          <w:rFonts w:ascii="Times New Roman" w:cs="Times New Roman" w:eastAsia="Times New Roman" w:hAnsi="Times New Roman"/>
          <w:sz w:val="17"/>
          <w:szCs w:val="17"/>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48260</wp:posOffset>
            </wp:positionV>
            <wp:extent cx="1155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137" w:lineRule="exact"/>
        <w:rPr>
          <w:sz w:val="24"/>
          <w:szCs w:val="24"/>
          <w:color w:val="auto"/>
        </w:rPr>
      </w:pPr>
    </w:p>
    <w:p>
      <w:pPr>
        <w:ind w:left="1180" w:right="1399" w:firstLine="337"/>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Investing in the Notes involves risks. See “Risk Factors” beginning on page </w:t>
      </w:r>
      <w:r>
        <w:rPr>
          <w:rFonts w:ascii="Times New Roman" w:cs="Times New Roman" w:eastAsia="Times New Roman" w:hAnsi="Times New Roman"/>
          <w:sz w:val="17"/>
          <w:szCs w:val="17"/>
          <w:b w:val="1"/>
          <w:bCs w:val="1"/>
          <w:u w:val="single" w:color="auto"/>
          <w:color w:val="0000EE"/>
        </w:rPr>
        <w:t>S-4</w:t>
      </w:r>
      <w:r>
        <w:rPr>
          <w:rFonts w:ascii="Times New Roman" w:cs="Times New Roman" w:eastAsia="Times New Roman" w:hAnsi="Times New Roman"/>
          <w:sz w:val="17"/>
          <w:szCs w:val="17"/>
          <w:b w:val="1"/>
          <w:bCs w:val="1"/>
          <w:color w:val="auto"/>
        </w:rPr>
        <w:t xml:space="preserve"> of this prospectus supplement.</w:t>
      </w:r>
    </w:p>
    <w:p>
      <w:pPr>
        <w:spacing w:after="0" w:line="3" w:lineRule="exact"/>
        <w:rPr>
          <w:sz w:val="24"/>
          <w:szCs w:val="24"/>
          <w:color w:val="auto"/>
        </w:rPr>
      </w:pPr>
    </w:p>
    <w:p>
      <w:pPr>
        <w:ind w:left="1180" w:right="1119" w:firstLine="337"/>
        <w:spacing w:after="0" w:line="229" w:lineRule="auto"/>
        <w:rPr>
          <w:sz w:val="20"/>
          <w:szCs w:val="20"/>
          <w:color w:val="auto"/>
        </w:rPr>
      </w:pPr>
      <w:r>
        <w:rPr>
          <w:rFonts w:ascii="Times New Roman" w:cs="Times New Roman" w:eastAsia="Times New Roman" w:hAnsi="Times New Roman"/>
          <w:sz w:val="17"/>
          <w:szCs w:val="17"/>
          <w:color w:val="auto"/>
        </w:rPr>
        <w:t>Neither the U.S.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22" w:lineRule="exact"/>
        <w:rPr>
          <w:sz w:val="24"/>
          <w:szCs w:val="24"/>
          <w:color w:val="auto"/>
        </w:rPr>
      </w:pPr>
    </w:p>
    <w:tbl>
      <w:tblPr>
        <w:tblLayout w:type="fixed"/>
        <w:tblInd w:w="1180" w:type="dxa"/>
        <w:tblCellMar>
          <w:top w:w="0" w:type="dxa"/>
          <w:left w:w="0" w:type="dxa"/>
          <w:bottom w:w="0" w:type="dxa"/>
          <w:right w:w="0" w:type="dxa"/>
        </w:tblCellMar>
      </w:tblPr>
      <w:tr>
        <w:trPr>
          <w:trHeight w:val="190"/>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000" w:type="dxa"/>
            <w:vAlign w:val="bottom"/>
            <w:gridSpan w:val="3"/>
          </w:tcPr>
          <w:p>
            <w:pPr>
              <w:jc w:val="center"/>
              <w:ind w:left="6"/>
              <w:spacing w:after="0" w:line="143" w:lineRule="exact"/>
              <w:rPr>
                <w:sz w:val="20"/>
                <w:szCs w:val="20"/>
                <w:color w:val="auto"/>
              </w:rPr>
            </w:pPr>
            <w:r>
              <w:rPr>
                <w:rFonts w:ascii="Times New Roman" w:cs="Times New Roman" w:eastAsia="Times New Roman" w:hAnsi="Times New Roman"/>
                <w:sz w:val="13"/>
                <w:szCs w:val="13"/>
                <w:b w:val="1"/>
                <w:bCs w:val="1"/>
                <w:color w:val="auto"/>
                <w:w w:val="97"/>
              </w:rPr>
              <w:t>Public Offering</w:t>
            </w: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right w:val="single" w:sz="8" w:color="auto"/>
            </w:tcBorders>
            <w:gridSpan w:val="3"/>
          </w:tcPr>
          <w:p>
            <w:pPr>
              <w:jc w:val="right"/>
              <w:ind w:right="79"/>
              <w:spacing w:after="0" w:line="143" w:lineRule="exact"/>
              <w:rPr>
                <w:sz w:val="20"/>
                <w:szCs w:val="20"/>
                <w:color w:val="auto"/>
              </w:rPr>
            </w:pPr>
            <w:r>
              <w:rPr>
                <w:rFonts w:ascii="Times New Roman" w:cs="Times New Roman" w:eastAsia="Times New Roman" w:hAnsi="Times New Roman"/>
                <w:sz w:val="13"/>
                <w:szCs w:val="13"/>
                <w:b w:val="1"/>
                <w:bCs w:val="1"/>
                <w:color w:val="auto"/>
              </w:rPr>
              <w:t>Underwriting</w:t>
            </w:r>
          </w:p>
        </w:tc>
        <w:tc>
          <w:tcPr>
            <w:tcW w:w="40" w:type="dxa"/>
            <w:vAlign w:val="bottom"/>
          </w:tcPr>
          <w:p>
            <w:pPr>
              <w:spacing w:after="0"/>
              <w:rPr>
                <w:sz w:val="12"/>
                <w:szCs w:val="12"/>
                <w:color w:val="auto"/>
              </w:rPr>
            </w:pPr>
          </w:p>
        </w:tc>
        <w:tc>
          <w:tcPr>
            <w:tcW w:w="1140" w:type="dxa"/>
            <w:vAlign w:val="bottom"/>
            <w:gridSpan w:val="4"/>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Proceeds, Before</w:t>
            </w:r>
          </w:p>
        </w:tc>
        <w:tc>
          <w:tcPr>
            <w:tcW w:w="0" w:type="dxa"/>
            <w:vAlign w:val="bottom"/>
          </w:tcPr>
          <w:p>
            <w:pPr>
              <w:spacing w:after="0"/>
              <w:rPr>
                <w:sz w:val="1"/>
                <w:szCs w:val="1"/>
                <w:color w:val="auto"/>
              </w:rPr>
            </w:pPr>
          </w:p>
        </w:tc>
      </w:tr>
      <w:tr>
        <w:trPr>
          <w:trHeight w:val="201"/>
        </w:trPr>
        <w:tc>
          <w:tcPr>
            <w:tcW w:w="2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7"/>
                <w:szCs w:val="17"/>
                <w:color w:val="auto"/>
              </w:rPr>
            </w:pPr>
          </w:p>
        </w:tc>
        <w:tc>
          <w:tcPr>
            <w:tcW w:w="76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1"/>
              </w:rPr>
              <w:t>Price</w:t>
            </w:r>
            <w:r>
              <w:rPr>
                <w:rFonts w:ascii="Times New Roman" w:cs="Times New Roman" w:eastAsia="Times New Roman" w:hAnsi="Times New Roman"/>
                <w:sz w:val="16"/>
                <w:szCs w:val="16"/>
                <w:b w:val="1"/>
                <w:bCs w:val="1"/>
                <w:color w:val="auto"/>
                <w:w w:val="91"/>
                <w:vertAlign w:val="superscript"/>
              </w:rPr>
              <w:t>(1)</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7"/>
                <w:szCs w:val="17"/>
                <w:color w:val="auto"/>
              </w:rPr>
            </w:pPr>
          </w:p>
        </w:tc>
        <w:tc>
          <w:tcPr>
            <w:tcW w:w="760" w:type="dxa"/>
            <w:vAlign w:val="bottom"/>
            <w:tcBorders>
              <w:right w:val="single" w:sz="8" w:color="auto"/>
            </w:tcBorders>
          </w:tcPr>
          <w:p>
            <w:pPr>
              <w:jc w:val="right"/>
              <w:spacing w:after="0" w:line="201" w:lineRule="exact"/>
              <w:rPr>
                <w:sz w:val="20"/>
                <w:szCs w:val="20"/>
                <w:color w:val="auto"/>
              </w:rPr>
            </w:pPr>
            <w:r>
              <w:rPr>
                <w:rFonts w:ascii="Times New Roman" w:cs="Times New Roman" w:eastAsia="Times New Roman" w:hAnsi="Times New Roman"/>
                <w:sz w:val="12"/>
                <w:szCs w:val="12"/>
                <w:b w:val="1"/>
                <w:bCs w:val="1"/>
                <w:color w:val="auto"/>
              </w:rPr>
              <w:t xml:space="preserve">Discount   </w:t>
            </w:r>
            <w:r>
              <w:rPr>
                <w:rFonts w:ascii="Times New Roman" w:cs="Times New Roman" w:eastAsia="Times New Roman" w:hAnsi="Times New Roman"/>
                <w:sz w:val="23"/>
                <w:szCs w:val="23"/>
                <w:b w:val="1"/>
                <w:bCs w:val="1"/>
                <w:color w:val="auto"/>
                <w:vertAlign w:val="subscript"/>
              </w:rPr>
              <w:t>​</w:t>
            </w:r>
          </w:p>
        </w:tc>
        <w:tc>
          <w:tcPr>
            <w:tcW w:w="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3"/>
          </w:tcPr>
          <w:p>
            <w:pPr>
              <w:jc w:val="right"/>
              <w:ind w:right="48"/>
              <w:spacing w:after="0" w:line="201" w:lineRule="exact"/>
              <w:rPr>
                <w:sz w:val="20"/>
                <w:szCs w:val="20"/>
                <w:color w:val="auto"/>
              </w:rPr>
            </w:pPr>
            <w:r>
              <w:rPr>
                <w:rFonts w:ascii="Times New Roman" w:cs="Times New Roman" w:eastAsia="Times New Roman" w:hAnsi="Times New Roman"/>
                <w:sz w:val="12"/>
                <w:szCs w:val="12"/>
                <w:b w:val="1"/>
                <w:bCs w:val="1"/>
                <w:color w:val="auto"/>
              </w:rPr>
              <w:t xml:space="preserve">Expenses, to Us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294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9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Per Note</w:t>
            </w:r>
          </w:p>
        </w:tc>
        <w:tc>
          <w:tcPr>
            <w:tcW w:w="1580" w:type="dxa"/>
            <w:vAlign w:val="bottom"/>
            <w:tcBorders>
              <w:right w:val="single" w:sz="8" w:color="auto"/>
            </w:tcBorders>
            <w:vMerge w:val="restart"/>
          </w:tcPr>
          <w:p>
            <w:pPr>
              <w:ind w:left="1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20"/>
              <w:spacing w:after="0" w:line="182"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7"/>
                <w:szCs w:val="17"/>
                <w:color w:val="auto"/>
              </w:rPr>
              <w:t>99.953%</w:t>
            </w:r>
          </w:p>
        </w:tc>
        <w:tc>
          <w:tcPr>
            <w:tcW w:w="4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ind w:left="20"/>
              <w:spacing w:after="0" w:line="182"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0.650%</w:t>
            </w:r>
          </w:p>
        </w:tc>
        <w:tc>
          <w:tcPr>
            <w:tcW w:w="4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7"/>
                <w:szCs w:val="17"/>
                <w:color w:val="auto"/>
              </w:rPr>
              <w:t>99.303%</w:t>
            </w:r>
          </w:p>
        </w:tc>
        <w:tc>
          <w:tcPr>
            <w:tcW w:w="0" w:type="dxa"/>
            <w:vAlign w:val="bottom"/>
          </w:tcPr>
          <w:p>
            <w:pPr>
              <w:spacing w:after="0"/>
              <w:rPr>
                <w:sz w:val="1"/>
                <w:szCs w:val="1"/>
                <w:color w:val="auto"/>
              </w:rPr>
            </w:pPr>
          </w:p>
        </w:tc>
      </w:tr>
      <w:tr>
        <w:trPr>
          <w:trHeight w:val="63"/>
        </w:trPr>
        <w:tc>
          <w:tcPr>
            <w:tcW w:w="294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vMerge w:val="continue"/>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jc w:val="right"/>
              <w:spacing w:after="0" w:line="64" w:lineRule="exact"/>
              <w:rPr>
                <w:sz w:val="20"/>
                <w:szCs w:val="20"/>
                <w:color w:val="auto"/>
              </w:rPr>
            </w:pPr>
            <w:r>
              <w:rPr>
                <w:rFonts w:ascii="Times New Roman" w:cs="Times New Roman" w:eastAsia="Times New Roman" w:hAnsi="Times New Roman"/>
                <w:sz w:val="7"/>
                <w:szCs w:val="7"/>
                <w:color w:val="auto"/>
              </w:rPr>
              <w:t>​​</w:t>
            </w: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jc w:val="right"/>
              <w:spacing w:after="0" w:line="64" w:lineRule="exact"/>
              <w:rPr>
                <w:sz w:val="20"/>
                <w:szCs w:val="20"/>
                <w:color w:val="auto"/>
              </w:rPr>
            </w:pPr>
            <w:r>
              <w:rPr>
                <w:rFonts w:ascii="Times New Roman" w:cs="Times New Roman" w:eastAsia="Times New Roman" w:hAnsi="Times New Roman"/>
                <w:sz w:val="7"/>
                <w:szCs w:val="7"/>
                <w:color w:val="auto"/>
              </w:rPr>
              <w:t>​​</w:t>
            </w: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Pr>
          <w:p>
            <w:pPr>
              <w:spacing w:after="0" w:line="64"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45"/>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gridSpan w:val="4"/>
          </w:tcPr>
          <w:p>
            <w:pPr>
              <w:jc w:val="right"/>
              <w:spacing w:after="0" w:line="245"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$649,694,500</w:t>
            </w:r>
            <w:r>
              <w:rPr>
                <w:rFonts w:ascii="Times New Roman" w:cs="Times New Roman" w:eastAsia="Times New Roman" w:hAnsi="Times New Roman"/>
                <w:sz w:val="28"/>
                <w:szCs w:val="28"/>
                <w:color w:val="auto"/>
                <w:vertAlign w:val="subscript"/>
              </w:rPr>
              <w:t>​​</w:t>
            </w:r>
          </w:p>
        </w:tc>
        <w:tc>
          <w:tcPr>
            <w:tcW w:w="40" w:type="dxa"/>
            <w:vAlign w:val="bottom"/>
          </w:tcPr>
          <w:p>
            <w:pPr>
              <w:spacing w:after="0"/>
              <w:rPr>
                <w:sz w:val="21"/>
                <w:szCs w:val="21"/>
                <w:color w:val="auto"/>
              </w:rPr>
            </w:pPr>
          </w:p>
        </w:tc>
        <w:tc>
          <w:tcPr>
            <w:tcW w:w="940" w:type="dxa"/>
            <w:vAlign w:val="bottom"/>
            <w:tcBorders>
              <w:right w:val="single" w:sz="8" w:color="auto"/>
            </w:tcBorders>
            <w:gridSpan w:val="3"/>
          </w:tcPr>
          <w:p>
            <w:pPr>
              <w:jc w:val="right"/>
              <w:spacing w:after="0" w:line="245"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$ 4,225,000</w:t>
            </w:r>
            <w:r>
              <w:rPr>
                <w:rFonts w:ascii="Times New Roman" w:cs="Times New Roman" w:eastAsia="Times New Roman" w:hAnsi="Times New Roman"/>
                <w:sz w:val="28"/>
                <w:szCs w:val="28"/>
                <w:color w:val="auto"/>
                <w:vertAlign w:val="subscript"/>
              </w:rPr>
              <w:t>​​</w:t>
            </w:r>
          </w:p>
        </w:tc>
        <w:tc>
          <w:tcPr>
            <w:tcW w:w="40" w:type="dxa"/>
            <w:vAlign w:val="bottom"/>
          </w:tcPr>
          <w:p>
            <w:pPr>
              <w:spacing w:after="0"/>
              <w:rPr>
                <w:sz w:val="21"/>
                <w:szCs w:val="21"/>
                <w:color w:val="auto"/>
              </w:rPr>
            </w:pPr>
          </w:p>
        </w:tc>
        <w:tc>
          <w:tcPr>
            <w:tcW w:w="1140" w:type="dxa"/>
            <w:vAlign w:val="bottom"/>
            <w:gridSpan w:val="4"/>
          </w:tcPr>
          <w:p>
            <w:pPr>
              <w:spacing w:after="0" w:line="245"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$645,469,500</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9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751205</wp:posOffset>
            </wp:positionH>
            <wp:positionV relativeFrom="paragraph">
              <wp:posOffset>-368300</wp:posOffset>
            </wp:positionV>
            <wp:extent cx="4878705" cy="168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78705" cy="168275"/>
                    </a:xfrm>
                    <a:prstGeom prst="rect">
                      <a:avLst/>
                    </a:prstGeom>
                    <a:noFill/>
                  </pic:spPr>
                </pic:pic>
              </a:graphicData>
            </a:graphic>
          </wp:anchor>
        </w:drawing>
      </w:r>
    </w:p>
    <w:p>
      <w:pPr>
        <w:spacing w:after="0" w:line="115" w:lineRule="exact"/>
        <w:rPr>
          <w:sz w:val="24"/>
          <w:szCs w:val="24"/>
          <w:color w:val="auto"/>
        </w:rPr>
      </w:pPr>
    </w:p>
    <w:p>
      <w:pPr>
        <w:ind w:left="1180"/>
        <w:spacing w:after="0"/>
        <w:tabs>
          <w:tab w:leader="none" w:pos="1500" w:val="left"/>
        </w:tabs>
        <w:rPr>
          <w:sz w:val="20"/>
          <w:szCs w:val="20"/>
          <w:color w:val="auto"/>
        </w:rPr>
      </w:pPr>
      <w:r>
        <w:rPr>
          <w:rFonts w:ascii="Times New Roman" w:cs="Times New Roman" w:eastAsia="Times New Roman" w:hAnsi="Times New Roman"/>
          <w:sz w:val="17"/>
          <w:szCs w:val="17"/>
          <w:color w:val="auto"/>
        </w:rPr>
        <w:t>(1)</w:t>
        <w:tab/>
        <w:t>Plus accrued interest, if any, from June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102870</wp:posOffset>
            </wp:positionV>
            <wp:extent cx="115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227" w:lineRule="exact"/>
        <w:rPr>
          <w:sz w:val="24"/>
          <w:szCs w:val="24"/>
          <w:color w:val="auto"/>
        </w:rPr>
      </w:pPr>
    </w:p>
    <w:p>
      <w:pPr>
        <w:ind w:left="1180" w:right="979" w:firstLine="337"/>
        <w:spacing w:after="0" w:line="229" w:lineRule="auto"/>
        <w:rPr>
          <w:sz w:val="20"/>
          <w:szCs w:val="20"/>
          <w:color w:val="auto"/>
        </w:rPr>
      </w:pPr>
      <w:r>
        <w:rPr>
          <w:rFonts w:ascii="Times New Roman" w:cs="Times New Roman" w:eastAsia="Times New Roman" w:hAnsi="Times New Roman"/>
          <w:sz w:val="17"/>
          <w:szCs w:val="17"/>
          <w:color w:val="auto"/>
        </w:rPr>
        <w:t xml:space="preserve">The underwriters expect to deliver the Notes in book-entry form only through facilities of The Depository Trust Company for the account of its participants, including Clearstream Banking, </w:t>
      </w:r>
      <w:r>
        <w:rPr>
          <w:rFonts w:ascii="Times New Roman" w:cs="Times New Roman" w:eastAsia="Times New Roman" w:hAnsi="Times New Roman"/>
          <w:sz w:val="17"/>
          <w:szCs w:val="17"/>
          <w:i w:val="1"/>
          <w:iCs w:val="1"/>
          <w:color w:val="auto"/>
        </w:rPr>
        <w:t>société</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anonyme </w:t>
      </w:r>
      <w:r>
        <w:rPr>
          <w:rFonts w:ascii="Times New Roman" w:cs="Times New Roman" w:eastAsia="Times New Roman" w:hAnsi="Times New Roman"/>
          <w:sz w:val="17"/>
          <w:szCs w:val="17"/>
          <w:color w:val="auto"/>
        </w:rPr>
        <w:t>, and Euroclear Bank SA/NV, as operator of the Euroclear System, against payment on or about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66040</wp:posOffset>
            </wp:positionV>
            <wp:extent cx="115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152"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0" w:type="dxa"/>
            <w:vAlign w:val="bottom"/>
            <w:gridSpan w:val="2"/>
          </w:tcPr>
          <w:p>
            <w:pPr>
              <w:jc w:val="center"/>
              <w:ind w:left="707"/>
              <w:spacing w:after="0"/>
              <w:rPr>
                <w:sz w:val="20"/>
                <w:szCs w:val="20"/>
                <w:color w:val="auto"/>
              </w:rPr>
            </w:pPr>
            <w:r>
              <w:rPr>
                <w:rFonts w:ascii="Times New Roman" w:cs="Times New Roman" w:eastAsia="Times New Roman" w:hAnsi="Times New Roman"/>
                <w:sz w:val="17"/>
                <w:szCs w:val="17"/>
                <w:i w:val="1"/>
                <w:iCs w:val="1"/>
                <w:color w:val="auto"/>
              </w:rPr>
              <w:t>Joint Book-Running Managers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Citigroup</w:t>
            </w:r>
          </w:p>
        </w:tc>
        <w:tc>
          <w:tcPr>
            <w:tcW w:w="780" w:type="dxa"/>
            <w:vAlign w:val="bottom"/>
          </w:tcPr>
          <w:p>
            <w:pPr>
              <w:spacing w:after="0"/>
              <w:rPr>
                <w:sz w:val="24"/>
                <w:szCs w:val="2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MUFG</w:t>
            </w:r>
          </w:p>
        </w:tc>
        <w:tc>
          <w:tcPr>
            <w:tcW w:w="2000" w:type="dxa"/>
            <w:vAlign w:val="bottom"/>
            <w:gridSpan w:val="2"/>
          </w:tcPr>
          <w:p>
            <w:pPr>
              <w:jc w:val="center"/>
              <w:ind w:left="243"/>
              <w:spacing w:after="0"/>
              <w:rPr>
                <w:sz w:val="20"/>
                <w:szCs w:val="20"/>
                <w:color w:val="auto"/>
              </w:rPr>
            </w:pPr>
            <w:r>
              <w:rPr>
                <w:rFonts w:ascii="Times New Roman" w:cs="Times New Roman" w:eastAsia="Times New Roman" w:hAnsi="Times New Roman"/>
                <w:sz w:val="20"/>
                <w:szCs w:val="20"/>
                <w:b w:val="1"/>
                <w:bCs w:val="1"/>
                <w:color w:val="auto"/>
                <w:w w:val="99"/>
              </w:rPr>
              <w:t>SMBC Nikko</w:t>
            </w:r>
          </w:p>
        </w:tc>
        <w:tc>
          <w:tcPr>
            <w:tcW w:w="7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Truist Securities</w:t>
            </w: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Barclays</w:t>
            </w: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BMO Capital Markets</w:t>
            </w:r>
          </w:p>
        </w:tc>
        <w:tc>
          <w:tcPr>
            <w:tcW w:w="2000" w:type="dxa"/>
            <w:vAlign w:val="bottom"/>
            <w:gridSpan w:val="2"/>
          </w:tcPr>
          <w:p>
            <w:pPr>
              <w:jc w:val="center"/>
              <w:ind w:left="283"/>
              <w:spacing w:after="0"/>
              <w:rPr>
                <w:sz w:val="20"/>
                <w:szCs w:val="20"/>
                <w:color w:val="auto"/>
              </w:rPr>
            </w:pPr>
            <w:r>
              <w:rPr>
                <w:rFonts w:ascii="Times New Roman" w:cs="Times New Roman" w:eastAsia="Times New Roman" w:hAnsi="Times New Roman"/>
                <w:sz w:val="20"/>
                <w:szCs w:val="20"/>
                <w:b w:val="1"/>
                <w:bCs w:val="1"/>
                <w:color w:val="auto"/>
                <w:w w:val="97"/>
              </w:rPr>
              <w:t>BofA Securities</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CIBC Capital Markets</w:t>
            </w: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ING</w:t>
            </w:r>
          </w:p>
        </w:tc>
        <w:tc>
          <w:tcPr>
            <w:tcW w:w="2100" w:type="dxa"/>
            <w:vAlign w:val="bottom"/>
            <w:gridSpan w:val="2"/>
          </w:tcPr>
          <w:p>
            <w:pPr>
              <w:ind w:left="300"/>
              <w:spacing w:after="0"/>
              <w:rPr>
                <w:sz w:val="20"/>
                <w:szCs w:val="20"/>
                <w:color w:val="auto"/>
              </w:rPr>
            </w:pPr>
            <w:r>
              <w:rPr>
                <w:rFonts w:ascii="Times New Roman" w:cs="Times New Roman" w:eastAsia="Times New Roman" w:hAnsi="Times New Roman"/>
                <w:sz w:val="20"/>
                <w:szCs w:val="20"/>
                <w:b w:val="1"/>
                <w:bCs w:val="1"/>
                <w:color w:val="auto"/>
              </w:rPr>
              <w:t>J.P. Morgan</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Mizuho</w:t>
            </w:r>
          </w:p>
        </w:tc>
        <w:tc>
          <w:tcPr>
            <w:tcW w:w="32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PNC Capital Markets LLC</w:t>
            </w:r>
          </w:p>
        </w:tc>
        <w:tc>
          <w:tcPr>
            <w:tcW w:w="0" w:type="dxa"/>
            <w:vAlign w:val="bottom"/>
          </w:tcPr>
          <w:p>
            <w:pPr>
              <w:spacing w:after="0"/>
              <w:rPr>
                <w:sz w:val="1"/>
                <w:szCs w:val="1"/>
                <w:color w:val="auto"/>
              </w:rPr>
            </w:pPr>
          </w:p>
        </w:tc>
      </w:tr>
      <w:tr>
        <w:trPr>
          <w:trHeight w:val="278"/>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RBC Capital Markets</w:t>
            </w:r>
          </w:p>
        </w:tc>
        <w:tc>
          <w:tcPr>
            <w:tcW w:w="3000" w:type="dxa"/>
            <w:vAlign w:val="bottom"/>
            <w:gridSpan w:val="2"/>
          </w:tcPr>
          <w:p>
            <w:pPr>
              <w:ind w:left="460"/>
              <w:spacing w:after="0"/>
              <w:rPr>
                <w:sz w:val="20"/>
                <w:szCs w:val="20"/>
                <w:color w:val="auto"/>
              </w:rPr>
            </w:pPr>
            <w:r>
              <w:rPr>
                <w:rFonts w:ascii="Times New Roman" w:cs="Times New Roman" w:eastAsia="Times New Roman" w:hAnsi="Times New Roman"/>
                <w:sz w:val="20"/>
                <w:szCs w:val="20"/>
                <w:b w:val="1"/>
                <w:bCs w:val="1"/>
                <w:color w:val="auto"/>
              </w:rPr>
              <w:t>Regions Securities LLC</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Scotiabank</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TD Securities</w:t>
            </w: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US Bancorp</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80" w:type="dxa"/>
            <w:vAlign w:val="bottom"/>
            <w:vMerge w:val="restart"/>
          </w:tcPr>
          <w:p>
            <w:pPr>
              <w:jc w:val="center"/>
              <w:ind w:right="423"/>
              <w:spacing w:after="0"/>
              <w:rPr>
                <w:sz w:val="20"/>
                <w:szCs w:val="20"/>
                <w:color w:val="auto"/>
              </w:rPr>
            </w:pPr>
            <w:r>
              <w:rPr>
                <w:rFonts w:ascii="Times New Roman" w:cs="Times New Roman" w:eastAsia="Times New Roman" w:hAnsi="Times New Roman"/>
                <w:sz w:val="17"/>
                <w:szCs w:val="17"/>
                <w:i w:val="1"/>
                <w:iCs w:val="1"/>
                <w:color w:val="auto"/>
              </w:rPr>
              <w:t>Co-Managers</w:t>
            </w:r>
          </w:p>
        </w:tc>
        <w:tc>
          <w:tcPr>
            <w:tcW w:w="32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Wells Fargo Securities</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BBVA</w:t>
            </w:r>
          </w:p>
        </w:tc>
        <w:tc>
          <w:tcPr>
            <w:tcW w:w="780" w:type="dxa"/>
            <w:vAlign w:val="bottom"/>
          </w:tcPr>
          <w:p>
            <w:pPr>
              <w:spacing w:after="0"/>
              <w:rPr>
                <w:sz w:val="21"/>
                <w:szCs w:val="21"/>
                <w:color w:val="auto"/>
              </w:rPr>
            </w:pPr>
          </w:p>
        </w:tc>
        <w:tc>
          <w:tcPr>
            <w:tcW w:w="3000" w:type="dxa"/>
            <w:vAlign w:val="bottom"/>
            <w:gridSpan w:val="2"/>
          </w:tcPr>
          <w:p>
            <w:pPr>
              <w:ind w:left="740"/>
              <w:spacing w:after="0"/>
              <w:rPr>
                <w:sz w:val="20"/>
                <w:szCs w:val="20"/>
                <w:color w:val="auto"/>
              </w:rPr>
            </w:pPr>
            <w:r>
              <w:rPr>
                <w:rFonts w:ascii="Times New Roman" w:cs="Times New Roman" w:eastAsia="Times New Roman" w:hAnsi="Times New Roman"/>
                <w:sz w:val="17"/>
                <w:szCs w:val="17"/>
                <w:b w:val="1"/>
                <w:bCs w:val="1"/>
                <w:color w:val="auto"/>
              </w:rPr>
              <w:t>Morgan Stanley</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Zions Capital Markets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104775</wp:posOffset>
            </wp:positionV>
            <wp:extent cx="115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26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The date of this prospectus supplement is June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202" w:right="1440" w:bottom="1440" w:gutter="0" w:footer="0" w:header="0"/>
        </w:sectPr>
      </w:pPr>
    </w:p>
    <w:bookmarkStart w:id="1" w:name="page2"/>
    <w:bookmarkEnd w:id="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121" w:lineRule="exact"/>
        <w:rPr>
          <w:sz w:val="20"/>
          <w:szCs w:val="20"/>
          <w:color w:val="auto"/>
        </w:rPr>
      </w:pPr>
    </w:p>
    <w:p>
      <w:pPr>
        <w:jc w:val="both"/>
        <w:ind w:left="1180"/>
        <w:spacing w:after="0"/>
        <w:tabs>
          <w:tab w:leader="none" w:pos="8280" w:val="left"/>
        </w:tabs>
        <w:rPr>
          <w:sz w:val="20"/>
          <w:szCs w:val="20"/>
          <w:color w:val="auto"/>
        </w:rPr>
      </w:pP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6"/>
          <w:szCs w:val="26"/>
          <w:b w:val="1"/>
          <w:bCs w:val="1"/>
          <w:color w:val="auto"/>
          <w:vertAlign w:val="superscript"/>
        </w:rPr>
        <w:t>Page</w:t>
      </w:r>
      <w:r>
        <w:rPr>
          <w:rFonts w:ascii="Times New Roman" w:cs="Times New Roman" w:eastAsia="Times New Roman" w:hAnsi="Times New Roman"/>
          <w:sz w:val="13"/>
          <w:szCs w:val="13"/>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-24130</wp:posOffset>
            </wp:positionV>
            <wp:extent cx="4878705" cy="288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78705" cy="28892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p>
      <w:pPr>
        <w:ind w:left="1360" w:hanging="167"/>
        <w:spacing w:after="0" w:line="253" w:lineRule="auto"/>
        <w:rPr>
          <w:sz w:val="20"/>
          <w:szCs w:val="20"/>
          <w:color w:val="auto"/>
        </w:rPr>
      </w:pPr>
      <w:r>
        <w:rPr>
          <w:rFonts w:ascii="Times New Roman" w:cs="Times New Roman" w:eastAsia="Times New Roman" w:hAnsi="Times New Roman"/>
          <w:sz w:val="17"/>
          <w:szCs w:val="17"/>
          <w:u w:val="single" w:color="auto"/>
          <w:color w:val="0000EE"/>
        </w:rPr>
        <w:t>Important Notice About Information in this Prospectus Supplement and the Accompanying Base Prospectus</w:t>
      </w:r>
    </w:p>
    <w:p>
      <w:pPr>
        <w:spacing w:after="0" w:line="2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14605</wp:posOffset>
            </wp:positionV>
            <wp:extent cx="4878705" cy="152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78705" cy="152400"/>
                    </a:xfrm>
                    <a:prstGeom prst="rect">
                      <a:avLst/>
                    </a:prstGeom>
                    <a:noFill/>
                  </pic:spPr>
                </pic:pic>
              </a:graphicData>
            </a:graphic>
          </wp:anchor>
        </w:drawing>
      </w:r>
    </w:p>
    <w:p>
      <w:pPr>
        <w:spacing w:after="0" w:line="2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Prospectus Supplement Summary</w:t>
      </w:r>
    </w:p>
    <w:p>
      <w:pPr>
        <w:spacing w:after="0" w:line="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14605</wp:posOffset>
            </wp:positionV>
            <wp:extent cx="4878705" cy="160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78705" cy="160655"/>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Use of Proceeds</w:t>
      </w:r>
    </w:p>
    <w:p>
      <w:pPr>
        <w:spacing w:after="0" w:line="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14605</wp:posOffset>
            </wp:positionV>
            <wp:extent cx="4878705" cy="160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78705" cy="160655"/>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Description of Notes</w:t>
      </w:r>
    </w:p>
    <w:p>
      <w:pPr>
        <w:spacing w:after="0" w:line="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Book-Entry, Delivery and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14605</wp:posOffset>
            </wp:positionV>
            <wp:extent cx="4878705" cy="160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78705" cy="160655"/>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Certain U.S. Federal Income Tax Consequences</w:t>
      </w:r>
    </w:p>
    <w:p>
      <w:pPr>
        <w:spacing w:after="0" w:line="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14605</wp:posOffset>
            </wp:positionV>
            <wp:extent cx="4878705" cy="160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78705" cy="160655"/>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Legal Matters</w:t>
      </w:r>
    </w:p>
    <w:p>
      <w:pPr>
        <w:spacing w:after="0" w:line="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14605</wp:posOffset>
            </wp:positionV>
            <wp:extent cx="4878705" cy="160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78705" cy="160655"/>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u w:val="single" w:color="auto"/>
          <w:color w:val="0000EE"/>
        </w:rPr>
        <w:t>Where You Can Find More Information</w:t>
      </w:r>
    </w:p>
    <w:p>
      <w:pPr>
        <w:spacing w:after="0" w:line="20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S-ii</w:t>
      </w:r>
      <w:r>
        <w:rPr>
          <w:rFonts w:ascii="Times New Roman" w:cs="Times New Roman" w:eastAsia="Times New Roman" w:hAnsi="Times New Roman"/>
          <w:sz w:val="17"/>
          <w:szCs w:val="17"/>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u w:val="single" w:color="auto"/>
          <w:color w:val="0000EE"/>
        </w:rPr>
        <w:t>S-ii</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u w:val="single" w:color="auto"/>
          <w:color w:val="0000EE"/>
        </w:rPr>
        <w:t>S-1</w:t>
      </w:r>
      <w:r>
        <w:rPr>
          <w:rFonts w:ascii="Times New Roman" w:cs="Times New Roman" w:eastAsia="Times New Roman" w:hAnsi="Times New Roman"/>
          <w:sz w:val="17"/>
          <w:szCs w:val="17"/>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u w:val="single" w:color="auto"/>
          <w:color w:val="0000EE"/>
        </w:rPr>
        <w:t>S-4</w:t>
      </w:r>
      <w:r>
        <w:rPr>
          <w:rFonts w:ascii="Times New Roman" w:cs="Times New Roman" w:eastAsia="Times New Roman" w:hAnsi="Times New Roman"/>
          <w:sz w:val="17"/>
          <w:szCs w:val="17"/>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u w:val="single" w:color="auto"/>
          <w:color w:val="0000EE"/>
        </w:rPr>
        <w:t>S-7</w:t>
      </w:r>
      <w:r>
        <w:rPr>
          <w:rFonts w:ascii="Times New Roman" w:cs="Times New Roman" w:eastAsia="Times New Roman" w:hAnsi="Times New Roman"/>
          <w:sz w:val="17"/>
          <w:szCs w:val="17"/>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u w:val="single" w:color="auto"/>
          <w:color w:val="0000EE"/>
        </w:rPr>
        <w:t>S-8</w:t>
      </w:r>
      <w:r>
        <w:rPr>
          <w:rFonts w:ascii="Times New Roman" w:cs="Times New Roman" w:eastAsia="Times New Roman" w:hAnsi="Times New Roman"/>
          <w:sz w:val="17"/>
          <w:szCs w:val="17"/>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u w:val="single" w:color="auto"/>
          <w:color w:val="0000EE"/>
        </w:rPr>
        <w:t>S-9</w:t>
      </w:r>
      <w:r>
        <w:rPr>
          <w:rFonts w:ascii="Times New Roman" w:cs="Times New Roman" w:eastAsia="Times New Roman" w:hAnsi="Times New Roman"/>
          <w:sz w:val="17"/>
          <w:szCs w:val="17"/>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0000EE"/>
        </w:rPr>
        <w:t>S-21</w:t>
      </w:r>
      <w:r>
        <w:rPr>
          <w:rFonts w:ascii="Times New Roman" w:cs="Times New Roman" w:eastAsia="Times New Roman" w:hAnsi="Times New Roman"/>
          <w:sz w:val="17"/>
          <w:szCs w:val="17"/>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0000EE"/>
        </w:rPr>
        <w:t>S-24</w:t>
      </w:r>
      <w:r>
        <w:rPr>
          <w:rFonts w:ascii="Times New Roman" w:cs="Times New Roman" w:eastAsia="Times New Roman" w:hAnsi="Times New Roman"/>
          <w:sz w:val="17"/>
          <w:szCs w:val="17"/>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0000EE"/>
        </w:rPr>
        <w:t>S-29</w:t>
      </w:r>
      <w:r>
        <w:rPr>
          <w:rFonts w:ascii="Times New Roman" w:cs="Times New Roman" w:eastAsia="Times New Roman" w:hAnsi="Times New Roman"/>
          <w:sz w:val="17"/>
          <w:szCs w:val="17"/>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0000EE"/>
        </w:rPr>
        <w:t>S-36</w:t>
      </w:r>
      <w:r>
        <w:rPr>
          <w:rFonts w:ascii="Times New Roman" w:cs="Times New Roman" w:eastAsia="Times New Roman" w:hAnsi="Times New Roman"/>
          <w:sz w:val="17"/>
          <w:szCs w:val="17"/>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0000EE"/>
        </w:rPr>
        <w:t>S-36</w:t>
      </w:r>
      <w:r>
        <w:rPr>
          <w:rFonts w:ascii="Times New Roman" w:cs="Times New Roman" w:eastAsia="Times New Roman" w:hAnsi="Times New Roman"/>
          <w:sz w:val="17"/>
          <w:szCs w:val="17"/>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0000EE"/>
        </w:rPr>
        <w:t>S-36</w:t>
      </w:r>
      <w:r>
        <w:rPr>
          <w:rFonts w:ascii="Times New Roman" w:cs="Times New Roman" w:eastAsia="Times New Roman" w:hAnsi="Times New Roman"/>
          <w:sz w:val="17"/>
          <w:szCs w:val="17"/>
          <w:color w:val="auto"/>
        </w:rPr>
        <w:t>​</w:t>
      </w:r>
    </w:p>
    <w:p>
      <w:pPr>
        <w:spacing w:after="0" w:line="528" w:lineRule="exact"/>
        <w:rPr>
          <w:sz w:val="20"/>
          <w:szCs w:val="20"/>
          <w:color w:val="auto"/>
        </w:rPr>
      </w:pPr>
    </w:p>
    <w:p>
      <w:pPr>
        <w:sectPr>
          <w:pgSz w:w="11900" w:h="16838" w:orient="portrait"/>
          <w:cols w:equalWidth="0" w:num="2">
            <w:col w:w="8000" w:space="360"/>
            <w:col w:w="1179"/>
          </w:cols>
          <w:pgMar w:left="920" w:top="101" w:right="1440" w:bottom="1440" w:gutter="0" w:footer="0" w:header="0"/>
          <w:type w:val="continuous"/>
        </w:sectPr>
      </w:pPr>
    </w:p>
    <w:tbl>
      <w:tblPr>
        <w:tblLayout w:type="fixed"/>
        <w:tblInd w:w="1180" w:type="dxa"/>
        <w:tblCellMar>
          <w:top w:w="0" w:type="dxa"/>
          <w:left w:w="0" w:type="dxa"/>
          <w:bottom w:w="0" w:type="dxa"/>
          <w:right w:w="0" w:type="dxa"/>
        </w:tblCellMar>
      </w:tblPr>
      <w:tr>
        <w:trPr>
          <w:trHeight w:val="215"/>
        </w:trPr>
        <w:tc>
          <w:tcPr>
            <w:tcW w:w="3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0000EE"/>
              </w:rPr>
              <w:t>About This Prospectus</w:t>
            </w:r>
          </w:p>
        </w:tc>
        <w:tc>
          <w:tcPr>
            <w:tcW w:w="4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0000EE"/>
              </w:rPr>
              <w:t>i</w:t>
            </w: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5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60" w:type="dxa"/>
            <w:vAlign w:val="bottom"/>
            <w:gridSpan w:val="14"/>
          </w:tcPr>
          <w:p>
            <w:pPr>
              <w:spacing w:after="0" w:line="189"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41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4"/>
              </w:rPr>
              <w:t>ii</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00" w:type="dxa"/>
            <w:vAlign w:val="bottom"/>
            <w:gridSpan w:val="11"/>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20" w:type="dxa"/>
            <w:vAlign w:val="bottom"/>
            <w:gridSpan w:val="2"/>
            <w:vMerge w:val="continu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Forward-Looking Statements</w:t>
            </w:r>
          </w:p>
        </w:tc>
        <w:tc>
          <w:tcPr>
            <w:tcW w:w="406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98"/>
              </w:rPr>
              <w:t>iii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60" w:type="dxa"/>
            <w:vAlign w:val="bottom"/>
            <w:tcBorders>
              <w:bottom w:val="single" w:sz="8" w:color="CCEEFF"/>
            </w:tcBorders>
            <w:gridSpan w:val="8"/>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4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4120" w:type="dxa"/>
            <w:vAlign w:val="bottom"/>
            <w:tcBorders>
              <w:bottom w:val="single" w:sz="8" w:color="CCEEFF"/>
            </w:tcBorders>
            <w:gridSpan w:val="2"/>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2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34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About Plains All American Pipeline, L.P.</w:t>
            </w:r>
          </w:p>
        </w:tc>
        <w:tc>
          <w:tcPr>
            <w:tcW w:w="41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w w:val="93"/>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920" w:type="dxa"/>
            <w:vAlign w:val="bottom"/>
            <w:gridSpan w:val="12"/>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412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93"/>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880" w:type="dxa"/>
            <w:vAlign w:val="bottom"/>
            <w:tcBorders>
              <w:bottom w:val="single" w:sz="8" w:color="CCEEFF"/>
            </w:tcBorders>
            <w:gridSpan w:val="2"/>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7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20" w:type="dxa"/>
            <w:vAlign w:val="bottom"/>
            <w:tcBorders>
              <w:bottom w:val="single" w:sz="8" w:color="CCEEFF"/>
            </w:tcBorders>
            <w:gridSpan w:val="3"/>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412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34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41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w w:val="93"/>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80" w:type="dxa"/>
            <w:vAlign w:val="bottom"/>
            <w:gridSpan w:val="4"/>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2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41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Our Debt Securities</w:t>
            </w:r>
          </w:p>
        </w:tc>
        <w:tc>
          <w:tcPr>
            <w:tcW w:w="412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93"/>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480" w:type="dxa"/>
            <w:vAlign w:val="bottom"/>
            <w:tcBorders>
              <w:bottom w:val="single" w:sz="8" w:color="CCEEFF"/>
            </w:tcBorders>
            <w:gridSpan w:val="10"/>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520" w:type="dxa"/>
            <w:vAlign w:val="bottom"/>
            <w:tcBorders>
              <w:bottom w:val="single" w:sz="8" w:color="CCEEFF"/>
            </w:tcBorders>
            <w:gridSpan w:val="3"/>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412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34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Description of Our Preferred Units</w:t>
            </w:r>
          </w:p>
        </w:tc>
        <w:tc>
          <w:tcPr>
            <w:tcW w:w="42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rPr>
              <w:t>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80" w:type="dxa"/>
            <w:vAlign w:val="bottom"/>
            <w:gridSpan w:val="10"/>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5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4060" w:type="dxa"/>
            <w:vAlign w:val="bottom"/>
          </w:tcPr>
          <w:p>
            <w:pPr>
              <w:ind w:left="390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Our Common Units</w:t>
            </w:r>
          </w:p>
        </w:tc>
        <w:tc>
          <w:tcPr>
            <w:tcW w:w="4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460" w:type="dxa"/>
            <w:vAlign w:val="bottom"/>
            <w:tcBorders>
              <w:bottom w:val="single" w:sz="8" w:color="CCEEFF"/>
            </w:tcBorders>
            <w:gridSpan w:val="9"/>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540" w:type="dxa"/>
            <w:vAlign w:val="bottom"/>
            <w:tcBorders>
              <w:bottom w:val="single" w:sz="8" w:color="CCEEFF"/>
            </w:tcBorders>
            <w:gridSpan w:val="4"/>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4060" w:type="dxa"/>
            <w:vAlign w:val="bottom"/>
            <w:tcBorders>
              <w:bottom w:val="single" w:sz="8" w:color="CCEEFF"/>
            </w:tcBorders>
            <w:shd w:val="clear" w:color="auto" w:fill="CCEEFF"/>
          </w:tcPr>
          <w:p>
            <w:pPr>
              <w:ind w:left="390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34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Cash Distribution Policy</w:t>
            </w:r>
          </w:p>
        </w:tc>
        <w:tc>
          <w:tcPr>
            <w:tcW w:w="42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740" w:type="dxa"/>
            <w:vAlign w:val="bottom"/>
            <w:gridSpan w:val="7"/>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1260" w:type="dxa"/>
            <w:vAlign w:val="bottom"/>
            <w:gridSpan w:val="6"/>
          </w:tcPr>
          <w:p>
            <w:pPr>
              <w:spacing w:after="0"/>
              <w:rPr>
                <w:sz w:val="2"/>
                <w:szCs w:val="2"/>
                <w:color w:val="auto"/>
              </w:rPr>
            </w:pPr>
          </w:p>
        </w:tc>
        <w:tc>
          <w:tcPr>
            <w:tcW w:w="460" w:type="dxa"/>
            <w:vAlign w:val="bottom"/>
          </w:tcPr>
          <w:p>
            <w:pPr>
              <w:spacing w:after="0"/>
              <w:rPr>
                <w:sz w:val="2"/>
                <w:szCs w:val="2"/>
                <w:color w:val="auto"/>
              </w:rPr>
            </w:pPr>
          </w:p>
        </w:tc>
        <w:tc>
          <w:tcPr>
            <w:tcW w:w="4060" w:type="dxa"/>
            <w:vAlign w:val="bottom"/>
          </w:tcPr>
          <w:p>
            <w:pPr>
              <w:ind w:left="390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Our Partnership Agreement</w:t>
            </w:r>
          </w:p>
        </w:tc>
        <w:tc>
          <w:tcPr>
            <w:tcW w:w="4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000" w:type="dxa"/>
            <w:vAlign w:val="bottom"/>
            <w:tcBorders>
              <w:bottom w:val="single" w:sz="8" w:color="CCEEFF"/>
            </w:tcBorders>
            <w:gridSpan w:val="13"/>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460" w:type="dxa"/>
            <w:vAlign w:val="bottom"/>
            <w:tcBorders>
              <w:bottom w:val="single" w:sz="8" w:color="CCEEFF"/>
            </w:tcBorders>
            <w:shd w:val="clear" w:color="auto" w:fill="CCEEFF"/>
          </w:tcPr>
          <w:p>
            <w:pPr>
              <w:spacing w:after="0"/>
              <w:rPr>
                <w:sz w:val="2"/>
                <w:szCs w:val="2"/>
                <w:color w:val="auto"/>
              </w:rPr>
            </w:pPr>
          </w:p>
        </w:tc>
        <w:tc>
          <w:tcPr>
            <w:tcW w:w="4060" w:type="dxa"/>
            <w:vAlign w:val="bottom"/>
            <w:tcBorders>
              <w:bottom w:val="single" w:sz="8" w:color="CCEEFF"/>
            </w:tcBorders>
            <w:shd w:val="clear" w:color="auto" w:fill="CCEEFF"/>
          </w:tcPr>
          <w:p>
            <w:pPr>
              <w:ind w:left="390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34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Material U.S. Federal Income Tax Consequences</w:t>
            </w:r>
          </w:p>
        </w:tc>
        <w:tc>
          <w:tcPr>
            <w:tcW w:w="42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rPr>
              <w:t>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460" w:type="dxa"/>
            <w:vAlign w:val="bottom"/>
            <w:gridSpan w:val="14"/>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4060" w:type="dxa"/>
            <w:vAlign w:val="bottom"/>
          </w:tcPr>
          <w:p>
            <w:pPr>
              <w:ind w:left="390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Plan of Distribution</w:t>
            </w:r>
          </w:p>
        </w:tc>
        <w:tc>
          <w:tcPr>
            <w:tcW w:w="4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400" w:type="dxa"/>
            <w:vAlign w:val="bottom"/>
            <w:tcBorders>
              <w:bottom w:val="single" w:sz="8" w:color="CCEEFF"/>
            </w:tcBorders>
            <w:gridSpan w:val="5"/>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2060" w:type="dxa"/>
            <w:vAlign w:val="bottom"/>
            <w:tcBorders>
              <w:bottom w:val="single" w:sz="8" w:color="CCEEFF"/>
            </w:tcBorders>
            <w:gridSpan w:val="9"/>
            <w:shd w:val="clear" w:color="auto" w:fill="CCEEFF"/>
          </w:tcPr>
          <w:p>
            <w:pPr>
              <w:spacing w:after="0"/>
              <w:rPr>
                <w:sz w:val="2"/>
                <w:szCs w:val="2"/>
                <w:color w:val="auto"/>
              </w:rPr>
            </w:pPr>
          </w:p>
        </w:tc>
        <w:tc>
          <w:tcPr>
            <w:tcW w:w="4060" w:type="dxa"/>
            <w:vAlign w:val="bottom"/>
            <w:tcBorders>
              <w:bottom w:val="single" w:sz="8" w:color="CCEEFF"/>
            </w:tcBorders>
            <w:shd w:val="clear" w:color="auto" w:fill="CCEEFF"/>
          </w:tcPr>
          <w:p>
            <w:pPr>
              <w:ind w:left="390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34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42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980" w:type="dxa"/>
            <w:vAlign w:val="bottom"/>
            <w:gridSpan w:val="3"/>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2480" w:type="dxa"/>
            <w:vAlign w:val="bottom"/>
            <w:gridSpan w:val="11"/>
          </w:tcPr>
          <w:p>
            <w:pPr>
              <w:spacing w:after="0"/>
              <w:rPr>
                <w:sz w:val="2"/>
                <w:szCs w:val="2"/>
                <w:color w:val="auto"/>
              </w:rPr>
            </w:pPr>
          </w:p>
        </w:tc>
        <w:tc>
          <w:tcPr>
            <w:tcW w:w="4060" w:type="dxa"/>
            <w:vAlign w:val="bottom"/>
          </w:tcPr>
          <w:p>
            <w:pPr>
              <w:ind w:left="390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Experts</w:t>
            </w:r>
          </w:p>
        </w:tc>
        <w:tc>
          <w:tcPr>
            <w:tcW w:w="4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40" w:type="dxa"/>
            <w:vAlign w:val="bottom"/>
            <w:tcBorders>
              <w:bottom w:val="single" w:sz="8" w:color="CCEEFF"/>
            </w:tcBorders>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2920" w:type="dxa"/>
            <w:vAlign w:val="bottom"/>
            <w:tcBorders>
              <w:bottom w:val="single" w:sz="8" w:color="CCEEFF"/>
            </w:tcBorders>
            <w:gridSpan w:val="13"/>
            <w:shd w:val="clear" w:color="auto" w:fill="CCEEFF"/>
          </w:tcPr>
          <w:p>
            <w:pPr>
              <w:spacing w:after="0"/>
              <w:rPr>
                <w:sz w:val="2"/>
                <w:szCs w:val="2"/>
                <w:color w:val="auto"/>
              </w:rPr>
            </w:pPr>
          </w:p>
        </w:tc>
        <w:tc>
          <w:tcPr>
            <w:tcW w:w="4060" w:type="dxa"/>
            <w:vAlign w:val="bottom"/>
            <w:tcBorders>
              <w:bottom w:val="single" w:sz="8" w:color="CCEEFF"/>
            </w:tcBorders>
            <w:shd w:val="clear" w:color="auto" w:fill="CCEEFF"/>
          </w:tcPr>
          <w:p>
            <w:pPr>
              <w:ind w:left="390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IMPORTANT NOTICE ABOUT INFORMATION IN THIS PROSPECTUS SUPPLEMENT AND THE</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ACCOMPANYING BASE PROSPECTUS</w:t>
      </w:r>
    </w:p>
    <w:p>
      <w:pPr>
        <w:spacing w:after="0" w:line="117" w:lineRule="exact"/>
        <w:rPr>
          <w:sz w:val="20"/>
          <w:szCs w:val="20"/>
          <w:color w:val="auto"/>
        </w:rPr>
      </w:pPr>
    </w:p>
    <w:p>
      <w:pPr>
        <w:ind w:left="1180" w:right="679" w:firstLine="337"/>
        <w:spacing w:after="0"/>
        <w:rPr>
          <w:sz w:val="20"/>
          <w:szCs w:val="20"/>
          <w:color w:val="auto"/>
        </w:rPr>
      </w:pPr>
      <w:r>
        <w:rPr>
          <w:rFonts w:ascii="Times New Roman" w:cs="Times New Roman" w:eastAsia="Times New Roman" w:hAnsi="Times New Roman"/>
          <w:sz w:val="17"/>
          <w:szCs w:val="17"/>
          <w:color w:val="auto"/>
        </w:rPr>
        <w:t>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w:t>
      </w:r>
    </w:p>
    <w:p>
      <w:pPr>
        <w:spacing w:after="0" w:line="306" w:lineRule="exact"/>
        <w:rPr>
          <w:sz w:val="20"/>
          <w:szCs w:val="20"/>
          <w:color w:val="auto"/>
        </w:rPr>
      </w:pPr>
    </w:p>
    <w:p>
      <w:pPr>
        <w:ind w:left="1180" w:right="739" w:firstLine="337"/>
        <w:spacing w:after="0" w:line="275" w:lineRule="auto"/>
        <w:rPr>
          <w:sz w:val="20"/>
          <w:szCs w:val="20"/>
          <w:color w:val="auto"/>
        </w:rPr>
      </w:pPr>
      <w:r>
        <w:rPr>
          <w:rFonts w:ascii="Times New Roman" w:cs="Times New Roman" w:eastAsia="Times New Roman" w:hAnsi="Times New Roman"/>
          <w:sz w:val="17"/>
          <w:szCs w:val="17"/>
          <w:color w:val="auto"/>
        </w:rPr>
        <w:t>If the description of the offering varies between the prospectus supplement and the accompanying base prospectus, you should rely on the information in the prospectus supplement.</w:t>
      </w:r>
    </w:p>
    <w:p>
      <w:pPr>
        <w:spacing w:after="0" w:line="83" w:lineRule="exact"/>
        <w:rPr>
          <w:sz w:val="20"/>
          <w:szCs w:val="20"/>
          <w:color w:val="auto"/>
        </w:rPr>
      </w:pPr>
    </w:p>
    <w:p>
      <w:pPr>
        <w:ind w:left="1180" w:right="699" w:firstLine="337"/>
        <w:spacing w:after="0"/>
        <w:rPr>
          <w:sz w:val="20"/>
          <w:szCs w:val="20"/>
          <w:color w:val="auto"/>
        </w:rPr>
      </w:pPr>
      <w:r>
        <w:rPr>
          <w:rFonts w:ascii="Times New Roman" w:cs="Times New Roman" w:eastAsia="Times New Roman" w:hAnsi="Times New Roman"/>
          <w:sz w:val="17"/>
          <w:szCs w:val="17"/>
          <w:color w:val="auto"/>
        </w:rPr>
        <w:t>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11" w:lineRule="exact"/>
        <w:rPr>
          <w:sz w:val="20"/>
          <w:szCs w:val="20"/>
          <w:color w:val="auto"/>
        </w:rPr>
      </w:pPr>
    </w:p>
    <w:p>
      <w:pPr>
        <w:ind w:left="1180" w:right="839" w:firstLine="337"/>
        <w:spacing w:after="0" w:line="247" w:lineRule="auto"/>
        <w:rPr>
          <w:sz w:val="20"/>
          <w:szCs w:val="20"/>
          <w:color w:val="auto"/>
        </w:rPr>
      </w:pPr>
      <w:r>
        <w:rPr>
          <w:rFonts w:ascii="Times New Roman" w:cs="Times New Roman" w:eastAsia="Times New Roman" w:hAnsi="Times New Roman"/>
          <w:sz w:val="17"/>
          <w:szCs w:val="17"/>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05" w:lineRule="exact"/>
        <w:rPr>
          <w:sz w:val="20"/>
          <w:szCs w:val="20"/>
          <w:color w:val="auto"/>
        </w:rPr>
      </w:pPr>
    </w:p>
    <w:p>
      <w:pPr>
        <w:ind w:left="1180" w:right="1299" w:firstLine="337"/>
        <w:spacing w:after="0" w:line="254" w:lineRule="auto"/>
        <w:rPr>
          <w:sz w:val="20"/>
          <w:szCs w:val="20"/>
          <w:color w:val="auto"/>
        </w:rPr>
      </w:pPr>
      <w:r>
        <w:rPr>
          <w:rFonts w:ascii="Times New Roman" w:cs="Times New Roman" w:eastAsia="Times New Roman" w:hAnsi="Times New Roman"/>
          <w:sz w:val="17"/>
          <w:szCs w:val="17"/>
          <w:color w:val="auto"/>
        </w:rPr>
        <w:t>This prospectus contains forward-looking statements that are subject to a number of risks and uncertainties, many of which are beyond our control. See “Forward-Looking Statements” and “Risk Factors.”</w:t>
      </w:r>
    </w:p>
    <w:p>
      <w:pPr>
        <w:spacing w:after="0" w:line="100" w:lineRule="exact"/>
        <w:rPr>
          <w:sz w:val="20"/>
          <w:szCs w:val="20"/>
          <w:color w:val="auto"/>
        </w:rPr>
      </w:pPr>
    </w:p>
    <w:p>
      <w:pPr>
        <w:ind w:left="1180" w:right="679" w:firstLine="337"/>
        <w:spacing w:after="0" w:line="241" w:lineRule="auto"/>
        <w:rPr>
          <w:sz w:val="20"/>
          <w:szCs w:val="20"/>
          <w:color w:val="auto"/>
        </w:rPr>
      </w:pPr>
      <w:r>
        <w:rPr>
          <w:rFonts w:ascii="Times New Roman" w:cs="Times New Roman" w:eastAsia="Times New Roman" w:hAnsi="Times New Roman"/>
          <w:sz w:val="17"/>
          <w:szCs w:val="17"/>
          <w:color w:val="auto"/>
        </w:rPr>
        <w:t>We expect delivery of the Notes will be made against payment therefor on or about June 27, 2024, which is the seventh business day following the date of pricing of the Notes (such settlement being referred to as “T+7”). Under Rule 15c6-1 of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T+7, to specify an alternate settlement cycle at the time of any such trade to prevent failed settlement and should consult their own advisors.</w:t>
      </w:r>
    </w:p>
    <w:p>
      <w:pPr>
        <w:spacing w:after="0" w:line="16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50" w:lineRule="exact"/>
        <w:rPr>
          <w:sz w:val="20"/>
          <w:szCs w:val="20"/>
          <w:color w:val="auto"/>
        </w:rPr>
      </w:pPr>
    </w:p>
    <w:p>
      <w:pPr>
        <w:ind w:left="1180" w:right="679" w:firstLine="337"/>
        <w:spacing w:after="0"/>
        <w:rPr>
          <w:sz w:val="20"/>
          <w:szCs w:val="20"/>
          <w:color w:val="auto"/>
        </w:rPr>
      </w:pPr>
      <w:r>
        <w:rPr>
          <w:rFonts w:ascii="Times New Roman" w:cs="Times New Roman" w:eastAsia="Times New Roman" w:hAnsi="Times New Roman"/>
          <w:sz w:val="17"/>
          <w:szCs w:val="17"/>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 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75" w:lineRule="exact"/>
        <w:rPr>
          <w:sz w:val="20"/>
          <w:szCs w:val="20"/>
          <w:color w:val="auto"/>
        </w:rPr>
      </w:pPr>
    </w:p>
    <w:p>
      <w:pPr>
        <w:ind w:left="1680" w:right="779" w:hanging="160"/>
        <w:spacing w:after="0" w:line="262" w:lineRule="auto"/>
        <w:tabs>
          <w:tab w:leader="none" w:pos="16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w:t>
      </w: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3" w:name="page4"/>
    <w:bookmarkEnd w:id="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80" w:right="879"/>
        <w:spacing w:after="0" w:line="254" w:lineRule="auto"/>
        <w:rPr>
          <w:sz w:val="20"/>
          <w:szCs w:val="20"/>
          <w:color w:val="auto"/>
        </w:rPr>
      </w:pPr>
      <w:r>
        <w:rPr>
          <w:rFonts w:ascii="Times New Roman" w:cs="Times New Roman" w:eastAsia="Times New Roman" w:hAnsi="Times New Roman"/>
          <w:sz w:val="17"/>
          <w:szCs w:val="17"/>
          <w:color w:val="auto"/>
        </w:rPr>
        <w:t>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62" w:lineRule="exact"/>
        <w:rPr>
          <w:sz w:val="20"/>
          <w:szCs w:val="20"/>
          <w:color w:val="auto"/>
        </w:rPr>
      </w:pPr>
    </w:p>
    <w:p>
      <w:pPr>
        <w:ind w:left="1680" w:right="739" w:hanging="160"/>
        <w:spacing w:after="0" w:line="251"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285" w:lineRule="exact"/>
        <w:rPr>
          <w:rFonts w:ascii="Times New Roman" w:cs="Times New Roman" w:eastAsia="Times New Roman" w:hAnsi="Times New Roman"/>
          <w:sz w:val="17"/>
          <w:szCs w:val="17"/>
          <w:color w:val="auto"/>
        </w:rPr>
      </w:pPr>
    </w:p>
    <w:p>
      <w:pPr>
        <w:ind w:left="1680" w:right="899" w:hanging="160"/>
        <w:spacing w:after="0" w:line="275"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refinery capacity and other factors affecting demand for various grades of crude oil and NGL and resulting changes in pricing conditions or transportation throughput requirements;</w:t>
      </w:r>
    </w:p>
    <w:p>
      <w:pPr>
        <w:spacing w:after="0" w:line="44" w:lineRule="exact"/>
        <w:rPr>
          <w:rFonts w:ascii="Times New Roman" w:cs="Times New Roman" w:eastAsia="Times New Roman" w:hAnsi="Times New Roman"/>
          <w:sz w:val="17"/>
          <w:szCs w:val="17"/>
          <w:color w:val="auto"/>
        </w:rPr>
      </w:pPr>
    </w:p>
    <w:p>
      <w:pPr>
        <w:ind w:left="1680" w:right="919" w:hanging="160"/>
        <w:spacing w:after="0" w:line="275"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57" w:lineRule="exact"/>
        <w:rPr>
          <w:rFonts w:ascii="Times New Roman" w:cs="Times New Roman" w:eastAsia="Times New Roman" w:hAnsi="Times New Roman"/>
          <w:sz w:val="17"/>
          <w:szCs w:val="17"/>
          <w:color w:val="auto"/>
        </w:rPr>
      </w:pPr>
    </w:p>
    <w:p>
      <w:pPr>
        <w:ind w:left="1680" w:right="679" w:hanging="160"/>
        <w:spacing w:after="0" w:line="257"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72" w:lineRule="exact"/>
        <w:rPr>
          <w:rFonts w:ascii="Times New Roman" w:cs="Times New Roman" w:eastAsia="Times New Roman" w:hAnsi="Times New Roman"/>
          <w:sz w:val="17"/>
          <w:szCs w:val="17"/>
          <w:color w:val="auto"/>
        </w:rPr>
      </w:pPr>
    </w:p>
    <w:p>
      <w:pPr>
        <w:ind w:left="1680" w:right="959" w:hanging="160"/>
        <w:spacing w:after="0" w:line="262"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67" w:lineRule="exact"/>
        <w:rPr>
          <w:rFonts w:ascii="Times New Roman" w:cs="Times New Roman" w:eastAsia="Times New Roman" w:hAnsi="Times New Roman"/>
          <w:sz w:val="17"/>
          <w:szCs w:val="17"/>
          <w:color w:val="auto"/>
        </w:rPr>
      </w:pPr>
    </w:p>
    <w:p>
      <w:pPr>
        <w:ind w:left="1680" w:right="719" w:hanging="160"/>
        <w:spacing w:after="0" w:line="275"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44" w:lineRule="exact"/>
        <w:rPr>
          <w:rFonts w:ascii="Times New Roman" w:cs="Times New Roman" w:eastAsia="Times New Roman" w:hAnsi="Times New Roman"/>
          <w:sz w:val="17"/>
          <w:szCs w:val="17"/>
          <w:color w:val="auto"/>
        </w:rPr>
      </w:pPr>
    </w:p>
    <w:p>
      <w:pPr>
        <w:ind w:left="1680" w:right="899" w:hanging="160"/>
        <w:spacing w:after="0" w:line="262"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67" w:lineRule="exact"/>
        <w:rPr>
          <w:rFonts w:ascii="Times New Roman" w:cs="Times New Roman" w:eastAsia="Times New Roman" w:hAnsi="Times New Roman"/>
          <w:sz w:val="17"/>
          <w:szCs w:val="17"/>
          <w:color w:val="auto"/>
        </w:rPr>
      </w:pPr>
    </w:p>
    <w:p>
      <w:pPr>
        <w:ind w:left="1680" w:right="1239" w:hanging="160"/>
        <w:spacing w:after="0" w:line="275"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 (including wildfires and drought);</w:t>
      </w:r>
    </w:p>
    <w:p>
      <w:pPr>
        <w:spacing w:after="0" w:line="57" w:lineRule="exact"/>
        <w:rPr>
          <w:rFonts w:ascii="Times New Roman" w:cs="Times New Roman" w:eastAsia="Times New Roman" w:hAnsi="Times New Roman"/>
          <w:sz w:val="17"/>
          <w:szCs w:val="17"/>
          <w:color w:val="auto"/>
        </w:rPr>
      </w:pPr>
    </w:p>
    <w:p>
      <w:pPr>
        <w:ind w:left="1680" w:right="1179" w:hanging="160"/>
        <w:spacing w:after="0" w:line="257"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accounting standards and statements, and related interpretations that</w:t>
      </w:r>
    </w:p>
    <w:p>
      <w:pPr>
        <w:spacing w:after="0" w:line="1" w:lineRule="exact"/>
        <w:rPr>
          <w:rFonts w:ascii="Times New Roman" w:cs="Times New Roman" w:eastAsia="Times New Roman" w:hAnsi="Times New Roman"/>
          <w:sz w:val="17"/>
          <w:szCs w:val="17"/>
          <w:color w:val="auto"/>
        </w:rPr>
      </w:pPr>
    </w:p>
    <w:p>
      <w:pPr>
        <w:ind w:left="1680" w:right="75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prohibit, restrict or regulate the development of oil and gas resources and the related infrastructure on lands dedicated to or served by our pipelines or (ii) negatively impact our ability to develop, operate or repair midstream assets;</w:t>
      </w:r>
    </w:p>
    <w:p>
      <w:pPr>
        <w:spacing w:after="0" w:line="75" w:lineRule="exact"/>
        <w:rPr>
          <w:rFonts w:ascii="Times New Roman" w:cs="Times New Roman" w:eastAsia="Times New Roman" w:hAnsi="Times New Roman"/>
          <w:sz w:val="17"/>
          <w:szCs w:val="17"/>
          <w:color w:val="auto"/>
        </w:rPr>
      </w:pPr>
    </w:p>
    <w:p>
      <w:pPr>
        <w:ind w:left="1680" w:right="899" w:hanging="160"/>
        <w:spacing w:after="0" w:line="262"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107" w:lineRule="exact"/>
        <w:rPr>
          <w:rFonts w:ascii="Times New Roman" w:cs="Times New Roman" w:eastAsia="Times New Roman" w:hAnsi="Times New Roman"/>
          <w:sz w:val="17"/>
          <w:szCs w:val="17"/>
          <w:color w:val="auto"/>
        </w:rPr>
      </w:pPr>
    </w:p>
    <w:p>
      <w:pPr>
        <w:ind w:left="1680" w:right="899" w:hanging="160"/>
        <w:spacing w:after="0" w:line="275"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risk management activities;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or cost increases of supplies, materials or labor;</w:t>
      </w:r>
    </w:p>
    <w:p>
      <w:pPr>
        <w:spacing w:after="0" w:line="95" w:lineRule="exact"/>
        <w:rPr>
          <w:rFonts w:ascii="Times New Roman" w:cs="Times New Roman" w:eastAsia="Times New Roman" w:hAnsi="Times New Roman"/>
          <w:sz w:val="17"/>
          <w:szCs w:val="17"/>
          <w:color w:val="auto"/>
        </w:rPr>
      </w:pPr>
    </w:p>
    <w:p>
      <w:pPr>
        <w:ind w:left="1680" w:right="1099" w:hanging="160"/>
        <w:spacing w:after="0" w:line="275"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our credit ratings and ability to receive open credit from our suppliers and trade counterparties;</w:t>
      </w:r>
    </w:p>
    <w:p>
      <w:pPr>
        <w:spacing w:after="0" w:line="57" w:lineRule="exact"/>
        <w:rPr>
          <w:rFonts w:ascii="Times New Roman" w:cs="Times New Roman" w:eastAsia="Times New Roman" w:hAnsi="Times New Roman"/>
          <w:sz w:val="17"/>
          <w:szCs w:val="17"/>
          <w:color w:val="auto"/>
        </w:rPr>
      </w:pPr>
    </w:p>
    <w:p>
      <w:pPr>
        <w:ind w:left="1680" w:right="679" w:hanging="160"/>
        <w:spacing w:after="0" w:line="262" w:lineRule="auto"/>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4" w:name="page5"/>
    <w:bookmarkEnd w:id="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80" w:right="859" w:hanging="160"/>
        <w:spacing w:after="0" w:line="275"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and our ability to consummate, acquisitions, divestitures, joint ventures or other strategic opportunities;</w:t>
      </w:r>
    </w:p>
    <w:p>
      <w:pPr>
        <w:spacing w:after="0" w:line="57" w:lineRule="exact"/>
        <w:rPr>
          <w:rFonts w:ascii="Times New Roman" w:cs="Times New Roman" w:eastAsia="Times New Roman" w:hAnsi="Times New Roman"/>
          <w:sz w:val="17"/>
          <w:szCs w:val="17"/>
          <w:color w:val="auto"/>
        </w:rPr>
      </w:pPr>
    </w:p>
    <w:p>
      <w:pPr>
        <w:ind w:left="1680" w:right="819" w:hanging="160"/>
        <w:spacing w:after="0" w:line="253"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7" w:lineRule="exact"/>
        <w:rPr>
          <w:rFonts w:ascii="Times New Roman" w:cs="Times New Roman" w:eastAsia="Times New Roman" w:hAnsi="Times New Roman"/>
          <w:sz w:val="17"/>
          <w:szCs w:val="17"/>
          <w:color w:val="auto"/>
        </w:rPr>
      </w:pPr>
    </w:p>
    <w:p>
      <w:pPr>
        <w:ind w:left="1680" w:right="859" w:hanging="160"/>
        <w:spacing w:after="0" w:line="259"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276" w:lineRule="exact"/>
        <w:rPr>
          <w:rFonts w:ascii="Times New Roman" w:cs="Times New Roman" w:eastAsia="Times New Roman" w:hAnsi="Times New Roman"/>
          <w:sz w:val="17"/>
          <w:szCs w:val="17"/>
          <w:color w:val="auto"/>
        </w:rPr>
      </w:pPr>
    </w:p>
    <w:p>
      <w:pPr>
        <w:ind w:left="1680" w:right="1099" w:hanging="160"/>
        <w:spacing w:after="0" w:line="275"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costs and expenses related to unexpected or unplanned capital or maintenance expenditures, third-party claims or other factors;</w:t>
      </w:r>
    </w:p>
    <w:p>
      <w:pPr>
        <w:spacing w:after="0" w:line="57" w:lineRule="exact"/>
        <w:rPr>
          <w:rFonts w:ascii="Times New Roman" w:cs="Times New Roman" w:eastAsia="Times New Roman" w:hAnsi="Times New Roman"/>
          <w:sz w:val="17"/>
          <w:szCs w:val="17"/>
          <w:color w:val="auto"/>
        </w:rPr>
      </w:pPr>
    </w:p>
    <w:p>
      <w:pPr>
        <w:ind w:left="1680" w:right="899" w:hanging="160"/>
        <w:spacing w:after="0" w:line="275"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57" w:lineRule="exact"/>
        <w:rPr>
          <w:rFonts w:ascii="Times New Roman" w:cs="Times New Roman" w:eastAsia="Times New Roman" w:hAnsi="Times New Roman"/>
          <w:sz w:val="17"/>
          <w:szCs w:val="17"/>
          <w:color w:val="auto"/>
        </w:rPr>
      </w:pPr>
    </w:p>
    <w:p>
      <w:pPr>
        <w:ind w:left="1680" w:right="1039" w:hanging="160"/>
        <w:spacing w:after="0" w:line="262"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7"/>
          <w:szCs w:val="17"/>
          <w:color w:val="auto"/>
        </w:rPr>
      </w:pPr>
    </w:p>
    <w:p>
      <w:pPr>
        <w:ind w:left="1680" w:right="979" w:hanging="160"/>
        <w:spacing w:after="0" w:line="275"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amplification of other risks caused by volatile or closed financial markets, capital constraints, liquidity concerns and inflation;</w:t>
      </w:r>
    </w:p>
    <w:p>
      <w:pPr>
        <w:spacing w:after="0" w:line="57" w:lineRule="exact"/>
        <w:rPr>
          <w:rFonts w:ascii="Times New Roman" w:cs="Times New Roman" w:eastAsia="Times New Roman" w:hAnsi="Times New Roman"/>
          <w:sz w:val="17"/>
          <w:szCs w:val="17"/>
          <w:color w:val="auto"/>
        </w:rPr>
      </w:pPr>
    </w:p>
    <w:p>
      <w:pPr>
        <w:ind w:left="1680" w:right="999" w:hanging="160"/>
        <w:spacing w:after="0" w:line="275"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107" w:lineRule="exact"/>
        <w:rPr>
          <w:rFonts w:ascii="Times New Roman" w:cs="Times New Roman" w:eastAsia="Times New Roman" w:hAnsi="Times New Roman"/>
          <w:sz w:val="17"/>
          <w:szCs w:val="17"/>
          <w:color w:val="auto"/>
        </w:rPr>
      </w:pPr>
    </w:p>
    <w:p>
      <w:pPr>
        <w:jc w:val="both"/>
        <w:ind w:left="1680" w:right="859" w:hanging="160"/>
        <w:spacing w:after="0" w:line="262"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6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under-utilization of our assets and facilities;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or lack of availability, of insurance;</w:t>
      </w:r>
    </w:p>
    <w:p>
      <w:pPr>
        <w:spacing w:after="0" w:line="107" w:lineRule="exact"/>
        <w:rPr>
          <w:rFonts w:ascii="Times New Roman" w:cs="Times New Roman" w:eastAsia="Times New Roman" w:hAnsi="Times New Roman"/>
          <w:sz w:val="17"/>
          <w:szCs w:val="17"/>
          <w:color w:val="auto"/>
        </w:rPr>
      </w:pPr>
    </w:p>
    <w:p>
      <w:pPr>
        <w:ind w:left="1680" w:right="1019" w:hanging="160"/>
        <w:spacing w:after="0" w:line="275"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development and operation of our assets;</w:t>
      </w:r>
    </w:p>
    <w:p>
      <w:pPr>
        <w:spacing w:after="0" w:line="107" w:lineRule="exact"/>
        <w:rPr>
          <w:rFonts w:ascii="Times New Roman" w:cs="Times New Roman" w:eastAsia="Times New Roman" w:hAnsi="Times New Roman"/>
          <w:sz w:val="17"/>
          <w:szCs w:val="17"/>
          <w:color w:val="auto"/>
        </w:rPr>
      </w:pPr>
    </w:p>
    <w:p>
      <w:pPr>
        <w:ind w:left="1680" w:right="719" w:hanging="160"/>
        <w:spacing w:after="0" w:line="275"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pace of development of natural gas infrastructure and its impact on expected crude oil production growth in the Permian Basin; and</w:t>
      </w:r>
    </w:p>
    <w:p>
      <w:pPr>
        <w:spacing w:after="0" w:line="57" w:lineRule="exact"/>
        <w:rPr>
          <w:rFonts w:ascii="Times New Roman" w:cs="Times New Roman" w:eastAsia="Times New Roman" w:hAnsi="Times New Roman"/>
          <w:sz w:val="17"/>
          <w:szCs w:val="17"/>
          <w:color w:val="auto"/>
        </w:rPr>
      </w:pPr>
    </w:p>
    <w:p>
      <w:pPr>
        <w:jc w:val="both"/>
        <w:ind w:left="1680" w:right="819" w:hanging="160"/>
        <w:spacing w:after="0" w:line="275"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w:t>
      </w:r>
    </w:p>
    <w:p>
      <w:pPr>
        <w:spacing w:after="0" w:line="95" w:lineRule="exact"/>
        <w:rPr>
          <w:sz w:val="20"/>
          <w:szCs w:val="20"/>
          <w:color w:val="auto"/>
        </w:rPr>
      </w:pPr>
    </w:p>
    <w:p>
      <w:pPr>
        <w:ind w:left="1180" w:right="719" w:firstLine="337"/>
        <w:spacing w:after="0" w:line="252"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Other factors described or incorporated by reference herein, as well as factors that are unknown or unpredictable, could also have a material adverse effect on future results. See “Risk Factors” beginning on </w:t>
      </w:r>
      <w:hyperlink r:id="rId25">
        <w:r>
          <w:rPr>
            <w:rFonts w:ascii="Times New Roman" w:cs="Times New Roman" w:eastAsia="Times New Roman" w:hAnsi="Times New Roman"/>
            <w:sz w:val="17"/>
            <w:szCs w:val="17"/>
            <w:color w:val="auto"/>
          </w:rPr>
          <w:t xml:space="preserve">page S-4 of this prospectus supplement and in Item 1A. “Risk Factors” in our </w:t>
        </w:r>
        <w:r>
          <w:rPr>
            <w:rFonts w:ascii="Times New Roman" w:cs="Times New Roman" w:eastAsia="Times New Roman" w:hAnsi="Times New Roman"/>
            <w:sz w:val="17"/>
            <w:szCs w:val="17"/>
            <w:u w:val="single" w:color="auto"/>
            <w:color w:val="0000EE"/>
          </w:rPr>
          <w:t>Annual Report on Form 10-K</w:t>
        </w:r>
      </w:hyperlink>
      <w:r>
        <w:rPr>
          <w:rFonts w:ascii="Times New Roman" w:cs="Times New Roman" w:eastAsia="Times New Roman" w:hAnsi="Times New Roman"/>
          <w:sz w:val="17"/>
          <w:szCs w:val="17"/>
          <w:color w:val="auto"/>
        </w:rPr>
        <w:t xml:space="preserve"> </w:t>
      </w:r>
      <w:hyperlink r:id="rId25">
        <w:r>
          <w:rPr>
            <w:rFonts w:ascii="Times New Roman" w:cs="Times New Roman" w:eastAsia="Times New Roman" w:hAnsi="Times New Roman"/>
            <w:sz w:val="17"/>
            <w:szCs w:val="17"/>
            <w:u w:val="single" w:color="auto"/>
            <w:color w:val="0000EE"/>
          </w:rPr>
          <w:t>for the fiscal year ended December 31, 2023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(File No. 001-14569) and in any of our subsequent quarterly or</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current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5" w:name="page6"/>
    <w:bookmarkEnd w:id="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306070</wp:posOffset>
            </wp:positionV>
            <wp:extent cx="5163820" cy="7450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163820" cy="7450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PROSPECTUS SUPPLEMENT SUMMARY</w:t>
      </w:r>
    </w:p>
    <w:p>
      <w:pPr>
        <w:spacing w:after="0" w:line="146" w:lineRule="exact"/>
        <w:rPr>
          <w:sz w:val="20"/>
          <w:szCs w:val="20"/>
          <w:color w:val="auto"/>
        </w:rPr>
      </w:pPr>
    </w:p>
    <w:p>
      <w:pPr>
        <w:ind w:left="1200" w:right="679" w:firstLine="337"/>
        <w:spacing w:after="0" w:line="251" w:lineRule="auto"/>
        <w:rPr>
          <w:rFonts w:ascii="Times New Roman" w:cs="Times New Roman" w:eastAsia="Times New Roman" w:hAnsi="Times New Roman"/>
          <w:sz w:val="17"/>
          <w:szCs w:val="17"/>
          <w:i w:val="1"/>
          <w:iCs w:val="1"/>
          <w:color w:val="0000EE"/>
        </w:rPr>
      </w:pPr>
      <w:r>
        <w:rPr>
          <w:rFonts w:ascii="Times New Roman" w:cs="Times New Roman" w:eastAsia="Times New Roman" w:hAnsi="Times New Roman"/>
          <w:sz w:val="17"/>
          <w:szCs w:val="17"/>
          <w:i w:val="1"/>
          <w:iCs w:val="1"/>
          <w:color w:val="auto"/>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S-4 of this prospectus supplement and in our </w:t>
      </w:r>
      <w:hyperlink r:id="rId25">
        <w:r>
          <w:rPr>
            <w:rFonts w:ascii="Times New Roman" w:cs="Times New Roman" w:eastAsia="Times New Roman" w:hAnsi="Times New Roman"/>
            <w:sz w:val="17"/>
            <w:szCs w:val="17"/>
            <w:i w:val="1"/>
            <w:iCs w:val="1"/>
            <w:u w:val="single" w:color="auto"/>
            <w:color w:val="0000EE"/>
          </w:rPr>
          <w:t>Annual Report on Form 10-K for the fiscal year ended December 31, 2023</w:t>
        </w:r>
        <w:r>
          <w:rPr>
            <w:rFonts w:ascii="Times New Roman" w:cs="Times New Roman" w:eastAsia="Times New Roman" w:hAnsi="Times New Roman"/>
            <w:sz w:val="17"/>
            <w:szCs w:val="17"/>
            <w:i w:val="1"/>
            <w:iCs w:val="1"/>
            <w:color w:val="0000EE"/>
          </w:rPr>
          <w:t xml:space="preserve"> </w:t>
        </w:r>
      </w:hyperlink>
      <w:r>
        <w:rPr>
          <w:rFonts w:ascii="Times New Roman" w:cs="Times New Roman" w:eastAsia="Times New Roman" w:hAnsi="Times New Roman"/>
          <w:sz w:val="17"/>
          <w:szCs w:val="17"/>
          <w:i w:val="1"/>
          <w:iCs w:val="1"/>
          <w:color w:val="000000"/>
        </w:rPr>
        <w:t>(File</w:t>
      </w:r>
      <w:r>
        <w:rPr>
          <w:rFonts w:ascii="Times New Roman" w:cs="Times New Roman" w:eastAsia="Times New Roman" w:hAnsi="Times New Roman"/>
          <w:sz w:val="17"/>
          <w:szCs w:val="17"/>
          <w:i w:val="1"/>
          <w:iCs w:val="1"/>
          <w:color w:val="0000EE"/>
        </w:rPr>
        <w:t xml:space="preserve"> </w:t>
      </w:r>
      <w:r>
        <w:rPr>
          <w:rFonts w:ascii="Times New Roman" w:cs="Times New Roman" w:eastAsia="Times New Roman" w:hAnsi="Times New Roman"/>
          <w:sz w:val="17"/>
          <w:szCs w:val="17"/>
          <w:i w:val="1"/>
          <w:iCs w:val="1"/>
          <w:color w:val="000000"/>
        </w:rPr>
        <w:t>No. 001-14569) and in any</w:t>
      </w:r>
      <w:r>
        <w:rPr>
          <w:rFonts w:ascii="Times New Roman" w:cs="Times New Roman" w:eastAsia="Times New Roman" w:hAnsi="Times New Roman"/>
          <w:sz w:val="17"/>
          <w:szCs w:val="17"/>
          <w:i w:val="1"/>
          <w:iCs w:val="1"/>
          <w:color w:val="0000EE"/>
        </w:rPr>
        <w:t xml:space="preserve"> </w:t>
      </w:r>
      <w:r>
        <w:rPr>
          <w:rFonts w:ascii="Times New Roman" w:cs="Times New Roman" w:eastAsia="Times New Roman" w:hAnsi="Times New Roman"/>
          <w:sz w:val="17"/>
          <w:szCs w:val="17"/>
          <w:i w:val="1"/>
          <w:iCs w:val="1"/>
          <w:color w:val="000000"/>
        </w:rPr>
        <w:t>of our subsequent quarterly or current reports, which are incorporated in this prospectus supplement by reference, for information regarding risks you should consider before making a decision to purchase any Notes in this offering.</w:t>
      </w:r>
    </w:p>
    <w:p>
      <w:pPr>
        <w:spacing w:after="0" w:line="321" w:lineRule="exact"/>
        <w:rPr>
          <w:sz w:val="20"/>
          <w:szCs w:val="20"/>
          <w:color w:val="auto"/>
        </w:rPr>
      </w:pPr>
    </w:p>
    <w:p>
      <w:pPr>
        <w:ind w:left="1200" w:right="719" w:firstLine="337"/>
        <w:spacing w:after="0" w:line="253" w:lineRule="auto"/>
        <w:rPr>
          <w:sz w:val="20"/>
          <w:szCs w:val="20"/>
          <w:color w:val="auto"/>
        </w:rPr>
      </w:pPr>
      <w:r>
        <w:rPr>
          <w:rFonts w:ascii="Times New Roman" w:cs="Times New Roman" w:eastAsia="Times New Roman" w:hAnsi="Times New Roman"/>
          <w:sz w:val="17"/>
          <w:szCs w:val="17"/>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37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Plains All American Pipeline, L.P.</w:t>
      </w:r>
    </w:p>
    <w:p>
      <w:pPr>
        <w:spacing w:after="0" w:line="137" w:lineRule="exact"/>
        <w:rPr>
          <w:sz w:val="20"/>
          <w:szCs w:val="20"/>
          <w:color w:val="auto"/>
        </w:rPr>
      </w:pPr>
    </w:p>
    <w:p>
      <w:pPr>
        <w:ind w:left="1200" w:right="939" w:firstLine="337"/>
        <w:spacing w:after="0" w:line="252" w:lineRule="auto"/>
        <w:rPr>
          <w:sz w:val="20"/>
          <w:szCs w:val="20"/>
          <w:color w:val="auto"/>
        </w:rPr>
      </w:pPr>
      <w:r>
        <w:rPr>
          <w:rFonts w:ascii="Times New Roman" w:cs="Times New Roman" w:eastAsia="Times New Roman" w:hAnsi="Times New Roman"/>
          <w:sz w:val="17"/>
          <w:szCs w:val="17"/>
          <w:color w:val="auto"/>
        </w:rPr>
        <w:t>We are a publicly traded Delaware limited partnership.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 and conducted through two operating segments: Crude Oil and NGL.</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Our Principal Executive Offices</w:t>
      </w:r>
    </w:p>
    <w:p>
      <w:pPr>
        <w:spacing w:after="0" w:line="150" w:lineRule="exact"/>
        <w:rPr>
          <w:sz w:val="20"/>
          <w:szCs w:val="20"/>
          <w:color w:val="auto"/>
        </w:rPr>
      </w:pPr>
    </w:p>
    <w:p>
      <w:pPr>
        <w:ind w:left="1200" w:right="699" w:firstLine="337"/>
        <w:spacing w:after="0" w:line="256" w:lineRule="auto"/>
        <w:rPr>
          <w:sz w:val="20"/>
          <w:szCs w:val="20"/>
          <w:color w:val="auto"/>
        </w:rPr>
      </w:pPr>
      <w:r>
        <w:rPr>
          <w:rFonts w:ascii="Times New Roman" w:cs="Times New Roman" w:eastAsia="Times New Roman" w:hAnsi="Times New Roman"/>
          <w:sz w:val="17"/>
          <w:szCs w:val="17"/>
          <w:color w:val="auto"/>
        </w:rPr>
        <w:t xml:space="preserve">Our executive offices are located at 333 Clay Street, Suite 1600, Houston, Texas 77002. Our telephone number is (713) 646-4100. We maintain a website at </w:t>
      </w:r>
      <w:r>
        <w:rPr>
          <w:rFonts w:ascii="Times New Roman" w:cs="Times New Roman" w:eastAsia="Times New Roman" w:hAnsi="Times New Roman"/>
          <w:sz w:val="17"/>
          <w:szCs w:val="17"/>
          <w:i w:val="1"/>
          <w:iCs w:val="1"/>
          <w:color w:val="auto"/>
        </w:rPr>
        <w:t>www.plains.com</w:t>
      </w:r>
      <w:r>
        <w:rPr>
          <w:rFonts w:ascii="Times New Roman" w:cs="Times New Roman" w:eastAsia="Times New Roman" w:hAnsi="Times New Roman"/>
          <w:sz w:val="17"/>
          <w:szCs w:val="17"/>
          <w:color w:val="auto"/>
        </w:rPr>
        <w:t xml:space="preserve">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3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150" w:lineRule="exact"/>
        <w:rPr>
          <w:sz w:val="20"/>
          <w:szCs w:val="20"/>
          <w:color w:val="auto"/>
        </w:rPr>
      </w:pPr>
    </w:p>
    <w:p>
      <w:pPr>
        <w:ind w:left="1200" w:right="799" w:firstLine="337"/>
        <w:spacing w:after="0" w:line="253"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For additional information about us, including our partnership structure and management, please refer to the documents set forth under “Where You Can Find More Information” in this prospectus supplement, </w:t>
      </w:r>
      <w:hyperlink r:id="rId28">
        <w:r>
          <w:rPr>
            <w:rFonts w:ascii="Times New Roman" w:cs="Times New Roman" w:eastAsia="Times New Roman" w:hAnsi="Times New Roman"/>
            <w:sz w:val="17"/>
            <w:szCs w:val="17"/>
            <w:color w:val="auto"/>
          </w:rPr>
          <w:t xml:space="preserve">including our </w:t>
        </w:r>
        <w:r>
          <w:rPr>
            <w:rFonts w:ascii="Times New Roman" w:cs="Times New Roman" w:eastAsia="Times New Roman" w:hAnsi="Times New Roman"/>
            <w:sz w:val="17"/>
            <w:szCs w:val="17"/>
            <w:u w:val="single" w:color="auto"/>
            <w:color w:val="0000EE"/>
          </w:rPr>
          <w:t>Annual Report on Form 10-K for the fiscal year ended December 31, 2023</w:t>
        </w:r>
        <w:r>
          <w:rPr>
            <w:rFonts w:ascii="Times New Roman" w:cs="Times New Roman" w:eastAsia="Times New Roman" w:hAnsi="Times New Roman"/>
            <w:sz w:val="17"/>
            <w:szCs w:val="17"/>
            <w:color w:val="auto"/>
          </w:rPr>
          <w:t xml:space="preserve">, our </w:t>
        </w:r>
        <w:r>
          <w:rPr>
            <w:rFonts w:ascii="Times New Roman" w:cs="Times New Roman" w:eastAsia="Times New Roman" w:hAnsi="Times New Roman"/>
            <w:sz w:val="17"/>
            <w:szCs w:val="17"/>
            <w:u w:val="single" w:color="auto"/>
            <w:color w:val="0000EE"/>
          </w:rPr>
          <w:t>Quarterly</w:t>
        </w:r>
      </w:hyperlink>
      <w:r>
        <w:rPr>
          <w:rFonts w:ascii="Times New Roman" w:cs="Times New Roman" w:eastAsia="Times New Roman" w:hAnsi="Times New Roman"/>
          <w:sz w:val="17"/>
          <w:szCs w:val="17"/>
          <w:color w:val="auto"/>
        </w:rPr>
        <w:t xml:space="preserve"> </w:t>
      </w:r>
      <w:hyperlink r:id="rId28">
        <w:r>
          <w:rPr>
            <w:rFonts w:ascii="Times New Roman" w:cs="Times New Roman" w:eastAsia="Times New Roman" w:hAnsi="Times New Roman"/>
            <w:sz w:val="17"/>
            <w:szCs w:val="17"/>
            <w:u w:val="single" w:color="auto"/>
            <w:color w:val="0000EE"/>
          </w:rPr>
          <w:t>Report on Form 10-Q for the quarter ended March 31, 2024</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 any subsequent Quarterly Report on</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Form 10-Q and Current Reports on Form 8-K (other than, in each case, information furnished rather than filed),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6" w:name="page7"/>
    <w:bookmarkEnd w:id="6"/>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306070</wp:posOffset>
            </wp:positionV>
            <wp:extent cx="5163820" cy="7466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5163820" cy="746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146" w:lineRule="exact"/>
        <w:rPr>
          <w:sz w:val="20"/>
          <w:szCs w:val="20"/>
          <w:color w:val="auto"/>
        </w:rPr>
      </w:pPr>
    </w:p>
    <w:p>
      <w:pPr>
        <w:ind w:left="1200" w:right="1360"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80" w:type="dxa"/>
            <w:vAlign w:val="bottom"/>
          </w:tcPr>
          <w:p>
            <w:pPr>
              <w:spacing w:after="0"/>
              <w:rPr>
                <w:sz w:val="18"/>
                <w:szCs w:val="18"/>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Issuers</w:t>
            </w: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Plains All American Pipeline, L.P. and PAA Finance Corp.</w:t>
            </w:r>
          </w:p>
        </w:tc>
        <w:tc>
          <w:tcPr>
            <w:tcW w:w="940" w:type="dxa"/>
            <w:vAlign w:val="bottom"/>
          </w:tcPr>
          <w:p>
            <w:pPr>
              <w:spacing w:after="0"/>
              <w:rPr>
                <w:sz w:val="18"/>
                <w:szCs w:val="18"/>
                <w:color w:val="auto"/>
              </w:rPr>
            </w:pPr>
          </w:p>
        </w:tc>
      </w:tr>
      <w:tr>
        <w:trPr>
          <w:trHeight w:val="325"/>
        </w:trPr>
        <w:tc>
          <w:tcPr>
            <w:tcW w:w="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PAA Finance Corp., a Delaware corporation, is a wholly owned</w:t>
            </w:r>
          </w:p>
        </w:tc>
        <w:tc>
          <w:tcPr>
            <w:tcW w:w="940" w:type="dxa"/>
            <w:vAlign w:val="bottom"/>
          </w:tcPr>
          <w:p>
            <w:pPr>
              <w:spacing w:after="0"/>
              <w:rPr>
                <w:sz w:val="24"/>
                <w:szCs w:val="24"/>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subsidiary of Plains All American Pipeline, L.P. that has been</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organized for the purpose of co-issuing our existing notes, the Notes</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offered hereby and the notes issued in any future offerings. PAA</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Finance Corp. does not have operations of any kind and will not</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have any revenue other than as may be incidental to its activities as</w:t>
            </w:r>
          </w:p>
        </w:tc>
        <w:tc>
          <w:tcPr>
            <w:tcW w:w="940" w:type="dxa"/>
            <w:vAlign w:val="bottom"/>
          </w:tcPr>
          <w:p>
            <w:pPr>
              <w:spacing w:after="0"/>
              <w:rPr>
                <w:sz w:val="17"/>
                <w:szCs w:val="17"/>
                <w:color w:val="auto"/>
              </w:rPr>
            </w:pPr>
          </w:p>
        </w:tc>
      </w:tr>
      <w:tr>
        <w:trPr>
          <w:trHeight w:val="218"/>
        </w:trPr>
        <w:tc>
          <w:tcPr>
            <w:tcW w:w="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a co-issuer of our debt securities.</w:t>
            </w:r>
          </w:p>
        </w:tc>
        <w:tc>
          <w:tcPr>
            <w:tcW w:w="940" w:type="dxa"/>
            <w:vAlign w:val="bottom"/>
          </w:tcPr>
          <w:p>
            <w:pPr>
              <w:spacing w:after="0"/>
              <w:rPr>
                <w:sz w:val="18"/>
                <w:szCs w:val="18"/>
                <w:color w:val="auto"/>
              </w:rPr>
            </w:pPr>
          </w:p>
        </w:tc>
      </w:tr>
      <w:tr>
        <w:trPr>
          <w:trHeight w:val="287"/>
        </w:trPr>
        <w:tc>
          <w:tcPr>
            <w:tcW w:w="98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Future Guarantees</w:t>
            </w: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Initially, the Notes will not be guaranteed by any subsidiaries of the</w:t>
            </w:r>
          </w:p>
        </w:tc>
        <w:tc>
          <w:tcPr>
            <w:tcW w:w="940" w:type="dxa"/>
            <w:vAlign w:val="bottom"/>
          </w:tcPr>
          <w:p>
            <w:pPr>
              <w:spacing w:after="0"/>
              <w:rPr>
                <w:sz w:val="24"/>
                <w:szCs w:val="24"/>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issuers. In the future, however, if any subsidiary guarantees any of</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the issuers’ other debt, then such subsidiary will, jointly and</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severally, fully and unconditionally guarantee the issuers’ payment</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obligations under the Notes. See “Description of Notes — Possible</w:t>
            </w:r>
          </w:p>
        </w:tc>
        <w:tc>
          <w:tcPr>
            <w:tcW w:w="940" w:type="dxa"/>
            <w:vAlign w:val="bottom"/>
          </w:tcPr>
          <w:p>
            <w:pPr>
              <w:spacing w:after="0"/>
              <w:rPr>
                <w:sz w:val="17"/>
                <w:szCs w:val="17"/>
                <w:color w:val="auto"/>
              </w:rPr>
            </w:pPr>
          </w:p>
        </w:tc>
      </w:tr>
      <w:tr>
        <w:trPr>
          <w:trHeight w:val="218"/>
        </w:trPr>
        <w:tc>
          <w:tcPr>
            <w:tcW w:w="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Future Guarantees.”</w:t>
            </w:r>
          </w:p>
        </w:tc>
        <w:tc>
          <w:tcPr>
            <w:tcW w:w="940" w:type="dxa"/>
            <w:vAlign w:val="bottom"/>
          </w:tcPr>
          <w:p>
            <w:pPr>
              <w:spacing w:after="0"/>
              <w:rPr>
                <w:sz w:val="18"/>
                <w:szCs w:val="18"/>
                <w:color w:val="auto"/>
              </w:rPr>
            </w:pPr>
          </w:p>
        </w:tc>
      </w:tr>
      <w:tr>
        <w:trPr>
          <w:trHeight w:val="287"/>
        </w:trPr>
        <w:tc>
          <w:tcPr>
            <w:tcW w:w="98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Notes Offered</w:t>
            </w: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$650 million aggregate principal amount of 5.700% Senior Notes</w:t>
            </w:r>
          </w:p>
        </w:tc>
        <w:tc>
          <w:tcPr>
            <w:tcW w:w="940" w:type="dxa"/>
            <w:vAlign w:val="bottom"/>
          </w:tcPr>
          <w:p>
            <w:pPr>
              <w:spacing w:after="0"/>
              <w:rPr>
                <w:sz w:val="24"/>
                <w:szCs w:val="24"/>
                <w:color w:val="auto"/>
              </w:rPr>
            </w:pPr>
          </w:p>
        </w:tc>
      </w:tr>
      <w:tr>
        <w:trPr>
          <w:trHeight w:val="218"/>
        </w:trPr>
        <w:tc>
          <w:tcPr>
            <w:tcW w:w="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due 2034.</w:t>
            </w:r>
          </w:p>
        </w:tc>
        <w:tc>
          <w:tcPr>
            <w:tcW w:w="940" w:type="dxa"/>
            <w:vAlign w:val="bottom"/>
          </w:tcPr>
          <w:p>
            <w:pPr>
              <w:spacing w:after="0"/>
              <w:rPr>
                <w:sz w:val="18"/>
                <w:szCs w:val="18"/>
                <w:color w:val="auto"/>
              </w:rPr>
            </w:pPr>
          </w:p>
        </w:tc>
      </w:tr>
      <w:tr>
        <w:trPr>
          <w:trHeight w:val="303"/>
        </w:trPr>
        <w:tc>
          <w:tcPr>
            <w:tcW w:w="98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Maturity Date</w:t>
            </w: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September 15, 2034.</w:t>
            </w:r>
          </w:p>
        </w:tc>
        <w:tc>
          <w:tcPr>
            <w:tcW w:w="940" w:type="dxa"/>
            <w:vAlign w:val="bottom"/>
          </w:tcPr>
          <w:p>
            <w:pPr>
              <w:spacing w:after="0"/>
              <w:rPr>
                <w:sz w:val="24"/>
                <w:szCs w:val="24"/>
                <w:color w:val="auto"/>
              </w:rPr>
            </w:pPr>
          </w:p>
        </w:tc>
      </w:tr>
      <w:tr>
        <w:trPr>
          <w:trHeight w:val="303"/>
        </w:trPr>
        <w:tc>
          <w:tcPr>
            <w:tcW w:w="98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Rate</w:t>
            </w: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5.700%.</w:t>
            </w:r>
          </w:p>
        </w:tc>
        <w:tc>
          <w:tcPr>
            <w:tcW w:w="940" w:type="dxa"/>
            <w:vAlign w:val="bottom"/>
          </w:tcPr>
          <w:p>
            <w:pPr>
              <w:spacing w:after="0"/>
              <w:rPr>
                <w:sz w:val="24"/>
                <w:szCs w:val="24"/>
                <w:color w:val="auto"/>
              </w:rPr>
            </w:pPr>
          </w:p>
        </w:tc>
      </w:tr>
      <w:tr>
        <w:trPr>
          <w:trHeight w:val="287"/>
        </w:trPr>
        <w:tc>
          <w:tcPr>
            <w:tcW w:w="98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Payment Dates</w:t>
            </w: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We will pay interest on the Notes semi-annually in arrears on</w:t>
            </w:r>
          </w:p>
        </w:tc>
        <w:tc>
          <w:tcPr>
            <w:tcW w:w="940" w:type="dxa"/>
            <w:vAlign w:val="bottom"/>
          </w:tcPr>
          <w:p>
            <w:pPr>
              <w:spacing w:after="0"/>
              <w:rPr>
                <w:sz w:val="24"/>
                <w:szCs w:val="24"/>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March 15 and September 15 of each year, beginning on March 15,</w:t>
            </w:r>
          </w:p>
        </w:tc>
        <w:tc>
          <w:tcPr>
            <w:tcW w:w="940" w:type="dxa"/>
            <w:vAlign w:val="bottom"/>
          </w:tcPr>
          <w:p>
            <w:pPr>
              <w:spacing w:after="0"/>
              <w:rPr>
                <w:sz w:val="17"/>
                <w:szCs w:val="17"/>
                <w:color w:val="auto"/>
              </w:rPr>
            </w:pPr>
          </w:p>
        </w:tc>
      </w:tr>
      <w:tr>
        <w:trPr>
          <w:trHeight w:val="218"/>
        </w:trPr>
        <w:tc>
          <w:tcPr>
            <w:tcW w:w="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2025.</w:t>
            </w:r>
          </w:p>
        </w:tc>
        <w:tc>
          <w:tcPr>
            <w:tcW w:w="940" w:type="dxa"/>
            <w:vAlign w:val="bottom"/>
          </w:tcPr>
          <w:p>
            <w:pPr>
              <w:spacing w:after="0"/>
              <w:rPr>
                <w:sz w:val="18"/>
                <w:szCs w:val="18"/>
                <w:color w:val="auto"/>
              </w:rPr>
            </w:pPr>
          </w:p>
        </w:tc>
      </w:tr>
      <w:tr>
        <w:trPr>
          <w:trHeight w:val="287"/>
        </w:trPr>
        <w:tc>
          <w:tcPr>
            <w:tcW w:w="98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Optional Redemption</w:t>
            </w: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We may redeem the Notes, in whole or in part, at any time and from</w:t>
            </w:r>
          </w:p>
        </w:tc>
        <w:tc>
          <w:tcPr>
            <w:tcW w:w="940" w:type="dxa"/>
            <w:vAlign w:val="bottom"/>
          </w:tcPr>
          <w:p>
            <w:pPr>
              <w:spacing w:after="0"/>
              <w:rPr>
                <w:sz w:val="24"/>
                <w:szCs w:val="24"/>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time to time prior to maturity. If we redeem the Notes before</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June 15, 2034 (three months prior to the maturity date, which we</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refer to as the “Par Call Date”), then the redemption price will equal</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the applicable make-whole price described in this prospectus</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supplement under “Description of Notes — Optional Redemption.”</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If we redeem the Notes on or after the Par Call Date, we will pay an</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amount equal to 100% of the principal amount of the Notes to be</w:t>
            </w:r>
          </w:p>
        </w:tc>
        <w:tc>
          <w:tcPr>
            <w:tcW w:w="94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redeemed plus accrued and unpaid interest to the redemption date.</w:t>
            </w:r>
          </w:p>
        </w:tc>
        <w:tc>
          <w:tcPr>
            <w:tcW w:w="940" w:type="dxa"/>
            <w:vAlign w:val="bottom"/>
          </w:tcPr>
          <w:p>
            <w:pPr>
              <w:spacing w:after="0"/>
              <w:rPr>
                <w:sz w:val="17"/>
                <w:szCs w:val="17"/>
                <w:color w:val="auto"/>
              </w:rPr>
            </w:pPr>
          </w:p>
        </w:tc>
      </w:tr>
      <w:tr>
        <w:trPr>
          <w:trHeight w:val="218"/>
        </w:trPr>
        <w:tc>
          <w:tcPr>
            <w:tcW w:w="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See “Description of Notes — Optional Redemption.”</w:t>
            </w:r>
          </w:p>
        </w:tc>
        <w:tc>
          <w:tcPr>
            <w:tcW w:w="940" w:type="dxa"/>
            <w:vAlign w:val="bottom"/>
          </w:tcPr>
          <w:p>
            <w:pPr>
              <w:spacing w:after="0"/>
              <w:rPr>
                <w:sz w:val="18"/>
                <w:szCs w:val="18"/>
                <w:color w:val="auto"/>
              </w:rPr>
            </w:pPr>
          </w:p>
        </w:tc>
      </w:tr>
      <w:tr>
        <w:trPr>
          <w:trHeight w:val="287"/>
        </w:trPr>
        <w:tc>
          <w:tcPr>
            <w:tcW w:w="98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Ranking</w:t>
            </w: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The Notes will be senior unsecured obligations of the issuers and</w:t>
            </w:r>
          </w:p>
        </w:tc>
        <w:tc>
          <w:tcPr>
            <w:tcW w:w="940" w:type="dxa"/>
            <w:vAlign w:val="bottom"/>
          </w:tcPr>
          <w:p>
            <w:pPr>
              <w:spacing w:after="0"/>
              <w:rPr>
                <w:sz w:val="24"/>
                <w:szCs w:val="24"/>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will rank equally in right of payment with the existing and future</w:t>
            </w:r>
          </w:p>
        </w:tc>
        <w:tc>
          <w:tcPr>
            <w:tcW w:w="940" w:type="dxa"/>
            <w:vAlign w:val="bottom"/>
          </w:tcPr>
          <w:p>
            <w:pPr>
              <w:spacing w:after="0"/>
              <w:rPr>
                <w:sz w:val="17"/>
                <w:szCs w:val="17"/>
                <w:color w:val="auto"/>
              </w:rPr>
            </w:pPr>
          </w:p>
        </w:tc>
      </w:tr>
      <w:tr>
        <w:trPr>
          <w:trHeight w:val="218"/>
        </w:trPr>
        <w:tc>
          <w:tcPr>
            <w:tcW w:w="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senior indebtedness of the issuers.</w:t>
            </w:r>
          </w:p>
        </w:tc>
        <w:tc>
          <w:tcPr>
            <w:tcW w:w="940" w:type="dxa"/>
            <w:vAlign w:val="bottom"/>
          </w:tcPr>
          <w:p>
            <w:pPr>
              <w:spacing w:after="0"/>
              <w:rPr>
                <w:sz w:val="18"/>
                <w:szCs w:val="18"/>
                <w:color w:val="auto"/>
              </w:rPr>
            </w:pPr>
          </w:p>
        </w:tc>
      </w:tr>
      <w:tr>
        <w:trPr>
          <w:trHeight w:val="287"/>
        </w:trPr>
        <w:tc>
          <w:tcPr>
            <w:tcW w:w="98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Certain Covenants</w:t>
            </w: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The Notes will be issued under an indenture containing covenants</w:t>
            </w:r>
          </w:p>
        </w:tc>
        <w:tc>
          <w:tcPr>
            <w:tcW w:w="940" w:type="dxa"/>
            <w:vAlign w:val="bottom"/>
          </w:tcPr>
          <w:p>
            <w:pPr>
              <w:spacing w:after="0"/>
              <w:rPr>
                <w:sz w:val="24"/>
                <w:szCs w:val="24"/>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for your benefit. These covenants restrict our ability, with certain</w:t>
            </w:r>
          </w:p>
        </w:tc>
        <w:tc>
          <w:tcPr>
            <w:tcW w:w="940" w:type="dxa"/>
            <w:vAlign w:val="bottom"/>
          </w:tcPr>
          <w:p>
            <w:pPr>
              <w:spacing w:after="0"/>
              <w:rPr>
                <w:sz w:val="17"/>
                <w:szCs w:val="17"/>
                <w:color w:val="auto"/>
              </w:rPr>
            </w:pPr>
          </w:p>
        </w:tc>
      </w:tr>
      <w:tr>
        <w:trPr>
          <w:trHeight w:val="218"/>
        </w:trPr>
        <w:tc>
          <w:tcPr>
            <w:tcW w:w="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exceptions, to:</w:t>
            </w:r>
          </w:p>
        </w:tc>
        <w:tc>
          <w:tcPr>
            <w:tcW w:w="940" w:type="dxa"/>
            <w:vAlign w:val="bottom"/>
          </w:tcPr>
          <w:p>
            <w:pPr>
              <w:spacing w:after="0"/>
              <w:rPr>
                <w:sz w:val="18"/>
                <w:szCs w:val="18"/>
                <w:color w:val="auto"/>
              </w:rPr>
            </w:pPr>
          </w:p>
        </w:tc>
      </w:tr>
      <w:tr>
        <w:trPr>
          <w:trHeight w:val="354"/>
        </w:trPr>
        <w:tc>
          <w:tcPr>
            <w:tcW w:w="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incur liens on principal properties to secure debt;</w:t>
            </w:r>
          </w:p>
        </w:tc>
        <w:tc>
          <w:tcPr>
            <w:tcW w:w="940" w:type="dxa"/>
            <w:vAlign w:val="bottom"/>
          </w:tcPr>
          <w:p>
            <w:pPr>
              <w:spacing w:after="0"/>
              <w:rPr>
                <w:sz w:val="24"/>
                <w:szCs w:val="24"/>
                <w:color w:val="auto"/>
              </w:rPr>
            </w:pPr>
          </w:p>
        </w:tc>
      </w:tr>
      <w:tr>
        <w:trPr>
          <w:trHeight w:val="354"/>
        </w:trPr>
        <w:tc>
          <w:tcPr>
            <w:tcW w:w="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engage in sale-leaseback transactions; and</w:t>
            </w:r>
          </w:p>
        </w:tc>
        <w:tc>
          <w:tcPr>
            <w:tcW w:w="940" w:type="dxa"/>
            <w:vAlign w:val="bottom"/>
          </w:tcPr>
          <w:p>
            <w:pPr>
              <w:spacing w:after="0"/>
              <w:rPr>
                <w:sz w:val="24"/>
                <w:szCs w:val="24"/>
                <w:color w:val="auto"/>
              </w:rPr>
            </w:pPr>
          </w:p>
        </w:tc>
      </w:tr>
      <w:tr>
        <w:trPr>
          <w:trHeight w:val="338"/>
        </w:trPr>
        <w:tc>
          <w:tcPr>
            <w:tcW w:w="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merge or consolidate with another entity or sell, lease or</w:t>
            </w:r>
          </w:p>
        </w:tc>
        <w:tc>
          <w:tcPr>
            <w:tcW w:w="940" w:type="dxa"/>
            <w:vAlign w:val="bottom"/>
          </w:tcPr>
          <w:p>
            <w:pPr>
              <w:spacing w:after="0"/>
              <w:rPr>
                <w:sz w:val="24"/>
                <w:szCs w:val="24"/>
                <w:color w:val="auto"/>
              </w:rPr>
            </w:pPr>
          </w:p>
        </w:tc>
      </w:tr>
      <w:tr>
        <w:trPr>
          <w:trHeight w:val="202"/>
        </w:trPr>
        <w:tc>
          <w:tcPr>
            <w:tcW w:w="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transfer substantially all of our properties or assets to another</w:t>
            </w:r>
          </w:p>
        </w:tc>
        <w:tc>
          <w:tcPr>
            <w:tcW w:w="940" w:type="dxa"/>
            <w:vAlign w:val="bottom"/>
          </w:tcPr>
          <w:p>
            <w:pPr>
              <w:spacing w:after="0"/>
              <w:rPr>
                <w:sz w:val="17"/>
                <w:szCs w:val="17"/>
                <w:color w:val="auto"/>
              </w:rPr>
            </w:pPr>
          </w:p>
        </w:tc>
      </w:tr>
      <w:tr>
        <w:trPr>
          <w:trHeight w:val="218"/>
        </w:trPr>
        <w:tc>
          <w:tcPr>
            <w:tcW w:w="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entity.</w:t>
            </w:r>
          </w:p>
        </w:tc>
        <w:tc>
          <w:tcPr>
            <w:tcW w:w="940" w:type="dxa"/>
            <w:vAlign w:val="bottom"/>
          </w:tcPr>
          <w:p>
            <w:pPr>
              <w:spacing w:after="0"/>
              <w:rPr>
                <w:sz w:val="18"/>
                <w:szCs w:val="18"/>
                <w:color w:val="auto"/>
              </w:rPr>
            </w:pPr>
          </w:p>
        </w:tc>
      </w:tr>
      <w:tr>
        <w:trPr>
          <w:trHeight w:val="287"/>
        </w:trPr>
        <w:tc>
          <w:tcPr>
            <w:tcW w:w="980" w:type="dxa"/>
            <w:vAlign w:val="bottom"/>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r>
      <w:tr>
        <w:trPr>
          <w:trHeight w:val="274"/>
        </w:trPr>
        <w:tc>
          <w:tcPr>
            <w:tcW w:w="9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S-2</w:t>
            </w:r>
          </w:p>
        </w:tc>
        <w:tc>
          <w:tcPr>
            <w:tcW w:w="940" w:type="dxa"/>
            <w:vAlign w:val="bottom"/>
          </w:tcPr>
          <w:p>
            <w:pPr>
              <w:spacing w:after="0"/>
              <w:rPr>
                <w:sz w:val="23"/>
                <w:szCs w:val="23"/>
                <w:color w:val="auto"/>
              </w:rPr>
            </w:pPr>
          </w:p>
        </w:tc>
      </w:tr>
      <w:tr>
        <w:trPr>
          <w:trHeight w:val="385"/>
        </w:trPr>
        <w:tc>
          <w:tcPr>
            <w:tcW w:w="9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-27940</wp:posOffset>
            </wp:positionV>
            <wp:extent cx="3365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-27940</wp:posOffset>
            </wp:positionV>
            <wp:extent cx="3365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40"/>
          </w:cols>
          <w:pgMar w:left="920" w:top="101" w:right="939" w:bottom="1440" w:gutter="0" w:footer="0" w:header="0"/>
        </w:sectPr>
      </w:pPr>
    </w:p>
    <w:bookmarkStart w:id="7" w:name="page8"/>
    <w:bookmarkEnd w:id="7"/>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306070</wp:posOffset>
            </wp:positionV>
            <wp:extent cx="5163820" cy="7450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163820" cy="7450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color w:val="auto"/>
        </w:rPr>
        <w:t>See “Description of Notes — Covenants.”</w:t>
      </w:r>
    </w:p>
    <w:p>
      <w:pPr>
        <w:sectPr>
          <w:pgSz w:w="11900" w:h="16838" w:orient="portrait"/>
          <w:cols w:equalWidth="0" w:num="1">
            <w:col w:w="9539"/>
          </w:cols>
          <w:pgMar w:left="920" w:top="101" w:right="1440" w:bottom="1440" w:gutter="0" w:footer="0" w:header="0"/>
        </w:sectPr>
      </w:pPr>
    </w:p>
    <w:p>
      <w:pPr>
        <w:spacing w:after="0" w:line="1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net proceeds of this offering will be approximately $643.3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after deducting the underwriting discount and our estimated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expenses. We intend to use the net proceeds from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together with cash on hand, to repay all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$750 million outstanding principal amount of our 3.60% senior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due 2024 (“2024 senior notes”), together with any accrued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unpaid interest, on or prior to their maturity date in November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pending such repayment, for general partnership purposes,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may include, among other things, intra-group lending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transactions, repayment of indebtedness, acquisitions, capital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expenditures and additions to working capital.</w:t>
      </w:r>
    </w:p>
    <w:p>
      <w:pPr>
        <w:spacing w:after="0" w:line="130" w:lineRule="exact"/>
        <w:rPr>
          <w:sz w:val="20"/>
          <w:szCs w:val="20"/>
          <w:color w:val="auto"/>
        </w:rPr>
      </w:pPr>
    </w:p>
    <w:p>
      <w:pPr>
        <w:sectPr>
          <w:pgSz w:w="11900" w:h="16838" w:orient="portrait"/>
          <w:cols w:equalWidth="0" w:num="2">
            <w:col w:w="3320" w:space="720"/>
            <w:col w:w="5499"/>
          </w:cols>
          <w:pgMar w:left="920" w:top="101" w:right="1440" w:bottom="1440" w:gutter="0" w:footer="0" w:header="0"/>
          <w:type w:val="continuous"/>
        </w:sectPr>
      </w:pPr>
    </w:p>
    <w:p>
      <w:pPr>
        <w:ind w:left="4040" w:right="679"/>
        <w:spacing w:after="0" w:line="257" w:lineRule="auto"/>
        <w:rPr>
          <w:sz w:val="20"/>
          <w:szCs w:val="20"/>
          <w:color w:val="auto"/>
        </w:rPr>
      </w:pPr>
      <w:r>
        <w:rPr>
          <w:rFonts w:ascii="Times New Roman" w:cs="Times New Roman" w:eastAsia="Times New Roman" w:hAnsi="Times New Roman"/>
          <w:sz w:val="17"/>
          <w:szCs w:val="17"/>
          <w:color w:val="auto"/>
        </w:rPr>
        <w:t>Certain of the underwriters or their affiliates may hold our 2024 senior notes to be repaid with proceeds from this offering and, accordingly, may receive a substantial portion of the net proceeds of this offering. See “Use of Proceeds.”</w:t>
      </w:r>
    </w:p>
    <w:p>
      <w:pPr>
        <w:sectPr>
          <w:pgSz w:w="11900" w:h="16838" w:orient="portrait"/>
          <w:cols w:equalWidth="0" w:num="1">
            <w:col w:w="9539"/>
          </w:cols>
          <w:pgMar w:left="920" w:top="101" w:right="1440" w:bottom="1440" w:gutter="0" w:footer="0" w:header="0"/>
          <w:type w:val="continuous"/>
        </w:sectPr>
      </w:pPr>
    </w:p>
    <w:p>
      <w:pPr>
        <w:spacing w:after="0" w:line="7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Book-Entry, Delivery and</w:t>
      </w:r>
    </w:p>
    <w:p>
      <w:pPr>
        <w:spacing w:after="0" w:line="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Form</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819"/>
        <w:spacing w:after="0" w:line="257" w:lineRule="auto"/>
        <w:rPr>
          <w:sz w:val="20"/>
          <w:szCs w:val="20"/>
          <w:color w:val="auto"/>
        </w:rPr>
      </w:pPr>
      <w:r>
        <w:rPr>
          <w:rFonts w:ascii="Times New Roman" w:cs="Times New Roman" w:eastAsia="Times New Roman" w:hAnsi="Times New Roman"/>
          <w:sz w:val="17"/>
          <w:szCs w:val="17"/>
          <w:color w:val="auto"/>
        </w:rPr>
        <w:t>The Notes will be represented by one or more permanent global certificates in fully registered form deposited with a custodian for, and registered in the name of, a nominee of The Depository Trust Company.</w:t>
      </w:r>
    </w:p>
    <w:p>
      <w:pPr>
        <w:spacing w:after="0" w:line="72" w:lineRule="exact"/>
        <w:rPr>
          <w:sz w:val="20"/>
          <w:szCs w:val="20"/>
          <w:color w:val="auto"/>
        </w:rPr>
      </w:pPr>
    </w:p>
    <w:p>
      <w:pPr>
        <w:sectPr>
          <w:pgSz w:w="11900" w:h="16838" w:orient="portrait"/>
          <w:cols w:equalWidth="0" w:num="2">
            <w:col w:w="3320" w:space="720"/>
            <w:col w:w="5499"/>
          </w:cols>
          <w:pgMar w:left="920" w:top="101"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Further Issuances</w:t>
      </w:r>
    </w:p>
    <w:p>
      <w:pPr>
        <w:spacing w:after="0" w:line="20" w:lineRule="exact"/>
        <w:rPr>
          <w:sz w:val="20"/>
          <w:szCs w:val="20"/>
          <w:color w:val="auto"/>
        </w:rPr>
      </w:pPr>
      <w:r>
        <w:rPr>
          <w:sz w:val="20"/>
          <w:szCs w:val="20"/>
          <w:color w:val="auto"/>
        </w:rPr>
        <w:br w:type="column"/>
      </w:r>
    </w:p>
    <w:p>
      <w:pPr>
        <w:ind w:right="799"/>
        <w:spacing w:after="0" w:line="252" w:lineRule="auto"/>
        <w:rPr>
          <w:sz w:val="20"/>
          <w:szCs w:val="20"/>
          <w:color w:val="auto"/>
        </w:rPr>
      </w:pPr>
      <w:r>
        <w:rPr>
          <w:rFonts w:ascii="Times New Roman" w:cs="Times New Roman" w:eastAsia="Times New Roman" w:hAnsi="Times New Roman"/>
          <w:sz w:val="17"/>
          <w:szCs w:val="17"/>
          <w:color w:val="auto"/>
        </w:rPr>
        <w:t>We may create and issue additional Notes ranking equally and ratably with the Notes offered by this prospectus supplement in all respects, so that such 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w:t>
      </w:r>
    </w:p>
    <w:p>
      <w:pPr>
        <w:spacing w:after="0" w:line="79" w:lineRule="exact"/>
        <w:rPr>
          <w:sz w:val="20"/>
          <w:szCs w:val="20"/>
          <w:color w:val="auto"/>
        </w:rPr>
      </w:pPr>
    </w:p>
    <w:p>
      <w:pPr>
        <w:sectPr>
          <w:pgSz w:w="11900" w:h="16838" w:orient="portrait"/>
          <w:cols w:equalWidth="0" w:num="2">
            <w:col w:w="3320" w:space="720"/>
            <w:col w:w="5499"/>
          </w:cols>
          <w:pgMar w:left="920" w:top="101"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No Listing</w:t>
      </w:r>
    </w:p>
    <w:p>
      <w:pPr>
        <w:spacing w:after="0" w:line="20" w:lineRule="exact"/>
        <w:rPr>
          <w:sz w:val="20"/>
          <w:szCs w:val="20"/>
          <w:color w:val="auto"/>
        </w:rPr>
      </w:pPr>
      <w:r>
        <w:rPr>
          <w:sz w:val="20"/>
          <w:szCs w:val="20"/>
          <w:color w:val="auto"/>
        </w:rPr>
        <w:br w:type="column"/>
      </w:r>
    </w:p>
    <w:p>
      <w:pPr>
        <w:ind w:right="679"/>
        <w:spacing w:after="0" w:line="253" w:lineRule="auto"/>
        <w:rPr>
          <w:sz w:val="20"/>
          <w:szCs w:val="20"/>
          <w:color w:val="auto"/>
        </w:rPr>
      </w:pPr>
      <w:r>
        <w:rPr>
          <w:rFonts w:ascii="Times New Roman" w:cs="Times New Roman" w:eastAsia="Times New Roman" w:hAnsi="Times New Roman"/>
          <w:sz w:val="17"/>
          <w:szCs w:val="17"/>
          <w:color w:val="auto"/>
        </w:rPr>
        <w:t>The Notes are a new issue of securities with no established trading market. We do not currently intend to apply for listing of the Notes on any securities exchange or have the Notes quoted on any automated quotation system. See “Risk Factors — Risks Related to the Notes — Your ability to transfer the Notes may be limited by the absence of an organized trading market.”</w:t>
      </w:r>
    </w:p>
    <w:p>
      <w:pPr>
        <w:spacing w:after="0" w:line="78" w:lineRule="exact"/>
        <w:rPr>
          <w:sz w:val="20"/>
          <w:szCs w:val="20"/>
          <w:color w:val="auto"/>
        </w:rPr>
      </w:pPr>
    </w:p>
    <w:p>
      <w:pPr>
        <w:sectPr>
          <w:pgSz w:w="11900" w:h="16838" w:orient="portrait"/>
          <w:cols w:equalWidth="0" w:num="2">
            <w:col w:w="3320" w:space="720"/>
            <w:col w:w="5499"/>
          </w:cols>
          <w:pgMar w:left="920" w:top="101"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State of New York.</w:t>
      </w:r>
    </w:p>
    <w:p>
      <w:pPr>
        <w:spacing w:after="0" w:line="108" w:lineRule="exact"/>
        <w:rPr>
          <w:sz w:val="20"/>
          <w:szCs w:val="20"/>
          <w:color w:val="auto"/>
        </w:rPr>
      </w:pPr>
    </w:p>
    <w:p>
      <w:pPr>
        <w:sectPr>
          <w:pgSz w:w="11900" w:h="16838" w:orient="portrait"/>
          <w:cols w:equalWidth="0" w:num="2">
            <w:col w:w="3320" w:space="720"/>
            <w:col w:w="5499"/>
          </w:cols>
          <w:pgMar w:left="920" w:top="101"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108" w:lineRule="exact"/>
        <w:rPr>
          <w:sz w:val="20"/>
          <w:szCs w:val="20"/>
          <w:color w:val="auto"/>
        </w:rPr>
      </w:pPr>
    </w:p>
    <w:p>
      <w:pPr>
        <w:sectPr>
          <w:pgSz w:w="11900" w:h="16838" w:orient="portrait"/>
          <w:cols w:equalWidth="0" w:num="2">
            <w:col w:w="3320" w:space="720"/>
            <w:col w:w="5499"/>
          </w:cols>
          <w:pgMar w:left="920" w:top="101"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719"/>
        <w:spacing w:after="0" w:line="252" w:lineRule="auto"/>
        <w:rPr>
          <w:sz w:val="20"/>
          <w:szCs w:val="20"/>
          <w:color w:val="auto"/>
        </w:rPr>
      </w:pPr>
      <w:r>
        <w:rPr>
          <w:rFonts w:ascii="Times New Roman" w:cs="Times New Roman" w:eastAsia="Times New Roman" w:hAnsi="Times New Roman"/>
          <w:sz w:val="17"/>
          <w:szCs w:val="17"/>
          <w:color w:val="auto"/>
        </w:rPr>
        <w:t>Investing in the Notes involves risks. You should consider carefully all of the information in this prospectus supplement, the accompanying base prospectus, any free writing prospectus relating to this offering and the documents incorporated by reference herein and therein. In particular, you should consider carefully the specific risks set forth in “Risk Factors” beginning on page S-4 of this prospectus supplement.</w:t>
      </w:r>
    </w:p>
    <w:p>
      <w:pPr>
        <w:spacing w:after="0" w:line="200" w:lineRule="exact"/>
        <w:rPr>
          <w:sz w:val="20"/>
          <w:szCs w:val="20"/>
          <w:color w:val="auto"/>
        </w:rPr>
      </w:pPr>
    </w:p>
    <w:p>
      <w:pPr>
        <w:sectPr>
          <w:pgSz w:w="11900" w:h="16838" w:orient="portrait"/>
          <w:cols w:equalWidth="0" w:num="2">
            <w:col w:w="3320" w:space="720"/>
            <w:col w:w="5499"/>
          </w:cols>
          <w:pgMar w:left="920" w:top="1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6" w:lineRule="exact"/>
        <w:rPr>
          <w:sz w:val="20"/>
          <w:szCs w:val="20"/>
          <w:color w:val="auto"/>
        </w:rPr>
      </w:pPr>
    </w:p>
    <w:p>
      <w:pPr>
        <w:ind w:left="1180" w:right="679" w:firstLine="337"/>
        <w:spacing w:after="0" w:line="241" w:lineRule="auto"/>
        <w:rPr>
          <w:rFonts w:ascii="Times New Roman" w:cs="Times New Roman" w:eastAsia="Times New Roman" w:hAnsi="Times New Roman"/>
          <w:sz w:val="17"/>
          <w:szCs w:val="17"/>
          <w:i w:val="1"/>
          <w:iCs w:val="1"/>
          <w:color w:val="0000EE"/>
        </w:rPr>
      </w:pPr>
      <w:r>
        <w:rPr>
          <w:rFonts w:ascii="Times New Roman" w:cs="Times New Roman" w:eastAsia="Times New Roman" w:hAnsi="Times New Roman"/>
          <w:sz w:val="17"/>
          <w:szCs w:val="17"/>
          <w:i w:val="1"/>
          <w:iCs w:val="1"/>
          <w:color w:val="auto"/>
        </w:rPr>
        <w:t xml:space="preserve">Before making an investment in the Notes offered hereby, you should carefully consider the risk factors </w:t>
      </w:r>
      <w:hyperlink r:id="rId25">
        <w:r>
          <w:rPr>
            <w:rFonts w:ascii="Times New Roman" w:cs="Times New Roman" w:eastAsia="Times New Roman" w:hAnsi="Times New Roman"/>
            <w:sz w:val="17"/>
            <w:szCs w:val="17"/>
            <w:i w:val="1"/>
            <w:iCs w:val="1"/>
            <w:color w:val="auto"/>
          </w:rPr>
          <w:t xml:space="preserve">discussed herein and those included in Item 1A. “Risk Factors” in </w:t>
        </w:r>
        <w:r>
          <w:rPr>
            <w:rFonts w:ascii="Times New Roman" w:cs="Times New Roman" w:eastAsia="Times New Roman" w:hAnsi="Times New Roman"/>
            <w:sz w:val="17"/>
            <w:szCs w:val="17"/>
            <w:i w:val="1"/>
            <w:iCs w:val="1"/>
            <w:u w:val="single" w:color="auto"/>
            <w:color w:val="0000EE"/>
          </w:rPr>
          <w:t>our Annual Report on Form 10-K for the</w:t>
        </w:r>
      </w:hyperlink>
      <w:r>
        <w:rPr>
          <w:rFonts w:ascii="Times New Roman" w:cs="Times New Roman" w:eastAsia="Times New Roman" w:hAnsi="Times New Roman"/>
          <w:sz w:val="17"/>
          <w:szCs w:val="17"/>
          <w:i w:val="1"/>
          <w:iCs w:val="1"/>
          <w:color w:val="auto"/>
        </w:rPr>
        <w:t xml:space="preserve"> </w:t>
      </w:r>
      <w:hyperlink r:id="rId25">
        <w:r>
          <w:rPr>
            <w:rFonts w:ascii="Times New Roman" w:cs="Times New Roman" w:eastAsia="Times New Roman" w:hAnsi="Times New Roman"/>
            <w:sz w:val="17"/>
            <w:szCs w:val="17"/>
            <w:i w:val="1"/>
            <w:iCs w:val="1"/>
            <w:u w:val="single" w:color="auto"/>
            <w:color w:val="0000EE"/>
          </w:rPr>
          <w:t>fiscal year ended December 31, 2023</w:t>
        </w:r>
        <w:r>
          <w:rPr>
            <w:rFonts w:ascii="Times New Roman" w:cs="Times New Roman" w:eastAsia="Times New Roman" w:hAnsi="Times New Roman"/>
            <w:sz w:val="17"/>
            <w:szCs w:val="17"/>
            <w:i w:val="1"/>
            <w:iCs w:val="1"/>
            <w:color w:val="0000EE"/>
          </w:rPr>
          <w:t xml:space="preserve"> </w:t>
        </w:r>
        <w:r>
          <w:rPr>
            <w:rFonts w:ascii="Times New Roman" w:cs="Times New Roman" w:eastAsia="Times New Roman" w:hAnsi="Times New Roman"/>
            <w:sz w:val="17"/>
            <w:szCs w:val="17"/>
            <w:i w:val="1"/>
            <w:iCs w:val="1"/>
            <w:color w:val="000000"/>
          </w:rPr>
          <w:t>(File No. 001-14569), and in any of our subsequent quarterly or</w:t>
        </w:r>
      </w:hyperlink>
      <w:r>
        <w:rPr>
          <w:rFonts w:ascii="Times New Roman" w:cs="Times New Roman" w:eastAsia="Times New Roman" w:hAnsi="Times New Roman"/>
          <w:sz w:val="17"/>
          <w:szCs w:val="17"/>
          <w:i w:val="1"/>
          <w:iCs w:val="1"/>
          <w:color w:val="0000EE"/>
        </w:rPr>
        <w:t xml:space="preserve"> </w:t>
      </w:r>
      <w:r>
        <w:rPr>
          <w:rFonts w:ascii="Times New Roman" w:cs="Times New Roman" w:eastAsia="Times New Roman" w:hAnsi="Times New Roman"/>
          <w:sz w:val="17"/>
          <w:szCs w:val="17"/>
          <w:i w:val="1"/>
          <w:iCs w:val="1"/>
          <w:color w:val="000000"/>
        </w:rPr>
        <w:t>current reports,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Risks Related to the Notes</w:t>
      </w:r>
    </w:p>
    <w:p>
      <w:pPr>
        <w:spacing w:after="0" w:line="209" w:lineRule="exact"/>
        <w:rPr>
          <w:sz w:val="20"/>
          <w:szCs w:val="20"/>
          <w:color w:val="auto"/>
        </w:rPr>
      </w:pPr>
    </w:p>
    <w:p>
      <w:pPr>
        <w:jc w:val="both"/>
        <w:ind w:left="1180" w:right="939"/>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86" w:lineRule="exact"/>
        <w:rPr>
          <w:sz w:val="20"/>
          <w:szCs w:val="20"/>
          <w:color w:val="auto"/>
        </w:rPr>
      </w:pPr>
    </w:p>
    <w:p>
      <w:pPr>
        <w:ind w:left="1180" w:right="719" w:firstLine="337"/>
        <w:spacing w:after="0" w:line="243" w:lineRule="auto"/>
        <w:rPr>
          <w:sz w:val="20"/>
          <w:szCs w:val="20"/>
          <w:color w:val="auto"/>
        </w:rPr>
      </w:pPr>
      <w:r>
        <w:rPr>
          <w:rFonts w:ascii="Times New Roman" w:cs="Times New Roman" w:eastAsia="Times New Roman" w:hAnsi="Times New Roman"/>
          <w:sz w:val="17"/>
          <w:szCs w:val="17"/>
          <w:color w:val="auto"/>
        </w:rPr>
        <w:t>The Notes are effectively subordinated to claims of our secured creditors and to any existing and future indebtedness and other obligations of our subsidiaries, including trade payables, other than subsidiaries that guarantee the Notes in the future. As of March 31, 2024, on an as adjusted basis as described under “Capitalization,” the Notes would not have been effectively subordinated to any secured indebtedness and would not have been structurally subordinated to any of our subsidiaries’ indebtedness.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w:t>
      </w:r>
    </w:p>
    <w:p>
      <w:pPr>
        <w:spacing w:after="0" w:line="169" w:lineRule="exact"/>
        <w:rPr>
          <w:sz w:val="20"/>
          <w:szCs w:val="20"/>
          <w:color w:val="auto"/>
        </w:rPr>
      </w:pPr>
    </w:p>
    <w:p>
      <w:pPr>
        <w:ind w:left="1180" w:right="127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leverage may limit our ability to borrow additional funds, comply with the terms of our indebtedness or capitalize on business opportunities.</w:t>
      </w:r>
    </w:p>
    <w:p>
      <w:pPr>
        <w:spacing w:after="0" w:line="90" w:lineRule="exact"/>
        <w:rPr>
          <w:sz w:val="20"/>
          <w:szCs w:val="20"/>
          <w:color w:val="auto"/>
        </w:rPr>
      </w:pPr>
    </w:p>
    <w:p>
      <w:pPr>
        <w:ind w:left="1180" w:right="679" w:firstLine="337"/>
        <w:spacing w:after="0" w:line="244" w:lineRule="auto"/>
        <w:rPr>
          <w:sz w:val="20"/>
          <w:szCs w:val="20"/>
          <w:color w:val="auto"/>
        </w:rPr>
      </w:pPr>
      <w:r>
        <w:rPr>
          <w:rFonts w:ascii="Times New Roman" w:cs="Times New Roman" w:eastAsia="Times New Roman" w:hAnsi="Times New Roman"/>
          <w:sz w:val="17"/>
          <w:szCs w:val="17"/>
          <w:color w:val="auto"/>
        </w:rPr>
        <w:t>Our leverage is significant in relation to our partners’ capital. As of March 31, 2024, on an as adjusted basis as described under “Capitalization,” our total outstanding long-term debt was approximately $7.2 billion, and our total outstanding short-term debt was approximately $554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09" w:lineRule="exact"/>
        <w:rPr>
          <w:sz w:val="20"/>
          <w:szCs w:val="20"/>
          <w:color w:val="auto"/>
        </w:rPr>
      </w:pPr>
    </w:p>
    <w:p>
      <w:pPr>
        <w:ind w:left="1180" w:right="719" w:firstLine="337"/>
        <w:spacing w:after="0"/>
        <w:rPr>
          <w:sz w:val="20"/>
          <w:szCs w:val="20"/>
          <w:color w:val="auto"/>
        </w:rPr>
      </w:pPr>
      <w:r>
        <w:rPr>
          <w:rFonts w:ascii="Times New Roman" w:cs="Times New Roman" w:eastAsia="Times New Roman" w:hAnsi="Times New Roman"/>
          <w:sz w:val="17"/>
          <w:szCs w:val="17"/>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the principal amount of the Notes may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308" w:lineRule="exact"/>
        <w:rPr>
          <w:sz w:val="20"/>
          <w:szCs w:val="20"/>
          <w:color w:val="auto"/>
        </w:rPr>
      </w:pPr>
    </w:p>
    <w:p>
      <w:pPr>
        <w:ind w:left="1180" w:right="699" w:firstLine="337"/>
        <w:spacing w:after="0" w:line="241" w:lineRule="auto"/>
        <w:rPr>
          <w:sz w:val="20"/>
          <w:szCs w:val="20"/>
          <w:color w:val="auto"/>
        </w:rPr>
      </w:pPr>
      <w:r>
        <w:rPr>
          <w:rFonts w:ascii="Times New Roman" w:cs="Times New Roman" w:eastAsia="Times New Roman" w:hAnsi="Times New Roman"/>
          <w:sz w:val="17"/>
          <w:szCs w:val="17"/>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35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9" w:name="page10"/>
    <w:bookmarkEnd w:id="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Your ability to transfer the Notes may be limited by the absence of an organized trading market.</w:t>
      </w:r>
    </w:p>
    <w:p>
      <w:pPr>
        <w:spacing w:after="0" w:line="150" w:lineRule="exact"/>
        <w:rPr>
          <w:sz w:val="20"/>
          <w:szCs w:val="20"/>
          <w:color w:val="auto"/>
        </w:rPr>
      </w:pPr>
    </w:p>
    <w:p>
      <w:pPr>
        <w:ind w:left="1180" w:right="679" w:firstLine="337"/>
        <w:spacing w:after="0" w:line="241" w:lineRule="auto"/>
        <w:rPr>
          <w:sz w:val="20"/>
          <w:szCs w:val="20"/>
          <w:color w:val="auto"/>
        </w:rPr>
      </w:pPr>
      <w:r>
        <w:rPr>
          <w:rFonts w:ascii="Times New Roman" w:cs="Times New Roman" w:eastAsia="Times New Roman" w:hAnsi="Times New Roman"/>
          <w:sz w:val="17"/>
          <w:szCs w:val="17"/>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378" w:lineRule="exact"/>
        <w:rPr>
          <w:sz w:val="20"/>
          <w:szCs w:val="20"/>
          <w:color w:val="auto"/>
        </w:rPr>
      </w:pPr>
    </w:p>
    <w:p>
      <w:pPr>
        <w:ind w:left="1180" w:right="101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We have a holding company structure in which our subsidiaries conduct our operations and own our operating assets.</w:t>
      </w:r>
    </w:p>
    <w:p>
      <w:pPr>
        <w:spacing w:after="0" w:line="9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We are a holding company, and our subsidiaries conduct all of our operations and own all of our</w:t>
      </w:r>
    </w:p>
    <w:p>
      <w:pPr>
        <w:spacing w:after="0" w:line="12" w:lineRule="exact"/>
        <w:rPr>
          <w:sz w:val="20"/>
          <w:szCs w:val="20"/>
          <w:color w:val="auto"/>
        </w:rPr>
      </w:pPr>
    </w:p>
    <w:p>
      <w:pPr>
        <w:ind w:left="1180" w:right="779"/>
        <w:spacing w:after="0" w:line="239" w:lineRule="auto"/>
        <w:rPr>
          <w:sz w:val="20"/>
          <w:szCs w:val="20"/>
          <w:color w:val="auto"/>
        </w:rPr>
      </w:pPr>
      <w:r>
        <w:rPr>
          <w:rFonts w:ascii="Times New Roman" w:cs="Times New Roman" w:eastAsia="Times New Roman" w:hAnsi="Times New Roman"/>
          <w:sz w:val="17"/>
          <w:szCs w:val="17"/>
          <w:color w:val="auto"/>
        </w:rPr>
        <w:t>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72" w:lineRule="exact"/>
        <w:rPr>
          <w:sz w:val="20"/>
          <w:szCs w:val="20"/>
          <w:color w:val="auto"/>
        </w:rPr>
      </w:pPr>
    </w:p>
    <w:p>
      <w:pPr>
        <w:ind w:left="1180" w:right="959"/>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Changes in our credit rating or outlook or in the rating assigned by a rating agency to the Notes could adversely affect the market price or liquidity of the Notes.</w:t>
      </w:r>
    </w:p>
    <w:p>
      <w:pPr>
        <w:spacing w:after="0" w:line="79" w:lineRule="exact"/>
        <w:rPr>
          <w:sz w:val="20"/>
          <w:szCs w:val="20"/>
          <w:color w:val="auto"/>
        </w:rPr>
      </w:pPr>
    </w:p>
    <w:p>
      <w:pPr>
        <w:ind w:left="1180" w:right="739" w:firstLine="337"/>
        <w:spacing w:after="0" w:line="243" w:lineRule="auto"/>
        <w:rPr>
          <w:sz w:val="20"/>
          <w:szCs w:val="20"/>
          <w:color w:val="auto"/>
        </w:rPr>
      </w:pPr>
      <w:r>
        <w:rPr>
          <w:rFonts w:ascii="Times New Roman" w:cs="Times New Roman" w:eastAsia="Times New Roman" w:hAnsi="Times New Roman"/>
          <w:sz w:val="17"/>
          <w:szCs w:val="17"/>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A negative change in our ratings or outlook could have an adverse effect on the price of the Notes.</w:t>
      </w:r>
    </w:p>
    <w:p>
      <w:pPr>
        <w:spacing w:after="0" w:line="110" w:lineRule="exact"/>
        <w:rPr>
          <w:sz w:val="20"/>
          <w:szCs w:val="20"/>
          <w:color w:val="auto"/>
        </w:rPr>
      </w:pPr>
    </w:p>
    <w:p>
      <w:pPr>
        <w:ind w:left="1180" w:right="879" w:firstLine="337"/>
        <w:spacing w:after="0" w:line="243" w:lineRule="auto"/>
        <w:rPr>
          <w:sz w:val="20"/>
          <w:szCs w:val="20"/>
          <w:color w:val="auto"/>
        </w:rPr>
      </w:pPr>
      <w:r>
        <w:rPr>
          <w:rFonts w:ascii="Times New Roman" w:cs="Times New Roman" w:eastAsia="Times New Roman" w:hAnsi="Times New Roman"/>
          <w:sz w:val="17"/>
          <w:szCs w:val="17"/>
          <w:color w:val="auto"/>
        </w:rPr>
        <w:t>We expect that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the Notes.</w:t>
      </w:r>
    </w:p>
    <w:p>
      <w:pPr>
        <w:spacing w:after="0" w:line="169" w:lineRule="exact"/>
        <w:rPr>
          <w:sz w:val="20"/>
          <w:szCs w:val="20"/>
          <w:color w:val="auto"/>
        </w:rPr>
      </w:pPr>
    </w:p>
    <w:p>
      <w:pPr>
        <w:ind w:left="1180" w:right="1219"/>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do not have the same flexibility as other types of organizations to accumulate cash, which may limit cash available to service the Notes or to repay them at maturity.</w:t>
      </w:r>
    </w:p>
    <w:p>
      <w:pPr>
        <w:spacing w:after="0" w:line="79" w:lineRule="exact"/>
        <w:rPr>
          <w:sz w:val="20"/>
          <w:szCs w:val="20"/>
          <w:color w:val="auto"/>
        </w:rPr>
      </w:pPr>
    </w:p>
    <w:p>
      <w:pPr>
        <w:ind w:left="1180" w:right="679" w:firstLine="337"/>
        <w:spacing w:after="0" w:line="241" w:lineRule="auto"/>
        <w:rPr>
          <w:sz w:val="20"/>
          <w:szCs w:val="20"/>
          <w:color w:val="auto"/>
        </w:rPr>
      </w:pPr>
      <w:r>
        <w:rPr>
          <w:rFonts w:ascii="Times New Roman" w:cs="Times New Roman" w:eastAsia="Times New Roman" w:hAnsi="Times New Roman"/>
          <w:sz w:val="17"/>
          <w:szCs w:val="17"/>
          <w:color w:val="auto"/>
        </w:rPr>
        <w:t>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269" w:lineRule="exact"/>
        <w:rPr>
          <w:sz w:val="20"/>
          <w:szCs w:val="20"/>
          <w:color w:val="auto"/>
        </w:rPr>
      </w:pPr>
    </w:p>
    <w:p>
      <w:pPr>
        <w:ind w:left="1680" w:right="1099" w:hanging="160"/>
        <w:spacing w:after="0" w:line="275" w:lineRule="auto"/>
        <w:tabs>
          <w:tab w:leader="none" w:pos="1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proper conduct of our business and the business of our operating partnerships (including reserves for future capital expenditures and for our anticipated future credit needs);</w:t>
      </w:r>
    </w:p>
    <w:p>
      <w:pPr>
        <w:spacing w:after="0" w:line="57" w:lineRule="exact"/>
        <w:rPr>
          <w:rFonts w:ascii="Times New Roman" w:cs="Times New Roman" w:eastAsia="Times New Roman" w:hAnsi="Times New Roman"/>
          <w:sz w:val="17"/>
          <w:szCs w:val="17"/>
          <w:color w:val="auto"/>
        </w:rPr>
      </w:pPr>
    </w:p>
    <w:p>
      <w:pPr>
        <w:ind w:left="1680" w:right="719" w:hanging="160"/>
        <w:spacing w:after="0" w:line="275" w:lineRule="auto"/>
        <w:tabs>
          <w:tab w:leader="none" w:pos="1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applicable law or any loan agreement, security agreement, mortgage, debt instrument or other agreement or obligation;</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funds for distributions to our preferred unitholders; or</w:t>
      </w:r>
    </w:p>
    <w:p>
      <w:pPr>
        <w:spacing w:after="0" w:line="3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80" w:right="959" w:hanging="160"/>
        <w:spacing w:after="0" w:line="275" w:lineRule="auto"/>
        <w:tabs>
          <w:tab w:leader="none" w:pos="1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funds for distributions to our common unitholders for any one or more of the next four calendar quarters.</w:t>
      </w:r>
    </w:p>
    <w:p>
      <w:pPr>
        <w:spacing w:after="0" w:line="95" w:lineRule="exact"/>
        <w:rPr>
          <w:sz w:val="20"/>
          <w:szCs w:val="20"/>
          <w:color w:val="auto"/>
        </w:rPr>
      </w:pPr>
    </w:p>
    <w:p>
      <w:pPr>
        <w:ind w:left="1180" w:right="679" w:firstLine="337"/>
        <w:spacing w:after="0" w:line="257" w:lineRule="auto"/>
        <w:rPr>
          <w:sz w:val="20"/>
          <w:szCs w:val="20"/>
          <w:color w:val="auto"/>
        </w:rPr>
      </w:pPr>
      <w:r>
        <w:rPr>
          <w:rFonts w:ascii="Times New Roman" w:cs="Times New Roman" w:eastAsia="Times New Roman" w:hAnsi="Times New Roman"/>
          <w:sz w:val="17"/>
          <w:szCs w:val="17"/>
          <w:color w:val="auto"/>
        </w:rPr>
        <w:t>Although our payment obligations to our unitholders are subordinate to our payment obligations to you, the value of our units may decrease in direct correlation with decreases in the amount we distribute per unit. Accordingly, if we experience a liquidity problem in the future, we may not be able to issue equity to recapitalize.</w:t>
      </w:r>
    </w:p>
    <w:p>
      <w:pPr>
        <w:spacing w:after="0" w:line="170" w:lineRule="exact"/>
        <w:rPr>
          <w:sz w:val="20"/>
          <w:szCs w:val="20"/>
          <w:color w:val="auto"/>
        </w:rPr>
      </w:pPr>
    </w:p>
    <w:p>
      <w:pPr>
        <w:ind w:left="1180" w:right="73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Our tax treatment depends on our status as a partnership for U.S. federal income tax purposes and not being subject to a material amount of entity-level taxation by individual states. If the Internal Revenue Service (“IRS”) were to treat us as a corporation for U.S. federal income tax purposes, or if we become subject to entity-level taxation for state or foreign tax purposes, our cash available for payment of principal and interest on the Notes and our other indebtedness could be substantially reduced.</w:t>
      </w:r>
    </w:p>
    <w:p>
      <w:pPr>
        <w:spacing w:after="0" w:line="111" w:lineRule="exact"/>
        <w:rPr>
          <w:sz w:val="20"/>
          <w:szCs w:val="20"/>
          <w:color w:val="auto"/>
        </w:rPr>
      </w:pPr>
    </w:p>
    <w:p>
      <w:pPr>
        <w:ind w:left="1180" w:right="719" w:firstLine="337"/>
        <w:spacing w:after="0" w:line="251" w:lineRule="auto"/>
        <w:rPr>
          <w:sz w:val="20"/>
          <w:szCs w:val="20"/>
          <w:color w:val="auto"/>
        </w:rPr>
      </w:pPr>
      <w:r>
        <w:rPr>
          <w:rFonts w:ascii="Times New Roman" w:cs="Times New Roman" w:eastAsia="Times New Roman" w:hAnsi="Times New Roman"/>
          <w:sz w:val="17"/>
          <w:szCs w:val="17"/>
          <w:color w:val="auto"/>
        </w:rPr>
        <w:t>A publicly traded partnership such as us may be treated as a corporation for federal income tax purposes unless it satisfies a “qualifying income” requirement as defined in Section 7704 of the Internal Revenue Code of 1986, as amended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w:t>
      </w:r>
    </w:p>
    <w:p>
      <w:pPr>
        <w:spacing w:after="0" w:line="310" w:lineRule="exact"/>
        <w:rPr>
          <w:sz w:val="20"/>
          <w:szCs w:val="20"/>
          <w:color w:val="auto"/>
        </w:rPr>
      </w:pPr>
    </w:p>
    <w:p>
      <w:pPr>
        <w:ind w:left="1180" w:right="719" w:firstLine="337"/>
        <w:spacing w:after="0" w:line="255" w:lineRule="auto"/>
        <w:rPr>
          <w:sz w:val="20"/>
          <w:szCs w:val="20"/>
          <w:color w:val="auto"/>
        </w:rPr>
      </w:pPr>
      <w:r>
        <w:rPr>
          <w:rFonts w:ascii="Times New Roman" w:cs="Times New Roman" w:eastAsia="Times New Roman" w:hAnsi="Times New Roman"/>
          <w:sz w:val="17"/>
          <w:szCs w:val="17"/>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w:t>
      </w:r>
    </w:p>
    <w:p>
      <w:pPr>
        <w:spacing w:after="0" w:line="171" w:lineRule="exact"/>
        <w:rPr>
          <w:sz w:val="20"/>
          <w:szCs w:val="20"/>
          <w:color w:val="auto"/>
        </w:rPr>
      </w:pPr>
    </w:p>
    <w:p>
      <w:pPr>
        <w:jc w:val="both"/>
        <w:ind w:left="1180" w:right="83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p>
    <w:p>
      <w:pPr>
        <w:spacing w:after="0" w:line="108" w:lineRule="exact"/>
        <w:rPr>
          <w:sz w:val="20"/>
          <w:szCs w:val="20"/>
          <w:color w:val="auto"/>
        </w:rPr>
      </w:pPr>
    </w:p>
    <w:p>
      <w:pPr>
        <w:ind w:left="1180" w:right="739" w:firstLine="337"/>
        <w:spacing w:after="0" w:line="250" w:lineRule="auto"/>
        <w:rPr>
          <w:sz w:val="20"/>
          <w:szCs w:val="20"/>
          <w:color w:val="auto"/>
        </w:rPr>
      </w:pPr>
      <w:r>
        <w:rPr>
          <w:rFonts w:ascii="Times New Roman" w:cs="Times New Roman" w:eastAsia="Times New Roman" w:hAnsi="Times New Roman"/>
          <w:sz w:val="17"/>
          <w:szCs w:val="17"/>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50" w:lineRule="exact"/>
        <w:rPr>
          <w:sz w:val="20"/>
          <w:szCs w:val="20"/>
          <w:color w:val="auto"/>
        </w:rPr>
      </w:pPr>
    </w:p>
    <w:p>
      <w:pPr>
        <w:ind w:left="1180" w:right="699" w:firstLine="337"/>
        <w:spacing w:after="0" w:line="253" w:lineRule="auto"/>
        <w:rPr>
          <w:sz w:val="20"/>
          <w:szCs w:val="20"/>
          <w:color w:val="auto"/>
        </w:rPr>
      </w:pPr>
      <w:r>
        <w:rPr>
          <w:rFonts w:ascii="Times New Roman" w:cs="Times New Roman" w:eastAsia="Times New Roman" w:hAnsi="Times New Roman"/>
          <w:sz w:val="17"/>
          <w:szCs w:val="17"/>
          <w:color w:val="auto"/>
        </w:rPr>
        <w:t>The net proceeds of this offering will be approximately $643.3 million after deducting the underwriting discount and our estimated offering expenses. We intend to use the net proceeds from the offering, together with cash on hand, to repay all of our 2024 senior notes, together with any accrued and unpaid interest, on or prior to their maturity date in November 2024, and, pending such repayment, for general partnership purposes, which may include, among other things, intra-group lending and related transactions, repayment of indebtedness, acquisitions, capital expenditures and additions to working capital.</w:t>
      </w:r>
    </w:p>
    <w:p>
      <w:pPr>
        <w:spacing w:after="0" w:line="116" w:lineRule="exact"/>
        <w:rPr>
          <w:sz w:val="20"/>
          <w:szCs w:val="20"/>
          <w:color w:val="auto"/>
        </w:rPr>
      </w:pPr>
    </w:p>
    <w:p>
      <w:pPr>
        <w:ind w:left="1180" w:right="1059" w:firstLine="337"/>
        <w:spacing w:after="0" w:line="275" w:lineRule="auto"/>
        <w:rPr>
          <w:sz w:val="20"/>
          <w:szCs w:val="20"/>
          <w:color w:val="auto"/>
        </w:rPr>
      </w:pPr>
      <w:r>
        <w:rPr>
          <w:rFonts w:ascii="Times New Roman" w:cs="Times New Roman" w:eastAsia="Times New Roman" w:hAnsi="Times New Roman"/>
          <w:sz w:val="17"/>
          <w:szCs w:val="17"/>
          <w:color w:val="auto"/>
        </w:rPr>
        <w:t>As of March 31, 2024, we had $750.0 million aggregate principal amount of our 2024 senior notes outstanding, which bear interest at an annual rate of 3.60%.</w:t>
      </w:r>
    </w:p>
    <w:p>
      <w:pPr>
        <w:spacing w:after="0" w:line="83" w:lineRule="exact"/>
        <w:rPr>
          <w:sz w:val="20"/>
          <w:szCs w:val="20"/>
          <w:color w:val="auto"/>
        </w:rPr>
      </w:pPr>
    </w:p>
    <w:p>
      <w:pPr>
        <w:ind w:left="1180" w:right="699" w:firstLine="337"/>
        <w:spacing w:after="0" w:line="262" w:lineRule="auto"/>
        <w:rPr>
          <w:sz w:val="20"/>
          <w:szCs w:val="20"/>
          <w:color w:val="auto"/>
        </w:rPr>
      </w:pPr>
      <w:r>
        <w:rPr>
          <w:rFonts w:ascii="Times New Roman" w:cs="Times New Roman" w:eastAsia="Times New Roman" w:hAnsi="Times New Roman"/>
          <w:sz w:val="17"/>
          <w:szCs w:val="17"/>
          <w:color w:val="auto"/>
        </w:rPr>
        <w:t>Certain of the underwriters or their affiliates may hold our 2024 senior notes to be repaid with proceeds from this offering and, accordingly, may receive a substantial portion of the net proceeds of this offering. See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1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The following table sets forth our capitalization as of March 31, 2024:</w:t>
      </w:r>
    </w:p>
    <w:p>
      <w:pPr>
        <w:spacing w:after="0" w:line="108" w:lineRule="exact"/>
        <w:rPr>
          <w:sz w:val="20"/>
          <w:szCs w:val="20"/>
          <w:color w:val="auto"/>
        </w:rPr>
      </w:pPr>
    </w:p>
    <w:p>
      <w:pPr>
        <w:ind w:left="1680" w:hanging="160"/>
        <w:spacing w:after="0"/>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historical basis; and</w:t>
      </w:r>
    </w:p>
    <w:p>
      <w:pPr>
        <w:spacing w:after="0" w:line="107" w:lineRule="exact"/>
        <w:rPr>
          <w:rFonts w:ascii="Times New Roman" w:cs="Times New Roman" w:eastAsia="Times New Roman" w:hAnsi="Times New Roman"/>
          <w:sz w:val="17"/>
          <w:szCs w:val="17"/>
          <w:color w:val="auto"/>
        </w:rPr>
      </w:pPr>
    </w:p>
    <w:p>
      <w:pPr>
        <w:ind w:left="1680" w:right="939" w:hanging="160"/>
        <w:spacing w:after="0" w:line="275" w:lineRule="auto"/>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as adjusted basis to give effect to the sale of the Notes offered hereby and the application of the net proceeds therefrom as described under “Use of Proceeds” in this prospectus supplement.</w:t>
      </w:r>
    </w:p>
    <w:p>
      <w:pPr>
        <w:spacing w:after="0" w:line="95" w:lineRule="exact"/>
        <w:rPr>
          <w:sz w:val="20"/>
          <w:szCs w:val="20"/>
          <w:color w:val="auto"/>
        </w:rPr>
      </w:pPr>
    </w:p>
    <w:p>
      <w:pPr>
        <w:ind w:left="1180" w:right="939" w:firstLine="337"/>
        <w:spacing w:after="0" w:line="275" w:lineRule="auto"/>
        <w:rPr>
          <w:sz w:val="20"/>
          <w:szCs w:val="20"/>
          <w:color w:val="auto"/>
        </w:rPr>
      </w:pPr>
      <w:r>
        <w:rPr>
          <w:rFonts w:ascii="Times New Roman" w:cs="Times New Roman" w:eastAsia="Times New Roman" w:hAnsi="Times New Roman"/>
          <w:sz w:val="17"/>
          <w:szCs w:val="17"/>
          <w:color w:val="auto"/>
        </w:rPr>
        <w:t>This table should also be read in conjunction with our financial statements and the notes thereto that are incorporated by reference into this prospectus supplement.</w:t>
      </w:r>
    </w:p>
    <w:p>
      <w:pPr>
        <w:sectPr>
          <w:pgSz w:w="11900" w:h="16838" w:orient="portrait"/>
          <w:cols w:equalWidth="0" w:num="1">
            <w:col w:w="9539"/>
          </w:cols>
          <w:pgMar w:left="920" w:top="101" w:right="1440" w:bottom="1440" w:gutter="0" w:footer="0" w:header="0"/>
        </w:sectPr>
      </w:pPr>
    </w:p>
    <w:p>
      <w:pPr>
        <w:spacing w:after="0" w:line="1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9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9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16510</wp:posOffset>
            </wp:positionV>
            <wp:extent cx="4878705" cy="152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4878705" cy="152400"/>
                    </a:xfrm>
                    <a:prstGeom prst="rect">
                      <a:avLst/>
                    </a:prstGeom>
                    <a:noFill/>
                  </pic:spPr>
                </pic:pic>
              </a:graphicData>
            </a:graphic>
          </wp:anchor>
        </w:drawing>
      </w:r>
    </w:p>
    <w:p>
      <w:pPr>
        <w:spacing w:after="0" w:line="2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17145</wp:posOffset>
            </wp:positionV>
            <wp:extent cx="4878705" cy="168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4878705" cy="168275"/>
                    </a:xfrm>
                    <a:prstGeom prst="rect">
                      <a:avLst/>
                    </a:prstGeom>
                    <a:noFill/>
                  </pic:spPr>
                </pic:pic>
              </a:graphicData>
            </a:graphic>
          </wp:anchor>
        </w:drawing>
      </w:r>
    </w:p>
    <w:p>
      <w:pPr>
        <w:spacing w:after="0" w:line="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Commercial paper notes</w:t>
      </w:r>
      <w:r>
        <w:rPr>
          <w:rFonts w:ascii="Times New Roman" w:cs="Times New Roman" w:eastAsia="Times New Roman" w:hAnsi="Times New Roman"/>
          <w:sz w:val="21"/>
          <w:szCs w:val="21"/>
          <w:color w:val="auto"/>
          <w:vertAlign w:val="superscript"/>
        </w:rPr>
        <w:t>(1)</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19685</wp:posOffset>
            </wp:positionV>
            <wp:extent cx="4878705" cy="184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4878705" cy="184785"/>
                    </a:xfrm>
                    <a:prstGeom prst="rect">
                      <a:avLst/>
                    </a:prstGeom>
                    <a:noFill/>
                  </pic:spPr>
                </pic:pic>
              </a:graphicData>
            </a:graphic>
          </wp:anchor>
        </w:drawing>
      </w:r>
    </w:p>
    <w:p>
      <w:pPr>
        <w:spacing w:after="0" w:line="5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Total short-term debt</w:t>
      </w:r>
    </w:p>
    <w:p>
      <w:pPr>
        <w:spacing w:after="0" w:line="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17145</wp:posOffset>
            </wp:positionV>
            <wp:extent cx="4878705" cy="168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4878705" cy="168275"/>
                    </a:xfrm>
                    <a:prstGeom prst="rect">
                      <a:avLst/>
                    </a:prstGeom>
                    <a:noFill/>
                  </pic:spPr>
                </pic:pic>
              </a:graphicData>
            </a:graphic>
          </wp:anchor>
        </w:drawing>
      </w:r>
    </w:p>
    <w:p>
      <w:pPr>
        <w:spacing w:after="0" w:line="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Senior notes, net of unamortized discounts and debt issuance costs</w:t>
      </w:r>
      <w:r>
        <w:rPr>
          <w:rFonts w:ascii="Times New Roman" w:cs="Times New Roman" w:eastAsia="Times New Roman" w:hAnsi="Times New Roman"/>
          <w:sz w:val="21"/>
          <w:szCs w:val="21"/>
          <w:color w:val="auto"/>
          <w:vertAlign w:val="superscript"/>
        </w:rPr>
        <w:t>(2)</w:t>
      </w:r>
    </w:p>
    <w:p>
      <w:pPr>
        <w:spacing w:after="0" w:line="46" w:lineRule="exact"/>
        <w:rPr>
          <w:sz w:val="20"/>
          <w:szCs w:val="20"/>
          <w:color w:val="auto"/>
        </w:rPr>
      </w:pPr>
    </w:p>
    <w:p>
      <w:pPr>
        <w:ind w:left="1360"/>
        <w:spacing w:after="0" w:line="307" w:lineRule="auto"/>
        <w:rPr>
          <w:sz w:val="20"/>
          <w:szCs w:val="20"/>
          <w:color w:val="auto"/>
        </w:rPr>
      </w:pPr>
      <w:r>
        <w:rPr>
          <w:rFonts w:ascii="Times New Roman" w:cs="Times New Roman" w:eastAsia="Times New Roman" w:hAnsi="Times New Roman"/>
          <w:sz w:val="17"/>
          <w:szCs w:val="17"/>
          <w:color w:val="auto"/>
        </w:rPr>
        <w:t>Notes offered hereby, net of unamortized discount and debt issuance costs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-181610</wp:posOffset>
            </wp:positionV>
            <wp:extent cx="4878705" cy="168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4878705" cy="168275"/>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17"/>
          <w:szCs w:val="17"/>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22860</wp:posOffset>
            </wp:positionV>
            <wp:extent cx="4878705" cy="160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4878705" cy="160655"/>
                    </a:xfrm>
                    <a:prstGeom prst="rect">
                      <a:avLst/>
                    </a:prstGeom>
                    <a:noFill/>
                  </pic:spPr>
                </pic:pic>
              </a:graphicData>
            </a:graphic>
          </wp:anchor>
        </w:drawing>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PARTNERS’ CAPITAL</w:t>
      </w:r>
    </w:p>
    <w:p>
      <w:pPr>
        <w:spacing w:after="0" w:line="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Series A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14605</wp:posOffset>
            </wp:positionV>
            <wp:extent cx="4878705" cy="152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4878705" cy="152400"/>
                    </a:xfrm>
                    <a:prstGeom prst="rect">
                      <a:avLst/>
                    </a:prstGeom>
                    <a:noFill/>
                  </pic:spPr>
                </pic:pic>
              </a:graphicData>
            </a:graphic>
          </wp:anchor>
        </w:drawing>
      </w:r>
    </w:p>
    <w:p>
      <w:pPr>
        <w:spacing w:after="0" w:line="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Series B preferred unitholders</w:t>
      </w:r>
    </w:p>
    <w:p>
      <w:pPr>
        <w:spacing w:after="0" w:line="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14605</wp:posOffset>
            </wp:positionV>
            <wp:extent cx="4878705" cy="304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4878705" cy="304800"/>
                    </a:xfrm>
                    <a:prstGeom prst="rect">
                      <a:avLst/>
                    </a:prstGeom>
                    <a:noFill/>
                  </pic:spPr>
                </pic:pic>
              </a:graphicData>
            </a:graphic>
          </wp:anchor>
        </w:drawing>
      </w: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Noncontrolling interests</w:t>
      </w:r>
    </w:p>
    <w:p>
      <w:pPr>
        <w:spacing w:after="0" w:line="7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Total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22860</wp:posOffset>
            </wp:positionV>
            <wp:extent cx="4878705" cy="184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4878705" cy="184785"/>
                    </a:xfrm>
                    <a:prstGeom prst="rect">
                      <a:avLst/>
                    </a:prstGeom>
                    <a:noFill/>
                  </pic:spPr>
                </pic:pic>
              </a:graphicData>
            </a:graphic>
          </wp:anchor>
        </w:drawing>
      </w:r>
    </w:p>
    <w:p>
      <w:pPr>
        <w:spacing w:after="0" w:line="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111125</wp:posOffset>
            </wp:positionV>
            <wp:extent cx="115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March 31, 2024</w:t>
            </w:r>
          </w:p>
        </w:tc>
        <w:tc>
          <w:tcPr>
            <w:tcW w:w="2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Historical</w:t>
            </w:r>
          </w:p>
        </w:tc>
        <w:tc>
          <w:tcPr>
            <w:tcW w:w="980" w:type="dxa"/>
            <w:vAlign w:val="bottom"/>
            <w:gridSpan w:val="5"/>
          </w:tcPr>
          <w:p>
            <w:pPr>
              <w:jc w:val="right"/>
              <w:spacing w:after="0" w:line="220"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As Adjusted</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4"/>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0" w:type="dxa"/>
            <w:vAlign w:val="bottom"/>
            <w:tcBorders>
              <w:top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4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4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00" w:type="dxa"/>
            <w:vAlign w:val="bottom"/>
            <w:gridSpan w:val="3"/>
          </w:tcPr>
          <w:p>
            <w:pPr>
              <w:spacing w:after="0" w:line="231"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perscript"/>
              </w:rPr>
              <w:t>​</w:t>
            </w:r>
          </w:p>
        </w:tc>
        <w:tc>
          <w:tcPr>
            <w:tcW w:w="70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4"/>
                <w:szCs w:val="14"/>
                <w:color w:val="auto"/>
              </w:rPr>
              <w:t>​​ ​</w:t>
            </w:r>
          </w:p>
        </w:tc>
        <w:tc>
          <w:tcPr>
            <w:tcW w:w="160" w:type="dxa"/>
            <w:vAlign w:val="bottom"/>
          </w:tcPr>
          <w:p>
            <w:pPr>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54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spacing w:after="0" w:line="23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line="23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4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40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line="190" w:lineRule="exact"/>
              <w:rPr>
                <w:sz w:val="20"/>
                <w:szCs w:val="20"/>
                <w:color w:val="auto"/>
              </w:rPr>
            </w:pPr>
            <w:r>
              <w:rPr>
                <w:rFonts w:ascii="Times New Roman" w:cs="Times New Roman" w:eastAsia="Times New Roman" w:hAnsi="Times New Roman"/>
                <w:sz w:val="17"/>
                <w:szCs w:val="17"/>
                <w:color w:val="auto"/>
              </w:rPr>
              <w:t>7,244</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7"/>
                <w:szCs w:val="17"/>
                <w:color w:val="auto"/>
                <w:w w:val="95"/>
              </w:rPr>
              <w:t>6,494</w:t>
            </w:r>
            <w:r>
              <w:rPr>
                <w:rFonts w:ascii="Times New Roman" w:cs="Times New Roman" w:eastAsia="Times New Roman" w:hAnsi="Times New Roman"/>
                <w:sz w:val="21"/>
                <w:szCs w:val="21"/>
                <w:color w:val="auto"/>
                <w:w w:val="95"/>
                <w:vertAlign w:val="superscript"/>
              </w:rPr>
              <w:t>(3)</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20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60" w:type="dxa"/>
            <w:vAlign w:val="bottom"/>
          </w:tcPr>
          <w:p>
            <w:pPr>
              <w:spacing w:after="0" w:line="72" w:lineRule="exact"/>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00" w:type="dxa"/>
            <w:vAlign w:val="bottom"/>
            <w:gridSpan w:val="3"/>
          </w:tcPr>
          <w:p>
            <w:pPr>
              <w:spacing w:after="0" w:line="231"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perscript"/>
              </w:rPr>
              <w:t>​</w:t>
            </w:r>
          </w:p>
        </w:tc>
        <w:tc>
          <w:tcPr>
            <w:tcW w:w="70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64</w:t>
            </w:r>
            <w:r>
              <w:rPr>
                <w:rFonts w:ascii="Times New Roman" w:cs="Times New Roman" w:eastAsia="Times New Roman" w:hAnsi="Times New Roman"/>
                <w:sz w:val="14"/>
                <w:szCs w:val="14"/>
                <w:color w:val="auto"/>
              </w:rPr>
              <w:t>​​ ​</w:t>
            </w:r>
          </w:p>
        </w:tc>
        <w:tc>
          <w:tcPr>
            <w:tcW w:w="160" w:type="dxa"/>
            <w:vAlign w:val="bottom"/>
          </w:tcPr>
          <w:p>
            <w:pPr>
              <w:spacing w:after="0" w:line="2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54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spacing w:after="0" w:line="24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7,308</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line="24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7,201</w:t>
            </w: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4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4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1,510</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8,042</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 ​ 8,042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443"/>
        </w:trPr>
        <w:tc>
          <w:tcPr>
            <w:tcW w:w="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3,307</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4"/>
          </w:tcPr>
          <w:p>
            <w:pPr>
              <w:spacing w:after="0"/>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 3,307 </w:t>
            </w:r>
            <w:r>
              <w:rPr>
                <w:rFonts w:ascii="Times New Roman" w:cs="Times New Roman" w:eastAsia="Times New Roman" w:hAnsi="Times New Roman"/>
                <w:sz w:val="33"/>
                <w:szCs w:val="33"/>
                <w:b w:val="1"/>
                <w:bCs w:val="1"/>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4"/>
          </w:tcPr>
          <w:p>
            <w:pPr>
              <w:jc w:val="right"/>
              <w:spacing w:after="0" w:line="245"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13,646</w:t>
            </w:r>
            <w:r>
              <w:rPr>
                <w:rFonts w:ascii="Times New Roman" w:cs="Times New Roman" w:eastAsia="Times New Roman" w:hAnsi="Times New Roman"/>
                <w:sz w:val="28"/>
                <w:szCs w:val="28"/>
                <w:color w:val="auto"/>
                <w:vertAlign w:val="subscript"/>
              </w:rPr>
              <w:t>​​ ​</w:t>
            </w:r>
          </w:p>
        </w:tc>
        <w:tc>
          <w:tcPr>
            <w:tcW w:w="700" w:type="dxa"/>
            <w:vAlign w:val="bottom"/>
            <w:gridSpan w:val="4"/>
          </w:tcPr>
          <w:p>
            <w:pPr>
              <w:spacing w:after="0" w:line="245"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13,646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20,954</w:t>
            </w:r>
            <w:r>
              <w:rPr>
                <w:rFonts w:ascii="Times New Roman" w:cs="Times New Roman" w:eastAsia="Times New Roman" w:hAnsi="Times New Roman"/>
                <w:sz w:val="26"/>
                <w:szCs w:val="26"/>
                <w:color w:val="auto"/>
                <w:vertAlign w:val="subscript"/>
              </w:rPr>
              <w:t>​​ ​</w:t>
            </w:r>
          </w:p>
        </w:tc>
        <w:tc>
          <w:tcPr>
            <w:tcW w:w="700" w:type="dxa"/>
            <w:vAlign w:val="bottom"/>
            <w:gridSpan w:val="4"/>
          </w:tcPr>
          <w:p>
            <w:pPr>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20,847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-3048635</wp:posOffset>
            </wp:positionV>
            <wp:extent cx="1282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620"/>
            <w:col w:w="2339"/>
          </w:cols>
          <w:pgMar w:left="920" w:top="101" w:right="1440" w:bottom="1440" w:gutter="0" w:footer="0" w:header="0"/>
          <w:type w:val="continuous"/>
        </w:sectPr>
      </w:pPr>
    </w:p>
    <w:p>
      <w:pPr>
        <w:spacing w:after="0" w:line="24" w:lineRule="exact"/>
        <w:rPr>
          <w:sz w:val="20"/>
          <w:szCs w:val="20"/>
          <w:color w:val="auto"/>
        </w:rPr>
      </w:pPr>
    </w:p>
    <w:p>
      <w:pPr>
        <w:jc w:val="both"/>
        <w:ind w:left="1520" w:right="1079" w:hanging="337"/>
        <w:spacing w:after="0" w:line="257" w:lineRule="auto"/>
        <w:tabs>
          <w:tab w:leader="none" w:pos="1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classified these commercial paper notes as short-term as of March 31, 2024 and December 31, 2023, as these notes were primarily designated as working capital borrowings, were required to be repaid within one year and were primarily for hedged NGL and crude oil inventory and New York Mercantile Exchange and Intercontinental Exchange margin deposits.</w:t>
      </w:r>
    </w:p>
    <w:p>
      <w:pPr>
        <w:spacing w:after="0" w:line="47" w:lineRule="exact"/>
        <w:rPr>
          <w:rFonts w:ascii="Times New Roman" w:cs="Times New Roman" w:eastAsia="Times New Roman" w:hAnsi="Times New Roman"/>
          <w:sz w:val="17"/>
          <w:szCs w:val="17"/>
          <w:color w:val="auto"/>
        </w:rPr>
      </w:pPr>
    </w:p>
    <w:p>
      <w:pPr>
        <w:ind w:left="1520" w:right="759" w:hanging="337"/>
        <w:spacing w:after="0" w:line="262" w:lineRule="auto"/>
        <w:tabs>
          <w:tab w:leader="none" w:pos="1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2024, we classified our 2024 senior notes as long-term based on our ability and intent to refinance such amounts on a long-term basis, including through the application of the net proceeds from this offering.</w:t>
      </w:r>
    </w:p>
    <w:p>
      <w:pPr>
        <w:spacing w:after="0" w:line="29" w:lineRule="exact"/>
        <w:rPr>
          <w:rFonts w:ascii="Times New Roman" w:cs="Times New Roman" w:eastAsia="Times New Roman" w:hAnsi="Times New Roman"/>
          <w:sz w:val="17"/>
          <w:szCs w:val="17"/>
          <w:color w:val="auto"/>
        </w:rPr>
      </w:pPr>
    </w:p>
    <w:p>
      <w:pPr>
        <w:ind w:left="1520" w:right="879" w:hanging="337"/>
        <w:spacing w:after="0" w:line="275" w:lineRule="auto"/>
        <w:tabs>
          <w:tab w:leader="none" w:pos="1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repayment of all of our 2024 senior notes with the net proceeds of this offering, together with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DESCRIPTION OF NOTES</w:t>
      </w:r>
    </w:p>
    <w:p>
      <w:pPr>
        <w:spacing w:after="0" w:line="146" w:lineRule="exact"/>
        <w:rPr>
          <w:sz w:val="20"/>
          <w:szCs w:val="20"/>
          <w:color w:val="auto"/>
        </w:rPr>
      </w:pPr>
    </w:p>
    <w:p>
      <w:pPr>
        <w:ind w:left="1180" w:right="879" w:firstLine="337"/>
        <w:spacing w:after="0" w:line="245" w:lineRule="auto"/>
        <w:rPr>
          <w:sz w:val="20"/>
          <w:szCs w:val="20"/>
          <w:color w:val="auto"/>
        </w:rPr>
      </w:pPr>
      <w:r>
        <w:rPr>
          <w:rFonts w:ascii="Times New Roman" w:cs="Times New Roman" w:eastAsia="Times New Roman" w:hAnsi="Times New Roman"/>
          <w:sz w:val="17"/>
          <w:szCs w:val="17"/>
          <w:i w:val="1"/>
          <w:iCs w:val="1"/>
          <w:color w:val="auto"/>
        </w:rPr>
        <w:t>We will issue the Notes under an indenture (the “Base Indenture”) dated as of September 25, 2002, among us and U.S. Bank Trust Company, National Association, as successor trustee, and a supplemental indenture thereto with respect to the Notes to be dated as of June 27, 2024 (the Base Indenture, as supplemented by such supplemental indenture, the “Indenture”). The Notes will constitute a new series of debt securities under the Base Indenture, and multiple other series are now outstanding under the Base Indenture, issued under various supplemental indentures.</w:t>
      </w:r>
    </w:p>
    <w:p>
      <w:pPr>
        <w:spacing w:after="0" w:line="104" w:lineRule="exact"/>
        <w:rPr>
          <w:sz w:val="20"/>
          <w:szCs w:val="20"/>
          <w:color w:val="auto"/>
        </w:rPr>
      </w:pPr>
    </w:p>
    <w:p>
      <w:pPr>
        <w:ind w:left="1180" w:right="699" w:firstLine="337"/>
        <w:spacing w:after="0"/>
        <w:rPr>
          <w:sz w:val="20"/>
          <w:szCs w:val="20"/>
          <w:color w:val="auto"/>
        </w:rPr>
      </w:pPr>
      <w:r>
        <w:rPr>
          <w:rFonts w:ascii="Times New Roman" w:cs="Times New Roman" w:eastAsia="Times New Roman" w:hAnsi="Times New Roman"/>
          <w:sz w:val="17"/>
          <w:szCs w:val="17"/>
          <w:i w:val="1"/>
          <w:iCs w:val="1"/>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w:t>
      </w:r>
    </w:p>
    <w:p>
      <w:pPr>
        <w:spacing w:after="0" w:line="306" w:lineRule="exact"/>
        <w:rPr>
          <w:sz w:val="20"/>
          <w:szCs w:val="20"/>
          <w:color w:val="auto"/>
        </w:rPr>
      </w:pPr>
    </w:p>
    <w:p>
      <w:pPr>
        <w:ind w:left="1180" w:right="739" w:firstLine="337"/>
        <w:spacing w:after="0" w:line="248" w:lineRule="auto"/>
        <w:rPr>
          <w:sz w:val="20"/>
          <w:szCs w:val="20"/>
          <w:color w:val="auto"/>
        </w:rPr>
      </w:pPr>
      <w:r>
        <w:rPr>
          <w:rFonts w:ascii="Times New Roman" w:cs="Times New Roman" w:eastAsia="Times New Roman" w:hAnsi="Times New Roman"/>
          <w:sz w:val="17"/>
          <w:szCs w:val="17"/>
          <w:i w:val="1"/>
          <w:iCs w:val="1"/>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02" w:lineRule="exact"/>
        <w:rPr>
          <w:sz w:val="20"/>
          <w:szCs w:val="20"/>
          <w:color w:val="auto"/>
        </w:rPr>
      </w:pPr>
    </w:p>
    <w:p>
      <w:pPr>
        <w:ind w:left="1180" w:right="699" w:firstLine="337"/>
        <w:spacing w:after="0" w:line="244" w:lineRule="auto"/>
        <w:rPr>
          <w:sz w:val="20"/>
          <w:szCs w:val="20"/>
          <w:color w:val="auto"/>
        </w:rPr>
      </w:pPr>
      <w:r>
        <w:rPr>
          <w:rFonts w:ascii="Times New Roman" w:cs="Times New Roman" w:eastAsia="Times New Roman" w:hAnsi="Times New Roman"/>
          <w:sz w:val="17"/>
          <w:szCs w:val="17"/>
          <w:i w:val="1"/>
          <w:iCs w:val="1"/>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General Description of the Notes</w:t>
      </w:r>
    </w:p>
    <w:p>
      <w:pPr>
        <w:spacing w:after="0" w:line="1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The Notes will be:</w:t>
      </w:r>
    </w:p>
    <w:p>
      <w:pPr>
        <w:spacing w:after="0" w:line="108" w:lineRule="exact"/>
        <w:rPr>
          <w:sz w:val="20"/>
          <w:szCs w:val="20"/>
          <w:color w:val="auto"/>
        </w:rPr>
      </w:pPr>
    </w:p>
    <w:p>
      <w:pPr>
        <w:ind w:left="1680" w:right="919" w:hanging="160"/>
        <w:spacing w:after="0" w:line="275" w:lineRule="auto"/>
        <w:tabs>
          <w:tab w:leader="none" w:pos="16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senior unsecured indebtedness ranking equally in right of payment with all of our existing and future unsubordinated indebtedness;</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series of debt securities issued under the Base Indenture;</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non-recourse to our general partner;</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in right of payment to any of our future subordinated indebtedness;</w:t>
      </w:r>
    </w:p>
    <w:p>
      <w:pPr>
        <w:spacing w:after="0" w:line="107" w:lineRule="exact"/>
        <w:rPr>
          <w:rFonts w:ascii="Times New Roman" w:cs="Times New Roman" w:eastAsia="Times New Roman" w:hAnsi="Times New Roman"/>
          <w:sz w:val="17"/>
          <w:szCs w:val="17"/>
          <w:color w:val="auto"/>
        </w:rPr>
      </w:pPr>
    </w:p>
    <w:p>
      <w:pPr>
        <w:ind w:left="1680" w:right="739" w:hanging="160"/>
        <w:spacing w:after="0" w:line="275" w:lineRule="auto"/>
        <w:tabs>
          <w:tab w:leader="none" w:pos="16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junior to any of our existing and future secured indebtedness, to the extent of the security for that debt; and</w:t>
      </w:r>
    </w:p>
    <w:p>
      <w:pPr>
        <w:spacing w:after="0" w:line="57" w:lineRule="exact"/>
        <w:rPr>
          <w:rFonts w:ascii="Times New Roman" w:cs="Times New Roman" w:eastAsia="Times New Roman" w:hAnsi="Times New Roman"/>
          <w:sz w:val="17"/>
          <w:szCs w:val="17"/>
          <w:color w:val="auto"/>
        </w:rPr>
      </w:pPr>
    </w:p>
    <w:p>
      <w:pPr>
        <w:ind w:left="1680" w:right="1099" w:hanging="160"/>
        <w:spacing w:after="0" w:line="275" w:lineRule="auto"/>
        <w:tabs>
          <w:tab w:leader="none" w:pos="16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structurally junior to existing and future indebtedness and other obligations of our Subsidiaries, including trade payables, other than Subsidiaries that guarantee the Notes in the future.</w:t>
      </w:r>
    </w:p>
    <w:p>
      <w:pPr>
        <w:spacing w:after="0" w:line="95" w:lineRule="exact"/>
        <w:rPr>
          <w:sz w:val="20"/>
          <w:szCs w:val="20"/>
          <w:color w:val="auto"/>
        </w:rPr>
      </w:pPr>
    </w:p>
    <w:p>
      <w:pPr>
        <w:ind w:left="1180" w:right="699" w:firstLine="337"/>
        <w:spacing w:after="0" w:line="253" w:lineRule="auto"/>
        <w:rPr>
          <w:sz w:val="20"/>
          <w:szCs w:val="20"/>
          <w:color w:val="auto"/>
        </w:rPr>
      </w:pPr>
      <w:r>
        <w:rPr>
          <w:rFonts w:ascii="Times New Roman" w:cs="Times New Roman" w:eastAsia="Times New Roman" w:hAnsi="Times New Roman"/>
          <w:sz w:val="17"/>
          <w:szCs w:val="17"/>
          <w:color w:val="auto"/>
        </w:rPr>
        <w:t>As of March 31, 2024, on an as adjusted basis as described under “Capitalization,” the Notes would not have been effectively subordinated to any secured indebtedness and would not have been structurally subordinated to any of our subsidiaries’ indebtedness. See “Risk Factors — Risks Related to the Notes —  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318" w:lineRule="exact"/>
        <w:rPr>
          <w:sz w:val="20"/>
          <w:szCs w:val="20"/>
          <w:color w:val="auto"/>
        </w:rPr>
      </w:pPr>
    </w:p>
    <w:p>
      <w:pPr>
        <w:ind w:left="1180" w:right="839" w:firstLine="337"/>
        <w:spacing w:after="0" w:line="257" w:lineRule="auto"/>
        <w:rPr>
          <w:sz w:val="20"/>
          <w:szCs w:val="20"/>
          <w:color w:val="auto"/>
        </w:rPr>
      </w:pPr>
      <w:r>
        <w:rPr>
          <w:rFonts w:ascii="Times New Roman" w:cs="Times New Roman" w:eastAsia="Times New Roman" w:hAnsi="Times New Roman"/>
          <w:sz w:val="17"/>
          <w:szCs w:val="17"/>
          <w:color w:val="auto"/>
        </w:rPr>
        <w:t>The Indenture will not limit the aggregate principal amount of debt securities that may be issued thereunder and provides that debt securities may be issued thereunder from time to time in one or more series. Except to the extent described under “— Covenants,” the Indenture does not limit our ability or the ability of our subsidiaries to incur either secured or unsecured additional indebtedness.</w:t>
      </w:r>
    </w:p>
    <w:p>
      <w:pPr>
        <w:spacing w:after="0" w:line="33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Further Issuances</w:t>
      </w:r>
    </w:p>
    <w:p>
      <w:pPr>
        <w:spacing w:after="0" w:line="1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We may, from time to time, without notice to or the consent of the holders of the Notes, create and</w:t>
      </w:r>
    </w:p>
    <w:p>
      <w:pPr>
        <w:spacing w:after="0" w:line="12" w:lineRule="exact"/>
        <w:rPr>
          <w:sz w:val="20"/>
          <w:szCs w:val="20"/>
          <w:color w:val="auto"/>
        </w:rPr>
      </w:pPr>
    </w:p>
    <w:p>
      <w:pPr>
        <w:ind w:left="1180" w:right="719"/>
        <w:spacing w:after="0" w:line="239" w:lineRule="auto"/>
        <w:rPr>
          <w:sz w:val="20"/>
          <w:szCs w:val="20"/>
          <w:color w:val="auto"/>
        </w:rPr>
      </w:pPr>
      <w:r>
        <w:rPr>
          <w:rFonts w:ascii="Times New Roman" w:cs="Times New Roman" w:eastAsia="Times New Roman" w:hAnsi="Times New Roman"/>
          <w:sz w:val="17"/>
          <w:szCs w:val="17"/>
          <w:color w:val="auto"/>
        </w:rPr>
        <w:t>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8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Principal, Maturity and Interest</w:t>
      </w:r>
    </w:p>
    <w:p>
      <w:pPr>
        <w:spacing w:after="0" w:line="137" w:lineRule="exact"/>
        <w:rPr>
          <w:sz w:val="20"/>
          <w:szCs w:val="20"/>
          <w:color w:val="auto"/>
        </w:rPr>
      </w:pPr>
    </w:p>
    <w:p>
      <w:pPr>
        <w:ind w:left="1180" w:right="719" w:firstLine="337"/>
        <w:spacing w:after="0" w:line="242" w:lineRule="auto"/>
        <w:rPr>
          <w:sz w:val="20"/>
          <w:szCs w:val="20"/>
          <w:color w:val="auto"/>
        </w:rPr>
      </w:pPr>
      <w:r>
        <w:rPr>
          <w:rFonts w:ascii="Times New Roman" w:cs="Times New Roman" w:eastAsia="Times New Roman" w:hAnsi="Times New Roman"/>
          <w:sz w:val="17"/>
          <w:szCs w:val="17"/>
          <w:color w:val="auto"/>
        </w:rPr>
        <w:t>We will issue the Notes in an initial aggregate principal amount of $650 million. The Notes will mature on September 15, 2034. The Notes will bear interest at an annual rate of 5.700%. Interest on the Notes will accrue from June 27, 2024 and will be payable semi-annually in arrears on March 15 and September 15 of each year, beginning March 15, 2025. We will make each interest payment to the holders of record at the close of business on March 1 and September 1 preceding such interest payment dates. Interest will be computed on the basis of a 360-day year consisting of twelve 30-day months. We will issue the Notes in minimum denominations of $2,000 and integral multiples of $1,000 in excess thereof.</w:t>
      </w:r>
    </w:p>
    <w:p>
      <w:pPr>
        <w:spacing w:after="0" w:line="111" w:lineRule="exact"/>
        <w:rPr>
          <w:sz w:val="20"/>
          <w:szCs w:val="20"/>
          <w:color w:val="auto"/>
        </w:rPr>
      </w:pPr>
    </w:p>
    <w:p>
      <w:pPr>
        <w:ind w:left="1180" w:right="839" w:firstLine="337"/>
        <w:spacing w:after="0" w:line="247" w:lineRule="auto"/>
        <w:rPr>
          <w:sz w:val="20"/>
          <w:szCs w:val="20"/>
          <w:color w:val="auto"/>
        </w:rPr>
      </w:pPr>
      <w:r>
        <w:rPr>
          <w:rFonts w:ascii="Times New Roman" w:cs="Times New Roman" w:eastAsia="Times New Roman" w:hAnsi="Times New Roman"/>
          <w:sz w:val="17"/>
          <w:szCs w:val="17"/>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No Liability of General Partner</w:t>
      </w:r>
    </w:p>
    <w:p>
      <w:pPr>
        <w:spacing w:after="0" w:line="137" w:lineRule="exact"/>
        <w:rPr>
          <w:sz w:val="20"/>
          <w:szCs w:val="20"/>
          <w:color w:val="auto"/>
        </w:rPr>
      </w:pPr>
    </w:p>
    <w:p>
      <w:pPr>
        <w:ind w:left="1180" w:right="719" w:firstLine="337"/>
        <w:spacing w:after="0" w:line="242" w:lineRule="auto"/>
        <w:rPr>
          <w:sz w:val="20"/>
          <w:szCs w:val="20"/>
          <w:color w:val="auto"/>
        </w:rPr>
      </w:pPr>
      <w:r>
        <w:rPr>
          <w:rFonts w:ascii="Times New Roman" w:cs="Times New Roman" w:eastAsia="Times New Roman" w:hAnsi="Times New Roman"/>
          <w:sz w:val="17"/>
          <w:szCs w:val="17"/>
          <w:color w:val="auto"/>
        </w:rPr>
        <w:t>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Possible Future Guarantees</w:t>
      </w:r>
    </w:p>
    <w:p>
      <w:pPr>
        <w:spacing w:after="0" w:line="150" w:lineRule="exact"/>
        <w:rPr>
          <w:sz w:val="20"/>
          <w:szCs w:val="20"/>
          <w:color w:val="auto"/>
        </w:rPr>
      </w:pPr>
    </w:p>
    <w:p>
      <w:pPr>
        <w:ind w:left="1180" w:right="679" w:firstLine="337"/>
        <w:spacing w:after="0" w:line="243" w:lineRule="auto"/>
        <w:rPr>
          <w:sz w:val="20"/>
          <w:szCs w:val="20"/>
          <w:color w:val="auto"/>
        </w:rPr>
      </w:pPr>
      <w:r>
        <w:rPr>
          <w:rFonts w:ascii="Times New Roman" w:cs="Times New Roman" w:eastAsia="Times New Roman" w:hAnsi="Times New Roman"/>
          <w:sz w:val="17"/>
          <w:szCs w:val="17"/>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Provided that no default shall have occurred and shall be continuing under the Indenture, a future</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Subsidiary Guarantor will be unconditionally released and discharged from its guarantee:</w:t>
      </w:r>
    </w:p>
    <w:p>
      <w:pPr>
        <w:spacing w:after="0" w:line="79" w:lineRule="exact"/>
        <w:rPr>
          <w:sz w:val="20"/>
          <w:szCs w:val="20"/>
          <w:color w:val="auto"/>
        </w:rPr>
      </w:pPr>
    </w:p>
    <w:p>
      <w:pPr>
        <w:ind w:left="1680" w:right="1059" w:hanging="160"/>
        <w:spacing w:after="0" w:line="262" w:lineRule="auto"/>
        <w:tabs>
          <w:tab w:leader="none" w:pos="1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67" w:lineRule="exact"/>
        <w:rPr>
          <w:rFonts w:ascii="Times New Roman" w:cs="Times New Roman" w:eastAsia="Times New Roman" w:hAnsi="Times New Roman"/>
          <w:sz w:val="17"/>
          <w:szCs w:val="17"/>
          <w:color w:val="auto"/>
        </w:rPr>
      </w:pPr>
    </w:p>
    <w:p>
      <w:pPr>
        <w:ind w:left="1680" w:right="919" w:hanging="160"/>
        <w:spacing w:after="0" w:line="275" w:lineRule="auto"/>
        <w:tabs>
          <w:tab w:leader="none" w:pos="1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sale or other disposition of all of our direct or indirect equity interests in that Subsidiary Guarantor to any Person that is not our affiliate; or</w:t>
      </w:r>
    </w:p>
    <w:p>
      <w:pPr>
        <w:spacing w:after="0" w:line="44" w:lineRule="exact"/>
        <w:rPr>
          <w:rFonts w:ascii="Times New Roman" w:cs="Times New Roman" w:eastAsia="Times New Roman" w:hAnsi="Times New Roman"/>
          <w:sz w:val="17"/>
          <w:szCs w:val="17"/>
          <w:color w:val="auto"/>
        </w:rPr>
      </w:pPr>
    </w:p>
    <w:p>
      <w:pPr>
        <w:ind w:left="1680" w:right="759" w:hanging="160"/>
        <w:spacing w:after="0" w:line="262" w:lineRule="auto"/>
        <w:tabs>
          <w:tab w:leader="none" w:pos="1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Optional Redemption</w:t>
      </w:r>
    </w:p>
    <w:p>
      <w:pPr>
        <w:spacing w:after="0" w:line="150" w:lineRule="exact"/>
        <w:rPr>
          <w:sz w:val="20"/>
          <w:szCs w:val="20"/>
          <w:color w:val="auto"/>
        </w:rPr>
      </w:pPr>
    </w:p>
    <w:p>
      <w:pPr>
        <w:ind w:left="1180" w:right="699" w:firstLine="337"/>
        <w:spacing w:after="0" w:line="250" w:lineRule="auto"/>
        <w:rPr>
          <w:sz w:val="20"/>
          <w:szCs w:val="20"/>
          <w:color w:val="auto"/>
        </w:rPr>
      </w:pPr>
      <w:r>
        <w:rPr>
          <w:rFonts w:ascii="Times New Roman" w:cs="Times New Roman" w:eastAsia="Times New Roman" w:hAnsi="Times New Roman"/>
          <w:sz w:val="17"/>
          <w:szCs w:val="17"/>
          <w:color w:val="auto"/>
        </w:rPr>
        <w:t>The Notes will be redeemable, in whole or in part, at our option at any time and from time to time prior to maturity. If we redeem the Notes before the Par Call Date, we will pay an amount equal to the greater of</w:t>
      </w:r>
    </w:p>
    <w:p>
      <w:pPr>
        <w:ind w:left="4840" w:right="1599" w:hanging="3657"/>
        <w:spacing w:after="0" w:line="690" w:lineRule="auto"/>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Notes to be redeemed and (ii) (a) the sum of the present 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639635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699"/>
        <w:spacing w:after="0" w:line="257" w:lineRule="auto"/>
        <w:rPr>
          <w:sz w:val="20"/>
          <w:szCs w:val="20"/>
          <w:color w:val="auto"/>
        </w:rPr>
      </w:pPr>
      <w:r>
        <w:rPr>
          <w:rFonts w:ascii="Times New Roman" w:cs="Times New Roman" w:eastAsia="Times New Roman" w:hAnsi="Times New Roman"/>
          <w:sz w:val="17"/>
          <w:szCs w:val="17"/>
          <w:color w:val="auto"/>
        </w:rPr>
        <w:t>values of the remaining scheduled payments of principal and interest thereon discounted to the redemption date (assuming the Notes matured on the Par Call Date) on a semi-annual basis (assuming a 360-day year consisting of twelve 30-day months) at the Treasury Rate plus 25 basis points less (b) interest accrued to the date of redemption, plus, in either case, accrued and unpaid interest thereon to the date of redemption.</w:t>
      </w:r>
    </w:p>
    <w:p>
      <w:pPr>
        <w:spacing w:after="0" w:line="110" w:lineRule="exact"/>
        <w:rPr>
          <w:sz w:val="20"/>
          <w:szCs w:val="20"/>
          <w:color w:val="auto"/>
        </w:rPr>
      </w:pPr>
    </w:p>
    <w:p>
      <w:pPr>
        <w:jc w:val="both"/>
        <w:ind w:left="1180" w:right="1119" w:firstLine="337"/>
        <w:spacing w:after="0" w:line="275" w:lineRule="auto"/>
        <w:rPr>
          <w:sz w:val="20"/>
          <w:szCs w:val="20"/>
          <w:color w:val="auto"/>
        </w:rPr>
      </w:pPr>
      <w:r>
        <w:rPr>
          <w:rFonts w:ascii="Times New Roman" w:cs="Times New Roman" w:eastAsia="Times New Roman" w:hAnsi="Times New Roman"/>
          <w:sz w:val="17"/>
          <w:szCs w:val="17"/>
          <w:color w:val="auto"/>
        </w:rPr>
        <w:t>If we redeem the Notes on or after the Par Call Date, we will pay an amount equal to 100% of the principal amount of the Notes to be redeemed plus accrued and unpaid interest to the redemption date.</w:t>
      </w:r>
    </w:p>
    <w:p>
      <w:pPr>
        <w:spacing w:after="0" w:line="95" w:lineRule="exact"/>
        <w:rPr>
          <w:sz w:val="20"/>
          <w:szCs w:val="20"/>
          <w:color w:val="auto"/>
        </w:rPr>
      </w:pPr>
    </w:p>
    <w:p>
      <w:pPr>
        <w:ind w:left="1180" w:right="779" w:firstLine="337"/>
        <w:spacing w:after="0" w:line="275" w:lineRule="auto"/>
        <w:rPr>
          <w:sz w:val="20"/>
          <w:szCs w:val="20"/>
          <w:color w:val="auto"/>
        </w:rPr>
      </w:pPr>
      <w:r>
        <w:rPr>
          <w:rFonts w:ascii="Times New Roman" w:cs="Times New Roman" w:eastAsia="Times New Roman" w:hAnsi="Times New Roman"/>
          <w:sz w:val="17"/>
          <w:szCs w:val="17"/>
          <w:color w:val="auto"/>
        </w:rPr>
        <w:t>“Treasury Rate” means, with respect to any redemption date, the yield determined by us in accordance with the following two paragraphs.</w:t>
      </w:r>
    </w:p>
    <w:p>
      <w:pPr>
        <w:spacing w:after="0" w:line="83" w:lineRule="exact"/>
        <w:rPr>
          <w:sz w:val="20"/>
          <w:szCs w:val="20"/>
          <w:color w:val="auto"/>
        </w:rPr>
      </w:pPr>
    </w:p>
    <w:p>
      <w:pPr>
        <w:ind w:left="1180" w:right="679" w:firstLine="337"/>
        <w:spacing w:after="0" w:line="249" w:lineRule="auto"/>
        <w:rPr>
          <w:sz w:val="20"/>
          <w:szCs w:val="20"/>
          <w:color w:val="auto"/>
        </w:rPr>
      </w:pPr>
      <w:r>
        <w:rPr>
          <w:rFonts w:ascii="Times New Roman" w:cs="Times New Roman" w:eastAsia="Times New Roman" w:hAnsi="Times New Roman"/>
          <w:sz w:val="17"/>
          <w:szCs w:val="17"/>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330" w:lineRule="exact"/>
        <w:rPr>
          <w:sz w:val="20"/>
          <w:szCs w:val="20"/>
          <w:color w:val="auto"/>
        </w:rPr>
      </w:pPr>
    </w:p>
    <w:p>
      <w:pPr>
        <w:ind w:left="1180" w:right="679" w:firstLine="337"/>
        <w:spacing w:after="0" w:line="250" w:lineRule="auto"/>
        <w:rPr>
          <w:sz w:val="20"/>
          <w:szCs w:val="20"/>
          <w:color w:val="auto"/>
        </w:rPr>
      </w:pPr>
      <w:r>
        <w:rPr>
          <w:rFonts w:ascii="Times New Roman" w:cs="Times New Roman" w:eastAsia="Times New Roman" w:hAnsi="Times New Roman"/>
          <w:sz w:val="17"/>
          <w:szCs w:val="17"/>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16" w:lineRule="exact"/>
        <w:rPr>
          <w:sz w:val="20"/>
          <w:szCs w:val="20"/>
          <w:color w:val="auto"/>
        </w:rPr>
      </w:pPr>
    </w:p>
    <w:p>
      <w:pPr>
        <w:ind w:left="1180" w:right="699" w:firstLine="337"/>
        <w:spacing w:after="0" w:line="275" w:lineRule="auto"/>
        <w:rPr>
          <w:sz w:val="20"/>
          <w:szCs w:val="20"/>
          <w:color w:val="auto"/>
        </w:rPr>
      </w:pPr>
      <w:r>
        <w:rPr>
          <w:rFonts w:ascii="Times New Roman" w:cs="Times New Roman" w:eastAsia="Times New Roman" w:hAnsi="Times New Roman"/>
          <w:sz w:val="17"/>
          <w:szCs w:val="17"/>
          <w:color w:val="auto"/>
        </w:rPr>
        <w:t>Our actions and determinations in determining the redemption price shall be conclusive and binding for all purposes, absent manifest error.</w:t>
      </w:r>
    </w:p>
    <w:p>
      <w:pPr>
        <w:spacing w:after="0" w:line="7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Par Call Date</w:t>
      </w:r>
      <w:r>
        <w:rPr>
          <w:rFonts w:ascii="Times New Roman" w:cs="Times New Roman" w:eastAsia="Times New Roman" w:hAnsi="Times New Roman"/>
          <w:sz w:val="17"/>
          <w:szCs w:val="17"/>
          <w:color w:val="auto"/>
        </w:rPr>
        <w:t>” means June 15, 2034 (three months prior to the maturity date).</w:t>
      </w:r>
    </w:p>
    <w:p>
      <w:pPr>
        <w:spacing w:after="0" w:line="150" w:lineRule="exact"/>
        <w:rPr>
          <w:sz w:val="20"/>
          <w:szCs w:val="20"/>
          <w:color w:val="auto"/>
        </w:rPr>
      </w:pPr>
    </w:p>
    <w:p>
      <w:pPr>
        <w:ind w:left="1180" w:right="719" w:firstLine="337"/>
        <w:spacing w:after="0" w:line="275" w:lineRule="auto"/>
        <w:rPr>
          <w:sz w:val="20"/>
          <w:szCs w:val="20"/>
          <w:color w:val="auto"/>
        </w:rPr>
      </w:pPr>
      <w:r>
        <w:rPr>
          <w:rFonts w:ascii="Times New Roman" w:cs="Times New Roman" w:eastAsia="Times New Roman" w:hAnsi="Times New Roman"/>
          <w:sz w:val="17"/>
          <w:szCs w:val="17"/>
          <w:color w:val="auto"/>
        </w:rPr>
        <w:t>Unless we default in payment of the redemption price, on and after the date of redemption, interest will cease to accrue on the Notes or portions thereof called for redemption.</w:t>
      </w:r>
    </w:p>
    <w:p>
      <w:pPr>
        <w:spacing w:after="0" w:line="95" w:lineRule="exact"/>
        <w:rPr>
          <w:sz w:val="20"/>
          <w:szCs w:val="20"/>
          <w:color w:val="auto"/>
        </w:rPr>
      </w:pPr>
    </w:p>
    <w:p>
      <w:pPr>
        <w:ind w:left="1180" w:right="1039" w:firstLine="337"/>
        <w:spacing w:after="0" w:line="275" w:lineRule="auto"/>
        <w:rPr>
          <w:sz w:val="20"/>
          <w:szCs w:val="20"/>
          <w:color w:val="auto"/>
        </w:rPr>
      </w:pPr>
      <w:r>
        <w:rPr>
          <w:rFonts w:ascii="Times New Roman" w:cs="Times New Roman" w:eastAsia="Times New Roman" w:hAnsi="Times New Roman"/>
          <w:sz w:val="17"/>
          <w:szCs w:val="17"/>
          <w:color w:val="auto"/>
        </w:rPr>
        <w:t>On or before a redemption date, we will deposit with a paying agent (or with the trustee) sufficient money to pay the redemption price and accrued interest on the Notes to be redeemed.</w:t>
      </w:r>
    </w:p>
    <w:p>
      <w:pPr>
        <w:spacing w:after="0" w:line="3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39" w:firstLine="337"/>
        <w:spacing w:after="0" w:line="275" w:lineRule="auto"/>
        <w:rPr>
          <w:sz w:val="20"/>
          <w:szCs w:val="20"/>
          <w:color w:val="auto"/>
        </w:rPr>
      </w:pPr>
      <w:r>
        <w:rPr>
          <w:rFonts w:ascii="Times New Roman" w:cs="Times New Roman" w:eastAsia="Times New Roman" w:hAnsi="Times New Roman"/>
          <w:sz w:val="17"/>
          <w:szCs w:val="17"/>
          <w:color w:val="auto"/>
        </w:rPr>
        <w:t>If less than all of the Notes are to be redeemed at any time, the trustee will select Notes (or any portion of Notes in integral multiples of $1,000) for redemption as follows:</w:t>
      </w:r>
    </w:p>
    <w:p>
      <w:pPr>
        <w:spacing w:after="0" w:line="45" w:lineRule="exact"/>
        <w:rPr>
          <w:sz w:val="20"/>
          <w:szCs w:val="20"/>
          <w:color w:val="auto"/>
        </w:rPr>
      </w:pPr>
    </w:p>
    <w:p>
      <w:pPr>
        <w:ind w:left="1680" w:right="1219" w:hanging="160"/>
        <w:spacing w:after="0" w:line="275" w:lineRule="auto"/>
        <w:tabs>
          <w:tab w:leader="none" w:pos="1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Notes are listed, in compliance with the requirements of the principal national securities exchange on which such Notes are listed; or</w:t>
      </w:r>
    </w:p>
    <w:p>
      <w:pPr>
        <w:spacing w:after="0" w:line="57" w:lineRule="exact"/>
        <w:rPr>
          <w:rFonts w:ascii="Times New Roman" w:cs="Times New Roman" w:eastAsia="Times New Roman" w:hAnsi="Times New Roman"/>
          <w:sz w:val="17"/>
          <w:szCs w:val="17"/>
          <w:color w:val="auto"/>
        </w:rPr>
      </w:pPr>
    </w:p>
    <w:p>
      <w:pPr>
        <w:ind w:left="1680" w:right="939" w:hanging="160"/>
        <w:spacing w:after="0" w:line="275" w:lineRule="auto"/>
        <w:tabs>
          <w:tab w:leader="none" w:pos="1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Notes are not so listed or there are no such requirements, on a pro rata basis, by lot or, if the Notes are in the form of Global Notes, by such method as the depositary shall require.</w:t>
      </w:r>
    </w:p>
    <w:p>
      <w:pPr>
        <w:spacing w:after="0" w:line="83" w:lineRule="exact"/>
        <w:rPr>
          <w:sz w:val="20"/>
          <w:szCs w:val="20"/>
          <w:color w:val="auto"/>
        </w:rPr>
      </w:pPr>
    </w:p>
    <w:p>
      <w:pPr>
        <w:ind w:left="1180" w:right="699" w:firstLine="337"/>
        <w:spacing w:after="0" w:line="247" w:lineRule="auto"/>
        <w:rPr>
          <w:sz w:val="20"/>
          <w:szCs w:val="20"/>
          <w:color w:val="auto"/>
        </w:rPr>
      </w:pPr>
      <w:r>
        <w:rPr>
          <w:rFonts w:ascii="Times New Roman" w:cs="Times New Roman" w:eastAsia="Times New Roman" w:hAnsi="Times New Roman"/>
          <w:sz w:val="17"/>
          <w:szCs w:val="17"/>
          <w:color w:val="auto"/>
        </w:rPr>
        <w:t>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6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Each of the following is an “Event of Default”:</w:t>
      </w:r>
    </w:p>
    <w:p>
      <w:pPr>
        <w:spacing w:after="0" w:line="108" w:lineRule="exact"/>
        <w:rPr>
          <w:sz w:val="20"/>
          <w:szCs w:val="20"/>
          <w:color w:val="auto"/>
        </w:rPr>
      </w:pPr>
    </w:p>
    <w:p>
      <w:pPr>
        <w:ind w:left="1680" w:right="1159" w:hanging="160"/>
        <w:spacing w:after="0" w:line="275" w:lineRule="auto"/>
        <w:tabs>
          <w:tab w:leader="none" w:pos="1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payment when due of the principal of or any premium on any Note at maturity, upon redemption or otherwise;</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for 60 days in the payment when due of interest on any Note;</w:t>
      </w:r>
    </w:p>
    <w:p>
      <w:pPr>
        <w:spacing w:after="0" w:line="107" w:lineRule="exact"/>
        <w:rPr>
          <w:rFonts w:ascii="Times New Roman" w:cs="Times New Roman" w:eastAsia="Times New Roman" w:hAnsi="Times New Roman"/>
          <w:sz w:val="17"/>
          <w:szCs w:val="17"/>
          <w:color w:val="auto"/>
        </w:rPr>
      </w:pPr>
    </w:p>
    <w:p>
      <w:pPr>
        <w:ind w:left="1680" w:right="719" w:hanging="160"/>
        <w:spacing w:after="0" w:line="255" w:lineRule="auto"/>
        <w:tabs>
          <w:tab w:leader="none" w:pos="1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 Consolidation, Merger or Sale”);</w:t>
      </w:r>
    </w:p>
    <w:p>
      <w:pPr>
        <w:spacing w:after="0" w:line="73" w:lineRule="exact"/>
        <w:rPr>
          <w:rFonts w:ascii="Times New Roman" w:cs="Times New Roman" w:eastAsia="Times New Roman" w:hAnsi="Times New Roman"/>
          <w:sz w:val="17"/>
          <w:szCs w:val="17"/>
          <w:color w:val="auto"/>
        </w:rPr>
      </w:pPr>
    </w:p>
    <w:p>
      <w:pPr>
        <w:ind w:left="1680" w:right="699" w:hanging="160"/>
        <w:spacing w:after="0" w:line="251" w:lineRule="auto"/>
        <w:tabs>
          <w:tab w:leader="none" w:pos="1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w:t>
      </w:r>
    </w:p>
    <w:p>
      <w:pPr>
        <w:ind w:left="1680" w:right="759" w:firstLine="8"/>
        <w:spacing w:after="0" w:line="249" w:lineRule="auto"/>
        <w:tabs>
          <w:tab w:leader="none" w:pos="1932"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each case described in clause (x) or (y) above, the principal amount of any such debt, together with the principal amount of any other such debt under which there has been a Payment Default or the maturity of which has been so accelerated, aggregates $150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80" w:lineRule="exact"/>
        <w:rPr>
          <w:rFonts w:ascii="Times New Roman" w:cs="Times New Roman" w:eastAsia="Times New Roman" w:hAnsi="Times New Roman"/>
          <w:sz w:val="17"/>
          <w:szCs w:val="17"/>
          <w:color w:val="auto"/>
        </w:rPr>
      </w:pPr>
    </w:p>
    <w:p>
      <w:pPr>
        <w:ind w:left="1680" w:right="799" w:hanging="160"/>
        <w:spacing w:after="0" w:line="275" w:lineRule="auto"/>
        <w:tabs>
          <w:tab w:leader="none" w:pos="1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specified events in bankruptcy, insolvency or reorganization of us or, if and so long as the Notes are guaranteed by a Subsidiary Guarantor, by such Subsidiary Guarantor; or</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so long as the Notes are guaranteed by a Subsidiary Guarantor:</w:t>
      </w:r>
    </w:p>
    <w:p>
      <w:pPr>
        <w:spacing w:after="0" w:line="107" w:lineRule="exact"/>
        <w:rPr>
          <w:rFonts w:ascii="Times New Roman" w:cs="Times New Roman" w:eastAsia="Times New Roman" w:hAnsi="Times New Roman"/>
          <w:sz w:val="17"/>
          <w:szCs w:val="17"/>
          <w:color w:val="auto"/>
        </w:rPr>
      </w:pPr>
    </w:p>
    <w:p>
      <w:pPr>
        <w:ind w:left="2020" w:right="1159" w:hanging="163"/>
        <w:spacing w:after="0" w:line="275" w:lineRule="auto"/>
        <w:tabs>
          <w:tab w:leader="none" w:pos="202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guarantee by such Subsidiary Guarantor ceases to be in full force and effect, except as otherwise provided in the Indenture;</w:t>
      </w:r>
    </w:p>
    <w:p>
      <w:pPr>
        <w:spacing w:after="0" w:line="57" w:lineRule="exact"/>
        <w:rPr>
          <w:rFonts w:ascii="Times New Roman" w:cs="Times New Roman" w:eastAsia="Times New Roman" w:hAnsi="Times New Roman"/>
          <w:sz w:val="17"/>
          <w:szCs w:val="17"/>
          <w:color w:val="auto"/>
        </w:rPr>
      </w:pPr>
    </w:p>
    <w:p>
      <w:pPr>
        <w:ind w:left="2020" w:hanging="163"/>
        <w:spacing w:after="0"/>
        <w:tabs>
          <w:tab w:leader="none" w:pos="202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guarantee by such Subsidiary Guarantor is declared null and void in a judicial proceeding; or</w:t>
      </w:r>
    </w:p>
    <w:p>
      <w:pPr>
        <w:spacing w:after="0" w:line="107" w:lineRule="exact"/>
        <w:rPr>
          <w:rFonts w:ascii="Times New Roman" w:cs="Times New Roman" w:eastAsia="Times New Roman" w:hAnsi="Times New Roman"/>
          <w:sz w:val="17"/>
          <w:szCs w:val="17"/>
          <w:color w:val="auto"/>
        </w:rPr>
      </w:pPr>
    </w:p>
    <w:p>
      <w:pPr>
        <w:ind w:left="2020" w:right="1299" w:hanging="163"/>
        <w:spacing w:after="0" w:line="275" w:lineRule="auto"/>
        <w:tabs>
          <w:tab w:leader="none" w:pos="202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Subsidiary Guarantor denies or disaffirms its obligations under the Indenture or its guarantee.</w:t>
      </w:r>
    </w:p>
    <w:p>
      <w:pPr>
        <w:spacing w:after="0" w:line="83" w:lineRule="exact"/>
        <w:rPr>
          <w:sz w:val="20"/>
          <w:szCs w:val="20"/>
          <w:color w:val="auto"/>
        </w:rPr>
      </w:pPr>
    </w:p>
    <w:p>
      <w:pPr>
        <w:ind w:left="1180" w:right="1019" w:firstLine="337"/>
        <w:spacing w:after="0" w:line="275" w:lineRule="auto"/>
        <w:rPr>
          <w:sz w:val="20"/>
          <w:szCs w:val="20"/>
          <w:color w:val="auto"/>
        </w:rPr>
      </w:pPr>
      <w:r>
        <w:rPr>
          <w:rFonts w:ascii="Times New Roman" w:cs="Times New Roman" w:eastAsia="Times New Roman" w:hAnsi="Times New Roman"/>
          <w:sz w:val="17"/>
          <w:szCs w:val="17"/>
          <w:color w:val="auto"/>
        </w:rPr>
        <w:t>An Event of Default regarding the Notes will not necessarily constitute an Event of Default for any other series of debt securities that may be issued under the Base Indenture. In the case of an Event of</w:t>
      </w:r>
    </w:p>
    <w:p>
      <w:pPr>
        <w:spacing w:after="0" w:line="3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699"/>
        <w:spacing w:after="0" w:line="247" w:lineRule="auto"/>
        <w:rPr>
          <w:sz w:val="20"/>
          <w:szCs w:val="20"/>
          <w:color w:val="auto"/>
        </w:rPr>
      </w:pPr>
      <w:r>
        <w:rPr>
          <w:rFonts w:ascii="Times New Roman" w:cs="Times New Roman" w:eastAsia="Times New Roman" w:hAnsi="Times New Roman"/>
          <w:sz w:val="17"/>
          <w:szCs w:val="17"/>
          <w:color w:val="auto"/>
        </w:rPr>
        <w:t>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06" w:lineRule="exact"/>
        <w:rPr>
          <w:sz w:val="20"/>
          <w:szCs w:val="20"/>
          <w:color w:val="auto"/>
        </w:rPr>
      </w:pPr>
    </w:p>
    <w:p>
      <w:pPr>
        <w:ind w:left="1180" w:right="699" w:firstLine="337"/>
        <w:spacing w:after="0" w:line="242" w:lineRule="auto"/>
        <w:rPr>
          <w:sz w:val="20"/>
          <w:szCs w:val="20"/>
          <w:color w:val="auto"/>
        </w:rPr>
      </w:pPr>
      <w:r>
        <w:rPr>
          <w:rFonts w:ascii="Times New Roman" w:cs="Times New Roman" w:eastAsia="Times New Roman" w:hAnsi="Times New Roman"/>
          <w:sz w:val="17"/>
          <w:szCs w:val="17"/>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11" w:lineRule="exact"/>
        <w:rPr>
          <w:sz w:val="20"/>
          <w:szCs w:val="20"/>
          <w:color w:val="auto"/>
        </w:rPr>
      </w:pPr>
    </w:p>
    <w:p>
      <w:pPr>
        <w:ind w:left="1180" w:right="679" w:firstLine="337"/>
        <w:spacing w:after="0" w:line="243" w:lineRule="auto"/>
        <w:rPr>
          <w:sz w:val="20"/>
          <w:szCs w:val="20"/>
          <w:color w:val="auto"/>
        </w:rPr>
      </w:pPr>
      <w:r>
        <w:rPr>
          <w:rFonts w:ascii="Times New Roman" w:cs="Times New Roman" w:eastAsia="Times New Roman" w:hAnsi="Times New Roman"/>
          <w:sz w:val="17"/>
          <w:szCs w:val="17"/>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Consolidation, Merger or Sale</w:t>
      </w:r>
    </w:p>
    <w:p>
      <w:pPr>
        <w:spacing w:after="0" w:line="150" w:lineRule="exact"/>
        <w:rPr>
          <w:sz w:val="20"/>
          <w:szCs w:val="20"/>
          <w:color w:val="auto"/>
        </w:rPr>
      </w:pPr>
    </w:p>
    <w:p>
      <w:pPr>
        <w:ind w:left="1180" w:right="1059" w:firstLine="337"/>
        <w:spacing w:after="0" w:line="247" w:lineRule="auto"/>
        <w:rPr>
          <w:sz w:val="20"/>
          <w:szCs w:val="20"/>
          <w:color w:val="auto"/>
        </w:rPr>
      </w:pPr>
      <w:r>
        <w:rPr>
          <w:rFonts w:ascii="Times New Roman" w:cs="Times New Roman" w:eastAsia="Times New Roman" w:hAnsi="Times New Roman"/>
          <w:sz w:val="17"/>
          <w:szCs w:val="17"/>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67" w:lineRule="exact"/>
        <w:rPr>
          <w:sz w:val="20"/>
          <w:szCs w:val="20"/>
          <w:color w:val="auto"/>
        </w:rPr>
      </w:pPr>
    </w:p>
    <w:p>
      <w:pPr>
        <w:ind w:left="1680" w:hanging="160"/>
        <w:spacing w:after="0"/>
        <w:tabs>
          <w:tab w:leader="none" w:pos="16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the surviving Person in the case of a merger, or the surviving Person:</w:t>
      </w:r>
    </w:p>
    <w:p>
      <w:pPr>
        <w:spacing w:after="0" w:line="95" w:lineRule="exact"/>
        <w:rPr>
          <w:rFonts w:ascii="Times New Roman" w:cs="Times New Roman" w:eastAsia="Times New Roman" w:hAnsi="Times New Roman"/>
          <w:sz w:val="17"/>
          <w:szCs w:val="17"/>
          <w:color w:val="auto"/>
        </w:rPr>
      </w:pPr>
    </w:p>
    <w:p>
      <w:pPr>
        <w:ind w:left="2020" w:right="679" w:hanging="163"/>
        <w:spacing w:after="0" w:line="257" w:lineRule="auto"/>
        <w:tabs>
          <w:tab w:leader="none" w:pos="2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59" w:lineRule="exact"/>
        <w:rPr>
          <w:rFonts w:ascii="Times New Roman" w:cs="Times New Roman" w:eastAsia="Times New Roman" w:hAnsi="Times New Roman"/>
          <w:sz w:val="17"/>
          <w:szCs w:val="17"/>
          <w:color w:val="auto"/>
        </w:rPr>
      </w:pPr>
    </w:p>
    <w:p>
      <w:pPr>
        <w:ind w:left="2020" w:right="739" w:hanging="163"/>
        <w:spacing w:after="0" w:line="257" w:lineRule="auto"/>
        <w:tabs>
          <w:tab w:leader="none" w:pos="2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72" w:lineRule="exact"/>
        <w:rPr>
          <w:rFonts w:ascii="Times New Roman" w:cs="Times New Roman" w:eastAsia="Times New Roman" w:hAnsi="Times New Roman"/>
          <w:sz w:val="17"/>
          <w:szCs w:val="17"/>
          <w:color w:val="auto"/>
        </w:rPr>
      </w:pPr>
    </w:p>
    <w:p>
      <w:pPr>
        <w:ind w:left="1680" w:right="999" w:hanging="160"/>
        <w:spacing w:after="0" w:line="275" w:lineRule="auto"/>
        <w:tabs>
          <w:tab w:leader="none" w:pos="16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or series of transactions, no Default or Event of Default has occurred and is continuing;</w:t>
      </w:r>
    </w:p>
    <w:p>
      <w:pPr>
        <w:spacing w:after="0" w:line="44" w:lineRule="exact"/>
        <w:rPr>
          <w:rFonts w:ascii="Times New Roman" w:cs="Times New Roman" w:eastAsia="Times New Roman" w:hAnsi="Times New Roman"/>
          <w:sz w:val="17"/>
          <w:szCs w:val="17"/>
          <w:color w:val="auto"/>
        </w:rPr>
      </w:pPr>
    </w:p>
    <w:p>
      <w:pPr>
        <w:ind w:left="1680" w:right="759" w:hanging="160"/>
        <w:spacing w:after="0" w:line="257" w:lineRule="auto"/>
        <w:tabs>
          <w:tab w:leader="none" w:pos="16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59" w:lineRule="exact"/>
        <w:rPr>
          <w:rFonts w:ascii="Times New Roman" w:cs="Times New Roman" w:eastAsia="Times New Roman" w:hAnsi="Times New Roman"/>
          <w:sz w:val="17"/>
          <w:szCs w:val="17"/>
          <w:color w:val="auto"/>
        </w:rPr>
      </w:pPr>
    </w:p>
    <w:p>
      <w:pPr>
        <w:ind w:left="1680" w:right="839" w:hanging="160"/>
        <w:spacing w:after="0" w:line="257" w:lineRule="auto"/>
        <w:tabs>
          <w:tab w:leader="none" w:pos="16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10" w:lineRule="exact"/>
        <w:rPr>
          <w:sz w:val="20"/>
          <w:szCs w:val="20"/>
          <w:color w:val="auto"/>
        </w:rPr>
      </w:pPr>
    </w:p>
    <w:p>
      <w:pPr>
        <w:ind w:left="1180" w:right="859" w:firstLine="337"/>
        <w:spacing w:after="0" w:line="247" w:lineRule="auto"/>
        <w:rPr>
          <w:sz w:val="20"/>
          <w:szCs w:val="20"/>
          <w:color w:val="auto"/>
        </w:rPr>
      </w:pPr>
      <w:r>
        <w:rPr>
          <w:rFonts w:ascii="Times New Roman" w:cs="Times New Roman" w:eastAsia="Times New Roman" w:hAnsi="Times New Roman"/>
          <w:sz w:val="17"/>
          <w:szCs w:val="17"/>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Modification of the Indenture</w:t>
      </w:r>
    </w:p>
    <w:p>
      <w:pPr>
        <w:spacing w:after="0" w:line="150" w:lineRule="exact"/>
        <w:rPr>
          <w:sz w:val="20"/>
          <w:szCs w:val="20"/>
          <w:color w:val="auto"/>
        </w:rPr>
      </w:pPr>
    </w:p>
    <w:p>
      <w:pPr>
        <w:ind w:left="1180" w:right="759" w:firstLine="337"/>
        <w:spacing w:after="0" w:line="260" w:lineRule="auto"/>
        <w:rPr>
          <w:sz w:val="20"/>
          <w:szCs w:val="20"/>
          <w:color w:val="auto"/>
        </w:rPr>
      </w:pPr>
      <w:r>
        <w:rPr>
          <w:rFonts w:ascii="Times New Roman" w:cs="Times New Roman" w:eastAsia="Times New Roman" w:hAnsi="Times New Roman"/>
          <w:sz w:val="17"/>
          <w:szCs w:val="17"/>
          <w:color w:val="auto"/>
        </w:rPr>
        <w:t>Generally, we, any Subsidiary Guarantors and the trustee may amend or supplement the Indenture, any guarantees and the Notes with the consent of the holders of at least a majority in principal amount of</w:t>
      </w:r>
    </w:p>
    <w:p>
      <w:pPr>
        <w:spacing w:after="0" w:line="3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1439"/>
        <w:spacing w:after="0" w:line="275" w:lineRule="auto"/>
        <w:rPr>
          <w:sz w:val="20"/>
          <w:szCs w:val="20"/>
          <w:color w:val="auto"/>
        </w:rPr>
      </w:pPr>
      <w:r>
        <w:rPr>
          <w:rFonts w:ascii="Times New Roman" w:cs="Times New Roman" w:eastAsia="Times New Roman" w:hAnsi="Times New Roman"/>
          <w:sz w:val="17"/>
          <w:szCs w:val="17"/>
          <w:color w:val="auto"/>
        </w:rPr>
        <w:t>the then outstanding Notes. However, without the consent of each holder affected, an amendment, supplement or waiver may not (with respect to any Notes held by a nonconsenting holder):</w:t>
      </w:r>
    </w:p>
    <w:p>
      <w:pPr>
        <w:spacing w:after="0" w:line="32" w:lineRule="exact"/>
        <w:rPr>
          <w:sz w:val="20"/>
          <w:szCs w:val="20"/>
          <w:color w:val="auto"/>
        </w:rPr>
      </w:pPr>
    </w:p>
    <w:p>
      <w:pPr>
        <w:ind w:left="1680" w:right="859" w:hanging="160"/>
        <w:spacing w:after="0" w:line="275" w:lineRule="auto"/>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Notes whose holders must consent to an amendment, supplement or waiver;</w:t>
      </w:r>
    </w:p>
    <w:p>
      <w:pPr>
        <w:spacing w:after="0" w:line="44"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or change the fixed maturity of any Note;</w:t>
      </w:r>
    </w:p>
    <w:p>
      <w:pPr>
        <w:spacing w:after="0" w:line="82" w:lineRule="exact"/>
        <w:rPr>
          <w:rFonts w:ascii="Times New Roman" w:cs="Times New Roman" w:eastAsia="Times New Roman" w:hAnsi="Times New Roman"/>
          <w:sz w:val="17"/>
          <w:szCs w:val="17"/>
          <w:color w:val="auto"/>
        </w:rPr>
      </w:pPr>
    </w:p>
    <w:p>
      <w:pPr>
        <w:ind w:left="1680" w:right="939" w:hanging="160"/>
        <w:spacing w:after="0" w:line="275" w:lineRule="auto"/>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or waive the premium payable upon redemption or alter or waive the other provisions with respect to the redemption of any Notes;</w:t>
      </w:r>
    </w:p>
    <w:p>
      <w:pPr>
        <w:spacing w:after="0" w:line="3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change the time for payment of interest on any Note;</w:t>
      </w:r>
    </w:p>
    <w:p>
      <w:pPr>
        <w:spacing w:after="0" w:line="82" w:lineRule="exact"/>
        <w:rPr>
          <w:rFonts w:ascii="Times New Roman" w:cs="Times New Roman" w:eastAsia="Times New Roman" w:hAnsi="Times New Roman"/>
          <w:sz w:val="17"/>
          <w:szCs w:val="17"/>
          <w:color w:val="auto"/>
        </w:rPr>
      </w:pPr>
    </w:p>
    <w:p>
      <w:pPr>
        <w:ind w:left="1680" w:right="719" w:hanging="160"/>
        <w:spacing w:after="0" w:line="259" w:lineRule="auto"/>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264"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any security that may have been granted with respect to the Notes;</w:t>
      </w:r>
    </w:p>
    <w:p>
      <w:pPr>
        <w:spacing w:after="0" w:line="8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note payable in currency other than that stated in the Notes;</w:t>
      </w:r>
    </w:p>
    <w:p>
      <w:pPr>
        <w:spacing w:after="0" w:line="82" w:lineRule="exact"/>
        <w:rPr>
          <w:rFonts w:ascii="Times New Roman" w:cs="Times New Roman" w:eastAsia="Times New Roman" w:hAnsi="Times New Roman"/>
          <w:sz w:val="17"/>
          <w:szCs w:val="17"/>
          <w:color w:val="auto"/>
        </w:rPr>
      </w:pPr>
    </w:p>
    <w:p>
      <w:pPr>
        <w:jc w:val="both"/>
        <w:ind w:left="1680" w:right="799" w:hanging="160"/>
        <w:spacing w:after="0" w:line="275" w:lineRule="auto"/>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the provisions of the Indenture relating to waivers of past Defaults or the rights of holders of Notes to receive payments of principal of or premium, if any, or interest on the Notes;</w:t>
      </w:r>
    </w:p>
    <w:p>
      <w:pPr>
        <w:spacing w:after="0" w:line="3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redemption payment with respect to any Note;</w:t>
      </w:r>
    </w:p>
    <w:p>
      <w:pPr>
        <w:spacing w:after="0" w:line="95" w:lineRule="exact"/>
        <w:rPr>
          <w:rFonts w:ascii="Times New Roman" w:cs="Times New Roman" w:eastAsia="Times New Roman" w:hAnsi="Times New Roman"/>
          <w:sz w:val="17"/>
          <w:szCs w:val="17"/>
          <w:color w:val="auto"/>
        </w:rPr>
      </w:pPr>
    </w:p>
    <w:p>
      <w:pPr>
        <w:ind w:left="1680" w:right="719" w:hanging="160"/>
        <w:spacing w:after="0" w:line="262" w:lineRule="auto"/>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42" w:lineRule="exact"/>
        <w:rPr>
          <w:rFonts w:ascii="Times New Roman" w:cs="Times New Roman" w:eastAsia="Times New Roman" w:hAnsi="Times New Roman"/>
          <w:sz w:val="17"/>
          <w:szCs w:val="17"/>
          <w:color w:val="auto"/>
        </w:rPr>
      </w:pPr>
    </w:p>
    <w:p>
      <w:pPr>
        <w:ind w:left="1680" w:right="719" w:hanging="160"/>
        <w:spacing w:after="0" w:line="275" w:lineRule="auto"/>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the preceding amendment, supplement and waiver provisions (except to increase any percentage set forth therein).</w:t>
      </w:r>
    </w:p>
    <w:p>
      <w:pPr>
        <w:spacing w:after="0" w:line="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Notwithstanding the preceding paragraph, without the consent of any holder of Notes, we, any</w:t>
      </w:r>
    </w:p>
    <w:p>
      <w:pPr>
        <w:spacing w:after="0" w:line="1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Subsidiary Guarantors and the trustee may amend or supplement the Indenture or the Notes:</w:t>
      </w:r>
    </w:p>
    <w:p>
      <w:pPr>
        <w:spacing w:after="0" w:line="65" w:lineRule="exact"/>
        <w:rPr>
          <w:sz w:val="20"/>
          <w:szCs w:val="20"/>
          <w:color w:val="auto"/>
        </w:rPr>
      </w:pPr>
    </w:p>
    <w:p>
      <w:pPr>
        <w:ind w:left="1680" w:hanging="160"/>
        <w:spacing w:after="0"/>
        <w:tabs>
          <w:tab w:leader="none" w:pos="1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Notes in addition to or in place of certificated Notes;</w:t>
      </w:r>
    </w:p>
    <w:p>
      <w:pPr>
        <w:spacing w:after="0" w:line="82" w:lineRule="exact"/>
        <w:rPr>
          <w:rFonts w:ascii="Times New Roman" w:cs="Times New Roman" w:eastAsia="Times New Roman" w:hAnsi="Times New Roman"/>
          <w:sz w:val="17"/>
          <w:szCs w:val="17"/>
          <w:color w:val="auto"/>
        </w:rPr>
      </w:pPr>
    </w:p>
    <w:p>
      <w:pPr>
        <w:ind w:left="1680" w:right="699" w:hanging="160"/>
        <w:spacing w:after="0" w:line="269" w:lineRule="auto"/>
        <w:tabs>
          <w:tab w:leader="none" w:pos="1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assumption of our or the confirmation of any Subsidiary Guarantor’s obligations to holders of Notes in the case of a merger or consolidation or sale of all or substantially all of our assets;</w:t>
      </w:r>
    </w:p>
    <w:p>
      <w:pPr>
        <w:spacing w:after="0" w:line="244" w:lineRule="exact"/>
        <w:rPr>
          <w:rFonts w:ascii="Times New Roman" w:cs="Times New Roman" w:eastAsia="Times New Roman" w:hAnsi="Times New Roman"/>
          <w:sz w:val="17"/>
          <w:szCs w:val="17"/>
          <w:color w:val="auto"/>
        </w:rPr>
      </w:pPr>
    </w:p>
    <w:p>
      <w:pPr>
        <w:ind w:left="1680" w:right="819" w:hanging="160"/>
        <w:spacing w:after="0" w:line="275" w:lineRule="auto"/>
        <w:tabs>
          <w:tab w:leader="none" w:pos="1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or release any Subsidiary Guarantors as permitted pursuant to the terms of the Indenture (see “— Possible Future Guarantees”);</w:t>
      </w:r>
    </w:p>
    <w:p>
      <w:pPr>
        <w:spacing w:after="0" w:line="32" w:lineRule="exact"/>
        <w:rPr>
          <w:rFonts w:ascii="Times New Roman" w:cs="Times New Roman" w:eastAsia="Times New Roman" w:hAnsi="Times New Roman"/>
          <w:sz w:val="17"/>
          <w:szCs w:val="17"/>
          <w:color w:val="auto"/>
        </w:rPr>
      </w:pPr>
    </w:p>
    <w:p>
      <w:pPr>
        <w:ind w:left="1680" w:right="739" w:hanging="160"/>
        <w:spacing w:after="0" w:line="275" w:lineRule="auto"/>
        <w:tabs>
          <w:tab w:leader="none" w:pos="1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changes that would provide any additional rights or benefits to the holders of Notes that do not, taken as a whole, adversely affect the rights under the Indenture of any holder of the Notes;</w:t>
      </w:r>
    </w:p>
    <w:p>
      <w:pPr>
        <w:spacing w:after="0" w:line="32" w:lineRule="exact"/>
        <w:rPr>
          <w:rFonts w:ascii="Times New Roman" w:cs="Times New Roman" w:eastAsia="Times New Roman" w:hAnsi="Times New Roman"/>
          <w:sz w:val="17"/>
          <w:szCs w:val="17"/>
          <w:color w:val="auto"/>
        </w:rPr>
      </w:pPr>
    </w:p>
    <w:p>
      <w:pPr>
        <w:ind w:left="1680" w:right="1259" w:hanging="160"/>
        <w:spacing w:after="0" w:line="275" w:lineRule="auto"/>
        <w:tabs>
          <w:tab w:leader="none" w:pos="1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requirements of the SEC in order to effect or maintain the qualification of the Indenture under the Trust Indenture Act;</w:t>
      </w:r>
    </w:p>
    <w:p>
      <w:pPr>
        <w:spacing w:after="0" w:line="3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or provide for the acceptance of appointment under the Indenture of a successor trustee;</w:t>
      </w:r>
    </w:p>
    <w:p>
      <w:pPr>
        <w:spacing w:after="0" w:line="8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any additional Events of Default;</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secure the Notes and/or any guarantees; or</w:t>
      </w:r>
    </w:p>
    <w:p>
      <w:pPr>
        <w:spacing w:after="0" w:line="8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the form or terms of any other series of debt securities under the Base Indenture.</w:t>
      </w:r>
    </w:p>
    <w:p>
      <w:pPr>
        <w:spacing w:after="0" w:line="19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Liens</w:t>
      </w:r>
    </w:p>
    <w:p>
      <w:pPr>
        <w:spacing w:after="0" w:line="150" w:lineRule="exact"/>
        <w:rPr>
          <w:sz w:val="20"/>
          <w:szCs w:val="20"/>
          <w:color w:val="auto"/>
        </w:rPr>
      </w:pPr>
    </w:p>
    <w:p>
      <w:pPr>
        <w:ind w:left="1180" w:right="799" w:firstLine="337"/>
        <w:spacing w:after="0" w:line="260" w:lineRule="auto"/>
        <w:rPr>
          <w:sz w:val="20"/>
          <w:szCs w:val="20"/>
          <w:color w:val="auto"/>
        </w:rPr>
      </w:pPr>
      <w:r>
        <w:rPr>
          <w:rFonts w:ascii="Times New Roman" w:cs="Times New Roman" w:eastAsia="Times New Roman" w:hAnsi="Times New Roman"/>
          <w:sz w:val="17"/>
          <w:szCs w:val="17"/>
          <w:color w:val="auto"/>
        </w:rPr>
        <w:t>We will not, nor will we permit any Subsidiary of Plains All American Pipeline to, create, assume, incur or suffer to exist any lien upon any Principal Property or upon any Capital Interests of any Restricted</w:t>
      </w:r>
    </w:p>
    <w:p>
      <w:pPr>
        <w:spacing w:after="0" w:line="3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39"/>
        <w:spacing w:after="0" w:line="247" w:lineRule="auto"/>
        <w:rPr>
          <w:sz w:val="20"/>
          <w:szCs w:val="20"/>
          <w:color w:val="auto"/>
        </w:rPr>
      </w:pPr>
      <w:r>
        <w:rPr>
          <w:rFonts w:ascii="Times New Roman" w:cs="Times New Roman" w:eastAsia="Times New Roman" w:hAnsi="Times New Roman"/>
          <w:sz w:val="17"/>
          <w:szCs w:val="17"/>
          <w:color w:val="auto"/>
        </w:rPr>
        <w:t>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67" w:lineRule="exact"/>
        <w:rPr>
          <w:sz w:val="20"/>
          <w:szCs w:val="20"/>
          <w:color w:val="auto"/>
        </w:rPr>
      </w:pPr>
    </w:p>
    <w:p>
      <w:pPr>
        <w:ind w:left="1680" w:hanging="160"/>
        <w:spacing w:after="0"/>
        <w:tabs>
          <w:tab w:leader="none" w:pos="1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Liens;</w:t>
      </w:r>
    </w:p>
    <w:p>
      <w:pPr>
        <w:spacing w:after="0" w:line="95" w:lineRule="exact"/>
        <w:rPr>
          <w:rFonts w:ascii="Times New Roman" w:cs="Times New Roman" w:eastAsia="Times New Roman" w:hAnsi="Times New Roman"/>
          <w:sz w:val="17"/>
          <w:szCs w:val="17"/>
          <w:color w:val="auto"/>
        </w:rPr>
      </w:pPr>
    </w:p>
    <w:p>
      <w:pPr>
        <w:ind w:left="1680" w:right="859" w:hanging="160"/>
        <w:spacing w:after="0" w:line="257" w:lineRule="auto"/>
        <w:tabs>
          <w:tab w:leader="none" w:pos="1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59" w:lineRule="exact"/>
        <w:rPr>
          <w:rFonts w:ascii="Times New Roman" w:cs="Times New Roman" w:eastAsia="Times New Roman" w:hAnsi="Times New Roman"/>
          <w:sz w:val="17"/>
          <w:szCs w:val="17"/>
          <w:color w:val="auto"/>
        </w:rPr>
      </w:pPr>
    </w:p>
    <w:p>
      <w:pPr>
        <w:ind w:left="1680" w:right="779" w:hanging="160"/>
        <w:spacing w:after="0" w:line="257" w:lineRule="auto"/>
        <w:tabs>
          <w:tab w:leader="none" w:pos="1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59" w:lineRule="exact"/>
        <w:rPr>
          <w:rFonts w:ascii="Times New Roman" w:cs="Times New Roman" w:eastAsia="Times New Roman" w:hAnsi="Times New Roman"/>
          <w:sz w:val="17"/>
          <w:szCs w:val="17"/>
          <w:color w:val="auto"/>
        </w:rPr>
      </w:pPr>
    </w:p>
    <w:p>
      <w:pPr>
        <w:ind w:left="1680" w:right="839" w:hanging="160"/>
        <w:spacing w:after="0" w:line="257" w:lineRule="auto"/>
        <w:tabs>
          <w:tab w:leader="none" w:pos="1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47" w:lineRule="exact"/>
        <w:rPr>
          <w:rFonts w:ascii="Times New Roman" w:cs="Times New Roman" w:eastAsia="Times New Roman" w:hAnsi="Times New Roman"/>
          <w:sz w:val="17"/>
          <w:szCs w:val="17"/>
          <w:color w:val="auto"/>
        </w:rPr>
      </w:pPr>
    </w:p>
    <w:p>
      <w:pPr>
        <w:ind w:left="1680" w:right="819" w:hanging="160"/>
        <w:spacing w:after="0" w:line="257" w:lineRule="auto"/>
        <w:tabs>
          <w:tab w:leader="none" w:pos="1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59" w:lineRule="exact"/>
        <w:rPr>
          <w:rFonts w:ascii="Times New Roman" w:cs="Times New Roman" w:eastAsia="Times New Roman" w:hAnsi="Times New Roman"/>
          <w:sz w:val="17"/>
          <w:szCs w:val="17"/>
          <w:color w:val="auto"/>
        </w:rPr>
      </w:pPr>
    </w:p>
    <w:p>
      <w:pPr>
        <w:jc w:val="both"/>
        <w:ind w:left="1680" w:right="839" w:hanging="160"/>
        <w:spacing w:after="0" w:line="262" w:lineRule="auto"/>
        <w:tabs>
          <w:tab w:leader="none" w:pos="1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upon any of our property or assets or the property or assets of any Restricted Subsidiary in existence on December 10, 2003 or provided for pursuant to agreements existing on December 10, 2003;</w:t>
      </w:r>
    </w:p>
    <w:p>
      <w:pPr>
        <w:spacing w:after="0" w:line="54" w:lineRule="exact"/>
        <w:rPr>
          <w:rFonts w:ascii="Times New Roman" w:cs="Times New Roman" w:eastAsia="Times New Roman" w:hAnsi="Times New Roman"/>
          <w:sz w:val="17"/>
          <w:szCs w:val="17"/>
          <w:color w:val="auto"/>
        </w:rPr>
      </w:pPr>
    </w:p>
    <w:p>
      <w:pPr>
        <w:ind w:left="1680" w:right="799" w:hanging="160"/>
        <w:spacing w:after="0" w:line="259" w:lineRule="auto"/>
        <w:tabs>
          <w:tab w:leader="none" w:pos="1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251" w:lineRule="exact"/>
        <w:rPr>
          <w:rFonts w:ascii="Times New Roman" w:cs="Times New Roman" w:eastAsia="Times New Roman" w:hAnsi="Times New Roman"/>
          <w:sz w:val="17"/>
          <w:szCs w:val="17"/>
          <w:color w:val="auto"/>
        </w:rPr>
      </w:pPr>
    </w:p>
    <w:p>
      <w:pPr>
        <w:ind w:left="1680" w:right="779" w:hanging="160"/>
        <w:spacing w:after="0" w:line="251" w:lineRule="auto"/>
        <w:tabs>
          <w:tab w:leader="none" w:pos="1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68" w:lineRule="exact"/>
        <w:rPr>
          <w:rFonts w:ascii="Times New Roman" w:cs="Times New Roman" w:eastAsia="Times New Roman" w:hAnsi="Times New Roman"/>
          <w:sz w:val="17"/>
          <w:szCs w:val="17"/>
          <w:color w:val="auto"/>
        </w:rPr>
      </w:pPr>
    </w:p>
    <w:p>
      <w:pPr>
        <w:ind w:left="1680" w:right="779" w:hanging="160"/>
        <w:spacing w:after="0" w:line="275" w:lineRule="auto"/>
        <w:tabs>
          <w:tab w:leader="none" w:pos="1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resulting from the deposit of moneys or evidence of indebtedness in trust for the purpose of defeasing our debt or debt of any Restricted Subsidiary.</w:t>
      </w:r>
    </w:p>
    <w:p>
      <w:pPr>
        <w:spacing w:after="0" w:line="95" w:lineRule="exact"/>
        <w:rPr>
          <w:sz w:val="20"/>
          <w:szCs w:val="20"/>
          <w:color w:val="auto"/>
        </w:rPr>
      </w:pPr>
    </w:p>
    <w:p>
      <w:pPr>
        <w:ind w:left="1180" w:right="679" w:firstLine="337"/>
        <w:spacing w:after="0" w:line="241" w:lineRule="auto"/>
        <w:rPr>
          <w:sz w:val="20"/>
          <w:szCs w:val="20"/>
          <w:color w:val="auto"/>
        </w:rPr>
      </w:pPr>
      <w:r>
        <w:rPr>
          <w:rFonts w:ascii="Times New Roman" w:cs="Times New Roman" w:eastAsia="Times New Roman" w:hAnsi="Times New Roman"/>
          <w:sz w:val="17"/>
          <w:szCs w:val="17"/>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 Limitations on Sale-leasebacks,” does not exceed 15% of Consolidated Net Tangible Assets.</w:t>
      </w:r>
    </w:p>
    <w:p>
      <w:pPr>
        <w:spacing w:after="0" w:line="1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Sale-Leasebacks</w:t>
      </w:r>
    </w:p>
    <w:p>
      <w:pPr>
        <w:spacing w:after="0" w:line="150" w:lineRule="exact"/>
        <w:rPr>
          <w:sz w:val="20"/>
          <w:szCs w:val="20"/>
          <w:color w:val="auto"/>
        </w:rPr>
      </w:pPr>
    </w:p>
    <w:p>
      <w:pPr>
        <w:ind w:left="1180" w:right="879" w:firstLine="337"/>
        <w:spacing w:after="0" w:line="260" w:lineRule="auto"/>
        <w:rPr>
          <w:sz w:val="20"/>
          <w:szCs w:val="20"/>
          <w:color w:val="auto"/>
        </w:rPr>
      </w:pPr>
      <w:r>
        <w:rPr>
          <w:rFonts w:ascii="Times New Roman" w:cs="Times New Roman" w:eastAsia="Times New Roman" w:hAnsi="Times New Roman"/>
          <w:sz w:val="17"/>
          <w:szCs w:val="17"/>
          <w:color w:val="auto"/>
        </w:rPr>
        <w:t>We will not, and will not permit any Subsidiary of Plains All American Pipeline to, engage in a Sale-leaseback Transaction, unless:</w:t>
      </w:r>
    </w:p>
    <w:p>
      <w:pPr>
        <w:spacing w:after="0" w:line="3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80" w:right="959" w:hanging="160"/>
        <w:spacing w:after="0" w:line="257" w:lineRule="auto"/>
        <w:tabs>
          <w:tab w:leader="none" w:pos="1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72" w:lineRule="exact"/>
        <w:rPr>
          <w:rFonts w:ascii="Times New Roman" w:cs="Times New Roman" w:eastAsia="Times New Roman" w:hAnsi="Times New Roman"/>
          <w:sz w:val="17"/>
          <w:szCs w:val="17"/>
          <w:color w:val="auto"/>
        </w:rPr>
      </w:pPr>
    </w:p>
    <w:p>
      <w:pPr>
        <w:ind w:left="1680" w:right="939" w:hanging="160"/>
        <w:spacing w:after="0" w:line="275" w:lineRule="auto"/>
        <w:tabs>
          <w:tab w:leader="none" w:pos="1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Sale-leaseback Transaction involves a lease for a period, including renewals, of not more than three years;</w:t>
      </w:r>
    </w:p>
    <w:p>
      <w:pPr>
        <w:spacing w:after="0" w:line="70" w:lineRule="exact"/>
        <w:rPr>
          <w:rFonts w:ascii="Times New Roman" w:cs="Times New Roman" w:eastAsia="Times New Roman" w:hAnsi="Times New Roman"/>
          <w:sz w:val="17"/>
          <w:szCs w:val="17"/>
          <w:color w:val="auto"/>
        </w:rPr>
      </w:pPr>
    </w:p>
    <w:p>
      <w:pPr>
        <w:ind w:left="1680" w:right="699" w:hanging="160"/>
        <w:spacing w:after="0" w:line="262" w:lineRule="auto"/>
        <w:tabs>
          <w:tab w:leader="none" w:pos="1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67" w:lineRule="exact"/>
        <w:rPr>
          <w:rFonts w:ascii="Times New Roman" w:cs="Times New Roman" w:eastAsia="Times New Roman" w:hAnsi="Times New Roman"/>
          <w:sz w:val="17"/>
          <w:szCs w:val="17"/>
          <w:color w:val="auto"/>
        </w:rPr>
      </w:pPr>
    </w:p>
    <w:p>
      <w:pPr>
        <w:ind w:left="1680" w:right="699" w:hanging="160"/>
        <w:spacing w:after="0" w:line="254" w:lineRule="auto"/>
        <w:tabs>
          <w:tab w:leader="none" w:pos="1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305" w:lineRule="exact"/>
        <w:rPr>
          <w:sz w:val="20"/>
          <w:szCs w:val="20"/>
          <w:color w:val="auto"/>
        </w:rPr>
      </w:pPr>
    </w:p>
    <w:p>
      <w:pPr>
        <w:ind w:left="1180" w:right="679" w:firstLine="337"/>
        <w:spacing w:after="0" w:line="253" w:lineRule="auto"/>
        <w:rPr>
          <w:sz w:val="20"/>
          <w:szCs w:val="20"/>
          <w:color w:val="auto"/>
        </w:rPr>
      </w:pPr>
      <w:r>
        <w:rPr>
          <w:rFonts w:ascii="Times New Roman" w:cs="Times New Roman" w:eastAsia="Times New Roman" w:hAnsi="Times New Roman"/>
          <w:sz w:val="17"/>
          <w:szCs w:val="17"/>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 Limitations on Liens,” does not exceed 15% of Consolidated Net Tangible Assets.</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SEC Reports</w:t>
      </w:r>
    </w:p>
    <w:p>
      <w:pPr>
        <w:spacing w:after="0" w:line="150" w:lineRule="exact"/>
        <w:rPr>
          <w:sz w:val="20"/>
          <w:szCs w:val="20"/>
          <w:color w:val="auto"/>
        </w:rPr>
      </w:pPr>
    </w:p>
    <w:p>
      <w:pPr>
        <w:ind w:left="1180" w:right="679" w:firstLine="337"/>
        <w:spacing w:after="0" w:line="252" w:lineRule="auto"/>
        <w:rPr>
          <w:sz w:val="20"/>
          <w:szCs w:val="20"/>
          <w:color w:val="auto"/>
        </w:rPr>
      </w:pPr>
      <w:r>
        <w:rPr>
          <w:rFonts w:ascii="Times New Roman" w:cs="Times New Roman" w:eastAsia="Times New Roman" w:hAnsi="Times New Roman"/>
          <w:sz w:val="17"/>
          <w:szCs w:val="17"/>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17" w:lineRule="exact"/>
        <w:rPr>
          <w:sz w:val="20"/>
          <w:szCs w:val="20"/>
          <w:color w:val="auto"/>
        </w:rPr>
      </w:pPr>
    </w:p>
    <w:p>
      <w:pPr>
        <w:ind w:left="1180" w:right="839" w:firstLine="337"/>
        <w:spacing w:after="0" w:line="257" w:lineRule="auto"/>
        <w:rPr>
          <w:sz w:val="20"/>
          <w:szCs w:val="20"/>
          <w:color w:val="auto"/>
        </w:rPr>
      </w:pPr>
      <w:r>
        <w:rPr>
          <w:rFonts w:ascii="Times New Roman" w:cs="Times New Roman" w:eastAsia="Times New Roman" w:hAnsi="Times New Roman"/>
          <w:sz w:val="17"/>
          <w:szCs w:val="17"/>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Defeasance and Discharge</w:t>
      </w:r>
    </w:p>
    <w:p>
      <w:pPr>
        <w:spacing w:after="0" w:line="137" w:lineRule="exact"/>
        <w:rPr>
          <w:sz w:val="20"/>
          <w:szCs w:val="20"/>
          <w:color w:val="auto"/>
        </w:rPr>
      </w:pPr>
    </w:p>
    <w:p>
      <w:pPr>
        <w:ind w:left="1180" w:right="839" w:firstLine="337"/>
        <w:spacing w:after="0" w:line="257" w:lineRule="auto"/>
        <w:rPr>
          <w:sz w:val="20"/>
          <w:szCs w:val="20"/>
          <w:color w:val="auto"/>
        </w:rPr>
      </w:pPr>
      <w:r>
        <w:rPr>
          <w:rFonts w:ascii="Times New Roman" w:cs="Times New Roman" w:eastAsia="Times New Roman" w:hAnsi="Times New Roman"/>
          <w:sz w:val="17"/>
          <w:szCs w:val="17"/>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10" w:lineRule="exact"/>
        <w:rPr>
          <w:sz w:val="20"/>
          <w:szCs w:val="20"/>
          <w:color w:val="auto"/>
        </w:rPr>
      </w:pPr>
    </w:p>
    <w:p>
      <w:pPr>
        <w:ind w:left="1180" w:right="719" w:firstLine="337"/>
        <w:spacing w:after="0" w:line="259" w:lineRule="auto"/>
        <w:rPr>
          <w:sz w:val="20"/>
          <w:szCs w:val="20"/>
          <w:color w:val="auto"/>
        </w:rPr>
      </w:pPr>
      <w:r>
        <w:rPr>
          <w:rFonts w:ascii="Times New Roman" w:cs="Times New Roman" w:eastAsia="Times New Roman" w:hAnsi="Times New Roman"/>
          <w:sz w:val="17"/>
          <w:szCs w:val="17"/>
          <w:color w:val="auto"/>
        </w:rPr>
        <w:t>Also, at any time, we may terminate our obligations under covenants described in the first paragraph of “— Possible Future Guarantees,” under “— Covenants” and under “— SEC Reports” ​(“covenant defeasance”), and thereafter our failure to comply with any of such covenants would not constitute an Event of Default.</w:t>
      </w:r>
    </w:p>
    <w:p>
      <w:pPr>
        <w:spacing w:after="0" w:line="315" w:lineRule="exact"/>
        <w:rPr>
          <w:sz w:val="20"/>
          <w:szCs w:val="20"/>
          <w:color w:val="auto"/>
        </w:rPr>
      </w:pPr>
    </w:p>
    <w:p>
      <w:pPr>
        <w:ind w:left="1180" w:right="839" w:firstLine="337"/>
        <w:spacing w:after="0" w:line="262" w:lineRule="auto"/>
        <w:rPr>
          <w:sz w:val="20"/>
          <w:szCs w:val="20"/>
          <w:color w:val="auto"/>
        </w:rPr>
      </w:pPr>
      <w:r>
        <w:rPr>
          <w:rFonts w:ascii="Times New Roman" w:cs="Times New Roman" w:eastAsia="Times New Roman" w:hAnsi="Times New Roman"/>
          <w:sz w:val="17"/>
          <w:szCs w:val="17"/>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93" w:lineRule="exact"/>
        <w:rPr>
          <w:sz w:val="20"/>
          <w:szCs w:val="20"/>
          <w:color w:val="auto"/>
        </w:rPr>
      </w:pPr>
    </w:p>
    <w:p>
      <w:pPr>
        <w:ind w:left="1180" w:right="779" w:firstLine="337"/>
        <w:spacing w:after="0" w:line="262" w:lineRule="auto"/>
        <w:rPr>
          <w:sz w:val="20"/>
          <w:szCs w:val="20"/>
          <w:color w:val="auto"/>
        </w:rPr>
      </w:pPr>
      <w:r>
        <w:rPr>
          <w:rFonts w:ascii="Times New Roman" w:cs="Times New Roman" w:eastAsia="Times New Roman" w:hAnsi="Times New Roman"/>
          <w:sz w:val="17"/>
          <w:szCs w:val="17"/>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w:t>
      </w: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19"/>
        <w:spacing w:after="0" w:line="253" w:lineRule="auto"/>
        <w:rPr>
          <w:sz w:val="20"/>
          <w:szCs w:val="20"/>
          <w:color w:val="auto"/>
        </w:rPr>
      </w:pPr>
      <w:r>
        <w:rPr>
          <w:rFonts w:ascii="Times New Roman" w:cs="Times New Roman" w:eastAsia="Times New Roman" w:hAnsi="Times New Roman"/>
          <w:sz w:val="17"/>
          <w:szCs w:val="17"/>
          <w:color w:val="auto"/>
        </w:rPr>
        <w:t>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16" w:lineRule="exact"/>
        <w:rPr>
          <w:sz w:val="20"/>
          <w:szCs w:val="20"/>
          <w:color w:val="auto"/>
        </w:rPr>
      </w:pPr>
    </w:p>
    <w:p>
      <w:pPr>
        <w:ind w:left="1180" w:right="699" w:firstLine="337"/>
        <w:spacing w:after="0" w:line="275" w:lineRule="auto"/>
        <w:rPr>
          <w:sz w:val="20"/>
          <w:szCs w:val="20"/>
          <w:color w:val="auto"/>
        </w:rPr>
      </w:pPr>
      <w:r>
        <w:rPr>
          <w:rFonts w:ascii="Times New Roman" w:cs="Times New Roman" w:eastAsia="Times New Roman" w:hAnsi="Times New Roman"/>
          <w:sz w:val="17"/>
          <w:szCs w:val="17"/>
          <w:color w:val="auto"/>
        </w:rPr>
        <w:t>In the event of any legal defeasance, holders of the defeased Notes would be entitled to look only to the defeasance trust for payment of principal of and any premium and interest on their Notes until maturity.</w:t>
      </w:r>
    </w:p>
    <w:p>
      <w:pPr>
        <w:spacing w:after="0" w:line="95" w:lineRule="exact"/>
        <w:rPr>
          <w:sz w:val="20"/>
          <w:szCs w:val="20"/>
          <w:color w:val="auto"/>
        </w:rPr>
      </w:pPr>
    </w:p>
    <w:p>
      <w:pPr>
        <w:ind w:left="1180" w:right="739" w:firstLine="337"/>
        <w:spacing w:after="0" w:line="253" w:lineRule="auto"/>
        <w:rPr>
          <w:sz w:val="20"/>
          <w:szCs w:val="20"/>
          <w:color w:val="auto"/>
        </w:rPr>
      </w:pPr>
      <w:r>
        <w:rPr>
          <w:rFonts w:ascii="Times New Roman" w:cs="Times New Roman" w:eastAsia="Times New Roman" w:hAnsi="Times New Roman"/>
          <w:sz w:val="17"/>
          <w:szCs w:val="17"/>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03" w:lineRule="exact"/>
        <w:rPr>
          <w:sz w:val="20"/>
          <w:szCs w:val="20"/>
          <w:color w:val="auto"/>
        </w:rPr>
      </w:pPr>
    </w:p>
    <w:p>
      <w:pPr>
        <w:ind w:left="1180" w:right="819" w:firstLine="337"/>
        <w:spacing w:after="0" w:line="262" w:lineRule="auto"/>
        <w:rPr>
          <w:sz w:val="20"/>
          <w:szCs w:val="20"/>
          <w:color w:val="auto"/>
        </w:rPr>
      </w:pPr>
      <w:r>
        <w:rPr>
          <w:rFonts w:ascii="Times New Roman" w:cs="Times New Roman" w:eastAsia="Times New Roman" w:hAnsi="Times New Roman"/>
          <w:sz w:val="17"/>
          <w:szCs w:val="17"/>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67" w:lineRule="exact"/>
        <w:rPr>
          <w:sz w:val="20"/>
          <w:szCs w:val="20"/>
          <w:color w:val="auto"/>
        </w:rPr>
      </w:pPr>
    </w:p>
    <w:p>
      <w:pPr>
        <w:ind w:left="1680" w:hanging="160"/>
        <w:spacing w:after="0"/>
        <w:tabs>
          <w:tab w:leader="none" w:pos="1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all outstanding Notes to the trustee for cancellation; or</w:t>
      </w:r>
    </w:p>
    <w:p>
      <w:pPr>
        <w:spacing w:after="0" w:line="107" w:lineRule="exact"/>
        <w:rPr>
          <w:rFonts w:ascii="Times New Roman" w:cs="Times New Roman" w:eastAsia="Times New Roman" w:hAnsi="Times New Roman"/>
          <w:sz w:val="17"/>
          <w:szCs w:val="17"/>
          <w:color w:val="auto"/>
        </w:rPr>
      </w:pPr>
    </w:p>
    <w:p>
      <w:pPr>
        <w:ind w:left="1680" w:right="699" w:hanging="160"/>
        <w:spacing w:after="0" w:line="254" w:lineRule="auto"/>
        <w:tabs>
          <w:tab w:leader="none" w:pos="1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31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and comply with the other requirements of the Indenture in relation to satisfaction and discharge.</w:t>
      </w:r>
    </w:p>
    <w:p>
      <w:pPr>
        <w:spacing w:after="0" w:line="20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46" w:lineRule="exact"/>
        <w:rPr>
          <w:sz w:val="20"/>
          <w:szCs w:val="20"/>
          <w:color w:val="auto"/>
        </w:rPr>
      </w:pPr>
    </w:p>
    <w:p>
      <w:pPr>
        <w:ind w:left="1180" w:right="719" w:firstLine="337"/>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Attributable Indebtedness</w:t>
      </w:r>
      <w:r>
        <w:rPr>
          <w:rFonts w:ascii="Times New Roman" w:cs="Times New Roman" w:eastAsia="Times New Roman" w:hAnsi="Times New Roman"/>
          <w:sz w:val="17"/>
          <w:szCs w:val="17"/>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99" w:lineRule="exact"/>
        <w:rPr>
          <w:sz w:val="20"/>
          <w:szCs w:val="20"/>
          <w:color w:val="auto"/>
        </w:rPr>
      </w:pPr>
    </w:p>
    <w:p>
      <w:pPr>
        <w:ind w:left="1180" w:right="779" w:firstLine="337"/>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 of Directors</w:t>
      </w:r>
      <w:r>
        <w:rPr>
          <w:rFonts w:ascii="Times New Roman" w:cs="Times New Roman" w:eastAsia="Times New Roman" w:hAnsi="Times New Roman"/>
          <w:sz w:val="17"/>
          <w:szCs w:val="17"/>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04" w:lineRule="exact"/>
        <w:rPr>
          <w:sz w:val="20"/>
          <w:szCs w:val="20"/>
          <w:color w:val="auto"/>
        </w:rPr>
      </w:pPr>
    </w:p>
    <w:p>
      <w:pPr>
        <w:ind w:left="1180" w:right="959" w:firstLine="337"/>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Capital Interests</w:t>
      </w:r>
      <w:r>
        <w:rPr>
          <w:rFonts w:ascii="Times New Roman" w:cs="Times New Roman" w:eastAsia="Times New Roman" w:hAnsi="Times New Roman"/>
          <w:sz w:val="17"/>
          <w:szCs w:val="17"/>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04" w:lineRule="exact"/>
        <w:rPr>
          <w:sz w:val="20"/>
          <w:szCs w:val="20"/>
          <w:color w:val="auto"/>
        </w:rPr>
      </w:pPr>
    </w:p>
    <w:p>
      <w:pPr>
        <w:ind w:left="1180" w:right="1039" w:firstLine="337"/>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Consolidated Net Tangible Assets</w:t>
      </w:r>
      <w:r>
        <w:rPr>
          <w:rFonts w:ascii="Times New Roman" w:cs="Times New Roman" w:eastAsia="Times New Roman" w:hAnsi="Times New Roman"/>
          <w:sz w:val="17"/>
          <w:szCs w:val="17"/>
          <w:color w:val="auto"/>
        </w:rPr>
        <w:t>” means, at any date of determination, the total amount of assets after deducting therefrom:</w:t>
      </w:r>
    </w:p>
    <w:p>
      <w:pPr>
        <w:spacing w:after="0" w:line="3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0" w:hanging="343"/>
        <w:spacing w:after="0"/>
        <w:tabs>
          <w:tab w:leader="none" w:pos="22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current liabilities excluding:</w:t>
      </w:r>
    </w:p>
    <w:p>
      <w:pPr>
        <w:spacing w:after="0" w:line="145" w:lineRule="exact"/>
        <w:rPr>
          <w:rFonts w:ascii="Times New Roman" w:cs="Times New Roman" w:eastAsia="Times New Roman" w:hAnsi="Times New Roman"/>
          <w:sz w:val="17"/>
          <w:szCs w:val="17"/>
          <w:color w:val="auto"/>
        </w:rPr>
      </w:pPr>
    </w:p>
    <w:p>
      <w:pPr>
        <w:ind w:left="1860" w:right="779" w:firstLine="334"/>
        <w:spacing w:after="0" w:line="262" w:lineRule="auto"/>
        <w:tabs>
          <w:tab w:leader="none" w:pos="253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current liabilities that by their terms are extendible or renewable at the option of the obligor thereon to a time more than 12 months after the time as of which the amount thereof is being computed; and</w:t>
      </w:r>
    </w:p>
    <w:p>
      <w:pPr>
        <w:spacing w:after="0" w:line="105" w:lineRule="exact"/>
        <w:rPr>
          <w:rFonts w:ascii="Times New Roman" w:cs="Times New Roman" w:eastAsia="Times New Roman" w:hAnsi="Times New Roman"/>
          <w:sz w:val="17"/>
          <w:szCs w:val="17"/>
          <w:color w:val="auto"/>
        </w:rPr>
      </w:pPr>
    </w:p>
    <w:p>
      <w:pPr>
        <w:ind w:left="2540" w:hanging="346"/>
        <w:spacing w:after="0"/>
        <w:tabs>
          <w:tab w:leader="none" w:pos="25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maturities of long-term debt; and</w:t>
      </w:r>
    </w:p>
    <w:p>
      <w:pPr>
        <w:spacing w:after="0" w:line="133" w:lineRule="exact"/>
        <w:rPr>
          <w:rFonts w:ascii="Times New Roman" w:cs="Times New Roman" w:eastAsia="Times New Roman" w:hAnsi="Times New Roman"/>
          <w:sz w:val="17"/>
          <w:szCs w:val="17"/>
          <w:color w:val="auto"/>
        </w:rPr>
      </w:pPr>
    </w:p>
    <w:p>
      <w:pPr>
        <w:ind w:left="1520" w:right="819" w:firstLine="337"/>
        <w:spacing w:after="0" w:line="275" w:lineRule="auto"/>
        <w:tabs>
          <w:tab w:leader="none" w:pos="22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net of any applicable reserves, of all goodwill, trade names, trademarks, patents and other like intangible assets,</w:t>
      </w:r>
    </w:p>
    <w:p>
      <w:pPr>
        <w:spacing w:after="0" w:line="95" w:lineRule="exact"/>
        <w:rPr>
          <w:sz w:val="20"/>
          <w:szCs w:val="20"/>
          <w:color w:val="auto"/>
        </w:rPr>
      </w:pPr>
    </w:p>
    <w:p>
      <w:pPr>
        <w:ind w:left="1180" w:right="1179"/>
        <w:spacing w:after="0" w:line="275" w:lineRule="auto"/>
        <w:rPr>
          <w:sz w:val="20"/>
          <w:szCs w:val="20"/>
          <w:color w:val="auto"/>
        </w:rPr>
      </w:pPr>
      <w:r>
        <w:rPr>
          <w:rFonts w:ascii="Times New Roman" w:cs="Times New Roman" w:eastAsia="Times New Roman" w:hAnsi="Times New Roman"/>
          <w:sz w:val="17"/>
          <w:szCs w:val="17"/>
          <w:color w:val="auto"/>
        </w:rPr>
        <w:t>all as set forth on the consolidated balance sheet of Plains All American Pipeline for its most recently completed fiscal quarter, prepared in accordance with generally accepted accounting principles.</w:t>
      </w:r>
    </w:p>
    <w:p>
      <w:pPr>
        <w:spacing w:after="0" w:line="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33" w:lineRule="exact"/>
        <w:rPr>
          <w:sz w:val="20"/>
          <w:szCs w:val="20"/>
          <w:color w:val="auto"/>
        </w:rPr>
      </w:pPr>
    </w:p>
    <w:p>
      <w:pPr>
        <w:ind w:left="1180" w:right="719" w:firstLine="337"/>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Funded Debt</w:t>
      </w:r>
      <w:r>
        <w:rPr>
          <w:rFonts w:ascii="Times New Roman" w:cs="Times New Roman" w:eastAsia="Times New Roman" w:hAnsi="Times New Roman"/>
          <w:sz w:val="17"/>
          <w:szCs w:val="17"/>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Issue Date</w:t>
      </w:r>
      <w:r>
        <w:rPr>
          <w:rFonts w:ascii="Times New Roman" w:cs="Times New Roman" w:eastAsia="Times New Roman" w:hAnsi="Times New Roman"/>
          <w:sz w:val="17"/>
          <w:szCs w:val="17"/>
          <w:color w:val="auto"/>
        </w:rPr>
        <w:t>” means the date on which the Notes are initially issued.</w:t>
      </w:r>
    </w:p>
    <w:p>
      <w:pPr>
        <w:spacing w:after="0" w:line="146" w:lineRule="exact"/>
        <w:rPr>
          <w:sz w:val="20"/>
          <w:szCs w:val="20"/>
          <w:color w:val="auto"/>
        </w:rPr>
      </w:pPr>
    </w:p>
    <w:p>
      <w:pPr>
        <w:jc w:val="both"/>
        <w:ind w:left="1180" w:right="919" w:firstLine="337"/>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Managing General Partner</w:t>
      </w:r>
      <w:r>
        <w:rPr>
          <w:rFonts w:ascii="Times New Roman" w:cs="Times New Roman" w:eastAsia="Times New Roman" w:hAnsi="Times New Roman"/>
          <w:sz w:val="17"/>
          <w:szCs w:val="17"/>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95" w:lineRule="exact"/>
        <w:rPr>
          <w:sz w:val="20"/>
          <w:szCs w:val="20"/>
          <w:color w:val="auto"/>
        </w:rPr>
      </w:pPr>
    </w:p>
    <w:p>
      <w:pPr>
        <w:ind w:left="1180" w:right="719" w:firstLine="337"/>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Pari Passu Debt</w:t>
      </w:r>
      <w:r>
        <w:rPr>
          <w:rFonts w:ascii="Times New Roman" w:cs="Times New Roman" w:eastAsia="Times New Roman" w:hAnsi="Times New Roman"/>
          <w:sz w:val="17"/>
          <w:szCs w:val="17"/>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Permitted Liens</w:t>
      </w:r>
      <w:r>
        <w:rPr>
          <w:rFonts w:ascii="Times New Roman" w:cs="Times New Roman" w:eastAsia="Times New Roman" w:hAnsi="Times New Roman"/>
          <w:sz w:val="17"/>
          <w:szCs w:val="17"/>
          <w:color w:val="auto"/>
        </w:rPr>
        <w:t>” means:</w:t>
      </w:r>
    </w:p>
    <w:p>
      <w:pPr>
        <w:spacing w:after="0" w:line="150" w:lineRule="exact"/>
        <w:rPr>
          <w:sz w:val="20"/>
          <w:szCs w:val="20"/>
          <w:color w:val="auto"/>
        </w:rPr>
      </w:pPr>
    </w:p>
    <w:p>
      <w:pPr>
        <w:ind w:left="2200" w:hanging="343"/>
        <w:spacing w:after="0"/>
        <w:tabs>
          <w:tab w:leader="none" w:pos="22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upon rights-of-way for pipeline purposes;</w:t>
      </w:r>
    </w:p>
    <w:p>
      <w:pPr>
        <w:spacing w:after="0" w:line="133" w:lineRule="exact"/>
        <w:rPr>
          <w:rFonts w:ascii="Times New Roman" w:cs="Times New Roman" w:eastAsia="Times New Roman" w:hAnsi="Times New Roman"/>
          <w:sz w:val="17"/>
          <w:szCs w:val="17"/>
          <w:color w:val="auto"/>
        </w:rPr>
      </w:pPr>
    </w:p>
    <w:p>
      <w:pPr>
        <w:ind w:left="1520" w:right="699" w:firstLine="337"/>
        <w:spacing w:after="0" w:line="255" w:lineRule="auto"/>
        <w:tabs>
          <w:tab w:leader="none" w:pos="22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11" w:lineRule="exact"/>
        <w:rPr>
          <w:rFonts w:ascii="Times New Roman" w:cs="Times New Roman" w:eastAsia="Times New Roman" w:hAnsi="Times New Roman"/>
          <w:sz w:val="17"/>
          <w:szCs w:val="17"/>
          <w:color w:val="auto"/>
        </w:rPr>
      </w:pPr>
    </w:p>
    <w:p>
      <w:pPr>
        <w:ind w:left="1520" w:right="759" w:firstLine="337"/>
        <w:spacing w:after="0" w:line="262" w:lineRule="auto"/>
        <w:tabs>
          <w:tab w:leader="none" w:pos="22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05" w:lineRule="exact"/>
        <w:rPr>
          <w:rFonts w:ascii="Times New Roman" w:cs="Times New Roman" w:eastAsia="Times New Roman" w:hAnsi="Times New Roman"/>
          <w:sz w:val="17"/>
          <w:szCs w:val="17"/>
          <w:color w:val="auto"/>
        </w:rPr>
      </w:pPr>
    </w:p>
    <w:p>
      <w:pPr>
        <w:ind w:left="1520" w:right="1079" w:firstLine="337"/>
        <w:spacing w:after="0" w:line="262" w:lineRule="auto"/>
        <w:tabs>
          <w:tab w:leader="none" w:pos="22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92" w:lineRule="exact"/>
        <w:rPr>
          <w:rFonts w:ascii="Times New Roman" w:cs="Times New Roman" w:eastAsia="Times New Roman" w:hAnsi="Times New Roman"/>
          <w:sz w:val="17"/>
          <w:szCs w:val="17"/>
          <w:color w:val="auto"/>
        </w:rPr>
      </w:pPr>
    </w:p>
    <w:p>
      <w:pPr>
        <w:ind w:left="2200" w:hanging="343"/>
        <w:spacing w:after="0"/>
        <w:tabs>
          <w:tab w:leader="none" w:pos="22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of, or to secure performance of, leases, other than capital leases;</w:t>
      </w:r>
    </w:p>
    <w:p>
      <w:pPr>
        <w:spacing w:after="0" w:line="145" w:lineRule="exact"/>
        <w:rPr>
          <w:rFonts w:ascii="Times New Roman" w:cs="Times New Roman" w:eastAsia="Times New Roman" w:hAnsi="Times New Roman"/>
          <w:sz w:val="17"/>
          <w:szCs w:val="17"/>
          <w:color w:val="auto"/>
        </w:rPr>
      </w:pPr>
    </w:p>
    <w:p>
      <w:pPr>
        <w:ind w:left="1520" w:right="819" w:firstLine="337"/>
        <w:spacing w:after="0" w:line="275" w:lineRule="auto"/>
        <w:tabs>
          <w:tab w:leader="none" w:pos="22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upon, or deposits of, any assets in favor of any surety company or clerk of court for the purpose of obtaining indemnity or stay of judicial proceedings;</w:t>
      </w:r>
    </w:p>
    <w:p>
      <w:pPr>
        <w:spacing w:after="0" w:line="82" w:lineRule="exact"/>
        <w:rPr>
          <w:rFonts w:ascii="Times New Roman" w:cs="Times New Roman" w:eastAsia="Times New Roman" w:hAnsi="Times New Roman"/>
          <w:sz w:val="17"/>
          <w:szCs w:val="17"/>
          <w:color w:val="auto"/>
        </w:rPr>
      </w:pPr>
    </w:p>
    <w:p>
      <w:pPr>
        <w:ind w:left="1520" w:right="759" w:firstLine="337"/>
        <w:spacing w:after="0" w:line="275" w:lineRule="auto"/>
        <w:tabs>
          <w:tab w:leader="none" w:pos="22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upon property or assets acquired or sold by us or any Restricted Subsidiary resulting from the exercise of any rights arising out of defaults on receivables;</w:t>
      </w:r>
    </w:p>
    <w:p>
      <w:pPr>
        <w:spacing w:after="0" w:line="3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520" w:right="819" w:firstLine="337"/>
        <w:spacing w:after="0" w:line="262" w:lineRule="auto"/>
        <w:tabs>
          <w:tab w:leader="none" w:pos="22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05" w:lineRule="exact"/>
        <w:rPr>
          <w:rFonts w:ascii="Times New Roman" w:cs="Times New Roman" w:eastAsia="Times New Roman" w:hAnsi="Times New Roman"/>
          <w:sz w:val="17"/>
          <w:szCs w:val="17"/>
          <w:color w:val="auto"/>
        </w:rPr>
      </w:pPr>
    </w:p>
    <w:p>
      <w:pPr>
        <w:ind w:left="2200" w:hanging="343"/>
        <w:spacing w:after="0"/>
        <w:tabs>
          <w:tab w:leader="none" w:pos="22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in favor of us or any Restricted Subsidiary;</w:t>
      </w:r>
    </w:p>
    <w:p>
      <w:pPr>
        <w:spacing w:after="0" w:line="145" w:lineRule="exact"/>
        <w:rPr>
          <w:rFonts w:ascii="Times New Roman" w:cs="Times New Roman" w:eastAsia="Times New Roman" w:hAnsi="Times New Roman"/>
          <w:sz w:val="17"/>
          <w:szCs w:val="17"/>
          <w:color w:val="auto"/>
        </w:rPr>
      </w:pPr>
    </w:p>
    <w:p>
      <w:pPr>
        <w:ind w:left="1520" w:right="779" w:firstLine="337"/>
        <w:spacing w:after="0" w:line="253" w:lineRule="auto"/>
        <w:tabs>
          <w:tab w:leader="none" w:pos="22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02" w:lineRule="exact"/>
        <w:rPr>
          <w:rFonts w:ascii="Times New Roman" w:cs="Times New Roman" w:eastAsia="Times New Roman" w:hAnsi="Times New Roman"/>
          <w:sz w:val="17"/>
          <w:szCs w:val="17"/>
          <w:color w:val="auto"/>
        </w:rPr>
      </w:pPr>
    </w:p>
    <w:p>
      <w:pPr>
        <w:ind w:left="2280" w:hanging="423"/>
        <w:spacing w:after="0"/>
        <w:tabs>
          <w:tab w:leader="none" w:pos="22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securing industrial development, pollution control or similar revenue bonds;</w:t>
      </w:r>
    </w:p>
    <w:p>
      <w:pPr>
        <w:spacing w:after="0" w:line="145" w:lineRule="exact"/>
        <w:rPr>
          <w:rFonts w:ascii="Times New Roman" w:cs="Times New Roman" w:eastAsia="Times New Roman" w:hAnsi="Times New Roman"/>
          <w:sz w:val="17"/>
          <w:szCs w:val="17"/>
          <w:color w:val="auto"/>
        </w:rPr>
      </w:pPr>
    </w:p>
    <w:p>
      <w:pPr>
        <w:ind w:left="1520" w:right="899" w:firstLine="337"/>
        <w:spacing w:after="0" w:line="251" w:lineRule="auto"/>
        <w:tabs>
          <w:tab w:leader="none" w:pos="22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323" w:lineRule="exact"/>
        <w:rPr>
          <w:rFonts w:ascii="Times New Roman" w:cs="Times New Roman" w:eastAsia="Times New Roman" w:hAnsi="Times New Roman"/>
          <w:sz w:val="17"/>
          <w:szCs w:val="17"/>
          <w:color w:val="auto"/>
        </w:rPr>
      </w:pPr>
    </w:p>
    <w:p>
      <w:pPr>
        <w:ind w:left="1520" w:right="1139" w:firstLine="337"/>
        <w:spacing w:after="0" w:line="262" w:lineRule="auto"/>
        <w:tabs>
          <w:tab w:leader="none" w:pos="22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92" w:lineRule="exact"/>
        <w:rPr>
          <w:rFonts w:ascii="Times New Roman" w:cs="Times New Roman" w:eastAsia="Times New Roman" w:hAnsi="Times New Roman"/>
          <w:sz w:val="17"/>
          <w:szCs w:val="17"/>
          <w:color w:val="auto"/>
        </w:rPr>
      </w:pPr>
    </w:p>
    <w:p>
      <w:pPr>
        <w:ind w:left="1520" w:right="739" w:firstLine="337"/>
        <w:spacing w:after="0" w:line="275" w:lineRule="auto"/>
        <w:tabs>
          <w:tab w:leader="none" w:pos="22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upon or deposits of any assets to secure performance of bids, trade contracts, leases or statutory obligations;</w:t>
      </w:r>
    </w:p>
    <w:p>
      <w:pPr>
        <w:spacing w:after="0" w:line="95" w:lineRule="exact"/>
        <w:rPr>
          <w:rFonts w:ascii="Times New Roman" w:cs="Times New Roman" w:eastAsia="Times New Roman" w:hAnsi="Times New Roman"/>
          <w:sz w:val="17"/>
          <w:szCs w:val="17"/>
          <w:color w:val="auto"/>
        </w:rPr>
      </w:pPr>
    </w:p>
    <w:p>
      <w:pPr>
        <w:ind w:left="1520" w:right="779" w:firstLine="337"/>
        <w:spacing w:after="0" w:line="253" w:lineRule="auto"/>
        <w:tabs>
          <w:tab w:leader="none" w:pos="22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15" w:lineRule="exact"/>
        <w:rPr>
          <w:rFonts w:ascii="Times New Roman" w:cs="Times New Roman" w:eastAsia="Times New Roman" w:hAnsi="Times New Roman"/>
          <w:sz w:val="17"/>
          <w:szCs w:val="17"/>
          <w:color w:val="auto"/>
        </w:rPr>
      </w:pPr>
    </w:p>
    <w:p>
      <w:pPr>
        <w:ind w:left="1520" w:right="679" w:firstLine="337"/>
        <w:spacing w:after="0" w:line="253" w:lineRule="auto"/>
        <w:tabs>
          <w:tab w:leader="none" w:pos="22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02" w:lineRule="exact"/>
        <w:rPr>
          <w:rFonts w:ascii="Times New Roman" w:cs="Times New Roman" w:eastAsia="Times New Roman" w:hAnsi="Times New Roman"/>
          <w:sz w:val="17"/>
          <w:szCs w:val="17"/>
          <w:color w:val="auto"/>
        </w:rPr>
      </w:pPr>
    </w:p>
    <w:p>
      <w:pPr>
        <w:ind w:left="1520" w:right="679" w:firstLine="337"/>
        <w:spacing w:after="0" w:line="253" w:lineRule="auto"/>
        <w:tabs>
          <w:tab w:leader="none" w:pos="22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15" w:lineRule="exact"/>
        <w:rPr>
          <w:rFonts w:ascii="Times New Roman" w:cs="Times New Roman" w:eastAsia="Times New Roman" w:hAnsi="Times New Roman"/>
          <w:sz w:val="17"/>
          <w:szCs w:val="17"/>
          <w:color w:val="auto"/>
        </w:rPr>
      </w:pPr>
    </w:p>
    <w:p>
      <w:pPr>
        <w:ind w:left="1520" w:right="899" w:firstLine="337"/>
        <w:spacing w:after="0" w:line="275" w:lineRule="auto"/>
        <w:tabs>
          <w:tab w:leader="none" w:pos="22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obligations or duties to any municipality or public authority with respect to any lease, easement, right-of-way, license, franchise, privilege, permit or grant.</w:t>
      </w:r>
    </w:p>
    <w:p>
      <w:pPr>
        <w:spacing w:after="0" w:line="91" w:lineRule="exact"/>
        <w:rPr>
          <w:sz w:val="20"/>
          <w:szCs w:val="20"/>
          <w:color w:val="auto"/>
        </w:rPr>
      </w:pPr>
    </w:p>
    <w:p>
      <w:pPr>
        <w:jc w:val="both"/>
        <w:ind w:left="1180" w:right="1119" w:firstLine="337"/>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3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Property</w:t>
      </w:r>
      <w:r>
        <w:rPr>
          <w:rFonts w:ascii="Times New Roman" w:cs="Times New Roman" w:eastAsia="Times New Roman" w:hAnsi="Times New Roman"/>
          <w:sz w:val="17"/>
          <w:szCs w:val="17"/>
          <w:color w:val="auto"/>
        </w:rPr>
        <w:t>” means, whether owned or leased on the Issue Date or thereafter acquired:</w:t>
      </w:r>
    </w:p>
    <w:p>
      <w:pPr>
        <w:spacing w:after="0" w:line="150" w:lineRule="exact"/>
        <w:rPr>
          <w:sz w:val="20"/>
          <w:szCs w:val="20"/>
          <w:color w:val="auto"/>
        </w:rPr>
      </w:pPr>
    </w:p>
    <w:p>
      <w:pPr>
        <w:ind w:left="1520" w:right="739" w:firstLine="337"/>
        <w:spacing w:after="0" w:line="257" w:lineRule="auto"/>
        <w:tabs>
          <w:tab w:leader="none" w:pos="22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10" w:lineRule="exact"/>
        <w:rPr>
          <w:rFonts w:ascii="Times New Roman" w:cs="Times New Roman" w:eastAsia="Times New Roman" w:hAnsi="Times New Roman"/>
          <w:sz w:val="17"/>
          <w:szCs w:val="17"/>
          <w:color w:val="auto"/>
        </w:rPr>
      </w:pPr>
    </w:p>
    <w:p>
      <w:pPr>
        <w:ind w:left="1520" w:right="839" w:firstLine="337"/>
        <w:spacing w:after="0" w:line="252" w:lineRule="auto"/>
        <w:tabs>
          <w:tab w:leader="none" w:pos="22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01" w:lineRule="exact"/>
        <w:rPr>
          <w:sz w:val="20"/>
          <w:szCs w:val="20"/>
          <w:color w:val="auto"/>
        </w:rPr>
      </w:pPr>
    </w:p>
    <w:p>
      <w:pPr>
        <w:ind w:left="1180" w:right="1099" w:firstLine="337"/>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Restricted Subsidiary</w:t>
      </w:r>
      <w:r>
        <w:rPr>
          <w:rFonts w:ascii="Times New Roman" w:cs="Times New Roman" w:eastAsia="Times New Roman" w:hAnsi="Times New Roman"/>
          <w:sz w:val="17"/>
          <w:szCs w:val="17"/>
          <w:color w:val="auto"/>
        </w:rPr>
        <w:t>” means any Subsidiary of Plains All American Pipeline owning or leasing, directly or indirectly through ownership in another Subsidiary, any Principal Property.</w:t>
      </w:r>
    </w:p>
    <w:p>
      <w:pPr>
        <w:spacing w:after="0" w:line="87" w:lineRule="exact"/>
        <w:rPr>
          <w:sz w:val="20"/>
          <w:szCs w:val="20"/>
          <w:color w:val="auto"/>
        </w:rPr>
      </w:pPr>
    </w:p>
    <w:p>
      <w:pPr>
        <w:ind w:left="1180" w:right="679" w:firstLine="337"/>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Sale-leaseback Transaction</w:t>
      </w:r>
      <w:r>
        <w:rPr>
          <w:rFonts w:ascii="Times New Roman" w:cs="Times New Roman" w:eastAsia="Times New Roman" w:hAnsi="Times New Roman"/>
          <w:sz w:val="17"/>
          <w:szCs w:val="17"/>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means, with respect to any Person:</w:t>
      </w:r>
    </w:p>
    <w:p>
      <w:pPr>
        <w:spacing w:after="0" w:line="150" w:lineRule="exact"/>
        <w:rPr>
          <w:sz w:val="20"/>
          <w:szCs w:val="20"/>
          <w:color w:val="auto"/>
        </w:rPr>
      </w:pPr>
    </w:p>
    <w:p>
      <w:pPr>
        <w:ind w:left="1520" w:right="739" w:firstLine="337"/>
        <w:spacing w:after="0" w:line="255" w:lineRule="auto"/>
        <w:tabs>
          <w:tab w:leader="none" w:pos="22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11" w:lineRule="exact"/>
        <w:rPr>
          <w:rFonts w:ascii="Times New Roman" w:cs="Times New Roman" w:eastAsia="Times New Roman" w:hAnsi="Times New Roman"/>
          <w:sz w:val="17"/>
          <w:szCs w:val="17"/>
          <w:color w:val="auto"/>
        </w:rPr>
      </w:pPr>
    </w:p>
    <w:p>
      <w:pPr>
        <w:ind w:left="1520" w:right="739" w:firstLine="337"/>
        <w:spacing w:after="0" w:line="262" w:lineRule="auto"/>
        <w:tabs>
          <w:tab w:leader="none" w:pos="22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89" w:lineRule="exact"/>
        <w:rPr>
          <w:sz w:val="20"/>
          <w:szCs w:val="20"/>
          <w:color w:val="auto"/>
        </w:rPr>
      </w:pPr>
    </w:p>
    <w:p>
      <w:pPr>
        <w:jc w:val="both"/>
        <w:ind w:left="1180" w:right="1299" w:firstLine="337"/>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 Guarantor</w:t>
      </w:r>
      <w:r>
        <w:rPr>
          <w:rFonts w:ascii="Times New Roman" w:cs="Times New Roman" w:eastAsia="Times New Roman" w:hAnsi="Times New Roman"/>
          <w:sz w:val="17"/>
          <w:szCs w:val="17"/>
          <w:color w:val="auto"/>
        </w:rPr>
        <w:t>” means any Subsidiary of Plains All American Pipeline that executes a supplemental indenture to provide a guarantee of the Notes in accordance with the provisions of the Indenture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BOOK-ENTRY, DELIVERY AND FORM</w:t>
      </w:r>
    </w:p>
    <w:p>
      <w:pPr>
        <w:spacing w:after="0" w:line="150" w:lineRule="exact"/>
        <w:rPr>
          <w:sz w:val="20"/>
          <w:szCs w:val="20"/>
          <w:color w:val="auto"/>
        </w:rPr>
      </w:pPr>
    </w:p>
    <w:p>
      <w:pPr>
        <w:ind w:left="1180" w:right="699" w:firstLine="337"/>
        <w:spacing w:after="0" w:line="250" w:lineRule="auto"/>
        <w:rPr>
          <w:sz w:val="20"/>
          <w:szCs w:val="20"/>
          <w:color w:val="auto"/>
        </w:rPr>
      </w:pPr>
      <w:r>
        <w:rPr>
          <w:rFonts w:ascii="Times New Roman" w:cs="Times New Roman" w:eastAsia="Times New Roman" w:hAnsi="Times New Roman"/>
          <w:sz w:val="17"/>
          <w:szCs w:val="17"/>
          <w:color w:val="auto"/>
        </w:rPr>
        <w:t xml:space="preserve">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20" w:lineRule="exact"/>
        <w:rPr>
          <w:sz w:val="20"/>
          <w:szCs w:val="20"/>
          <w:color w:val="auto"/>
        </w:rPr>
      </w:pPr>
    </w:p>
    <w:p>
      <w:pPr>
        <w:ind w:left="1180" w:right="759" w:firstLine="337"/>
        <w:spacing w:after="0" w:line="252" w:lineRule="auto"/>
        <w:rPr>
          <w:sz w:val="20"/>
          <w:szCs w:val="20"/>
          <w:color w:val="auto"/>
        </w:rPr>
      </w:pPr>
      <w:r>
        <w:rPr>
          <w:rFonts w:ascii="Times New Roman" w:cs="Times New Roman" w:eastAsia="Times New Roman" w:hAnsi="Times New Roman"/>
          <w:sz w:val="17"/>
          <w:szCs w:val="17"/>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05" w:lineRule="exact"/>
        <w:rPr>
          <w:sz w:val="20"/>
          <w:szCs w:val="20"/>
          <w:color w:val="auto"/>
        </w:rPr>
      </w:pPr>
    </w:p>
    <w:p>
      <w:pPr>
        <w:ind w:left="1180" w:right="699" w:firstLine="337"/>
        <w:spacing w:after="0" w:line="253" w:lineRule="auto"/>
        <w:rPr>
          <w:sz w:val="20"/>
          <w:szCs w:val="20"/>
          <w:color w:val="auto"/>
        </w:rPr>
      </w:pPr>
      <w:r>
        <w:rPr>
          <w:rFonts w:ascii="Times New Roman" w:cs="Times New Roman" w:eastAsia="Times New Roman" w:hAnsi="Times New Roman"/>
          <w:sz w:val="17"/>
          <w:szCs w:val="17"/>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Depository Procedures</w:t>
      </w:r>
    </w:p>
    <w:p>
      <w:pPr>
        <w:spacing w:after="0" w:line="150" w:lineRule="exact"/>
        <w:rPr>
          <w:sz w:val="20"/>
          <w:szCs w:val="20"/>
          <w:color w:val="auto"/>
        </w:rPr>
      </w:pPr>
    </w:p>
    <w:p>
      <w:pPr>
        <w:ind w:left="1180" w:right="679" w:firstLine="337"/>
        <w:spacing w:after="0" w:line="250" w:lineRule="auto"/>
        <w:rPr>
          <w:sz w:val="20"/>
          <w:szCs w:val="20"/>
          <w:color w:val="auto"/>
        </w:rPr>
      </w:pPr>
      <w:r>
        <w:rPr>
          <w:rFonts w:ascii="Times New Roman" w:cs="Times New Roman" w:eastAsia="Times New Roman" w:hAnsi="Times New Roman"/>
          <w:sz w:val="17"/>
          <w:szCs w:val="17"/>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direct Participants.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319" w:lineRule="exact"/>
        <w:rPr>
          <w:sz w:val="20"/>
          <w:szCs w:val="20"/>
          <w:color w:val="auto"/>
        </w:rPr>
      </w:pPr>
    </w:p>
    <w:p>
      <w:pPr>
        <w:ind w:left="1180" w:right="739" w:firstLine="337"/>
        <w:spacing w:after="0" w:line="253" w:lineRule="auto"/>
        <w:rPr>
          <w:sz w:val="20"/>
          <w:szCs w:val="20"/>
          <w:color w:val="auto"/>
        </w:rPr>
      </w:pPr>
      <w:r>
        <w:rPr>
          <w:rFonts w:ascii="Times New Roman" w:cs="Times New Roman" w:eastAsia="Times New Roman" w:hAnsi="Times New Roman"/>
          <w:sz w:val="17"/>
          <w:szCs w:val="17"/>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3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19" w:firstLine="337"/>
        <w:spacing w:after="0" w:line="252" w:lineRule="auto"/>
        <w:rPr>
          <w:sz w:val="20"/>
          <w:szCs w:val="20"/>
          <w:color w:val="auto"/>
        </w:rPr>
      </w:pPr>
      <w:r>
        <w:rPr>
          <w:rFonts w:ascii="Times New Roman" w:cs="Times New Roman" w:eastAsia="Times New Roman" w:hAnsi="Times New Roman"/>
          <w:sz w:val="17"/>
          <w:szCs w:val="17"/>
          <w:color w:val="auto"/>
        </w:rPr>
        <w:t>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17" w:lineRule="exact"/>
        <w:rPr>
          <w:sz w:val="20"/>
          <w:szCs w:val="20"/>
          <w:color w:val="auto"/>
        </w:rPr>
      </w:pPr>
    </w:p>
    <w:p>
      <w:pPr>
        <w:ind w:left="1180" w:right="679" w:firstLine="337"/>
        <w:spacing w:after="0" w:line="252" w:lineRule="auto"/>
        <w:rPr>
          <w:sz w:val="20"/>
          <w:szCs w:val="20"/>
          <w:color w:val="auto"/>
        </w:rPr>
      </w:pPr>
      <w:r>
        <w:rPr>
          <w:rFonts w:ascii="Times New Roman" w:cs="Times New Roman" w:eastAsia="Times New Roman" w:hAnsi="Times New Roman"/>
          <w:sz w:val="17"/>
          <w:szCs w:val="17"/>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 Exchange of Book-Entry Notes for Certificated Notes.”</w:t>
      </w:r>
    </w:p>
    <w:p>
      <w:pPr>
        <w:spacing w:after="0" w:line="110" w:lineRule="exact"/>
        <w:rPr>
          <w:sz w:val="20"/>
          <w:szCs w:val="20"/>
          <w:color w:val="auto"/>
        </w:rPr>
      </w:pPr>
    </w:p>
    <w:p>
      <w:pPr>
        <w:jc w:val="both"/>
        <w:ind w:left="1180" w:right="859" w:firstLine="337"/>
        <w:spacing w:after="0" w:line="264" w:lineRule="auto"/>
        <w:rPr>
          <w:sz w:val="20"/>
          <w:szCs w:val="20"/>
          <w:color w:val="auto"/>
        </w:rPr>
      </w:pPr>
      <w:r>
        <w:rPr>
          <w:rFonts w:ascii="Times New Roman" w:cs="Times New Roman" w:eastAsia="Times New Roman" w:hAnsi="Times New Roman"/>
          <w:sz w:val="17"/>
          <w:szCs w:val="17"/>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92" w:lineRule="exact"/>
        <w:rPr>
          <w:sz w:val="20"/>
          <w:szCs w:val="20"/>
          <w:color w:val="auto"/>
        </w:rPr>
      </w:pPr>
    </w:p>
    <w:p>
      <w:pPr>
        <w:ind w:left="1180" w:right="799" w:firstLine="337"/>
        <w:spacing w:after="0" w:line="251" w:lineRule="auto"/>
        <w:rPr>
          <w:sz w:val="20"/>
          <w:szCs w:val="20"/>
          <w:color w:val="auto"/>
        </w:rPr>
      </w:pPr>
      <w:r>
        <w:rPr>
          <w:rFonts w:ascii="Times New Roman" w:cs="Times New Roman" w:eastAsia="Times New Roman" w:hAnsi="Times New Roman"/>
          <w:sz w:val="17"/>
          <w:szCs w:val="17"/>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2" w:lineRule="exact"/>
        <w:rPr>
          <w:sz w:val="20"/>
          <w:szCs w:val="20"/>
          <w:color w:val="auto"/>
        </w:rPr>
      </w:pPr>
    </w:p>
    <w:p>
      <w:pPr>
        <w:ind w:left="1180" w:right="759" w:firstLine="3"/>
        <w:spacing w:after="0" w:line="252" w:lineRule="auto"/>
        <w:tabs>
          <w:tab w:leader="none" w:pos="143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14" w:lineRule="exact"/>
        <w:rPr>
          <w:sz w:val="20"/>
          <w:szCs w:val="20"/>
          <w:color w:val="auto"/>
        </w:rPr>
      </w:pPr>
    </w:p>
    <w:p>
      <w:pPr>
        <w:ind w:left="1180" w:right="719" w:firstLine="337"/>
        <w:spacing w:after="0" w:line="251" w:lineRule="auto"/>
        <w:rPr>
          <w:sz w:val="20"/>
          <w:szCs w:val="20"/>
          <w:color w:val="auto"/>
        </w:rPr>
      </w:pPr>
      <w:r>
        <w:rPr>
          <w:rFonts w:ascii="Times New Roman" w:cs="Times New Roman" w:eastAsia="Times New Roman" w:hAnsi="Times New Roman"/>
          <w:sz w:val="17"/>
          <w:szCs w:val="17"/>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15" w:lineRule="exact"/>
        <w:rPr>
          <w:sz w:val="20"/>
          <w:szCs w:val="20"/>
          <w:color w:val="auto"/>
        </w:rPr>
      </w:pPr>
    </w:p>
    <w:p>
      <w:pPr>
        <w:ind w:left="1180" w:right="799" w:firstLine="337"/>
        <w:spacing w:after="0" w:line="280" w:lineRule="auto"/>
        <w:rPr>
          <w:sz w:val="20"/>
          <w:szCs w:val="20"/>
          <w:color w:val="auto"/>
        </w:rPr>
      </w:pPr>
      <w:r>
        <w:rPr>
          <w:rFonts w:ascii="Times New Roman" w:cs="Times New Roman" w:eastAsia="Times New Roman" w:hAnsi="Times New Roman"/>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80" w:lineRule="exact"/>
        <w:rPr>
          <w:sz w:val="20"/>
          <w:szCs w:val="20"/>
          <w:color w:val="auto"/>
        </w:rPr>
      </w:pPr>
    </w:p>
    <w:p>
      <w:pPr>
        <w:ind w:left="1180" w:right="699" w:firstLine="337"/>
        <w:spacing w:after="0" w:line="250" w:lineRule="auto"/>
        <w:rPr>
          <w:sz w:val="20"/>
          <w:szCs w:val="20"/>
          <w:color w:val="auto"/>
        </w:rPr>
      </w:pPr>
      <w:r>
        <w:rPr>
          <w:rFonts w:ascii="Times New Roman" w:cs="Times New Roman" w:eastAsia="Times New Roman" w:hAnsi="Times New Roman"/>
          <w:sz w:val="17"/>
          <w:szCs w:val="17"/>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36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99" w:firstLine="337"/>
        <w:spacing w:after="0" w:line="251" w:lineRule="auto"/>
        <w:rPr>
          <w:sz w:val="20"/>
          <w:szCs w:val="20"/>
          <w:color w:val="auto"/>
        </w:rPr>
      </w:pPr>
      <w:r>
        <w:rPr>
          <w:rFonts w:ascii="Times New Roman" w:cs="Times New Roman" w:eastAsia="Times New Roman" w:hAnsi="Times New Roman"/>
          <w:sz w:val="17"/>
          <w:szCs w:val="17"/>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323" w:lineRule="exact"/>
        <w:rPr>
          <w:sz w:val="20"/>
          <w:szCs w:val="20"/>
          <w:color w:val="auto"/>
        </w:rPr>
      </w:pPr>
    </w:p>
    <w:p>
      <w:pPr>
        <w:ind w:left="1180" w:right="799" w:firstLine="337"/>
        <w:spacing w:after="0" w:line="253" w:lineRule="auto"/>
        <w:rPr>
          <w:sz w:val="20"/>
          <w:szCs w:val="20"/>
          <w:color w:val="auto"/>
        </w:rPr>
      </w:pPr>
      <w:r>
        <w:rPr>
          <w:rFonts w:ascii="Times New Roman" w:cs="Times New Roman" w:eastAsia="Times New Roman" w:hAnsi="Times New Roman"/>
          <w:sz w:val="17"/>
          <w:szCs w:val="17"/>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 Exchange of Book-Entry Notes for Certificated Notes” occurs, DTC reserves the right to exchange the Global Notes for Notes in certificated form and to distribute such Notes to its Participants.</w:t>
      </w:r>
    </w:p>
    <w:p>
      <w:pPr>
        <w:spacing w:after="0" w:line="116" w:lineRule="exact"/>
        <w:rPr>
          <w:sz w:val="20"/>
          <w:szCs w:val="20"/>
          <w:color w:val="auto"/>
        </w:rPr>
      </w:pPr>
    </w:p>
    <w:p>
      <w:pPr>
        <w:jc w:val="both"/>
        <w:ind w:left="1180" w:right="779" w:firstLine="337"/>
        <w:spacing w:after="0" w:line="262" w:lineRule="auto"/>
        <w:rPr>
          <w:sz w:val="20"/>
          <w:szCs w:val="20"/>
          <w:color w:val="auto"/>
        </w:rPr>
      </w:pPr>
      <w:r>
        <w:rPr>
          <w:rFonts w:ascii="Times New Roman" w:cs="Times New Roman" w:eastAsia="Times New Roman" w:hAnsi="Times New Roman"/>
          <w:sz w:val="17"/>
          <w:szCs w:val="17"/>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Exchange of Book-Entry Notes for Certificated Notes</w:t>
      </w:r>
    </w:p>
    <w:p>
      <w:pPr>
        <w:spacing w:after="0" w:line="1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A Global Note is exchangeable for definitive notes in registered certificated form if (1) DTC</w:t>
      </w:r>
    </w:p>
    <w:p>
      <w:pPr>
        <w:spacing w:after="0" w:line="23" w:lineRule="exact"/>
        <w:rPr>
          <w:sz w:val="20"/>
          <w:szCs w:val="20"/>
          <w:color w:val="auto"/>
        </w:rPr>
      </w:pPr>
    </w:p>
    <w:p>
      <w:pPr>
        <w:ind w:left="1180" w:right="719" w:firstLine="3"/>
        <w:spacing w:after="0" w:line="250" w:lineRule="auto"/>
        <w:tabs>
          <w:tab w:leader="none" w:pos="142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CERTAIN U.S. FEDERAL INCOME TAX CONSEQUENCES</w:t>
      </w:r>
    </w:p>
    <w:p>
      <w:pPr>
        <w:spacing w:after="0" w:line="150" w:lineRule="exact"/>
        <w:rPr>
          <w:sz w:val="20"/>
          <w:szCs w:val="20"/>
          <w:color w:val="auto"/>
        </w:rPr>
      </w:pPr>
    </w:p>
    <w:p>
      <w:pPr>
        <w:ind w:left="1180" w:right="859" w:firstLine="337"/>
        <w:spacing w:after="0" w:line="241" w:lineRule="auto"/>
        <w:rPr>
          <w:sz w:val="20"/>
          <w:szCs w:val="20"/>
          <w:color w:val="auto"/>
        </w:rPr>
      </w:pPr>
      <w:r>
        <w:rPr>
          <w:rFonts w:ascii="Times New Roman" w:cs="Times New Roman" w:eastAsia="Times New Roman" w:hAnsi="Times New Roman"/>
          <w:sz w:val="17"/>
          <w:szCs w:val="17"/>
          <w:color w:val="auto"/>
        </w:rPr>
        <w:t>The following discussion summarizes certain U.S. federal income tax consequences that may be relevant to the acquisition, ownership and disposition of the Notes. This discussion is based on the Code, applicable U.S. Treasury Regulations promulgated thereunder, judicial authority and administrative interpretations, all as of the date of this document, and all of which are subject to change, possibly with retroactive effect, or are subject to differing interpretations. We cannot assure you that the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Notes.</w:t>
      </w:r>
    </w:p>
    <w:p>
      <w:pPr>
        <w:spacing w:after="0" w:line="110" w:lineRule="exact"/>
        <w:rPr>
          <w:sz w:val="20"/>
          <w:szCs w:val="20"/>
          <w:color w:val="auto"/>
        </w:rPr>
      </w:pPr>
    </w:p>
    <w:p>
      <w:pPr>
        <w:ind w:left="1180" w:right="679" w:firstLine="337"/>
        <w:spacing w:after="0" w:line="241" w:lineRule="auto"/>
        <w:rPr>
          <w:sz w:val="20"/>
          <w:szCs w:val="20"/>
          <w:color w:val="auto"/>
        </w:rPr>
      </w:pPr>
      <w:r>
        <w:rPr>
          <w:rFonts w:ascii="Times New Roman" w:cs="Times New Roman" w:eastAsia="Times New Roman" w:hAnsi="Times New Roman"/>
          <w:sz w:val="17"/>
          <w:szCs w:val="17"/>
          <w:color w:val="auto"/>
        </w:rPr>
        <w:t>This discussion is limited to holders who purchase the Notes in this offering for cash at a price equal to the issue price of the Notes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consequences), or the tax consequences arising under the laws of any foreign, state, local or other jurisdiction or any income tax treaty. In addition, this discussion does not address all tax consequences that may be important to a particular holder in light of the holder’s special circumstances, or to certain categories of holders that may be subject to special rules, such as:</w:t>
      </w:r>
    </w:p>
    <w:p>
      <w:pPr>
        <w:spacing w:after="0" w:line="78" w:lineRule="exact"/>
        <w:rPr>
          <w:sz w:val="20"/>
          <w:szCs w:val="20"/>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dealers in securities or currencies;</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in securities that have elected the mark-to-market method of accounting for their securities;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(as defined below) whose functional currency is not the U.S. dollar;</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who hold Notes through non-U.S. brokers or other non-U.S. intermediaries;</w:t>
      </w:r>
    </w:p>
    <w:p>
      <w:pPr>
        <w:spacing w:after="0" w:line="95" w:lineRule="exact"/>
        <w:rPr>
          <w:rFonts w:ascii="Times New Roman" w:cs="Times New Roman" w:eastAsia="Times New Roman" w:hAnsi="Times New Roman"/>
          <w:sz w:val="17"/>
          <w:szCs w:val="17"/>
          <w:color w:val="auto"/>
        </w:rPr>
      </w:pPr>
    </w:p>
    <w:p>
      <w:pPr>
        <w:ind w:left="1680" w:right="1239" w:hanging="160"/>
        <w:spacing w:after="0" w:line="275" w:lineRule="auto"/>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Notes as part of a hedge, straddle, conversion or other “synthetic security” or integrated transaction;</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U.S. citizens or long-term residents of the United States;</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or other financial institutions;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subject to the alternative minimum tax;</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entities that are tax-exempt for U.S. federal income tax purposes;</w:t>
      </w:r>
    </w:p>
    <w:p>
      <w:pPr>
        <w:spacing w:after="0" w:line="107" w:lineRule="exact"/>
        <w:rPr>
          <w:rFonts w:ascii="Times New Roman" w:cs="Times New Roman" w:eastAsia="Times New Roman" w:hAnsi="Times New Roman"/>
          <w:sz w:val="17"/>
          <w:szCs w:val="17"/>
          <w:color w:val="auto"/>
        </w:rPr>
      </w:pPr>
    </w:p>
    <w:p>
      <w:pPr>
        <w:ind w:left="1680" w:right="1019" w:hanging="160"/>
        <w:spacing w:after="0" w:line="275" w:lineRule="auto"/>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deemed to sell the Notes under the constructive sale provisions of the Code;</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the Notes through individual retirement accounts and other tax-deferred accounts;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required to accelerate the recognition of any item of gross income with respect to the Notes</w:t>
      </w:r>
    </w:p>
    <w:p>
      <w:pPr>
        <w:spacing w:after="0" w:line="22" w:lineRule="exact"/>
        <w:rPr>
          <w:rFonts w:ascii="Times New Roman" w:cs="Times New Roman" w:eastAsia="Times New Roman" w:hAnsi="Times New Roman"/>
          <w:sz w:val="17"/>
          <w:szCs w:val="17"/>
          <w:color w:val="auto"/>
        </w:rPr>
      </w:pPr>
    </w:p>
    <w:p>
      <w:pPr>
        <w:ind w:left="1680" w:right="1199"/>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such income being recognized on an “applicable financial statement” (within​ the meaning of Section 451(b) of the Code); and</w:t>
      </w:r>
    </w:p>
    <w:p>
      <w:pPr>
        <w:spacing w:after="0" w:line="59" w:lineRule="exact"/>
        <w:rPr>
          <w:rFonts w:ascii="Times New Roman" w:cs="Times New Roman" w:eastAsia="Times New Roman" w:hAnsi="Times New Roman"/>
          <w:sz w:val="17"/>
          <w:szCs w:val="17"/>
          <w:color w:val="auto"/>
        </w:rPr>
      </w:pPr>
    </w:p>
    <w:p>
      <w:pPr>
        <w:ind w:left="1680" w:right="859" w:hanging="160"/>
        <w:spacing w:after="0" w:line="275" w:lineRule="auto"/>
        <w:tabs>
          <w:tab w:leader="none" w:pos="1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and other entities treated as pass-through entities for U.S. federal income tax purposes and holders of interests therein.</w:t>
      </w:r>
    </w:p>
    <w:p>
      <w:pPr>
        <w:spacing w:after="0" w:line="95" w:lineRule="exact"/>
        <w:rPr>
          <w:sz w:val="20"/>
          <w:szCs w:val="20"/>
          <w:color w:val="auto"/>
        </w:rPr>
      </w:pPr>
    </w:p>
    <w:p>
      <w:pPr>
        <w:ind w:left="1180" w:right="679" w:firstLine="337"/>
        <w:spacing w:after="0" w:line="244" w:lineRule="auto"/>
        <w:rPr>
          <w:sz w:val="20"/>
          <w:szCs w:val="20"/>
          <w:color w:val="auto"/>
        </w:rPr>
      </w:pPr>
      <w:r>
        <w:rPr>
          <w:rFonts w:ascii="Times New Roman" w:cs="Times New Roman" w:eastAsia="Times New Roman" w:hAnsi="Times New Roman"/>
          <w:sz w:val="17"/>
          <w:szCs w:val="17"/>
          <w:color w:val="auto"/>
        </w:rPr>
        <w:t>If an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 made at the partner level. Partnerships considering an investment in the Notes and partners therein should consult their own tax advisors as to the particular U.S. federal income tax consequences of acquiring, owning and disposing of the Notes.</w:t>
      </w:r>
    </w:p>
    <w:p>
      <w:pPr>
        <w:spacing w:after="0" w:line="200" w:lineRule="exact"/>
        <w:rPr>
          <w:sz w:val="20"/>
          <w:szCs w:val="20"/>
          <w:color w:val="auto"/>
        </w:rPr>
      </w:pPr>
    </w:p>
    <w:p>
      <w:pPr>
        <w:spacing w:after="0" w:line="3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699" w:firstLine="337"/>
        <w:spacing w:after="0" w:line="252" w:lineRule="auto"/>
        <w:rPr>
          <w:sz w:val="20"/>
          <w:szCs w:val="20"/>
          <w:color w:val="auto"/>
        </w:rPr>
      </w:pPr>
      <w:r>
        <w:rPr>
          <w:rFonts w:ascii="Times New Roman" w:cs="Times New Roman" w:eastAsia="Times New Roman" w:hAnsi="Times New Roman"/>
          <w:sz w:val="17"/>
          <w:szCs w:val="17"/>
          <w:color w:val="auto"/>
        </w:rPr>
        <w:t>THIS DISCUSSION IS FOR INFORMATION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OR FOREIGN JURISDICTION OR UNDER ANY APPLICABLE INCOME TAX TREATY.</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Certain Additional Payments</w:t>
      </w:r>
    </w:p>
    <w:p>
      <w:pPr>
        <w:spacing w:after="0" w:line="150" w:lineRule="exact"/>
        <w:rPr>
          <w:sz w:val="20"/>
          <w:szCs w:val="20"/>
          <w:color w:val="auto"/>
        </w:rPr>
      </w:pPr>
    </w:p>
    <w:p>
      <w:pPr>
        <w:ind w:left="1180" w:right="719" w:firstLine="337"/>
        <w:spacing w:after="0" w:line="250" w:lineRule="auto"/>
        <w:rPr>
          <w:sz w:val="20"/>
          <w:szCs w:val="20"/>
          <w:color w:val="auto"/>
        </w:rPr>
      </w:pPr>
      <w:r>
        <w:rPr>
          <w:rFonts w:ascii="Times New Roman" w:cs="Times New Roman" w:eastAsia="Times New Roman" w:hAnsi="Times New Roman"/>
          <w:sz w:val="17"/>
          <w:szCs w:val="17"/>
          <w:color w:val="auto"/>
        </w:rPr>
        <w:t>In certain circumstances (see “Description of Notes — Optional Redemption”), we may elect to redeem the Notes prior to maturity or to pay amounts on the Notes that are in excess of the stated interest or principal on the Notes. If any of these contingencies were to occur, it would affect the amount and timing of income recognized by you. Further, these contingencies may implicate the provisions of the U.S. 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might take a different position, in which case, if the IRS’s position is sustained, you may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w:t>
      </w:r>
    </w:p>
    <w:p>
      <w:pPr>
        <w:spacing w:after="0" w:line="38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Tax Consequences to U.S. Holders</w:t>
      </w:r>
    </w:p>
    <w:p>
      <w:pPr>
        <w:spacing w:after="0" w:line="150" w:lineRule="exact"/>
        <w:rPr>
          <w:sz w:val="20"/>
          <w:szCs w:val="20"/>
          <w:color w:val="auto"/>
        </w:rPr>
      </w:pPr>
    </w:p>
    <w:p>
      <w:pPr>
        <w:ind w:left="1180" w:right="799" w:firstLine="337"/>
        <w:spacing w:after="0" w:line="262" w:lineRule="auto"/>
        <w:rPr>
          <w:sz w:val="20"/>
          <w:szCs w:val="20"/>
          <w:color w:val="auto"/>
        </w:rPr>
      </w:pPr>
      <w:r>
        <w:rPr>
          <w:rFonts w:ascii="Times New Roman" w:cs="Times New Roman" w:eastAsia="Times New Roman" w:hAnsi="Times New Roman"/>
          <w:sz w:val="17"/>
          <w:szCs w:val="17"/>
          <w:color w:val="auto"/>
        </w:rPr>
        <w:t>The following summary will apply to you if you are a U.S. Holder of the Notes. You are a “U.S. Holder” for purposes of this discussion if you are a beneficial owner of a Note and you are for U.S. federal income tax purposes:</w:t>
      </w:r>
    </w:p>
    <w:p>
      <w:pPr>
        <w:spacing w:after="0" w:line="67" w:lineRule="exact"/>
        <w:rPr>
          <w:sz w:val="20"/>
          <w:szCs w:val="20"/>
          <w:color w:val="auto"/>
        </w:rPr>
      </w:pPr>
    </w:p>
    <w:p>
      <w:pPr>
        <w:ind w:left="1680" w:hanging="160"/>
        <w:spacing w:after="0"/>
        <w:tabs>
          <w:tab w:leader="none" w:pos="1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U.S. citizen or U.S. resident;</w:t>
      </w:r>
    </w:p>
    <w:p>
      <w:pPr>
        <w:spacing w:after="0" w:line="107" w:lineRule="exact"/>
        <w:rPr>
          <w:rFonts w:ascii="Times New Roman" w:cs="Times New Roman" w:eastAsia="Times New Roman" w:hAnsi="Times New Roman"/>
          <w:sz w:val="17"/>
          <w:szCs w:val="17"/>
          <w:color w:val="auto"/>
        </w:rPr>
      </w:pPr>
    </w:p>
    <w:p>
      <w:pPr>
        <w:ind w:left="1680" w:right="779" w:hanging="160"/>
        <w:spacing w:after="0" w:line="262" w:lineRule="auto"/>
        <w:tabs>
          <w:tab w:leader="none" w:pos="1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for U.S. federal income tax purposes, that was created or organized in or under the laws of the United States, any state thereof or the District of Columbia;</w:t>
      </w:r>
    </w:p>
    <w:p>
      <w:pPr>
        <w:spacing w:after="0" w:line="6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120" w:lineRule="exact"/>
        <w:rPr>
          <w:rFonts w:ascii="Times New Roman" w:cs="Times New Roman" w:eastAsia="Times New Roman" w:hAnsi="Times New Roman"/>
          <w:sz w:val="17"/>
          <w:szCs w:val="17"/>
          <w:color w:val="auto"/>
        </w:rPr>
      </w:pPr>
    </w:p>
    <w:p>
      <w:pPr>
        <w:ind w:left="1680" w:right="859" w:hanging="160"/>
        <w:spacing w:after="0" w:line="257" w:lineRule="auto"/>
        <w:tabs>
          <w:tab w:leader="none" w:pos="1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 the administration of which is subject to the primary supervision of a U.S. court and that has one or more United States persons that have the authority to control all substantial decisions of the trust or (ii) that has made a valid election under applicable U.S. Treasury Regulations to be treated as a United States person.</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Interest on the Notes</w:t>
      </w:r>
    </w:p>
    <w:p>
      <w:pPr>
        <w:spacing w:after="0" w:line="137" w:lineRule="exact"/>
        <w:rPr>
          <w:sz w:val="20"/>
          <w:szCs w:val="20"/>
          <w:color w:val="auto"/>
        </w:rPr>
      </w:pPr>
    </w:p>
    <w:p>
      <w:pPr>
        <w:ind w:left="1180" w:right="1139" w:firstLine="337"/>
        <w:spacing w:after="0" w:line="275" w:lineRule="auto"/>
        <w:rPr>
          <w:sz w:val="20"/>
          <w:szCs w:val="20"/>
          <w:color w:val="auto"/>
        </w:rPr>
      </w:pPr>
      <w:r>
        <w:rPr>
          <w:rFonts w:ascii="Times New Roman" w:cs="Times New Roman" w:eastAsia="Times New Roman" w:hAnsi="Times New Roman"/>
          <w:sz w:val="17"/>
          <w:szCs w:val="17"/>
          <w:color w:val="auto"/>
        </w:rPr>
        <w:t>Interest on a Note generally will be taxable to you as ordinary income at the time it is received or accrued in accordance with your regular method of accounting for U.S. federal income tax purposes.</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Disposition of the Notes</w:t>
      </w:r>
    </w:p>
    <w:p>
      <w:pPr>
        <w:spacing w:after="0" w:line="150" w:lineRule="exact"/>
        <w:rPr>
          <w:sz w:val="20"/>
          <w:szCs w:val="20"/>
          <w:color w:val="auto"/>
        </w:rPr>
      </w:pPr>
    </w:p>
    <w:p>
      <w:pPr>
        <w:ind w:left="1180" w:right="739" w:firstLine="337"/>
        <w:spacing w:after="0" w:line="253" w:lineRule="auto"/>
        <w:rPr>
          <w:sz w:val="20"/>
          <w:szCs w:val="20"/>
          <w:color w:val="auto"/>
        </w:rPr>
      </w:pPr>
      <w:r>
        <w:rPr>
          <w:rFonts w:ascii="Times New Roman" w:cs="Times New Roman" w:eastAsia="Times New Roman" w:hAnsi="Times New Roman"/>
          <w:sz w:val="17"/>
          <w:szCs w:val="17"/>
          <w:color w:val="auto"/>
        </w:rPr>
        <w:t>You generally will recognize capital gain or loss on the sale, redemption, exchange, retirement or other taxable disposition of a Note in an amount equal to the difference, if any, between the amount realized on such disposition and your adjusted tax basis in the Note. The amount realized will include the amount of any cash and the fair market value of any other property received for the Note. To the extent that any portion of the amount realized on the sale, redemption, exchange, retirement or other taxable disposition of a Note is attributable to accrued but unpaid interest on a Note, this amount generally will not be included in the</w:t>
      </w:r>
    </w:p>
    <w:p>
      <w:pPr>
        <w:spacing w:after="0" w:line="200" w:lineRule="exact"/>
        <w:rPr>
          <w:sz w:val="20"/>
          <w:szCs w:val="20"/>
          <w:color w:val="auto"/>
        </w:rPr>
      </w:pP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79"/>
        <w:spacing w:after="0" w:line="275" w:lineRule="auto"/>
        <w:rPr>
          <w:sz w:val="20"/>
          <w:szCs w:val="20"/>
          <w:color w:val="auto"/>
        </w:rPr>
      </w:pPr>
      <w:r>
        <w:rPr>
          <w:rFonts w:ascii="Times New Roman" w:cs="Times New Roman" w:eastAsia="Times New Roman" w:hAnsi="Times New Roman"/>
          <w:sz w:val="17"/>
          <w:szCs w:val="17"/>
          <w:color w:val="auto"/>
        </w:rPr>
        <w:t>“amount realized” but will instead be treated in the same manner as described above in “Tax Consequences to U.S. Holders — Interest on the Notes.”</w:t>
      </w:r>
    </w:p>
    <w:p>
      <w:pPr>
        <w:spacing w:after="0" w:line="83" w:lineRule="exact"/>
        <w:rPr>
          <w:sz w:val="20"/>
          <w:szCs w:val="20"/>
          <w:color w:val="auto"/>
        </w:rPr>
      </w:pPr>
    </w:p>
    <w:p>
      <w:pPr>
        <w:ind w:left="1180" w:right="759" w:firstLine="337"/>
        <w:spacing w:after="0" w:line="241" w:lineRule="auto"/>
        <w:rPr>
          <w:sz w:val="20"/>
          <w:szCs w:val="20"/>
          <w:color w:val="auto"/>
        </w:rPr>
      </w:pPr>
      <w:r>
        <w:rPr>
          <w:rFonts w:ascii="Times New Roman" w:cs="Times New Roman" w:eastAsia="Times New Roman" w:hAnsi="Times New Roman"/>
          <w:sz w:val="17"/>
          <w:szCs w:val="17"/>
          <w:color w:val="auto"/>
        </w:rPr>
        <w:t>Your adjusted tax basis in a Note will generally equal the amount you paid for the Note. Any gain or loss will be capital gain or loss and will be long-term capital gain or loss if you held the Note for more than one year at the time of the sale, redemption, exchange, retirement or other taxable disposition. Otherwise, such gain or loss will be short- term capital gain or loss. Long-term capital gains of individuals, estates and trusts currently are eligible for reduced rates of U.S. federal income tax. The deductibility of capital losses may be subject to limitation.</w:t>
      </w:r>
    </w:p>
    <w:p>
      <w:pPr>
        <w:spacing w:after="0" w:line="18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137" w:lineRule="exact"/>
        <w:rPr>
          <w:sz w:val="20"/>
          <w:szCs w:val="20"/>
          <w:color w:val="auto"/>
        </w:rPr>
      </w:pPr>
    </w:p>
    <w:p>
      <w:pPr>
        <w:ind w:left="1180" w:right="679" w:firstLine="337"/>
        <w:spacing w:after="0" w:line="242" w:lineRule="auto"/>
        <w:rPr>
          <w:sz w:val="20"/>
          <w:szCs w:val="20"/>
          <w:color w:val="auto"/>
        </w:rPr>
      </w:pPr>
      <w:r>
        <w:rPr>
          <w:rFonts w:ascii="Times New Roman" w:cs="Times New Roman" w:eastAsia="Times New Roman" w:hAnsi="Times New Roman"/>
          <w:sz w:val="17"/>
          <w:szCs w:val="17"/>
          <w:color w:val="auto"/>
        </w:rPr>
        <w:t>Information reporting generally will apply to payments of interest on, and the proceeds of the sale or other disposition (including a redemption, exchange, or retirement) of, Notes held by you, and backup withholding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36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Additional Tax on Net Investment Income</w:t>
      </w:r>
    </w:p>
    <w:p>
      <w:pPr>
        <w:spacing w:after="0" w:line="150" w:lineRule="exact"/>
        <w:rPr>
          <w:sz w:val="20"/>
          <w:szCs w:val="20"/>
          <w:color w:val="auto"/>
        </w:rPr>
      </w:pPr>
    </w:p>
    <w:p>
      <w:pPr>
        <w:ind w:left="1180" w:right="979" w:firstLine="337"/>
        <w:spacing w:after="0" w:line="243" w:lineRule="auto"/>
        <w:rPr>
          <w:sz w:val="20"/>
          <w:szCs w:val="20"/>
          <w:color w:val="auto"/>
        </w:rPr>
      </w:pPr>
      <w:r>
        <w:rPr>
          <w:rFonts w:ascii="Times New Roman" w:cs="Times New Roman" w:eastAsia="Times New Roman" w:hAnsi="Times New Roman"/>
          <w:sz w:val="17"/>
          <w:szCs w:val="17"/>
          <w:color w:val="auto"/>
        </w:rPr>
        <w:t>An additional 3.8% tax is imposed on the “net investment income” of certain U.S. citizens and U.S. residents, and on the undistributed “net investment income” of certain estates and trusts. Among other items, “net investment income” generally includes gross income from interest and net gain from the disposition of property, such as Notes, less certain deductions. You should consult your own tax advisor with respect to this additional tax and its applicability in your particular circumstances.</w:t>
      </w:r>
    </w:p>
    <w:p>
      <w:pPr>
        <w:spacing w:after="0" w:line="18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Tax Consequences to Non-U.S. Holders</w:t>
      </w:r>
    </w:p>
    <w:p>
      <w:pPr>
        <w:spacing w:after="0" w:line="137" w:lineRule="exact"/>
        <w:rPr>
          <w:sz w:val="20"/>
          <w:szCs w:val="20"/>
          <w:color w:val="auto"/>
        </w:rPr>
      </w:pPr>
    </w:p>
    <w:p>
      <w:pPr>
        <w:ind w:left="1180" w:right="879" w:firstLine="337"/>
        <w:spacing w:after="0" w:line="254" w:lineRule="auto"/>
        <w:rPr>
          <w:sz w:val="20"/>
          <w:szCs w:val="20"/>
          <w:color w:val="auto"/>
        </w:rPr>
      </w:pPr>
      <w:r>
        <w:rPr>
          <w:rFonts w:ascii="Times New Roman" w:cs="Times New Roman" w:eastAsia="Times New Roman" w:hAnsi="Times New Roman"/>
          <w:sz w:val="17"/>
          <w:szCs w:val="17"/>
          <w:color w:val="auto"/>
        </w:rPr>
        <w:t>The following summary will apply to you if you are a non-U.S. holder of Notes. You are a “non-U.S. Holder” for purposes of this discussion if you are a beneficial owner of a Note that is, for U.S. federal income tax purposes, an individual, corporation, estate or trust that is not a U.S. Holder.</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Interest on the Notes</w:t>
      </w:r>
    </w:p>
    <w:p>
      <w:pPr>
        <w:spacing w:after="0" w:line="150" w:lineRule="exact"/>
        <w:rPr>
          <w:sz w:val="20"/>
          <w:szCs w:val="20"/>
          <w:color w:val="auto"/>
        </w:rPr>
      </w:pPr>
    </w:p>
    <w:p>
      <w:pPr>
        <w:ind w:left="1180" w:right="919" w:firstLine="337"/>
        <w:spacing w:after="0" w:line="247" w:lineRule="auto"/>
        <w:rPr>
          <w:sz w:val="20"/>
          <w:szCs w:val="20"/>
          <w:color w:val="auto"/>
        </w:rPr>
      </w:pPr>
      <w:r>
        <w:rPr>
          <w:rFonts w:ascii="Times New Roman" w:cs="Times New Roman" w:eastAsia="Times New Roman" w:hAnsi="Times New Roman"/>
          <w:sz w:val="17"/>
          <w:szCs w:val="17"/>
          <w:color w:val="auto"/>
        </w:rPr>
        <w:t>Subject to the discussion below of backup withholding and FATCA (as defined below) withholding payments to you of interest on a Note generally will not be subject to U.S. federal income tax and will be exempt from withholding of U.S. federal income tax under the “portfolio interest” exemption if you properly certify as to your foreign status, as described below, and:</w:t>
      </w:r>
    </w:p>
    <w:p>
      <w:pPr>
        <w:spacing w:after="0" w:line="67" w:lineRule="exact"/>
        <w:rPr>
          <w:sz w:val="20"/>
          <w:szCs w:val="20"/>
          <w:color w:val="auto"/>
        </w:rPr>
      </w:pPr>
    </w:p>
    <w:p>
      <w:pPr>
        <w:ind w:left="1680" w:hanging="160"/>
        <w:spacing w:after="0"/>
        <w:tabs>
          <w:tab w:leader="none" w:pos="1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do not own, actually or constructively, 10% or more of our capital or profits interests;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not a “controlled foreign corporation” that is related to us (actually or constructively);</w:t>
      </w:r>
    </w:p>
    <w:p>
      <w:pPr>
        <w:spacing w:after="0" w:line="107" w:lineRule="exact"/>
        <w:rPr>
          <w:rFonts w:ascii="Times New Roman" w:cs="Times New Roman" w:eastAsia="Times New Roman" w:hAnsi="Times New Roman"/>
          <w:sz w:val="17"/>
          <w:szCs w:val="17"/>
          <w:color w:val="auto"/>
        </w:rPr>
      </w:pPr>
    </w:p>
    <w:p>
      <w:pPr>
        <w:jc w:val="both"/>
        <w:ind w:left="1680" w:right="759" w:hanging="160"/>
        <w:spacing w:after="0" w:line="275" w:lineRule="auto"/>
        <w:tabs>
          <w:tab w:leader="none" w:pos="1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not a bank whose receipt of interest on the Note is in connection with an extension of credit made pursuant to a loan agreement entered into in the ordinary course of your trade or business; and</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the Notes is not effectively connected with your conduct of a U.S. trade or business.</w:t>
      </w:r>
    </w:p>
    <w:p>
      <w:pPr>
        <w:spacing w:after="0" w:line="133" w:lineRule="exact"/>
        <w:rPr>
          <w:sz w:val="20"/>
          <w:szCs w:val="20"/>
          <w:color w:val="auto"/>
        </w:rPr>
      </w:pPr>
    </w:p>
    <w:p>
      <w:pPr>
        <w:ind w:left="1180" w:right="779" w:firstLine="337"/>
        <w:spacing w:after="0" w:line="242" w:lineRule="auto"/>
        <w:rPr>
          <w:sz w:val="20"/>
          <w:szCs w:val="20"/>
          <w:color w:val="auto"/>
        </w:rPr>
      </w:pPr>
      <w:r>
        <w:rPr>
          <w:rFonts w:ascii="Times New Roman" w:cs="Times New Roman" w:eastAsia="Times New Roman" w:hAnsi="Times New Roman"/>
          <w:sz w:val="17"/>
          <w:szCs w:val="17"/>
          <w:color w:val="auto"/>
        </w:rPr>
        <w:t>The portfolio interest exemption generally applies only if you also appropriately certify as to your foreign status. You can generally meet the certification requirement by providing a properly executed IRS Form W-8BEN or IRS Form W-8BEN -E (or other applicable form or successor form) to the applicable withholding agent. If you hold a Note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w:t>
      </w:r>
    </w:p>
    <w:p>
      <w:pPr>
        <w:spacing w:after="0" w:line="35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180" w:right="699"/>
        <w:spacing w:after="0" w:line="246" w:lineRule="auto"/>
        <w:rPr>
          <w:sz w:val="20"/>
          <w:szCs w:val="20"/>
          <w:color w:val="auto"/>
        </w:rPr>
      </w:pPr>
      <w:r>
        <w:rPr>
          <w:rFonts w:ascii="Times New Roman" w:cs="Times New Roman" w:eastAsia="Times New Roman" w:hAnsi="Times New Roman"/>
          <w:sz w:val="17"/>
          <w:szCs w:val="17"/>
          <w:color w:val="auto"/>
        </w:rPr>
        <w:t>circumstances certifications as to the foreign status of partners, trust owners or beneficiaries may have to be provided to the applicable withholding agent. In addition, special rules apply to qualified intermediaries that enter into withholding agreements with the IRS.</w:t>
      </w:r>
    </w:p>
    <w:p>
      <w:pPr>
        <w:spacing w:after="0" w:line="94" w:lineRule="exact"/>
        <w:rPr>
          <w:sz w:val="20"/>
          <w:szCs w:val="20"/>
          <w:color w:val="auto"/>
        </w:rPr>
      </w:pPr>
    </w:p>
    <w:p>
      <w:pPr>
        <w:ind w:left="1180" w:right="759" w:firstLine="337"/>
        <w:spacing w:after="0" w:line="229" w:lineRule="auto"/>
        <w:rPr>
          <w:sz w:val="20"/>
          <w:szCs w:val="20"/>
          <w:color w:val="auto"/>
        </w:rPr>
      </w:pPr>
      <w:r>
        <w:rPr>
          <w:rFonts w:ascii="Times New Roman" w:cs="Times New Roman" w:eastAsia="Times New Roman" w:hAnsi="Times New Roman"/>
          <w:sz w:val="17"/>
          <w:szCs w:val="17"/>
          <w:color w:val="auto"/>
        </w:rPr>
        <w:t>If you cannot satisfy the requirements described above, payments of interest made to you will be subject to U.S. federal withholding tax at a 30% rate, unless (i) you provide the applicable withholding agent with a properly executed IRS Form W- 8BEN or IRS Form W-8BEN-E (or other applicable form or successor form) claiming an exemption from (or a reduction of) withholding under the benefits of an applicable income tax treaty, or (ii) the payments of such interest are effectively connected with your conduct of a trade or business in the United States (and, if required by an applicable income tax treaty, you maintain a permanent establishment or fixed base in the United States to which such interest is attributable) and you meet the certification requirements described below. (See “Tax Consequences to Non-U.S. Holders</w:t>
      </w:r>
    </w:p>
    <w:p>
      <w:pPr>
        <w:spacing w:after="0" w:line="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 Income or Gain Effectively Connected with a U.S. Trade or Business.”)</w:t>
      </w:r>
    </w:p>
    <w:p>
      <w:pPr>
        <w:spacing w:after="0" w:line="115" w:lineRule="exact"/>
        <w:rPr>
          <w:sz w:val="20"/>
          <w:szCs w:val="20"/>
          <w:color w:val="auto"/>
        </w:rPr>
      </w:pPr>
    </w:p>
    <w:p>
      <w:pPr>
        <w:ind w:left="1180" w:right="819" w:firstLine="337"/>
        <w:spacing w:after="0" w:line="233" w:lineRule="auto"/>
        <w:rPr>
          <w:sz w:val="20"/>
          <w:szCs w:val="20"/>
          <w:color w:val="auto"/>
        </w:rPr>
      </w:pPr>
      <w:r>
        <w:rPr>
          <w:rFonts w:ascii="Times New Roman" w:cs="Times New Roman" w:eastAsia="Times New Roman" w:hAnsi="Times New Roman"/>
          <w:sz w:val="17"/>
          <w:szCs w:val="17"/>
          <w:color w:val="auto"/>
        </w:rPr>
        <w:t>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or a reduced rate under an applicable income tax treaty, you may obtain a refund of any excess amounts withheld if you timely provide the required information or appropriate claim form to the IRS.</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Disposition of the Notes</w:t>
      </w:r>
    </w:p>
    <w:p>
      <w:pPr>
        <w:spacing w:after="0" w:line="124" w:lineRule="exact"/>
        <w:rPr>
          <w:sz w:val="20"/>
          <w:szCs w:val="20"/>
          <w:color w:val="auto"/>
        </w:rPr>
      </w:pPr>
    </w:p>
    <w:p>
      <w:pPr>
        <w:ind w:left="1180" w:right="719" w:firstLine="337"/>
        <w:spacing w:after="0" w:line="246" w:lineRule="auto"/>
        <w:rPr>
          <w:sz w:val="20"/>
          <w:szCs w:val="20"/>
          <w:color w:val="auto"/>
        </w:rPr>
      </w:pPr>
      <w:r>
        <w:rPr>
          <w:rFonts w:ascii="Times New Roman" w:cs="Times New Roman" w:eastAsia="Times New Roman" w:hAnsi="Times New Roman"/>
          <w:sz w:val="17"/>
          <w:szCs w:val="17"/>
          <w:color w:val="auto"/>
        </w:rPr>
        <w:t>Subject to the discussion below of backup withholding you generally will not be subject to U.S. federal income tax on any gain recognized on the sale, redemption, exchange, retirement or other taxable disposition of a Note unless:</w:t>
      </w:r>
    </w:p>
    <w:p>
      <w:pPr>
        <w:spacing w:after="0" w:line="69" w:lineRule="exact"/>
        <w:rPr>
          <w:sz w:val="20"/>
          <w:szCs w:val="20"/>
          <w:color w:val="auto"/>
        </w:rPr>
      </w:pPr>
    </w:p>
    <w:p>
      <w:pPr>
        <w:ind w:left="1680" w:right="719" w:hanging="160"/>
        <w:spacing w:after="0" w:line="262" w:lineRule="auto"/>
        <w:tabs>
          <w:tab w:leader="none" w:pos="1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by you of a U.S. trade or business (and, if required by an applicable income tax treaty, you maintain a permanent establishment or fixed base in the United States to which such gain is attributable); or</w:t>
      </w:r>
    </w:p>
    <w:p>
      <w:pPr>
        <w:spacing w:after="0" w:line="54" w:lineRule="exact"/>
        <w:rPr>
          <w:rFonts w:ascii="Times New Roman" w:cs="Times New Roman" w:eastAsia="Times New Roman" w:hAnsi="Times New Roman"/>
          <w:sz w:val="17"/>
          <w:szCs w:val="17"/>
          <w:color w:val="auto"/>
        </w:rPr>
      </w:pPr>
    </w:p>
    <w:p>
      <w:pPr>
        <w:ind w:left="1680" w:right="839" w:hanging="160"/>
        <w:spacing w:after="0" w:line="275" w:lineRule="auto"/>
        <w:tabs>
          <w:tab w:leader="none" w:pos="1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an individual who has been present in the United States for 183 days or more in the taxable year of disposition and certain other requirements are met.</w:t>
      </w:r>
    </w:p>
    <w:p>
      <w:pPr>
        <w:spacing w:after="0" w:line="70" w:lineRule="exact"/>
        <w:rPr>
          <w:sz w:val="20"/>
          <w:szCs w:val="20"/>
          <w:color w:val="auto"/>
        </w:rPr>
      </w:pPr>
    </w:p>
    <w:p>
      <w:pPr>
        <w:ind w:left="1180" w:right="719" w:firstLine="337"/>
        <w:spacing w:after="0"/>
        <w:rPr>
          <w:sz w:val="20"/>
          <w:szCs w:val="20"/>
          <w:color w:val="auto"/>
        </w:rPr>
      </w:pPr>
      <w:r>
        <w:rPr>
          <w:rFonts w:ascii="Times New Roman" w:cs="Times New Roman" w:eastAsia="Times New Roman" w:hAnsi="Times New Roman"/>
          <w:sz w:val="17"/>
          <w:szCs w:val="17"/>
          <w:color w:val="auto"/>
        </w:rPr>
        <w:t>If your gain is described in the first bullet point above, you generally will be subject to U.S. federal income tax in the manner described under “Tax Consequences to Non-U.S. Holders — Income or Gain Effectively Connected with a U.S. Trade or Business.” If you are a non- U.S. Holder described in the second bullet point above, you will be subject to a U.S. federal income tax rate of 30% (or a lower applicable income tax treaty rate) on the gain derived from the sale or other disposition of a Note, which may be offset by certain U.S. source capital losses. To the extent that any portion of the amount recognized on a sale, redemption, exchange, retirement or other taxable disposition of the Notes is attributable to accrued but unpaid interest on the Notes, this amount generally will be treated in the same manner as described above in “— Interest on the Notes.”</w:t>
      </w:r>
    </w:p>
    <w:p>
      <w:pPr>
        <w:spacing w:after="0" w:line="3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Income or Gain Effectively Connected with a U.S. Trade or Business</w:t>
      </w:r>
    </w:p>
    <w:p>
      <w:pPr>
        <w:spacing w:after="0" w:line="150" w:lineRule="exact"/>
        <w:rPr>
          <w:sz w:val="20"/>
          <w:szCs w:val="20"/>
          <w:color w:val="auto"/>
        </w:rPr>
      </w:pPr>
    </w:p>
    <w:p>
      <w:pPr>
        <w:ind w:left="1180" w:right="699" w:firstLine="337"/>
        <w:spacing w:after="0"/>
        <w:rPr>
          <w:sz w:val="20"/>
          <w:szCs w:val="20"/>
          <w:color w:val="auto"/>
        </w:rPr>
      </w:pPr>
      <w:r>
        <w:rPr>
          <w:rFonts w:ascii="Times New Roman" w:cs="Times New Roman" w:eastAsia="Times New Roman" w:hAnsi="Times New Roman"/>
          <w:sz w:val="17"/>
          <w:szCs w:val="17"/>
          <w:color w:val="auto"/>
        </w:rPr>
        <w:t>If any interest on the Notes or gain from the sale, redemption, exchange, retirement or other taxable disposition of the Notes is effectively connected with a U.S. trade or business conducted by you, such interest income or gain will be subject to U.S. federal income tax at regular graduated income tax rates generally in the same manner as if you were a U.S. Holder, unless an applicable income tax treaty provides otherwise.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w:t>
      </w:r>
    </w:p>
    <w:p>
      <w:pPr>
        <w:spacing w:after="0" w:line="3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99" w:lineRule="exact"/>
        <w:rPr>
          <w:sz w:val="20"/>
          <w:szCs w:val="20"/>
          <w:color w:val="auto"/>
        </w:rPr>
      </w:pPr>
    </w:p>
    <w:p>
      <w:pPr>
        <w:ind w:left="1180" w:right="679" w:firstLine="337"/>
        <w:spacing w:after="0" w:line="260" w:lineRule="auto"/>
        <w:rPr>
          <w:sz w:val="20"/>
          <w:szCs w:val="20"/>
          <w:color w:val="auto"/>
        </w:rPr>
      </w:pPr>
      <w:r>
        <w:rPr>
          <w:rFonts w:ascii="Times New Roman" w:cs="Times New Roman" w:eastAsia="Times New Roman" w:hAnsi="Times New Roman"/>
          <w:sz w:val="17"/>
          <w:szCs w:val="17"/>
          <w:color w:val="auto"/>
        </w:rPr>
        <w:t>Payments to you of interest on a Note, and amounts withheld from such payments, if any, generally will be required to be reported to the IRS and to you. Copies of the information returns reporting such</w:t>
      </w:r>
    </w:p>
    <w:p>
      <w:pPr>
        <w:spacing w:after="0" w:line="3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39"/>
        <w:spacing w:after="0" w:line="275" w:lineRule="auto"/>
        <w:rPr>
          <w:sz w:val="20"/>
          <w:szCs w:val="20"/>
          <w:color w:val="auto"/>
        </w:rPr>
      </w:pPr>
      <w:r>
        <w:rPr>
          <w:rFonts w:ascii="Times New Roman" w:cs="Times New Roman" w:eastAsia="Times New Roman" w:hAnsi="Times New Roman"/>
          <w:sz w:val="17"/>
          <w:szCs w:val="17"/>
          <w:color w:val="auto"/>
        </w:rPr>
        <w:t>interest payments and withholding may also be made available to the tax authorities of the country in which you reside or are established under the provisions of a specific treaty or agreement.</w:t>
      </w:r>
    </w:p>
    <w:p>
      <w:pPr>
        <w:spacing w:after="0" w:line="95" w:lineRule="exact"/>
        <w:rPr>
          <w:sz w:val="20"/>
          <w:szCs w:val="20"/>
          <w:color w:val="auto"/>
        </w:rPr>
      </w:pPr>
    </w:p>
    <w:p>
      <w:pPr>
        <w:ind w:left="1180" w:right="1339" w:firstLine="337"/>
        <w:spacing w:after="0" w:line="262" w:lineRule="auto"/>
        <w:rPr>
          <w:sz w:val="20"/>
          <w:szCs w:val="20"/>
          <w:color w:val="auto"/>
        </w:rPr>
      </w:pPr>
      <w:r>
        <w:rPr>
          <w:rFonts w:ascii="Times New Roman" w:cs="Times New Roman" w:eastAsia="Times New Roman" w:hAnsi="Times New Roman"/>
          <w:sz w:val="17"/>
          <w:szCs w:val="17"/>
          <w:color w:val="auto"/>
        </w:rPr>
        <w:t>Backup withholding generally will not apply to payments to you of interest on a Note if the certification described in “Tax Consequences to Non-U.S. Holders — Interest on the Notes” is duly provided or you otherwise establish an exemption.</w:t>
      </w:r>
    </w:p>
    <w:p>
      <w:pPr>
        <w:spacing w:after="0" w:line="105" w:lineRule="exact"/>
        <w:rPr>
          <w:sz w:val="20"/>
          <w:szCs w:val="20"/>
          <w:color w:val="auto"/>
        </w:rPr>
      </w:pPr>
    </w:p>
    <w:p>
      <w:pPr>
        <w:ind w:left="1180" w:right="699" w:firstLine="337"/>
        <w:spacing w:after="0" w:line="251" w:lineRule="auto"/>
        <w:rPr>
          <w:sz w:val="20"/>
          <w:szCs w:val="20"/>
          <w:color w:val="auto"/>
        </w:rPr>
      </w:pPr>
      <w:r>
        <w:rPr>
          <w:rFonts w:ascii="Times New Roman" w:cs="Times New Roman" w:eastAsia="Times New Roman" w:hAnsi="Times New Roman"/>
          <w:sz w:val="17"/>
          <w:szCs w:val="17"/>
          <w:color w:val="auto"/>
        </w:rPr>
        <w:t>Payment of the proceeds from a disposition of a Note effected by the U.S. office of a U.S. or foreign broker will be subject to information reporting requirements and backup withholding unless you properly certify under penalties of perjury as to your foreign status on IRS Form W-8BEN or IRS Form W-8BEN-E, as applicable (or other applicable form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 payment of the proceeds of the disposition of a Note effected outside the United States by such a broker if it has certain relationships with the United States.</w:t>
      </w:r>
    </w:p>
    <w:p>
      <w:pPr>
        <w:spacing w:after="0" w:line="306" w:lineRule="exact"/>
        <w:rPr>
          <w:sz w:val="20"/>
          <w:szCs w:val="20"/>
          <w:color w:val="auto"/>
        </w:rPr>
      </w:pPr>
    </w:p>
    <w:p>
      <w:pPr>
        <w:ind w:left="1180" w:right="759" w:firstLine="337"/>
        <w:spacing w:after="0" w:line="257" w:lineRule="auto"/>
        <w:rPr>
          <w:sz w:val="20"/>
          <w:szCs w:val="20"/>
          <w:color w:val="auto"/>
        </w:rPr>
      </w:pPr>
      <w:r>
        <w:rPr>
          <w:rFonts w:ascii="Times New Roman" w:cs="Times New Roman" w:eastAsia="Times New Roman" w:hAnsi="Times New Roman"/>
          <w:sz w:val="17"/>
          <w:szCs w:val="17"/>
          <w:color w:val="auto"/>
        </w:rPr>
        <w:t>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Withholding on Payments to Certain Foreign Entities</w:t>
      </w:r>
    </w:p>
    <w:p>
      <w:pPr>
        <w:spacing w:after="0" w:line="150" w:lineRule="exact"/>
        <w:rPr>
          <w:sz w:val="20"/>
          <w:szCs w:val="20"/>
          <w:color w:val="auto"/>
        </w:rPr>
      </w:pPr>
    </w:p>
    <w:p>
      <w:pPr>
        <w:ind w:left="1180" w:right="679" w:firstLine="337"/>
        <w:spacing w:after="0" w:line="249" w:lineRule="auto"/>
        <w:rPr>
          <w:sz w:val="20"/>
          <w:szCs w:val="20"/>
          <w:color w:val="auto"/>
        </w:rPr>
      </w:pPr>
      <w:r>
        <w:rPr>
          <w:rFonts w:ascii="Times New Roman" w:cs="Times New Roman" w:eastAsia="Times New Roman" w:hAnsi="Times New Roman"/>
          <w:sz w:val="17"/>
          <w:szCs w:val="17"/>
          <w:color w:val="auto"/>
        </w:rPr>
        <w:t>Sections 1471 through 1474 of the Code and the U.S. Treasury Regulations and administrative guidance issued thereunder (referred to as “FATCA”) impose a 30% U.S. federal withholding tax on “withholdable payments” ​(as defined in the Code), including payments of interest on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on or after January 1, 2019, proposed U.S. Treasury Regulations provide that such payments of gross proceeds (other than amounts treated as interest) do not constitute withholdable payments. Taxpayers may rely generally on these proposed U.S. Treasury Regulations until they are revoked or final U.S. Treasury Regulations are issued.</w:t>
      </w:r>
    </w:p>
    <w:p>
      <w:pPr>
        <w:spacing w:after="0" w:line="330" w:lineRule="exact"/>
        <w:rPr>
          <w:sz w:val="20"/>
          <w:szCs w:val="20"/>
          <w:color w:val="auto"/>
        </w:rPr>
      </w:pPr>
    </w:p>
    <w:p>
      <w:pPr>
        <w:ind w:left="1180" w:right="679" w:firstLine="337"/>
        <w:spacing w:after="0" w:line="257" w:lineRule="auto"/>
        <w:rPr>
          <w:sz w:val="20"/>
          <w:szCs w:val="20"/>
          <w:color w:val="auto"/>
        </w:rPr>
      </w:pPr>
      <w:r>
        <w:rPr>
          <w:rFonts w:ascii="Times New Roman" w:cs="Times New Roman" w:eastAsia="Times New Roman" w:hAnsi="Times New Roman"/>
          <w:sz w:val="17"/>
          <w:szCs w:val="17"/>
          <w:color w:val="auto"/>
        </w:rPr>
        <w:t>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 You should consult your own tax advisor regarding the effects of FATCA on your investment in the Notes.</w:t>
      </w:r>
    </w:p>
    <w:p>
      <w:pPr>
        <w:spacing w:after="0" w:line="98" w:lineRule="exact"/>
        <w:rPr>
          <w:sz w:val="20"/>
          <w:szCs w:val="20"/>
          <w:color w:val="auto"/>
        </w:rPr>
      </w:pPr>
    </w:p>
    <w:p>
      <w:pPr>
        <w:ind w:left="1180" w:right="779" w:firstLine="337"/>
        <w:spacing w:after="0" w:line="255" w:lineRule="auto"/>
        <w:rPr>
          <w:sz w:val="20"/>
          <w:szCs w:val="20"/>
          <w:color w:val="auto"/>
        </w:rPr>
      </w:pPr>
      <w:r>
        <w:rPr>
          <w:rFonts w:ascii="Times New Roman" w:cs="Times New Roman" w:eastAsia="Times New Roman" w:hAnsi="Times New Roman"/>
          <w:sz w:val="17"/>
          <w:szCs w:val="17"/>
          <w:color w:val="auto"/>
        </w:rPr>
        <w:t>THE PRECEDING DISCUSSION OF CERTAIN U.S. FEDERAL INCOME TAX CONSEQUENCES IS FOR GENERAL INFORMATION ONLY AND IS NOT TAX ADVICE. YOU SHOULD CONSULT YOUR OWN TAX ADVISOR REGARDING THE PARTICULAR U.S. FEDERAL, STATE, LOCAL AND FOREIGN TAX CONSEQUENCES OF ACQUIRING, OWNING AND DISPOSING OF THE NOTES, INCLUDING THE CONSEQUENCES OF ANY PROPOSED CHANGE IN APPLICABLE LAWS.</w:t>
      </w:r>
    </w:p>
    <w:p>
      <w:pPr>
        <w:spacing w:after="0" w:line="35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150" w:lineRule="exact"/>
        <w:rPr>
          <w:sz w:val="20"/>
          <w:szCs w:val="20"/>
          <w:color w:val="auto"/>
        </w:rPr>
      </w:pPr>
    </w:p>
    <w:p>
      <w:pPr>
        <w:ind w:left="1180" w:right="739" w:firstLine="337"/>
        <w:spacing w:after="0" w:line="244" w:lineRule="auto"/>
        <w:rPr>
          <w:sz w:val="20"/>
          <w:szCs w:val="20"/>
          <w:color w:val="auto"/>
        </w:rPr>
      </w:pPr>
      <w:r>
        <w:rPr>
          <w:rFonts w:ascii="Times New Roman" w:cs="Times New Roman" w:eastAsia="Times New Roman" w:hAnsi="Times New Roman"/>
          <w:sz w:val="17"/>
          <w:szCs w:val="17"/>
          <w:color w:val="auto"/>
        </w:rPr>
        <w:t>Subject to the terms and conditions set forth in the underwriting agreement, dated the date of this prospectus supplement, between us and the underwriters named below, we have agreed to sell to each of the underwriters, for whom Citigroup Global Markets Inc., MUFG Securities Americas Inc., SMBC Nikko Securities America, Inc. and Truist Securities, Inc. are acting as representatives, and the underwriters have agreed, severally and not jointly, to purchase the principal amount of the Notes set forth opposite their respective names below:</w:t>
      </w:r>
    </w:p>
    <w:p>
      <w:pPr>
        <w:spacing w:after="0" w:line="126"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4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40" w:type="dxa"/>
            <w:vAlign w:val="bottom"/>
          </w:tcPr>
          <w:p>
            <w:pPr>
              <w:spacing w:after="0"/>
              <w:rPr>
                <w:sz w:val="13"/>
                <w:szCs w:val="13"/>
                <w:color w:val="auto"/>
              </w:rPr>
            </w:pPr>
          </w:p>
        </w:tc>
      </w:tr>
      <w:tr>
        <w:trPr>
          <w:trHeight w:val="152"/>
        </w:trPr>
        <w:tc>
          <w:tcPr>
            <w:tcW w:w="4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Amount of</w:t>
            </w:r>
          </w:p>
        </w:tc>
        <w:tc>
          <w:tcPr>
            <w:tcW w:w="40" w:type="dxa"/>
            <w:vAlign w:val="bottom"/>
          </w:tcPr>
          <w:p>
            <w:pPr>
              <w:spacing w:after="0"/>
              <w:rPr>
                <w:sz w:val="13"/>
                <w:szCs w:val="13"/>
                <w:color w:val="auto"/>
              </w:rPr>
            </w:pPr>
          </w:p>
        </w:tc>
      </w:tr>
      <w:tr>
        <w:trPr>
          <w:trHeight w:val="201"/>
        </w:trPr>
        <w:tc>
          <w:tcPr>
            <w:tcW w:w="4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Underwriter</w:t>
            </w:r>
          </w:p>
        </w:tc>
        <w:tc>
          <w:tcPr>
            <w:tcW w:w="1780" w:type="dxa"/>
            <w:vAlign w:val="bottom"/>
            <w:gridSpan w:val="2"/>
          </w:tcPr>
          <w:p>
            <w:pPr>
              <w:ind w:left="1580"/>
              <w:spacing w:after="0"/>
              <w:rPr>
                <w:sz w:val="20"/>
                <w:szCs w:val="20"/>
                <w:color w:val="auto"/>
              </w:rPr>
            </w:pPr>
            <w:r>
              <w:rPr>
                <w:rFonts w:ascii="Times New Roman" w:cs="Times New Roman" w:eastAsia="Times New Roman" w:hAnsi="Times New Roman"/>
                <w:sz w:val="13"/>
                <w:szCs w:val="13"/>
                <w:b w:val="1"/>
                <w:bCs w:val="1"/>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4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Citigroup Global Markets Inc.</w:t>
            </w:r>
          </w:p>
        </w:tc>
        <w:tc>
          <w:tcPr>
            <w:tcW w:w="15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​​$ 65,000,000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MUFG Securities Americas Inc.</w:t>
            </w:r>
          </w:p>
        </w:tc>
        <w:tc>
          <w:tcPr>
            <w:tcW w:w="15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​​$ 65,000,000​</w:t>
            </w:r>
          </w:p>
        </w:tc>
      </w:tr>
      <w:tr>
        <w:trPr>
          <w:trHeight w:val="24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SMBC Nikko Securities America, Inc.</w:t>
            </w:r>
          </w:p>
        </w:tc>
        <w:tc>
          <w:tcPr>
            <w:tcW w:w="15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​​$ 65,000,000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Truist Securities, Inc.</w:t>
            </w:r>
          </w:p>
        </w:tc>
        <w:tc>
          <w:tcPr>
            <w:tcW w:w="15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​​$ 65,000,000​</w:t>
            </w:r>
          </w:p>
        </w:tc>
      </w:tr>
      <w:tr>
        <w:trPr>
          <w:trHeight w:val="24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Barclays Capital Inc.</w:t>
            </w:r>
          </w:p>
        </w:tc>
        <w:tc>
          <w:tcPr>
            <w:tcW w:w="15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​​$ 25,072,000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BMO Capital Markets Corp.</w:t>
            </w:r>
          </w:p>
        </w:tc>
        <w:tc>
          <w:tcPr>
            <w:tcW w:w="15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​​$ 25,072,000​</w:t>
            </w:r>
          </w:p>
        </w:tc>
      </w:tr>
      <w:tr>
        <w:trPr>
          <w:trHeight w:val="24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BofA Securities, Inc.</w:t>
            </w:r>
          </w:p>
        </w:tc>
        <w:tc>
          <w:tcPr>
            <w:tcW w:w="15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​​$ 25,072,000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CIBC World Markets Corp.</w:t>
            </w:r>
          </w:p>
        </w:tc>
        <w:tc>
          <w:tcPr>
            <w:tcW w:w="15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​​$ 25,072,000​</w:t>
            </w:r>
          </w:p>
        </w:tc>
      </w:tr>
      <w:tr>
        <w:trPr>
          <w:trHeight w:val="24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ING Financial Markets LLC</w:t>
            </w:r>
          </w:p>
        </w:tc>
        <w:tc>
          <w:tcPr>
            <w:tcW w:w="15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​​$ 25,072,000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J.P. Morgan Securities LLC</w:t>
            </w:r>
          </w:p>
        </w:tc>
        <w:tc>
          <w:tcPr>
            <w:tcW w:w="15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​​$ 25,072,000​</w:t>
            </w:r>
          </w:p>
        </w:tc>
      </w:tr>
      <w:tr>
        <w:trPr>
          <w:trHeight w:val="25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Mizuho Securities USA LLC</w:t>
            </w:r>
          </w:p>
        </w:tc>
        <w:tc>
          <w:tcPr>
            <w:tcW w:w="15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​​$ 25,071,000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3"/>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PNC Capital Markets LLC</w:t>
            </w:r>
          </w:p>
        </w:tc>
        <w:tc>
          <w:tcPr>
            <w:tcW w:w="15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​​$ 25,071,000​</w:t>
            </w:r>
          </w:p>
        </w:tc>
      </w:tr>
      <w:tr>
        <w:trPr>
          <w:trHeight w:val="25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RBC Capital Markets, LLC</w:t>
            </w:r>
          </w:p>
        </w:tc>
        <w:tc>
          <w:tcPr>
            <w:tcW w:w="15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​​$ 25,071,000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3"/>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Regions Securities LLC</w:t>
            </w:r>
          </w:p>
        </w:tc>
        <w:tc>
          <w:tcPr>
            <w:tcW w:w="15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​​$ 25,071,000​</w:t>
            </w:r>
          </w:p>
        </w:tc>
      </w:tr>
      <w:tr>
        <w:trPr>
          <w:trHeight w:val="25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Scotia Capital (USA) Inc.</w:t>
            </w:r>
          </w:p>
        </w:tc>
        <w:tc>
          <w:tcPr>
            <w:tcW w:w="15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​​$ 25,071,000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3"/>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TD Securities (USA) LLC</w:t>
            </w:r>
          </w:p>
        </w:tc>
        <w:tc>
          <w:tcPr>
            <w:tcW w:w="15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​​$ 25,071,000​</w:t>
            </w:r>
          </w:p>
        </w:tc>
      </w:tr>
      <w:tr>
        <w:trPr>
          <w:trHeight w:val="25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 Bancorp Investments, Inc.</w:t>
            </w:r>
          </w:p>
        </w:tc>
        <w:tc>
          <w:tcPr>
            <w:tcW w:w="15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​​$ 25,071,000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3"/>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Wells Fargo Securities, LLC</w:t>
            </w:r>
          </w:p>
        </w:tc>
        <w:tc>
          <w:tcPr>
            <w:tcW w:w="15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​​$ 25,071,000​</w:t>
            </w:r>
          </w:p>
        </w:tc>
      </w:tr>
      <w:tr>
        <w:trPr>
          <w:trHeight w:val="25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BBVA Securities Inc.</w:t>
            </w:r>
          </w:p>
        </w:tc>
        <w:tc>
          <w:tcPr>
            <w:tcW w:w="15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​​$ 13,000,000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3"/>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Morgan Stanley &amp; Co. LLC</w:t>
            </w:r>
          </w:p>
        </w:tc>
        <w:tc>
          <w:tcPr>
            <w:tcW w:w="15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​​$ 13,000,000​</w:t>
            </w:r>
          </w:p>
        </w:tc>
      </w:tr>
      <w:tr>
        <w:trPr>
          <w:trHeight w:val="26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Zions Direct, Inc.</w:t>
            </w:r>
          </w:p>
        </w:tc>
        <w:tc>
          <w:tcPr>
            <w:tcW w:w="15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line="265"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$ 13,000,000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2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8"/>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tcPr>
          <w:p>
            <w:pPr>
              <w:spacing w:after="0"/>
              <w:rPr>
                <w:sz w:val="22"/>
                <w:szCs w:val="22"/>
                <w:color w:val="auto"/>
              </w:rPr>
            </w:pPr>
          </w:p>
        </w:tc>
        <w:tc>
          <w:tcPr>
            <w:tcW w:w="1180" w:type="dxa"/>
            <w:vAlign w:val="bottom"/>
            <w:gridSpan w:val="3"/>
          </w:tcPr>
          <w:p>
            <w:pPr>
              <w:jc w:val="right"/>
              <w:spacing w:after="0" w:line="245"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650,000,000</w:t>
            </w:r>
            <w:r>
              <w:rPr>
                <w:rFonts w:ascii="Times New Roman" w:cs="Times New Roman" w:eastAsia="Times New Roman" w:hAnsi="Times New Roman"/>
                <w:sz w:val="28"/>
                <w:szCs w:val="28"/>
                <w:color w:val="auto"/>
                <w:vertAlign w:val="subscript"/>
              </w:rPr>
              <w:t>​</w:t>
            </w:r>
          </w:p>
        </w:tc>
      </w:tr>
      <w:tr>
        <w:trPr>
          <w:trHeight w:val="20"/>
        </w:trPr>
        <w:tc>
          <w:tcPr>
            <w:tcW w:w="4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4682490</wp:posOffset>
            </wp:positionH>
            <wp:positionV relativeFrom="paragraph">
              <wp:posOffset>-3513455</wp:posOffset>
            </wp:positionV>
            <wp:extent cx="128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78" w:lineRule="exact"/>
        <w:rPr>
          <w:sz w:val="20"/>
          <w:szCs w:val="20"/>
          <w:color w:val="auto"/>
        </w:rPr>
      </w:pPr>
    </w:p>
    <w:p>
      <w:pPr>
        <w:ind w:left="1180" w:right="719" w:firstLine="337"/>
        <w:spacing w:after="0" w:line="243" w:lineRule="auto"/>
        <w:rPr>
          <w:sz w:val="20"/>
          <w:szCs w:val="20"/>
          <w:color w:val="auto"/>
        </w:rPr>
      </w:pPr>
      <w:r>
        <w:rPr>
          <w:rFonts w:ascii="Times New Roman" w:cs="Times New Roman" w:eastAsia="Times New Roman" w:hAnsi="Times New Roman"/>
          <w:sz w:val="17"/>
          <w:szCs w:val="17"/>
          <w:color w:val="auto"/>
        </w:rPr>
        <w:t>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w:t>
      </w:r>
    </w:p>
    <w:p>
      <w:pPr>
        <w:spacing w:after="0" w:line="1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Underwriting Discounts</w:t>
      </w:r>
    </w:p>
    <w:p>
      <w:pPr>
        <w:spacing w:after="0" w:line="150" w:lineRule="exact"/>
        <w:rPr>
          <w:sz w:val="20"/>
          <w:szCs w:val="20"/>
          <w:color w:val="auto"/>
        </w:rPr>
      </w:pPr>
    </w:p>
    <w:p>
      <w:pPr>
        <w:ind w:left="1180" w:right="699" w:firstLine="337"/>
        <w:spacing w:after="0" w:line="243" w:lineRule="auto"/>
        <w:rPr>
          <w:sz w:val="20"/>
          <w:szCs w:val="20"/>
          <w:color w:val="auto"/>
        </w:rPr>
      </w:pPr>
      <w:r>
        <w:rPr>
          <w:rFonts w:ascii="Times New Roman" w:cs="Times New Roman" w:eastAsia="Times New Roman" w:hAnsi="Times New Roman"/>
          <w:sz w:val="17"/>
          <w:szCs w:val="17"/>
          <w:color w:val="auto"/>
        </w:rPr>
        <w:t>The underwriters propose initially to offer the Notes to the public at the public offering price set forth on the cover page of this prospectus supplement and may offer the Notes to certain dealers at such price less a concession not in excess of 0.400% of the principal amount of the Notes. The underwriters may allow a discount not in excess of 0.250% of the principal amount of the Notes, on sales to certain other brokers and dealers. After this initial public offering, the public offering price, concession and discount may be changed.</w:t>
      </w:r>
    </w:p>
    <w:p>
      <w:pPr>
        <w:spacing w:after="0" w:line="35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The following table summarizes the compensation to be paid by us to the underwriters.</w:t>
      </w:r>
    </w:p>
    <w:p>
      <w:pPr>
        <w:spacing w:after="0" w:line="176"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33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Underwriting</w:t>
            </w:r>
          </w:p>
        </w:tc>
      </w:tr>
      <w:tr>
        <w:trPr>
          <w:trHeight w:val="201"/>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900" w:type="dxa"/>
            <w:vAlign w:val="bottom"/>
          </w:tcPr>
          <w:p>
            <w:pPr>
              <w:ind w:left="2700"/>
              <w:spacing w:after="0"/>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gridSpan w:val="2"/>
          </w:tcPr>
          <w:p>
            <w:pPr>
              <w:spacing w:after="0"/>
              <w:rPr>
                <w:sz w:val="17"/>
                <w:szCs w:val="17"/>
                <w:color w:val="auto"/>
              </w:rPr>
            </w:pPr>
          </w:p>
        </w:tc>
        <w:tc>
          <w:tcPr>
            <w:tcW w:w="780" w:type="dxa"/>
            <w:vAlign w:val="bottom"/>
            <w:gridSpan w:val="2"/>
          </w:tcPr>
          <w:p>
            <w:pPr>
              <w:spacing w:after="0" w:line="201" w:lineRule="exact"/>
              <w:rPr>
                <w:sz w:val="20"/>
                <w:szCs w:val="20"/>
                <w:color w:val="auto"/>
              </w:rPr>
            </w:pPr>
            <w:r>
              <w:rPr>
                <w:rFonts w:ascii="Times New Roman" w:cs="Times New Roman" w:eastAsia="Times New Roman" w:hAnsi="Times New Roman"/>
                <w:sz w:val="12"/>
                <w:szCs w:val="12"/>
                <w:b w:val="1"/>
                <w:bCs w:val="1"/>
                <w:color w:val="auto"/>
              </w:rPr>
              <w:t xml:space="preserve">Discount  </w:t>
            </w:r>
            <w:r>
              <w:rPr>
                <w:rFonts w:ascii="Times New Roman" w:cs="Times New Roman" w:eastAsia="Times New Roman" w:hAnsi="Times New Roman"/>
                <w:sz w:val="23"/>
                <w:szCs w:val="23"/>
                <w:b w:val="1"/>
                <w:bCs w:val="1"/>
                <w:color w:val="auto"/>
                <w:vertAlign w:val="subscript"/>
              </w:rPr>
              <w:t>​</w:t>
            </w:r>
          </w:p>
        </w:tc>
      </w:tr>
      <w:tr>
        <w:trPr>
          <w:trHeight w:val="20"/>
        </w:trPr>
        <w:tc>
          <w:tcPr>
            <w:tcW w:w="330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Note</w:t>
            </w:r>
          </w:p>
        </w:tc>
        <w:tc>
          <w:tcPr>
            <w:tcW w:w="3060" w:type="dxa"/>
            <w:vAlign w:val="bottom"/>
            <w:gridSpan w:val="3"/>
            <w:shd w:val="clear" w:color="auto" w:fill="CCEEFF"/>
          </w:tcPr>
          <w:p>
            <w:pPr>
              <w:ind w:left="2760"/>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0.650</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84"/>
              </w:rPr>
              <w:t>​%</w:t>
            </w:r>
          </w:p>
        </w:tc>
      </w:tr>
      <w:tr>
        <w:trPr>
          <w:trHeight w:val="253"/>
        </w:trPr>
        <w:tc>
          <w:tcPr>
            <w:tcW w:w="3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3840" w:type="dxa"/>
            <w:vAlign w:val="bottom"/>
            <w:gridSpan w:val="5"/>
          </w:tcPr>
          <w:p>
            <w:pPr>
              <w:ind w:left="2760"/>
              <w:spacing w:after="0" w:line="232"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4,225,000</w:t>
            </w:r>
            <w:r>
              <w:rPr>
                <w:rFonts w:ascii="Times New Roman" w:cs="Times New Roman" w:eastAsia="Times New Roman" w:hAnsi="Times New Roman"/>
                <w:sz w:val="26"/>
                <w:szCs w:val="26"/>
                <w:color w:val="auto"/>
                <w:vertAlign w:val="subscript"/>
              </w:rPr>
              <w:t>​</w:t>
            </w:r>
          </w:p>
        </w:tc>
      </w:tr>
      <w:tr>
        <w:trPr>
          <w:trHeight w:val="20"/>
        </w:trPr>
        <w:tc>
          <w:tcPr>
            <w:tcW w:w="3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-352425</wp:posOffset>
            </wp:positionV>
            <wp:extent cx="39395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939540" cy="8255"/>
                    </a:xfrm>
                    <a:prstGeom prst="rect">
                      <a:avLst/>
                    </a:prstGeom>
                    <a:noFill/>
                  </pic:spPr>
                </pic:pic>
              </a:graphicData>
            </a:graphic>
          </wp:anchor>
        </w:drawing>
      </w:r>
    </w:p>
    <w:p>
      <w:pPr>
        <w:spacing w:after="0" w:line="140" w:lineRule="exact"/>
        <w:rPr>
          <w:sz w:val="20"/>
          <w:szCs w:val="20"/>
          <w:color w:val="auto"/>
        </w:rPr>
      </w:pPr>
    </w:p>
    <w:p>
      <w:pPr>
        <w:jc w:val="both"/>
        <w:ind w:left="1180" w:right="899" w:firstLine="337"/>
        <w:spacing w:after="0" w:line="260" w:lineRule="auto"/>
        <w:rPr>
          <w:sz w:val="20"/>
          <w:szCs w:val="20"/>
          <w:color w:val="auto"/>
        </w:rPr>
      </w:pPr>
      <w:r>
        <w:rPr>
          <w:rFonts w:ascii="Times New Roman" w:cs="Times New Roman" w:eastAsia="Times New Roman" w:hAnsi="Times New Roman"/>
          <w:sz w:val="17"/>
          <w:szCs w:val="17"/>
          <w:color w:val="auto"/>
        </w:rPr>
        <w:t>We estimate that our share of the total expenses of the offering, excluding the underwriting discount, will be approximately $2.2 million.</w:t>
      </w:r>
    </w:p>
    <w:p>
      <w:pPr>
        <w:spacing w:after="0" w:line="12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New Issue of Notes</w:t>
      </w:r>
    </w:p>
    <w:p>
      <w:pPr>
        <w:spacing w:after="0" w:line="137" w:lineRule="exact"/>
        <w:rPr>
          <w:sz w:val="20"/>
          <w:szCs w:val="20"/>
          <w:color w:val="auto"/>
        </w:rPr>
      </w:pPr>
    </w:p>
    <w:p>
      <w:pPr>
        <w:ind w:left="1180" w:right="699" w:firstLine="337"/>
        <w:spacing w:after="0"/>
        <w:rPr>
          <w:sz w:val="20"/>
          <w:szCs w:val="20"/>
          <w:color w:val="auto"/>
        </w:rPr>
      </w:pPr>
      <w:r>
        <w:rPr>
          <w:rFonts w:ascii="Times New Roman" w:cs="Times New Roman" w:eastAsia="Times New Roman" w:hAnsi="Times New Roman"/>
          <w:sz w:val="17"/>
          <w:szCs w:val="17"/>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3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Stabilization, Short Positions and Penalty Bids</w:t>
      </w:r>
    </w:p>
    <w:p>
      <w:pPr>
        <w:spacing w:after="0" w:line="137" w:lineRule="exact"/>
        <w:rPr>
          <w:sz w:val="20"/>
          <w:szCs w:val="20"/>
          <w:color w:val="auto"/>
        </w:rPr>
      </w:pPr>
    </w:p>
    <w:p>
      <w:pPr>
        <w:ind w:left="1180" w:right="719" w:firstLine="337"/>
        <w:spacing w:after="0" w:line="243" w:lineRule="auto"/>
        <w:rPr>
          <w:sz w:val="20"/>
          <w:szCs w:val="20"/>
          <w:color w:val="auto"/>
        </w:rPr>
      </w:pPr>
      <w:r>
        <w:rPr>
          <w:rFonts w:ascii="Times New Roman" w:cs="Times New Roman" w:eastAsia="Times New Roman" w:hAnsi="Times New Roman"/>
          <w:sz w:val="17"/>
          <w:szCs w:val="17"/>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295" w:lineRule="exact"/>
        <w:rPr>
          <w:sz w:val="20"/>
          <w:szCs w:val="20"/>
          <w:color w:val="auto"/>
        </w:rPr>
      </w:pPr>
    </w:p>
    <w:p>
      <w:pPr>
        <w:ind w:left="1180" w:right="699" w:firstLine="337"/>
        <w:spacing w:after="0" w:line="248" w:lineRule="auto"/>
        <w:rPr>
          <w:sz w:val="20"/>
          <w:szCs w:val="20"/>
          <w:color w:val="auto"/>
        </w:rPr>
      </w:pPr>
      <w:r>
        <w:rPr>
          <w:rFonts w:ascii="Times New Roman" w:cs="Times New Roman" w:eastAsia="Times New Roman" w:hAnsi="Times New Roman"/>
          <w:sz w:val="17"/>
          <w:szCs w:val="17"/>
          <w:color w:val="auto"/>
        </w:rPr>
        <w:t>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w:t>
      </w:r>
    </w:p>
    <w:p>
      <w:pPr>
        <w:spacing w:after="0" w:line="304" w:lineRule="exact"/>
        <w:rPr>
          <w:sz w:val="20"/>
          <w:szCs w:val="20"/>
          <w:color w:val="auto"/>
        </w:rPr>
      </w:pPr>
    </w:p>
    <w:p>
      <w:pPr>
        <w:ind w:left="1180" w:right="779" w:firstLine="337"/>
        <w:spacing w:after="0"/>
        <w:rPr>
          <w:sz w:val="20"/>
          <w:szCs w:val="20"/>
          <w:color w:val="auto"/>
        </w:rPr>
      </w:pPr>
      <w:r>
        <w:rPr>
          <w:rFonts w:ascii="Times New Roman" w:cs="Times New Roman" w:eastAsia="Times New Roman" w:hAnsi="Times New Roman"/>
          <w:sz w:val="17"/>
          <w:szCs w:val="17"/>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Settlement</w:t>
      </w:r>
    </w:p>
    <w:p>
      <w:pPr>
        <w:spacing w:after="0" w:line="137" w:lineRule="exact"/>
        <w:rPr>
          <w:sz w:val="20"/>
          <w:szCs w:val="20"/>
          <w:color w:val="auto"/>
        </w:rPr>
      </w:pPr>
    </w:p>
    <w:p>
      <w:pPr>
        <w:ind w:left="1180" w:right="699" w:firstLine="337"/>
        <w:spacing w:after="0" w:line="242" w:lineRule="auto"/>
        <w:rPr>
          <w:sz w:val="20"/>
          <w:szCs w:val="20"/>
          <w:color w:val="auto"/>
        </w:rPr>
      </w:pPr>
      <w:r>
        <w:rPr>
          <w:rFonts w:ascii="Times New Roman" w:cs="Times New Roman" w:eastAsia="Times New Roman" w:hAnsi="Times New Roman"/>
          <w:sz w:val="17"/>
          <w:szCs w:val="17"/>
          <w:color w:val="auto"/>
        </w:rPr>
        <w:t>We expect delivery of the Notes will be made against payment therefor on or about June 27, 2024, which is the seventh business day following the date of pricing of the Notes (such settlement being referred to as “T+7”). Under Rule 15c6-1 of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T+7, to specify an alternate settlement cycle at the time of any such trade to prevent failed settlement and should consult their own advisors.</w:t>
      </w:r>
    </w:p>
    <w:p>
      <w:pPr>
        <w:spacing w:after="0" w:line="1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1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the United Kingdom</w:t>
      </w:r>
    </w:p>
    <w:p>
      <w:pPr>
        <w:spacing w:after="0" w:line="12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w:t>
      </w:r>
    </w:p>
    <w:p>
      <w:pPr>
        <w:spacing w:after="0" w:line="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offered, sold or otherwise made available to any retail investor in the United Kingdom (“UK”). For these</w:t>
      </w: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purposes, a retail investor means a person who is one (or more) of: (i) a retail client, as defined in point</w:t>
      </w:r>
    </w:p>
    <w:p>
      <w:pPr>
        <w:spacing w:after="0" w:line="23" w:lineRule="exact"/>
        <w:rPr>
          <w:sz w:val="20"/>
          <w:szCs w:val="20"/>
          <w:color w:val="auto"/>
        </w:rPr>
      </w:pPr>
    </w:p>
    <w:p>
      <w:pPr>
        <w:ind w:left="1180" w:right="739" w:firstLine="3"/>
        <w:spacing w:after="0"/>
        <w:tabs>
          <w:tab w:leader="none" w:pos="143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Article 2 of Regulation (EU) No 2017/565 as it forms part of domestic law by virtue of the European Union (Withdrawal) Act 2018 (as amended,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2017/1129/EU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from the requirement to publish a prospectus. This prospectus supplement and the accompanying prospectus are not prospectuses for the purposes of the UK Prospectus Regulation or the FSMA.</w:t>
      </w:r>
    </w:p>
    <w:p>
      <w:pPr>
        <w:spacing w:after="0" w:line="287" w:lineRule="exact"/>
        <w:rPr>
          <w:sz w:val="20"/>
          <w:szCs w:val="20"/>
          <w:color w:val="auto"/>
        </w:rPr>
      </w:pPr>
    </w:p>
    <w:p>
      <w:pPr>
        <w:ind w:left="1180" w:right="699" w:firstLine="337"/>
        <w:spacing w:after="0" w:line="239" w:lineRule="auto"/>
        <w:rPr>
          <w:sz w:val="20"/>
          <w:szCs w:val="20"/>
          <w:color w:val="auto"/>
        </w:rPr>
      </w:pPr>
      <w:r>
        <w:rPr>
          <w:rFonts w:ascii="Times New Roman" w:cs="Times New Roman" w:eastAsia="Times New Roman" w:hAnsi="Times New Roman"/>
          <w:sz w:val="17"/>
          <w:szCs w:val="17"/>
          <w:color w:val="auto"/>
        </w:rPr>
        <w:t>In the UK, this prospectus supplement and the accompanying prospectus are being distributed only to, and are directed only at, and any offer subsequently made may only be directed at persons (i) who are “qualified investors” ​(as defined in the UK Prospectus Regulation), (ii) who have professional experience in matters relating to investments falling within Article 19 (5) of the Financial Services and Markets Act 2000 (Financial Promotion) Order 2005, as amended (the “Order”) and/or (iii)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Notes in the UK within the meaning of the FSMA.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w:t>
      </w:r>
    </w:p>
    <w:p>
      <w:pPr>
        <w:spacing w:after="0" w:line="1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the Member States of the European Economic Area</w:t>
      </w:r>
    </w:p>
    <w:p>
      <w:pPr>
        <w:spacing w:after="0" w:line="1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w:t>
      </w:r>
    </w:p>
    <w:p>
      <w:pPr>
        <w:spacing w:after="0" w:line="12" w:lineRule="exact"/>
        <w:rPr>
          <w:sz w:val="20"/>
          <w:szCs w:val="20"/>
          <w:color w:val="auto"/>
        </w:rPr>
      </w:pPr>
    </w:p>
    <w:p>
      <w:pPr>
        <w:ind w:left="1180" w:right="779"/>
        <w:spacing w:after="0" w:line="239" w:lineRule="auto"/>
        <w:rPr>
          <w:sz w:val="20"/>
          <w:szCs w:val="20"/>
          <w:color w:val="auto"/>
        </w:rPr>
      </w:pPr>
      <w:r>
        <w:rPr>
          <w:rFonts w:ascii="Times New Roman" w:cs="Times New Roman" w:eastAsia="Times New Roman" w:hAnsi="Times New Roman"/>
          <w:sz w:val="17"/>
          <w:szCs w:val="17"/>
          <w:color w:val="auto"/>
        </w:rPr>
        <w:t>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Hong Kong</w:t>
      </w:r>
    </w:p>
    <w:p>
      <w:pPr>
        <w:spacing w:after="0" w:line="150" w:lineRule="exact"/>
        <w:rPr>
          <w:sz w:val="20"/>
          <w:szCs w:val="20"/>
          <w:color w:val="auto"/>
        </w:rPr>
      </w:pPr>
    </w:p>
    <w:p>
      <w:pPr>
        <w:ind w:left="1180" w:right="719" w:firstLine="337"/>
        <w:spacing w:after="0" w:line="241" w:lineRule="auto"/>
        <w:rPr>
          <w:sz w:val="20"/>
          <w:szCs w:val="20"/>
          <w:color w:val="auto"/>
        </w:rPr>
      </w:pPr>
      <w:r>
        <w:rPr>
          <w:rFonts w:ascii="Times New Roman" w:cs="Times New Roman" w:eastAsia="Times New Roman" w:hAnsi="Times New Roman"/>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w:t>
      </w:r>
    </w:p>
    <w:p>
      <w:pPr>
        <w:spacing w:after="0" w:line="35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699"/>
        <w:spacing w:after="0" w:line="253" w:lineRule="auto"/>
        <w:rPr>
          <w:sz w:val="20"/>
          <w:szCs w:val="20"/>
          <w:color w:val="auto"/>
        </w:rPr>
      </w:pPr>
      <w:r>
        <w:rPr>
          <w:rFonts w:ascii="Times New Roman" w:cs="Times New Roman" w:eastAsia="Times New Roman" w:hAnsi="Times New Roman"/>
          <w:sz w:val="17"/>
          <w:szCs w:val="17"/>
          <w:color w:val="auto"/>
        </w:rPr>
        <w:t>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Japan</w:t>
      </w:r>
    </w:p>
    <w:p>
      <w:pPr>
        <w:spacing w:after="0" w:line="150" w:lineRule="exact"/>
        <w:rPr>
          <w:sz w:val="20"/>
          <w:szCs w:val="20"/>
          <w:color w:val="auto"/>
        </w:rPr>
      </w:pPr>
    </w:p>
    <w:p>
      <w:pPr>
        <w:ind w:left="1180" w:right="739" w:firstLine="337"/>
        <w:spacing w:after="0" w:line="252" w:lineRule="auto"/>
        <w:rPr>
          <w:sz w:val="20"/>
          <w:szCs w:val="20"/>
          <w:color w:val="auto"/>
        </w:rPr>
      </w:pPr>
      <w:r>
        <w:rPr>
          <w:rFonts w:ascii="Times New Roman" w:cs="Times New Roman" w:eastAsia="Times New Roman" w:hAnsi="Times New Roman"/>
          <w:sz w:val="17"/>
          <w:szCs w:val="17"/>
          <w:color w:val="auto"/>
        </w:rPr>
        <w:t>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in compliance with, the Financial Instruments and Exchange Law and any other applicable requirements of Japanese law.</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Singapore</w:t>
      </w:r>
    </w:p>
    <w:p>
      <w:pPr>
        <w:spacing w:after="0" w:line="150" w:lineRule="exact"/>
        <w:rPr>
          <w:sz w:val="20"/>
          <w:szCs w:val="20"/>
          <w:color w:val="auto"/>
        </w:rPr>
      </w:pPr>
    </w:p>
    <w:p>
      <w:pPr>
        <w:ind w:left="1180" w:right="699" w:firstLine="337"/>
        <w:spacing w:after="0" w:line="251" w:lineRule="auto"/>
        <w:rPr>
          <w:sz w:val="20"/>
          <w:szCs w:val="20"/>
          <w:color w:val="auto"/>
        </w:rPr>
      </w:pPr>
      <w:r>
        <w:rPr>
          <w:rFonts w:ascii="Times New Roman" w:cs="Times New Roman" w:eastAsia="Times New Roman" w:hAnsi="Times New Roman"/>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3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Where the Notes are subscribed or purchased under Section 275 of the SFA by a relevant person which</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is:</w:t>
      </w:r>
    </w:p>
    <w:p>
      <w:pPr>
        <w:spacing w:after="0" w:line="105" w:lineRule="exact"/>
        <w:rPr>
          <w:sz w:val="20"/>
          <w:szCs w:val="20"/>
          <w:color w:val="auto"/>
        </w:rPr>
      </w:pPr>
    </w:p>
    <w:p>
      <w:pPr>
        <w:jc w:val="both"/>
        <w:ind w:left="1680" w:right="999" w:hanging="160"/>
        <w:spacing w:after="0" w:line="262" w:lineRule="auto"/>
        <w:tabs>
          <w:tab w:leader="none" w:pos="1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0" w:lineRule="exact"/>
        <w:rPr>
          <w:rFonts w:ascii="Times New Roman" w:cs="Times New Roman" w:eastAsia="Times New Roman" w:hAnsi="Times New Roman"/>
          <w:sz w:val="17"/>
          <w:szCs w:val="17"/>
          <w:color w:val="auto"/>
        </w:rPr>
      </w:pPr>
    </w:p>
    <w:p>
      <w:pPr>
        <w:ind w:left="1680" w:right="699" w:hanging="160"/>
        <w:spacing w:after="0" w:line="257" w:lineRule="auto"/>
        <w:tabs>
          <w:tab w:leader="none" w:pos="1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(where the trustee is not an accredited investor) whose sole purpose is to hold investments and each beneficiary of the trust is an individual who is an accredited investor, shares, debentures</w:t>
      </w:r>
    </w:p>
    <w:p>
      <w:pPr>
        <w:spacing w:after="0" w:line="1" w:lineRule="exact"/>
        <w:rPr>
          <w:rFonts w:ascii="Times New Roman" w:cs="Times New Roman" w:eastAsia="Times New Roman" w:hAnsi="Times New Roman"/>
          <w:sz w:val="17"/>
          <w:szCs w:val="17"/>
          <w:color w:val="auto"/>
        </w:rPr>
      </w:pPr>
    </w:p>
    <w:p>
      <w:pPr>
        <w:ind w:left="1680" w:right="67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8" w:lineRule="exact"/>
        <w:rPr>
          <w:rFonts w:ascii="Times New Roman" w:cs="Times New Roman" w:eastAsia="Times New Roman" w:hAnsi="Times New Roman"/>
          <w:sz w:val="17"/>
          <w:szCs w:val="17"/>
          <w:color w:val="auto"/>
        </w:rPr>
      </w:pPr>
    </w:p>
    <w:p>
      <w:pPr>
        <w:ind w:left="1680" w:right="899" w:hanging="160"/>
        <w:spacing w:after="0" w:line="262" w:lineRule="auto"/>
        <w:tabs>
          <w:tab w:leader="none" w:pos="1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(for corporations, under Section 274 of the SFA) or to a relevant person defined in Section 275(2) of the SFA, or to any person pursuant to Section 275(1A), and in accordance with the conditions specified in Section 275 of the SFA;</w:t>
      </w:r>
    </w:p>
    <w:p>
      <w:pPr>
        <w:spacing w:after="0" w:line="80"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no consideration is or will be given for the transfer; or</w:t>
      </w:r>
    </w:p>
    <w:p>
      <w:pPr>
        <w:spacing w:after="0" w:line="133"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transfer is by operation of law.</w:t>
      </w:r>
    </w:p>
    <w:p>
      <w:pPr>
        <w:spacing w:after="0" w:line="133" w:lineRule="exact"/>
        <w:rPr>
          <w:sz w:val="20"/>
          <w:szCs w:val="20"/>
          <w:color w:val="auto"/>
        </w:rPr>
      </w:pPr>
    </w:p>
    <w:p>
      <w:pPr>
        <w:ind w:left="1180" w:right="819" w:firstLine="337"/>
        <w:spacing w:after="0" w:line="253" w:lineRule="auto"/>
        <w:rPr>
          <w:sz w:val="20"/>
          <w:szCs w:val="20"/>
          <w:color w:val="auto"/>
        </w:rPr>
      </w:pPr>
      <w:r>
        <w:rPr>
          <w:rFonts w:ascii="Times New Roman" w:cs="Times New Roman" w:eastAsia="Times New Roman" w:hAnsi="Times New Roman"/>
          <w:sz w:val="17"/>
          <w:szCs w:val="17"/>
          <w:color w:val="auto"/>
        </w:rPr>
        <w:t>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35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Switzerland</w:t>
      </w:r>
    </w:p>
    <w:p>
      <w:pPr>
        <w:spacing w:after="0" w:line="150" w:lineRule="exact"/>
        <w:rPr>
          <w:sz w:val="20"/>
          <w:szCs w:val="20"/>
          <w:color w:val="auto"/>
        </w:rPr>
      </w:pPr>
    </w:p>
    <w:p>
      <w:pPr>
        <w:ind w:left="1180" w:right="679" w:firstLine="337"/>
        <w:spacing w:after="0" w:line="251" w:lineRule="auto"/>
        <w:rPr>
          <w:sz w:val="20"/>
          <w:szCs w:val="20"/>
          <w:color w:val="auto"/>
        </w:rPr>
      </w:pPr>
      <w:r>
        <w:rPr>
          <w:rFonts w:ascii="Times New Roman" w:cs="Times New Roman" w:eastAsia="Times New Roman" w:hAnsi="Times New Roman"/>
          <w:sz w:val="17"/>
          <w:szCs w:val="17"/>
          <w:color w:val="auto"/>
        </w:rPr>
        <w:t>This prospectus supplement and the accompanying base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w:t>
      </w: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the Dubai International Financial Centre</w:t>
      </w:r>
    </w:p>
    <w:p>
      <w:pPr>
        <w:spacing w:after="0" w:line="150" w:lineRule="exact"/>
        <w:rPr>
          <w:sz w:val="20"/>
          <w:szCs w:val="20"/>
          <w:color w:val="auto"/>
        </w:rPr>
      </w:pPr>
    </w:p>
    <w:p>
      <w:pPr>
        <w:ind w:left="1180" w:right="719" w:firstLine="337"/>
        <w:spacing w:after="0" w:line="251" w:lineRule="auto"/>
        <w:rPr>
          <w:sz w:val="20"/>
          <w:szCs w:val="20"/>
          <w:color w:val="auto"/>
        </w:rPr>
      </w:pPr>
      <w:r>
        <w:rPr>
          <w:rFonts w:ascii="Times New Roman" w:cs="Times New Roman" w:eastAsia="Times New Roman" w:hAnsi="Times New Roman"/>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38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Taiwan</w:t>
      </w:r>
    </w:p>
    <w:p>
      <w:pPr>
        <w:spacing w:after="0" w:line="137" w:lineRule="exact"/>
        <w:rPr>
          <w:sz w:val="20"/>
          <w:szCs w:val="20"/>
          <w:color w:val="auto"/>
        </w:rPr>
      </w:pPr>
    </w:p>
    <w:p>
      <w:pPr>
        <w:ind w:left="1180" w:right="799" w:firstLine="337"/>
        <w:spacing w:after="0" w:line="252" w:lineRule="auto"/>
        <w:rPr>
          <w:sz w:val="20"/>
          <w:szCs w:val="20"/>
          <w:color w:val="auto"/>
        </w:rPr>
      </w:pPr>
      <w:r>
        <w:rPr>
          <w:rFonts w:ascii="Times New Roman" w:cs="Times New Roman" w:eastAsia="Times New Roman" w:hAnsi="Times New Roman"/>
          <w:sz w:val="17"/>
          <w:szCs w:val="17"/>
          <w:color w:val="auto"/>
        </w:rPr>
        <w:t>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the United Arab Emirates</w:t>
      </w:r>
    </w:p>
    <w:p>
      <w:pPr>
        <w:spacing w:after="0" w:line="150" w:lineRule="exact"/>
        <w:rPr>
          <w:sz w:val="20"/>
          <w:szCs w:val="20"/>
          <w:color w:val="auto"/>
        </w:rPr>
      </w:pPr>
    </w:p>
    <w:p>
      <w:pPr>
        <w:ind w:left="1180" w:right="759" w:firstLine="337"/>
        <w:spacing w:after="0" w:line="251" w:lineRule="auto"/>
        <w:rPr>
          <w:sz w:val="20"/>
          <w:szCs w:val="20"/>
          <w:color w:val="auto"/>
        </w:rPr>
      </w:pPr>
      <w:r>
        <w:rPr>
          <w:rFonts w:ascii="Times New Roman" w:cs="Times New Roman" w:eastAsia="Times New Roman" w:hAnsi="Times New Roman"/>
          <w:sz w:val="17"/>
          <w:szCs w:val="17"/>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is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South Korea</w:t>
      </w:r>
    </w:p>
    <w:p>
      <w:pPr>
        <w:spacing w:after="0" w:line="150" w:lineRule="exact"/>
        <w:rPr>
          <w:sz w:val="20"/>
          <w:szCs w:val="20"/>
          <w:color w:val="auto"/>
        </w:rPr>
      </w:pPr>
    </w:p>
    <w:p>
      <w:pPr>
        <w:ind w:left="1180" w:right="719" w:firstLine="337"/>
        <w:spacing w:after="0" w:line="252" w:lineRule="auto"/>
        <w:rPr>
          <w:sz w:val="20"/>
          <w:szCs w:val="20"/>
          <w:color w:val="auto"/>
        </w:rPr>
      </w:pPr>
      <w:r>
        <w:rPr>
          <w:rFonts w:ascii="Times New Roman" w:cs="Times New Roman" w:eastAsia="Times New Roman" w:hAnsi="Times New Roman"/>
          <w:sz w:val="17"/>
          <w:szCs w:val="17"/>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w:t>
      </w: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1379"/>
        <w:spacing w:after="0" w:line="275" w:lineRule="auto"/>
        <w:rPr>
          <w:sz w:val="20"/>
          <w:szCs w:val="20"/>
          <w:color w:val="auto"/>
        </w:rPr>
      </w:pPr>
      <w:r>
        <w:rPr>
          <w:rFonts w:ascii="Times New Roman" w:cs="Times New Roman" w:eastAsia="Times New Roman" w:hAnsi="Times New Roman"/>
          <w:sz w:val="17"/>
          <w:szCs w:val="17"/>
          <w:color w:val="auto"/>
        </w:rPr>
        <w:t>limited to government approval requirements under the Foreign Exchange Transaction Law and its subordinate decrees and regulations) in connection with their purchase.</w:t>
      </w:r>
    </w:p>
    <w:p>
      <w:pPr>
        <w:spacing w:after="0" w:line="14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the Abu Dhabi Global Market</w:t>
      </w:r>
    </w:p>
    <w:p>
      <w:pPr>
        <w:spacing w:after="0" w:line="150" w:lineRule="exact"/>
        <w:rPr>
          <w:sz w:val="20"/>
          <w:szCs w:val="20"/>
          <w:color w:val="auto"/>
        </w:rPr>
      </w:pPr>
    </w:p>
    <w:p>
      <w:pPr>
        <w:ind w:left="1180" w:right="699" w:firstLine="337"/>
        <w:spacing w:after="0" w:line="239" w:lineRule="auto"/>
        <w:rPr>
          <w:sz w:val="20"/>
          <w:szCs w:val="20"/>
          <w:color w:val="auto"/>
        </w:rPr>
      </w:pPr>
      <w:r>
        <w:rPr>
          <w:rFonts w:ascii="Times New Roman" w:cs="Times New Roman" w:eastAsia="Times New Roman" w:hAnsi="Times New Roman"/>
          <w:sz w:val="17"/>
          <w:szCs w:val="17"/>
          <w:color w:val="auto"/>
        </w:rPr>
        <w:t>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18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Australia</w:t>
      </w:r>
    </w:p>
    <w:p>
      <w:pPr>
        <w:spacing w:after="0" w:line="137" w:lineRule="exact"/>
        <w:rPr>
          <w:sz w:val="20"/>
          <w:szCs w:val="20"/>
          <w:color w:val="auto"/>
        </w:rPr>
      </w:pPr>
    </w:p>
    <w:p>
      <w:pPr>
        <w:ind w:left="1180" w:right="679" w:firstLine="337"/>
        <w:spacing w:after="0" w:line="244" w:lineRule="auto"/>
        <w:rPr>
          <w:sz w:val="20"/>
          <w:szCs w:val="20"/>
          <w:color w:val="auto"/>
        </w:rPr>
      </w:pPr>
      <w:r>
        <w:rPr>
          <w:rFonts w:ascii="Times New Roman" w:cs="Times New Roman" w:eastAsia="Times New Roman" w:hAnsi="Times New Roman"/>
          <w:sz w:val="17"/>
          <w:szCs w:val="17"/>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Any offer in Australia of the Notes may only be made to persons (the “Exempt Investors”) who are</w:t>
      </w:r>
    </w:p>
    <w:p>
      <w:pPr>
        <w:spacing w:after="0" w:line="12" w:lineRule="exact"/>
        <w:rPr>
          <w:sz w:val="20"/>
          <w:szCs w:val="20"/>
          <w:color w:val="auto"/>
        </w:rPr>
      </w:pPr>
    </w:p>
    <w:p>
      <w:pPr>
        <w:ind w:left="1180" w:right="879"/>
        <w:spacing w:after="0" w:line="239" w:lineRule="auto"/>
        <w:rPr>
          <w:sz w:val="20"/>
          <w:szCs w:val="20"/>
          <w:color w:val="auto"/>
        </w:rPr>
      </w:pPr>
      <w:r>
        <w:rPr>
          <w:rFonts w:ascii="Times New Roman" w:cs="Times New Roman" w:eastAsia="Times New Roman" w:hAnsi="Times New Roman"/>
          <w:sz w:val="17"/>
          <w:szCs w:val="17"/>
          <w:color w:val="auto"/>
        </w:rPr>
        <w:t>“sophisticated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13" w:lineRule="exact"/>
        <w:rPr>
          <w:sz w:val="20"/>
          <w:szCs w:val="20"/>
          <w:color w:val="auto"/>
        </w:rPr>
      </w:pPr>
    </w:p>
    <w:p>
      <w:pPr>
        <w:ind w:left="1180" w:right="719" w:firstLine="337"/>
        <w:spacing w:after="0"/>
        <w:rPr>
          <w:sz w:val="20"/>
          <w:szCs w:val="20"/>
          <w:color w:val="auto"/>
        </w:rPr>
      </w:pPr>
      <w:r>
        <w:rPr>
          <w:rFonts w:ascii="Times New Roman" w:cs="Times New Roman" w:eastAsia="Times New Roman" w:hAnsi="Times New Roman"/>
          <w:sz w:val="17"/>
          <w:szCs w:val="17"/>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3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137" w:lineRule="exact"/>
        <w:rPr>
          <w:sz w:val="20"/>
          <w:szCs w:val="20"/>
          <w:color w:val="auto"/>
        </w:rPr>
      </w:pPr>
    </w:p>
    <w:p>
      <w:pPr>
        <w:ind w:left="1180" w:right="679" w:firstLine="337"/>
        <w:spacing w:after="0" w:line="242" w:lineRule="auto"/>
        <w:rPr>
          <w:sz w:val="20"/>
          <w:szCs w:val="20"/>
          <w:color w:val="auto"/>
        </w:rPr>
      </w:pPr>
      <w:r>
        <w:rPr>
          <w:rFonts w:ascii="Times New Roman" w:cs="Times New Roman" w:eastAsia="Times New Roman" w:hAnsi="Times New Roman"/>
          <w:sz w:val="17"/>
          <w:szCs w:val="17"/>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Certain of the underwriters or their affiliates are lenders under our credit facilities and may be holders of our senior notes. U.S. Bancorp Investments, Inc., one of the underwriters, is an affiliate of the trustee. Accordingly, such underwriters or affiliates may receive a portion of the net proceeds from this offering used to repay our 2024 senior notes.</w:t>
      </w:r>
    </w:p>
    <w:p>
      <w:pPr>
        <w:spacing w:after="0" w:line="111" w:lineRule="exact"/>
        <w:rPr>
          <w:sz w:val="20"/>
          <w:szCs w:val="20"/>
          <w:color w:val="auto"/>
        </w:rPr>
      </w:pPr>
    </w:p>
    <w:p>
      <w:pPr>
        <w:ind w:left="1180" w:right="699" w:firstLine="337"/>
        <w:spacing w:after="0" w:line="254" w:lineRule="auto"/>
        <w:rPr>
          <w:sz w:val="20"/>
          <w:szCs w:val="20"/>
          <w:color w:val="auto"/>
        </w:rPr>
      </w:pPr>
      <w:r>
        <w:rPr>
          <w:rFonts w:ascii="Times New Roman" w:cs="Times New Roman" w:eastAsia="Times New Roman" w:hAnsi="Times New Roman"/>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w:t>
      </w:r>
    </w:p>
    <w:p>
      <w:pPr>
        <w:spacing w:after="0" w:line="34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679"/>
        <w:spacing w:after="0" w:line="251" w:lineRule="auto"/>
        <w:rPr>
          <w:sz w:val="20"/>
          <w:szCs w:val="20"/>
          <w:color w:val="auto"/>
        </w:rPr>
      </w:pPr>
      <w:r>
        <w:rPr>
          <w:rFonts w:ascii="Times New Roman" w:cs="Times New Roman" w:eastAsia="Times New Roman" w:hAnsi="Times New Roman"/>
          <w:sz w:val="17"/>
          <w:szCs w:val="17"/>
          <w:color w:val="auto"/>
        </w:rPr>
        <w:t>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Conflicts of Interest</w:t>
      </w:r>
    </w:p>
    <w:p>
      <w:pPr>
        <w:spacing w:after="0" w:line="150" w:lineRule="exact"/>
        <w:rPr>
          <w:sz w:val="20"/>
          <w:szCs w:val="20"/>
          <w:color w:val="auto"/>
        </w:rPr>
      </w:pPr>
    </w:p>
    <w:p>
      <w:pPr>
        <w:ind w:left="1180" w:right="719" w:firstLine="337"/>
        <w:spacing w:after="0" w:line="251" w:lineRule="auto"/>
        <w:rPr>
          <w:sz w:val="20"/>
          <w:szCs w:val="20"/>
          <w:color w:val="auto"/>
        </w:rPr>
      </w:pPr>
      <w:r>
        <w:rPr>
          <w:rFonts w:ascii="Times New Roman" w:cs="Times New Roman" w:eastAsia="Times New Roman" w:hAnsi="Times New Roman"/>
          <w:sz w:val="17"/>
          <w:szCs w:val="17"/>
          <w:color w:val="auto"/>
        </w:rPr>
        <w:t>Certain of the underwriters or their affiliates may hold our 2024 senior notes. Because certain of the underwriters and/or their affiliates are expected to receive at least 5% of the net offering proceeds of this offering, such underwriters and/or their affiliates could be deemed to have a “conflict of interest” under Rule 5121. See “Use of Proceeds.”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Such underwriters and/or their affiliates will not confirm sales of the Notes offered hereby to any account over which it exercises discretionary authority without the prior written approval of the customer. Such underwriters and/or their affiliates will retain documentation of such approval in its records.</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50" w:lineRule="exact"/>
        <w:rPr>
          <w:sz w:val="20"/>
          <w:szCs w:val="20"/>
          <w:color w:val="auto"/>
        </w:rPr>
      </w:pPr>
    </w:p>
    <w:p>
      <w:pPr>
        <w:ind w:left="1180" w:right="799" w:firstLine="337"/>
        <w:spacing w:after="0" w:line="262" w:lineRule="auto"/>
        <w:rPr>
          <w:sz w:val="20"/>
          <w:szCs w:val="20"/>
          <w:color w:val="auto"/>
        </w:rPr>
      </w:pPr>
      <w:r>
        <w:rPr>
          <w:rFonts w:ascii="Times New Roman" w:cs="Times New Roman" w:eastAsia="Times New Roman" w:hAnsi="Times New Roman"/>
          <w:sz w:val="17"/>
          <w:szCs w:val="17"/>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50" w:lineRule="exact"/>
        <w:rPr>
          <w:sz w:val="20"/>
          <w:szCs w:val="20"/>
          <w:color w:val="auto"/>
        </w:rPr>
      </w:pPr>
    </w:p>
    <w:p>
      <w:pPr>
        <w:ind w:left="1180" w:right="839" w:firstLine="337"/>
        <w:spacing w:after="0" w:line="275" w:lineRule="auto"/>
        <w:rPr>
          <w:sz w:val="20"/>
          <w:szCs w:val="20"/>
          <w:color w:val="auto"/>
        </w:rPr>
      </w:pPr>
      <w:r>
        <w:rPr>
          <w:rFonts w:ascii="Times New Roman" w:cs="Times New Roman" w:eastAsia="Times New Roman" w:hAnsi="Times New Roman"/>
          <w:sz w:val="17"/>
          <w:szCs w:val="17"/>
          <w:color w:val="auto"/>
        </w:rPr>
        <w:t>Certain legal matters in connection with the Notes being offered hereby will be passed upon for us by Vinson &amp; Elkins L.L.P., Houston, Texas and for the underwriters by Baker Botts L.L.P., Houston, Texas.</w:t>
      </w:r>
    </w:p>
    <w:p>
      <w:pPr>
        <w:spacing w:after="0" w:line="15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50" w:lineRule="exact"/>
        <w:rPr>
          <w:sz w:val="20"/>
          <w:szCs w:val="20"/>
          <w:color w:val="auto"/>
        </w:rPr>
      </w:pPr>
    </w:p>
    <w:p>
      <w:pPr>
        <w:ind w:left="1180" w:right="899" w:firstLine="337"/>
        <w:spacing w:after="0" w:line="253"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financial statements and management’s assessment of the effectiveness of internal control over financial reporting (which is included in Management’s Report on Internal Control over Financial </w:t>
      </w:r>
      <w:hyperlink r:id="rId25">
        <w:r>
          <w:rPr>
            <w:rFonts w:ascii="Times New Roman" w:cs="Times New Roman" w:eastAsia="Times New Roman" w:hAnsi="Times New Roman"/>
            <w:sz w:val="17"/>
            <w:szCs w:val="17"/>
            <w:color w:val="auto"/>
          </w:rPr>
          <w:t xml:space="preserve">Reporting) incorporated in this prospectus by reference to the </w:t>
        </w:r>
        <w:r>
          <w:rPr>
            <w:rFonts w:ascii="Times New Roman" w:cs="Times New Roman" w:eastAsia="Times New Roman" w:hAnsi="Times New Roman"/>
            <w:sz w:val="17"/>
            <w:szCs w:val="17"/>
            <w:u w:val="single" w:color="auto"/>
            <w:color w:val="0000EE"/>
          </w:rPr>
          <w:t>Annual Report on Form 10-K for the year</w:t>
        </w:r>
      </w:hyperlink>
      <w:r>
        <w:rPr>
          <w:rFonts w:ascii="Times New Roman" w:cs="Times New Roman" w:eastAsia="Times New Roman" w:hAnsi="Times New Roman"/>
          <w:sz w:val="17"/>
          <w:szCs w:val="17"/>
          <w:color w:val="auto"/>
        </w:rPr>
        <w:t xml:space="preserve"> </w:t>
      </w:r>
      <w:hyperlink r:id="rId25">
        <w:r>
          <w:rPr>
            <w:rFonts w:ascii="Times New Roman" w:cs="Times New Roman" w:eastAsia="Times New Roman" w:hAnsi="Times New Roman"/>
            <w:sz w:val="17"/>
            <w:szCs w:val="17"/>
            <w:u w:val="single" w:color="auto"/>
            <w:color w:val="0000EE"/>
          </w:rPr>
          <w:t>ended December 31, 2023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have been so incorporated in reliance on the report of PricewaterhouseCoopers</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LLP, an independent registered public accounting firm, given on the authority of said firm as experts in auditing and accounting.</w:t>
      </w:r>
    </w:p>
    <w:p>
      <w:pPr>
        <w:spacing w:after="0" w:line="17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37" w:lineRule="exact"/>
        <w:rPr>
          <w:sz w:val="20"/>
          <w:szCs w:val="20"/>
          <w:color w:val="auto"/>
        </w:rPr>
      </w:pPr>
    </w:p>
    <w:p>
      <w:pPr>
        <w:ind w:left="1180" w:right="799" w:firstLine="337"/>
        <w:spacing w:after="0" w:line="251" w:lineRule="auto"/>
        <w:rPr>
          <w:sz w:val="20"/>
          <w:szCs w:val="20"/>
          <w:color w:val="auto"/>
        </w:rPr>
      </w:pPr>
      <w:r>
        <w:rPr>
          <w:rFonts w:ascii="Times New Roman" w:cs="Times New Roman" w:eastAsia="Times New Roman" w:hAnsi="Times New Roman"/>
          <w:sz w:val="17"/>
          <w:szCs w:val="17"/>
          <w:color w:val="auto"/>
        </w:rPr>
        <w:t>We are “incorporating by reference” into this prospectus supplement information we file with the U.S.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w:t>
      </w:r>
    </w:p>
    <w:p>
      <w:pPr>
        <w:jc w:val="center"/>
        <w:ind w:right="-100"/>
        <w:spacing w:after="0"/>
        <w:rPr>
          <w:sz w:val="20"/>
          <w:szCs w:val="20"/>
          <w:color w:val="auto"/>
        </w:rPr>
      </w:pPr>
      <w:r>
        <w:rPr>
          <w:rFonts w:ascii="Times New Roman" w:cs="Times New Roman" w:eastAsia="Times New Roman" w:hAnsi="Times New Roman"/>
          <w:sz w:val="17"/>
          <w:szCs w:val="17"/>
          <w:color w:val="auto"/>
        </w:rPr>
        <w:t>8-K) until the offering and sale of the Notes contemplated by this prospectus supplement are complete:</w:t>
      </w:r>
    </w:p>
    <w:p>
      <w:pPr>
        <w:spacing w:after="0" w:line="92" w:lineRule="exact"/>
        <w:rPr>
          <w:sz w:val="20"/>
          <w:szCs w:val="20"/>
          <w:color w:val="auto"/>
        </w:rPr>
      </w:pPr>
    </w:p>
    <w:p>
      <w:pPr>
        <w:ind w:left="1680" w:right="939" w:hanging="160"/>
        <w:spacing w:after="0" w:line="275" w:lineRule="auto"/>
        <w:tabs>
          <w:tab w:leader="none" w:pos="1680" w:val="left"/>
        </w:tabs>
        <w:numPr>
          <w:ilvl w:val="0"/>
          <w:numId w:val="32"/>
        </w:numPr>
        <w:rPr>
          <w:rFonts w:ascii="Times New Roman" w:cs="Times New Roman" w:eastAsia="Times New Roman" w:hAnsi="Times New Roman"/>
          <w:sz w:val="17"/>
          <w:szCs w:val="17"/>
          <w:color w:val="000000"/>
        </w:rPr>
      </w:pPr>
      <w:hyperlink r:id="rId25">
        <w:r>
          <w:rPr>
            <w:rFonts w:ascii="Times New Roman" w:cs="Times New Roman" w:eastAsia="Times New Roman" w:hAnsi="Times New Roman"/>
            <w:sz w:val="17"/>
            <w:szCs w:val="17"/>
            <w:u w:val="single" w:color="auto"/>
            <w:color w:val="0000EE"/>
          </w:rPr>
          <w:t>Annual Report on Form 10-K for the fiscal year ended December 31, 2023</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including information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specifically incorporated by reference from our </w:t>
      </w:r>
      <w:hyperlink r:id="rId80">
        <w:r>
          <w:rPr>
            <w:rFonts w:ascii="Times New Roman" w:cs="Times New Roman" w:eastAsia="Times New Roman" w:hAnsi="Times New Roman"/>
            <w:sz w:val="17"/>
            <w:szCs w:val="17"/>
            <w:u w:val="single" w:color="auto"/>
            <w:color w:val="0000EE"/>
          </w:rPr>
          <w:t>Proxy Statement for our 2024 Annual Meeting</w:t>
        </w:r>
      </w:hyperlink>
      <w:r>
        <w:rPr>
          <w:rFonts w:ascii="Times New Roman" w:cs="Times New Roman" w:eastAsia="Times New Roman" w:hAnsi="Times New Roman"/>
          <w:sz w:val="17"/>
          <w:szCs w:val="17"/>
          <w:color w:val="000000"/>
        </w:rPr>
        <w:t>;</w:t>
      </w:r>
    </w:p>
    <w:p>
      <w:pPr>
        <w:spacing w:after="0" w:line="57" w:lineRule="exact"/>
        <w:rPr>
          <w:rFonts w:ascii="Times New Roman" w:cs="Times New Roman" w:eastAsia="Times New Roman" w:hAnsi="Times New Roman"/>
          <w:sz w:val="17"/>
          <w:szCs w:val="17"/>
          <w:color w:val="000000"/>
        </w:rPr>
      </w:pPr>
    </w:p>
    <w:p>
      <w:pPr>
        <w:ind w:left="1680" w:hanging="160"/>
        <w:spacing w:after="0"/>
        <w:tabs>
          <w:tab w:leader="none" w:pos="1680" w:val="left"/>
        </w:tabs>
        <w:numPr>
          <w:ilvl w:val="0"/>
          <w:numId w:val="32"/>
        </w:numPr>
        <w:rPr>
          <w:rFonts w:ascii="Times New Roman" w:cs="Times New Roman" w:eastAsia="Times New Roman" w:hAnsi="Times New Roman"/>
          <w:sz w:val="17"/>
          <w:szCs w:val="17"/>
          <w:u w:val="single" w:color="auto"/>
          <w:color w:val="0000EE"/>
        </w:rPr>
      </w:pPr>
      <w:hyperlink r:id="rId28">
        <w:r>
          <w:rPr>
            <w:rFonts w:ascii="Times New Roman" w:cs="Times New Roman" w:eastAsia="Times New Roman" w:hAnsi="Times New Roman"/>
            <w:sz w:val="17"/>
            <w:szCs w:val="17"/>
            <w:u w:val="single" w:color="auto"/>
            <w:color w:val="0000EE"/>
          </w:rPr>
          <w:t>Quarterly Report on Form 10-Q for the quarterly period ended March 31, 2024; and</w:t>
        </w:r>
      </w:hyperlink>
    </w:p>
    <w:p>
      <w:pPr>
        <w:spacing w:after="0" w:line="107" w:lineRule="exact"/>
        <w:rPr>
          <w:rFonts w:ascii="Times New Roman" w:cs="Times New Roman" w:eastAsia="Times New Roman" w:hAnsi="Times New Roman"/>
          <w:sz w:val="17"/>
          <w:szCs w:val="17"/>
          <w:u w:val="single" w:color="auto"/>
          <w:color w:val="0000EE"/>
        </w:rPr>
      </w:pPr>
    </w:p>
    <w:p>
      <w:pPr>
        <w:ind w:left="1680" w:hanging="160"/>
        <w:spacing w:after="0"/>
        <w:tabs>
          <w:tab w:leader="none" w:pos="1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Current Report on Form 8-K filed with the SEC on </w:t>
      </w:r>
      <w:hyperlink r:id="rId81">
        <w:r>
          <w:rPr>
            <w:rFonts w:ascii="Times New Roman" w:cs="Times New Roman" w:eastAsia="Times New Roman" w:hAnsi="Times New Roman"/>
            <w:sz w:val="17"/>
            <w:szCs w:val="17"/>
            <w:u w:val="single" w:color="auto"/>
            <w:color w:val="0000EE"/>
          </w:rPr>
          <w:t>May 28, 2024</w:t>
        </w:r>
      </w:hyperlink>
      <w:r>
        <w:rPr>
          <w:rFonts w:ascii="Times New Roman" w:cs="Times New Roman" w:eastAsia="Times New Roman" w:hAnsi="Times New Roman"/>
          <w:sz w:val="17"/>
          <w:szCs w:val="17"/>
          <w:color w:val="auto"/>
        </w:rPr>
        <w:t>.</w:t>
      </w:r>
    </w:p>
    <w:p>
      <w:pPr>
        <w:spacing w:after="0" w:line="146" w:lineRule="exact"/>
        <w:rPr>
          <w:rFonts w:ascii="Times New Roman" w:cs="Times New Roman" w:eastAsia="Times New Roman" w:hAnsi="Times New Roman"/>
          <w:sz w:val="17"/>
          <w:szCs w:val="17"/>
          <w:color w:val="auto"/>
        </w:rPr>
      </w:pPr>
    </w:p>
    <w:p>
      <w:pPr>
        <w:jc w:val="both"/>
        <w:ind w:left="1180" w:right="999" w:firstLine="337"/>
        <w:spacing w:after="0" w:line="262" w:lineRule="auto"/>
        <w:rPr>
          <w:sz w:val="20"/>
          <w:szCs w:val="20"/>
          <w:color w:val="auto"/>
        </w:rPr>
      </w:pPr>
      <w:r>
        <w:rPr>
          <w:rFonts w:ascii="Times New Roman" w:cs="Times New Roman" w:eastAsia="Times New Roman" w:hAnsi="Times New Roman"/>
          <w:sz w:val="17"/>
          <w:szCs w:val="17"/>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05" w:lineRule="exact"/>
        <w:rPr>
          <w:rFonts w:ascii="Times New Roman" w:cs="Times New Roman" w:eastAsia="Times New Roman" w:hAnsi="Times New Roman"/>
          <w:sz w:val="17"/>
          <w:szCs w:val="17"/>
          <w:color w:val="auto"/>
        </w:rPr>
      </w:pPr>
    </w:p>
    <w:p>
      <w:pPr>
        <w:ind w:left="3780"/>
        <w:spacing w:after="0"/>
        <w:rPr>
          <w:sz w:val="20"/>
          <w:szCs w:val="20"/>
          <w:color w:val="auto"/>
        </w:rPr>
      </w:pPr>
      <w:r>
        <w:rPr>
          <w:rFonts w:ascii="Times New Roman" w:cs="Times New Roman" w:eastAsia="Times New Roman" w:hAnsi="Times New Roman"/>
          <w:sz w:val="17"/>
          <w:szCs w:val="17"/>
          <w:color w:val="auto"/>
        </w:rPr>
        <w:t>Plains All American Pipeline, L.P.</w:t>
      </w:r>
    </w:p>
    <w:p>
      <w:pPr>
        <w:spacing w:after="0" w:line="23" w:lineRule="exact"/>
        <w:rPr>
          <w:rFonts w:ascii="Times New Roman" w:cs="Times New Roman" w:eastAsia="Times New Roman" w:hAnsi="Times New Roman"/>
          <w:sz w:val="17"/>
          <w:szCs w:val="17"/>
          <w:color w:val="auto"/>
        </w:rPr>
      </w:pPr>
    </w:p>
    <w:p>
      <w:pPr>
        <w:ind w:left="4020"/>
        <w:spacing w:after="0"/>
        <w:rPr>
          <w:sz w:val="20"/>
          <w:szCs w:val="20"/>
          <w:color w:val="auto"/>
        </w:rPr>
      </w:pPr>
      <w:r>
        <w:rPr>
          <w:rFonts w:ascii="Times New Roman" w:cs="Times New Roman" w:eastAsia="Times New Roman" w:hAnsi="Times New Roman"/>
          <w:sz w:val="17"/>
          <w:szCs w:val="17"/>
          <w:color w:val="auto"/>
        </w:rPr>
        <w:t>333 Clay Street, Suite 1600</w:t>
      </w:r>
    </w:p>
    <w:p>
      <w:pPr>
        <w:spacing w:after="0" w:line="7" w:lineRule="exact"/>
        <w:rPr>
          <w:rFonts w:ascii="Times New Roman" w:cs="Times New Roman" w:eastAsia="Times New Roman" w:hAnsi="Times New Roman"/>
          <w:sz w:val="17"/>
          <w:szCs w:val="17"/>
          <w:color w:val="auto"/>
        </w:rPr>
      </w:pPr>
    </w:p>
    <w:p>
      <w:pPr>
        <w:ind w:left="4220"/>
        <w:spacing w:after="0"/>
        <w:rPr>
          <w:sz w:val="20"/>
          <w:szCs w:val="20"/>
          <w:color w:val="auto"/>
        </w:rPr>
      </w:pPr>
      <w:r>
        <w:rPr>
          <w:rFonts w:ascii="Times New Roman" w:cs="Times New Roman" w:eastAsia="Times New Roman" w:hAnsi="Times New Roman"/>
          <w:sz w:val="17"/>
          <w:szCs w:val="17"/>
          <w:color w:val="auto"/>
        </w:rPr>
        <w:t>Houston, Texas 77002</w:t>
      </w:r>
    </w:p>
    <w:p>
      <w:pPr>
        <w:spacing w:after="0" w:line="7" w:lineRule="exact"/>
        <w:rPr>
          <w:rFonts w:ascii="Times New Roman" w:cs="Times New Roman" w:eastAsia="Times New Roman" w:hAnsi="Times New Roman"/>
          <w:sz w:val="17"/>
          <w:szCs w:val="17"/>
          <w:color w:val="auto"/>
        </w:rPr>
      </w:pPr>
    </w:p>
    <w:p>
      <w:pPr>
        <w:ind w:left="3920"/>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7" w:lineRule="exact"/>
        <w:rPr>
          <w:rFonts w:ascii="Times New Roman" w:cs="Times New Roman" w:eastAsia="Times New Roman" w:hAnsi="Times New Roman"/>
          <w:sz w:val="17"/>
          <w:szCs w:val="17"/>
          <w:color w:val="auto"/>
        </w:rPr>
      </w:pPr>
    </w:p>
    <w:p>
      <w:pPr>
        <w:ind w:left="4060"/>
        <w:spacing w:after="0"/>
        <w:rPr>
          <w:sz w:val="20"/>
          <w:szCs w:val="20"/>
          <w:color w:val="auto"/>
        </w:rPr>
      </w:pPr>
      <w:r>
        <w:rPr>
          <w:rFonts w:ascii="Times New Roman" w:cs="Times New Roman" w:eastAsia="Times New Roman" w:hAnsi="Times New Roman"/>
          <w:sz w:val="17"/>
          <w:szCs w:val="17"/>
          <w:color w:val="auto"/>
        </w:rPr>
        <w:t>Telephone: (713) 646-4100</w:t>
      </w:r>
    </w:p>
    <w:p>
      <w:pPr>
        <w:spacing w:after="0" w:line="117" w:lineRule="exact"/>
        <w:rPr>
          <w:rFonts w:ascii="Times New Roman" w:cs="Times New Roman" w:eastAsia="Times New Roman" w:hAnsi="Times New Roman"/>
          <w:sz w:val="17"/>
          <w:szCs w:val="17"/>
          <w:color w:val="auto"/>
        </w:rPr>
      </w:pPr>
    </w:p>
    <w:p>
      <w:pPr>
        <w:ind w:left="1180" w:right="1239" w:firstLine="337"/>
        <w:spacing w:after="0" w:line="275" w:lineRule="auto"/>
        <w:rPr>
          <w:sz w:val="20"/>
          <w:szCs w:val="20"/>
          <w:color w:val="auto"/>
        </w:rPr>
      </w:pPr>
      <w:r>
        <w:rPr>
          <w:rFonts w:ascii="Times New Roman" w:cs="Times New Roman" w:eastAsia="Times New Roman" w:hAnsi="Times New Roman"/>
          <w:sz w:val="17"/>
          <w:szCs w:val="17"/>
          <w:color w:val="auto"/>
        </w:rPr>
        <w:t xml:space="preserve">The SEC maintains a website that contains reports, proxy and information statements, and other information regarding us. The SEC’s website address is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5" w:lineRule="exact"/>
        <w:rPr>
          <w:rFonts w:ascii="Times New Roman" w:cs="Times New Roman" w:eastAsia="Times New Roman" w:hAnsi="Times New Roman"/>
          <w:sz w:val="17"/>
          <w:szCs w:val="17"/>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S-36</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6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18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30"/>
          <w:szCs w:val="30"/>
          <w:b w:val="1"/>
          <w:bCs w:val="1"/>
          <w:color w:val="auto"/>
        </w:rPr>
        <w:t>PLAINS ALL AMERICAN PIPELINE, L.P.</w:t>
      </w:r>
    </w:p>
    <w:p>
      <w:pPr>
        <w:spacing w:after="0" w:line="2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30"/>
          <w:szCs w:val="30"/>
          <w:b w:val="1"/>
          <w:bCs w:val="1"/>
          <w:color w:val="auto"/>
        </w:rPr>
        <w:t>PAA FINANCE CORP.</w:t>
      </w:r>
    </w:p>
    <w:p>
      <w:pPr>
        <w:spacing w:after="0" w:line="17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4"/>
          <w:szCs w:val="24"/>
          <w:b w:val="1"/>
          <w:bCs w:val="1"/>
          <w:color w:val="auto"/>
        </w:rPr>
        <w:t>Common Units</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4"/>
          <w:szCs w:val="24"/>
          <w:b w:val="1"/>
          <w:bCs w:val="1"/>
          <w:color w:val="auto"/>
        </w:rPr>
        <w:t>Preferred Units</w:t>
      </w:r>
    </w:p>
    <w:p>
      <w:pPr>
        <w:spacing w:after="0" w:line="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107" w:lineRule="exact"/>
        <w:rPr>
          <w:sz w:val="20"/>
          <w:szCs w:val="20"/>
          <w:color w:val="auto"/>
        </w:rPr>
      </w:pPr>
    </w:p>
    <w:p>
      <w:pPr>
        <w:ind w:left="1180" w:right="679" w:firstLine="337"/>
        <w:spacing w:after="0" w:line="255" w:lineRule="auto"/>
        <w:rPr>
          <w:sz w:val="20"/>
          <w:szCs w:val="20"/>
          <w:color w:val="auto"/>
        </w:rPr>
      </w:pPr>
      <w:r>
        <w:rPr>
          <w:rFonts w:ascii="Times New Roman" w:cs="Times New Roman" w:eastAsia="Times New Roman" w:hAnsi="Times New Roman"/>
          <w:sz w:val="17"/>
          <w:szCs w:val="17"/>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99" w:lineRule="exact"/>
        <w:rPr>
          <w:sz w:val="20"/>
          <w:szCs w:val="20"/>
          <w:color w:val="auto"/>
        </w:rPr>
      </w:pPr>
    </w:p>
    <w:p>
      <w:pPr>
        <w:ind w:left="1180" w:right="819" w:firstLine="337"/>
        <w:spacing w:after="0" w:line="253" w:lineRule="auto"/>
        <w:rPr>
          <w:sz w:val="20"/>
          <w:szCs w:val="20"/>
          <w:color w:val="auto"/>
        </w:rPr>
      </w:pPr>
      <w:r>
        <w:rPr>
          <w:rFonts w:ascii="Times New Roman" w:cs="Times New Roman" w:eastAsia="Times New Roman" w:hAnsi="Times New Roman"/>
          <w:sz w:val="17"/>
          <w:szCs w:val="17"/>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314" w:lineRule="exact"/>
        <w:rPr>
          <w:sz w:val="20"/>
          <w:szCs w:val="20"/>
          <w:color w:val="auto"/>
        </w:rPr>
      </w:pPr>
    </w:p>
    <w:p>
      <w:pPr>
        <w:ind w:left="1180" w:right="719" w:firstLine="337"/>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Investing in our common units, preferred units and debt securities involves risks. Limited partnerships are inherently different from corporations. You should carefully consider the risk factors described under “Risk Factors” beginning on page </w:t>
      </w:r>
      <w:r>
        <w:rPr>
          <w:rFonts w:ascii="Times New Roman" w:cs="Times New Roman" w:eastAsia="Times New Roman" w:hAnsi="Times New Roman"/>
          <w:sz w:val="16"/>
          <w:szCs w:val="16"/>
          <w:b w:val="1"/>
          <w:bCs w:val="1"/>
          <w:u w:val="single" w:color="auto"/>
          <w:color w:val="0000EE"/>
        </w:rPr>
        <w:t>3</w:t>
      </w:r>
      <w:r>
        <w:rPr>
          <w:rFonts w:ascii="Times New Roman" w:cs="Times New Roman" w:eastAsia="Times New Roman" w:hAnsi="Times New Roman"/>
          <w:sz w:val="16"/>
          <w:szCs w:val="16"/>
          <w:b w:val="1"/>
          <w:bCs w:val="1"/>
          <w:color w:val="auto"/>
        </w:rPr>
        <w:t xml:space="preserve"> of this prospectus before you make an investment in our securities.</w:t>
      </w:r>
    </w:p>
    <w:p>
      <w:pPr>
        <w:spacing w:after="0" w:line="87" w:lineRule="exact"/>
        <w:rPr>
          <w:sz w:val="20"/>
          <w:szCs w:val="20"/>
          <w:color w:val="auto"/>
        </w:rPr>
      </w:pPr>
    </w:p>
    <w:p>
      <w:pPr>
        <w:jc w:val="both"/>
        <w:ind w:left="1180" w:right="899" w:firstLine="337"/>
        <w:spacing w:after="0" w:line="262" w:lineRule="auto"/>
        <w:rPr>
          <w:sz w:val="20"/>
          <w:szCs w:val="20"/>
          <w:color w:val="auto"/>
        </w:rPr>
      </w:pPr>
      <w:r>
        <w:rPr>
          <w:rFonts w:ascii="Times New Roman" w:cs="Times New Roman" w:eastAsia="Times New Roman" w:hAnsi="Times New Roman"/>
          <w:sz w:val="17"/>
          <w:szCs w:val="17"/>
          <w:color w:val="auto"/>
        </w:rPr>
        <w:t>Our common units are traded on the Nasdaq Global Select Market under the symbol “PAA.” We will provide information in the prospectus supplement for the trading market, if any, for any preferred units or debt securities we may offer.</w:t>
      </w:r>
    </w:p>
    <w:p>
      <w:pPr>
        <w:spacing w:after="0" w:line="89" w:lineRule="exact"/>
        <w:rPr>
          <w:sz w:val="20"/>
          <w:szCs w:val="20"/>
          <w:color w:val="auto"/>
        </w:rPr>
      </w:pPr>
    </w:p>
    <w:p>
      <w:pPr>
        <w:ind w:left="1180" w:right="819" w:firstLine="337"/>
        <w:spacing w:after="0" w:line="264"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6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The date of this prospectus is 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2908935</wp:posOffset>
            </wp:positionV>
            <wp:extent cx="639635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118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2"/>
        </w:trPr>
        <w:tc>
          <w:tcPr>
            <w:tcW w:w="6040" w:type="dxa"/>
            <w:vAlign w:val="bottom"/>
            <w:gridSpan w:val="15"/>
            <w:shd w:val="clear" w:color="auto" w:fill="CCEEFF"/>
          </w:tcPr>
          <w:p>
            <w:pPr>
              <w:spacing w:after="0" w:line="13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About This Prospectus</w:t>
            </w:r>
          </w:p>
        </w:tc>
        <w:tc>
          <w:tcPr>
            <w:tcW w:w="1540" w:type="dxa"/>
            <w:vAlign w:val="bottom"/>
            <w:gridSpan w:val="2"/>
            <w:shd w:val="clear" w:color="auto" w:fill="CCEEFF"/>
          </w:tcPr>
          <w:p>
            <w:pPr>
              <w:jc w:val="right"/>
              <w:ind w:right="6"/>
              <w:spacing w:after="0" w:line="132"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5"/>
                <w:szCs w:val="15"/>
                <w:u w:val="single" w:color="auto"/>
                <w:color w:val="0000EE"/>
              </w:rPr>
              <w:t>i</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040" w:type="dxa"/>
            <w:vAlign w:val="bottom"/>
            <w:gridSpan w:val="15"/>
          </w:tcPr>
          <w:p>
            <w:pPr>
              <w:spacing w:after="0" w:line="189"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15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4"/>
              </w:rPr>
              <w:t>ii</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00" w:type="dxa"/>
            <w:vAlign w:val="bottom"/>
            <w:gridSpan w:val="11"/>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Forward-Looking Statements</w:t>
            </w:r>
          </w:p>
        </w:tc>
        <w:tc>
          <w:tcPr>
            <w:tcW w:w="148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98"/>
              </w:rPr>
              <w:t>iii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60" w:type="dxa"/>
            <w:vAlign w:val="bottom"/>
            <w:tcBorders>
              <w:bottom w:val="single" w:sz="8" w:color="CCEEFF"/>
            </w:tcBorders>
            <w:gridSpan w:val="8"/>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4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2580" w:type="dxa"/>
            <w:vAlign w:val="bottom"/>
            <w:tcBorders>
              <w:bottom w:val="single" w:sz="8" w:color="CCEEFF"/>
            </w:tcBorders>
            <w:shd w:val="clear" w:color="auto" w:fill="CCEEFF"/>
          </w:tcPr>
          <w:p>
            <w:pPr>
              <w:spacing w:after="0"/>
              <w:rPr>
                <w:sz w:val="2"/>
                <w:szCs w:val="2"/>
                <w:color w:val="auto"/>
              </w:rPr>
            </w:pPr>
          </w:p>
        </w:tc>
        <w:tc>
          <w:tcPr>
            <w:tcW w:w="1540" w:type="dxa"/>
            <w:vAlign w:val="bottom"/>
            <w:tcBorders>
              <w:bottom w:val="single" w:sz="8" w:color="CCEEFF"/>
            </w:tcBorders>
            <w:gridSpan w:val="2"/>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2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60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About Plains All American Pipeline, L.P.</w:t>
            </w:r>
          </w:p>
        </w:tc>
        <w:tc>
          <w:tcPr>
            <w:tcW w:w="15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w w:val="93"/>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920" w:type="dxa"/>
            <w:vAlign w:val="bottom"/>
            <w:gridSpan w:val="12"/>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154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93"/>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880" w:type="dxa"/>
            <w:vAlign w:val="bottom"/>
            <w:tcBorders>
              <w:bottom w:val="single" w:sz="8" w:color="CCEEFF"/>
            </w:tcBorders>
            <w:gridSpan w:val="2"/>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7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20" w:type="dxa"/>
            <w:vAlign w:val="bottom"/>
            <w:tcBorders>
              <w:bottom w:val="single" w:sz="8" w:color="CCEEFF"/>
            </w:tcBorders>
            <w:gridSpan w:val="3"/>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2580" w:type="dxa"/>
            <w:vAlign w:val="bottom"/>
            <w:tcBorders>
              <w:bottom w:val="single" w:sz="8" w:color="CCEEFF"/>
            </w:tcBorders>
            <w:shd w:val="clear" w:color="auto" w:fill="CCEEFF"/>
          </w:tcPr>
          <w:p>
            <w:pPr>
              <w:spacing w:after="0"/>
              <w:rPr>
                <w:sz w:val="2"/>
                <w:szCs w:val="2"/>
                <w:color w:val="auto"/>
              </w:rPr>
            </w:pPr>
          </w:p>
        </w:tc>
        <w:tc>
          <w:tcPr>
            <w:tcW w:w="15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60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15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w w:val="93"/>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40" w:type="dxa"/>
            <w:vAlign w:val="bottom"/>
            <w:gridSpan w:val="4"/>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2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Our Debt Securities</w:t>
            </w:r>
          </w:p>
        </w:tc>
        <w:tc>
          <w:tcPr>
            <w:tcW w:w="154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93"/>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480" w:type="dxa"/>
            <w:vAlign w:val="bottom"/>
            <w:tcBorders>
              <w:bottom w:val="single" w:sz="8" w:color="CCEEFF"/>
            </w:tcBorders>
            <w:gridSpan w:val="10"/>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520" w:type="dxa"/>
            <w:vAlign w:val="bottom"/>
            <w:tcBorders>
              <w:bottom w:val="single" w:sz="8" w:color="CCEEFF"/>
            </w:tcBorders>
            <w:gridSpan w:val="3"/>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2580" w:type="dxa"/>
            <w:vAlign w:val="bottom"/>
            <w:tcBorders>
              <w:bottom w:val="single" w:sz="8" w:color="CCEEFF"/>
            </w:tcBorders>
            <w:shd w:val="clear" w:color="auto" w:fill="CCEEFF"/>
          </w:tcPr>
          <w:p>
            <w:pPr>
              <w:spacing w:after="0"/>
              <w:rPr>
                <w:sz w:val="2"/>
                <w:szCs w:val="2"/>
                <w:color w:val="auto"/>
              </w:rPr>
            </w:pPr>
          </w:p>
        </w:tc>
        <w:tc>
          <w:tcPr>
            <w:tcW w:w="15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60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Description of Our Preferred Units</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rPr>
              <w:t>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80" w:type="dxa"/>
            <w:vAlign w:val="bottom"/>
            <w:gridSpan w:val="10"/>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5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tcPr>
          <w:p>
            <w:pPr>
              <w:ind w:left="132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Our Common Units</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460" w:type="dxa"/>
            <w:vAlign w:val="bottom"/>
            <w:tcBorders>
              <w:bottom w:val="single" w:sz="8" w:color="CCEEFF"/>
            </w:tcBorders>
            <w:gridSpan w:val="9"/>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540" w:type="dxa"/>
            <w:vAlign w:val="bottom"/>
            <w:tcBorders>
              <w:bottom w:val="single" w:sz="8" w:color="CCEEFF"/>
            </w:tcBorders>
            <w:gridSpan w:val="4"/>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2580" w:type="dxa"/>
            <w:vAlign w:val="bottom"/>
            <w:tcBorders>
              <w:bottom w:val="single" w:sz="8" w:color="CCEEFF"/>
            </w:tcBorders>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60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Cash Distribution Policy</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740" w:type="dxa"/>
            <w:vAlign w:val="bottom"/>
            <w:gridSpan w:val="7"/>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1260" w:type="dxa"/>
            <w:vAlign w:val="bottom"/>
            <w:gridSpan w:val="6"/>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tcPr>
          <w:p>
            <w:pPr>
              <w:ind w:left="132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Our Partnership Agreement</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000" w:type="dxa"/>
            <w:vAlign w:val="bottom"/>
            <w:tcBorders>
              <w:bottom w:val="single" w:sz="8" w:color="CCEEFF"/>
            </w:tcBorders>
            <w:gridSpan w:val="13"/>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460" w:type="dxa"/>
            <w:vAlign w:val="bottom"/>
            <w:tcBorders>
              <w:bottom w:val="single" w:sz="8" w:color="CCEEFF"/>
            </w:tcBorders>
            <w:shd w:val="clear" w:color="auto" w:fill="CCEEFF"/>
          </w:tcPr>
          <w:p>
            <w:pPr>
              <w:spacing w:after="0"/>
              <w:rPr>
                <w:sz w:val="2"/>
                <w:szCs w:val="2"/>
                <w:color w:val="auto"/>
              </w:rPr>
            </w:pPr>
          </w:p>
        </w:tc>
        <w:tc>
          <w:tcPr>
            <w:tcW w:w="2580" w:type="dxa"/>
            <w:vAlign w:val="bottom"/>
            <w:tcBorders>
              <w:bottom w:val="single" w:sz="8" w:color="CCEEFF"/>
            </w:tcBorders>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60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Material U.S. Federal Income Tax Consequences</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rPr>
              <w:t>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460" w:type="dxa"/>
            <w:vAlign w:val="bottom"/>
            <w:gridSpan w:val="14"/>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2580" w:type="dxa"/>
            <w:vAlign w:val="bottom"/>
          </w:tcPr>
          <w:p>
            <w:pPr>
              <w:spacing w:after="0"/>
              <w:rPr>
                <w:sz w:val="2"/>
                <w:szCs w:val="2"/>
                <w:color w:val="auto"/>
              </w:rPr>
            </w:pPr>
          </w:p>
        </w:tc>
        <w:tc>
          <w:tcPr>
            <w:tcW w:w="1480" w:type="dxa"/>
            <w:vAlign w:val="bottom"/>
          </w:tcPr>
          <w:p>
            <w:pPr>
              <w:ind w:left="132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Plan of Distribution</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400" w:type="dxa"/>
            <w:vAlign w:val="bottom"/>
            <w:tcBorders>
              <w:bottom w:val="single" w:sz="8" w:color="CCEEFF"/>
            </w:tcBorders>
            <w:gridSpan w:val="5"/>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4640" w:type="dxa"/>
            <w:vAlign w:val="bottom"/>
            <w:tcBorders>
              <w:bottom w:val="single" w:sz="8" w:color="CCEEFF"/>
            </w:tcBorders>
            <w:gridSpan w:val="10"/>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2"/>
        </w:trPr>
        <w:tc>
          <w:tcPr>
            <w:tcW w:w="60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980" w:type="dxa"/>
            <w:vAlign w:val="bottom"/>
            <w:gridSpan w:val="3"/>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5060" w:type="dxa"/>
            <w:vAlign w:val="bottom"/>
            <w:gridSpan w:val="12"/>
          </w:tcPr>
          <w:p>
            <w:pPr>
              <w:spacing w:after="0"/>
              <w:rPr>
                <w:sz w:val="2"/>
                <w:szCs w:val="2"/>
                <w:color w:val="auto"/>
              </w:rPr>
            </w:pPr>
          </w:p>
        </w:tc>
        <w:tc>
          <w:tcPr>
            <w:tcW w:w="1480" w:type="dxa"/>
            <w:vAlign w:val="bottom"/>
          </w:tcPr>
          <w:p>
            <w:pPr>
              <w:ind w:left="132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Experts</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40" w:type="dxa"/>
            <w:vAlign w:val="bottom"/>
            <w:tcBorders>
              <w:bottom w:val="single" w:sz="8" w:color="CCEEFF"/>
            </w:tcBorders>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5500" w:type="dxa"/>
            <w:vAlign w:val="bottom"/>
            <w:tcBorders>
              <w:bottom w:val="single" w:sz="8" w:color="CCEEFF"/>
            </w:tcBorders>
            <w:gridSpan w:val="14"/>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6"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jc w:val="right"/>
              <w:ind w:right="6"/>
              <w:spacing w:after="0" w:line="8" w:lineRule="exact"/>
              <w:rPr>
                <w:sz w:val="20"/>
                <w:szCs w:val="20"/>
                <w:color w:val="auto"/>
              </w:rPr>
            </w:pPr>
            <w:r>
              <w:rPr>
                <w:rFonts w:ascii="Times New Roman" w:cs="Times New Roman" w:eastAsia="Times New Roman" w:hAnsi="Times New Roman"/>
                <w:sz w:val="1"/>
                <w:szCs w:val="1"/>
                <w:b w:val="1"/>
                <w:bCs w:val="1"/>
                <w:color w:val="auto"/>
              </w:rPr>
              <w:t>​</w:t>
            </w:r>
          </w:p>
        </w:tc>
        <w:tc>
          <w:tcPr>
            <w:tcW w:w="2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180" w:right="879" w:firstLine="337"/>
        <w:spacing w:after="0" w:line="253" w:lineRule="auto"/>
        <w:rPr>
          <w:sz w:val="20"/>
          <w:szCs w:val="20"/>
          <w:color w:val="auto"/>
        </w:rPr>
      </w:pPr>
      <w:r>
        <w:rPr>
          <w:rFonts w:ascii="Times New Roman" w:cs="Times New Roman" w:eastAsia="Times New Roman" w:hAnsi="Times New Roman"/>
          <w:sz w:val="17"/>
          <w:szCs w:val="17"/>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12" w:lineRule="exact"/>
        <w:rPr>
          <w:sz w:val="20"/>
          <w:szCs w:val="20"/>
          <w:color w:val="auto"/>
        </w:rPr>
      </w:pPr>
    </w:p>
    <w:p>
      <w:pPr>
        <w:ind w:left="1180" w:right="839" w:firstLine="337"/>
        <w:spacing w:after="0" w:line="253" w:lineRule="auto"/>
        <w:rPr>
          <w:sz w:val="20"/>
          <w:szCs w:val="20"/>
          <w:color w:val="auto"/>
        </w:rPr>
      </w:pPr>
      <w:r>
        <w:rPr>
          <w:rFonts w:ascii="Times New Roman" w:cs="Times New Roman" w:eastAsia="Times New Roman" w:hAnsi="Times New Roman"/>
          <w:sz w:val="17"/>
          <w:szCs w:val="17"/>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7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50" w:lineRule="exact"/>
        <w:rPr>
          <w:sz w:val="20"/>
          <w:szCs w:val="20"/>
          <w:color w:val="auto"/>
        </w:rPr>
      </w:pPr>
    </w:p>
    <w:p>
      <w:pPr>
        <w:ind w:left="1180" w:right="759" w:firstLine="337"/>
        <w:spacing w:after="0" w:line="250"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50" w:lineRule="exact"/>
        <w:rPr>
          <w:sz w:val="20"/>
          <w:szCs w:val="20"/>
          <w:color w:val="auto"/>
        </w:rPr>
      </w:pPr>
    </w:p>
    <w:p>
      <w:pPr>
        <w:ind w:left="1180" w:right="679" w:firstLine="337"/>
        <w:spacing w:after="0" w:line="252" w:lineRule="auto"/>
        <w:rPr>
          <w:sz w:val="20"/>
          <w:szCs w:val="20"/>
          <w:color w:val="auto"/>
        </w:rPr>
      </w:pPr>
      <w:r>
        <w:rPr>
          <w:rFonts w:ascii="Times New Roman" w:cs="Times New Roman" w:eastAsia="Times New Roman" w:hAnsi="Times New Roman"/>
          <w:sz w:val="17"/>
          <w:szCs w:val="17"/>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14" w:lineRule="exact"/>
        <w:rPr>
          <w:sz w:val="20"/>
          <w:szCs w:val="20"/>
          <w:color w:val="auto"/>
        </w:rPr>
      </w:pPr>
    </w:p>
    <w:p>
      <w:pPr>
        <w:jc w:val="both"/>
        <w:ind w:left="1180" w:right="739" w:firstLine="337"/>
        <w:spacing w:after="0" w:line="254" w:lineRule="auto"/>
        <w:rPr>
          <w:sz w:val="20"/>
          <w:szCs w:val="20"/>
          <w:color w:val="auto"/>
        </w:rPr>
      </w:pPr>
      <w:r>
        <w:rPr>
          <w:rFonts w:ascii="Times New Roman" w:cs="Times New Roman" w:eastAsia="Times New Roman" w:hAnsi="Times New Roman"/>
          <w:sz w:val="17"/>
          <w:szCs w:val="17"/>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w:t>
      </w:r>
    </w:p>
    <w:p>
      <w:pPr>
        <w:spacing w:after="0" w:line="2" w:lineRule="exact"/>
        <w:rPr>
          <w:sz w:val="20"/>
          <w:szCs w:val="20"/>
          <w:color w:val="auto"/>
        </w:rPr>
      </w:pPr>
    </w:p>
    <w:p>
      <w:pPr>
        <w:ind w:left="1420" w:hanging="237"/>
        <w:spacing w:after="0"/>
        <w:tabs>
          <w:tab w:leader="none" w:pos="14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all offerings under this registration statement are completed:</w:t>
      </w:r>
    </w:p>
    <w:p>
      <w:pPr>
        <w:spacing w:after="0" w:line="91"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1"/>
          <w:numId w:val="33"/>
        </w:numPr>
        <w:rPr>
          <w:rFonts w:ascii="Times New Roman" w:cs="Times New Roman" w:eastAsia="Times New Roman" w:hAnsi="Times New Roman"/>
          <w:sz w:val="17"/>
          <w:szCs w:val="17"/>
          <w:u w:val="single" w:color="auto"/>
          <w:color w:val="0000EE"/>
        </w:rPr>
      </w:pPr>
      <w:hyperlink r:id="rId85">
        <w:r>
          <w:rPr>
            <w:rFonts w:ascii="Times New Roman" w:cs="Times New Roman" w:eastAsia="Times New Roman" w:hAnsi="Times New Roman"/>
            <w:sz w:val="17"/>
            <w:szCs w:val="17"/>
            <w:u w:val="single" w:color="auto"/>
            <w:color w:val="0000EE"/>
          </w:rPr>
          <w:t>Annual Report on Form 10-K for the fiscal year ended December 31, 2020;</w:t>
        </w:r>
      </w:hyperlink>
    </w:p>
    <w:p>
      <w:pPr>
        <w:spacing w:after="0" w:line="107" w:lineRule="exact"/>
        <w:rPr>
          <w:rFonts w:ascii="Times New Roman" w:cs="Times New Roman" w:eastAsia="Times New Roman" w:hAnsi="Times New Roman"/>
          <w:sz w:val="17"/>
          <w:szCs w:val="17"/>
          <w:u w:val="single" w:color="auto"/>
          <w:color w:val="0000EE"/>
        </w:rPr>
      </w:pPr>
    </w:p>
    <w:p>
      <w:pPr>
        <w:ind w:left="1680" w:hanging="160"/>
        <w:spacing w:after="0"/>
        <w:tabs>
          <w:tab w:leader="none" w:pos="168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Quarterly Reports on Form 10-Q for the quarterly periods ended </w:t>
      </w:r>
      <w:hyperlink r:id="rId86">
        <w:r>
          <w:rPr>
            <w:rFonts w:ascii="Times New Roman" w:cs="Times New Roman" w:eastAsia="Times New Roman" w:hAnsi="Times New Roman"/>
            <w:sz w:val="17"/>
            <w:szCs w:val="17"/>
            <w:u w:val="single" w:color="auto"/>
            <w:color w:val="0000EE"/>
          </w:rPr>
          <w:t>March 31, 2021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87">
        <w:r>
          <w:rPr>
            <w:rFonts w:ascii="Times New Roman" w:cs="Times New Roman" w:eastAsia="Times New Roman" w:hAnsi="Times New Roman"/>
            <w:sz w:val="17"/>
            <w:szCs w:val="17"/>
            <w:u w:val="single" w:color="auto"/>
            <w:color w:val="0000EE"/>
          </w:rPr>
          <w:t>June 30, 2021</w:t>
        </w:r>
      </w:hyperlink>
      <w:r>
        <w:rPr>
          <w:rFonts w:ascii="Times New Roman" w:cs="Times New Roman" w:eastAsia="Times New Roman" w:hAnsi="Times New Roman"/>
          <w:sz w:val="17"/>
          <w:szCs w:val="17"/>
          <w:color w:val="auto"/>
        </w:rPr>
        <w:t>;</w:t>
      </w:r>
    </w:p>
    <w:p>
      <w:pPr>
        <w:spacing w:after="0" w:line="107" w:lineRule="exact"/>
        <w:rPr>
          <w:rFonts w:ascii="Times New Roman" w:cs="Times New Roman" w:eastAsia="Times New Roman" w:hAnsi="Times New Roman"/>
          <w:sz w:val="17"/>
          <w:szCs w:val="17"/>
          <w:color w:val="auto"/>
        </w:rPr>
      </w:pPr>
    </w:p>
    <w:p>
      <w:pPr>
        <w:ind w:left="1680" w:right="979" w:hanging="160"/>
        <w:spacing w:after="0" w:line="275" w:lineRule="auto"/>
        <w:tabs>
          <w:tab w:leader="none" w:pos="1680" w:val="left"/>
        </w:tabs>
        <w:numPr>
          <w:ilvl w:val="1"/>
          <w:numId w:val="33"/>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Current Reports on Form 8-K filed on </w:t>
      </w:r>
      <w:hyperlink r:id="rId88">
        <w:r>
          <w:rPr>
            <w:rFonts w:ascii="Times New Roman" w:cs="Times New Roman" w:eastAsia="Times New Roman" w:hAnsi="Times New Roman"/>
            <w:sz w:val="17"/>
            <w:szCs w:val="17"/>
            <w:u w:val="single" w:color="auto"/>
            <w:color w:val="0000EE"/>
          </w:rPr>
          <w:t>March 3, 2021</w:t>
        </w:r>
      </w:hyperlink>
      <w:r>
        <w:rPr>
          <w:rFonts w:ascii="Times New Roman" w:cs="Times New Roman" w:eastAsia="Times New Roman" w:hAnsi="Times New Roman"/>
          <w:sz w:val="17"/>
          <w:szCs w:val="17"/>
          <w:color w:val="auto"/>
        </w:rPr>
        <w:t xml:space="preserve">, </w:t>
      </w:r>
      <w:hyperlink r:id="rId89">
        <w:r>
          <w:rPr>
            <w:rFonts w:ascii="Times New Roman" w:cs="Times New Roman" w:eastAsia="Times New Roman" w:hAnsi="Times New Roman"/>
            <w:sz w:val="17"/>
            <w:szCs w:val="17"/>
            <w:u w:val="single" w:color="auto"/>
            <w:color w:val="0000EE"/>
          </w:rPr>
          <w:t>May 25, 2021</w:t>
        </w:r>
      </w:hyperlink>
      <w:r>
        <w:rPr>
          <w:rFonts w:ascii="Times New Roman" w:cs="Times New Roman" w:eastAsia="Times New Roman" w:hAnsi="Times New Roman"/>
          <w:sz w:val="17"/>
          <w:szCs w:val="17"/>
          <w:color w:val="auto"/>
        </w:rPr>
        <w:t xml:space="preserve">, </w:t>
      </w:r>
      <w:hyperlink r:id="rId90">
        <w:r>
          <w:rPr>
            <w:rFonts w:ascii="Times New Roman" w:cs="Times New Roman" w:eastAsia="Times New Roman" w:hAnsi="Times New Roman"/>
            <w:sz w:val="17"/>
            <w:szCs w:val="17"/>
            <w:u w:val="single" w:color="auto"/>
            <w:color w:val="0000EE"/>
          </w:rPr>
          <w:t>July 2, 2021</w:t>
        </w:r>
      </w:hyperlink>
      <w:r>
        <w:rPr>
          <w:rFonts w:ascii="Times New Roman" w:cs="Times New Roman" w:eastAsia="Times New Roman" w:hAnsi="Times New Roman"/>
          <w:sz w:val="17"/>
          <w:szCs w:val="17"/>
          <w:color w:val="auto"/>
        </w:rPr>
        <w:t xml:space="preserve">, </w:t>
      </w:r>
      <w:hyperlink r:id="rId91">
        <w:r>
          <w:rPr>
            <w:rFonts w:ascii="Times New Roman" w:cs="Times New Roman" w:eastAsia="Times New Roman" w:hAnsi="Times New Roman"/>
            <w:sz w:val="17"/>
            <w:szCs w:val="17"/>
            <w:u w:val="single" w:color="auto"/>
            <w:color w:val="0000EE"/>
          </w:rPr>
          <w:t>July 13, 2021</w:t>
        </w:r>
      </w:hyperlink>
      <w:r>
        <w:rPr>
          <w:rFonts w:ascii="Times New Roman" w:cs="Times New Roman" w:eastAsia="Times New Roman" w:hAnsi="Times New Roman"/>
          <w:sz w:val="17"/>
          <w:szCs w:val="17"/>
          <w:color w:val="auto"/>
        </w:rPr>
        <w:t xml:space="preserve">, </w:t>
      </w:r>
      <w:hyperlink r:id="rId92">
        <w:r>
          <w:rPr>
            <w:rFonts w:ascii="Times New Roman" w:cs="Times New Roman" w:eastAsia="Times New Roman" w:hAnsi="Times New Roman"/>
            <w:sz w:val="17"/>
            <w:szCs w:val="17"/>
            <w:u w:val="single" w:color="auto"/>
            <w:color w:val="0000EE"/>
          </w:rPr>
          <w:t>August 24, 2021</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93">
        <w:r>
          <w:rPr>
            <w:rFonts w:ascii="Times New Roman" w:cs="Times New Roman" w:eastAsia="Times New Roman" w:hAnsi="Times New Roman"/>
            <w:sz w:val="17"/>
            <w:szCs w:val="17"/>
            <w:u w:val="single" w:color="auto"/>
            <w:color w:val="0000EE"/>
          </w:rPr>
          <w:t xml:space="preserve">August 25, 2021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94">
        <w:r>
          <w:rPr>
            <w:rFonts w:ascii="Times New Roman" w:cs="Times New Roman" w:eastAsia="Times New Roman" w:hAnsi="Times New Roman"/>
            <w:sz w:val="17"/>
            <w:szCs w:val="17"/>
            <w:u w:val="single" w:color="auto"/>
            <w:color w:val="0000EE"/>
          </w:rPr>
          <w:t>August 26, 2021</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p>
    <w:p>
      <w:pPr>
        <w:spacing w:after="0" w:line="57" w:lineRule="exact"/>
        <w:rPr>
          <w:rFonts w:ascii="Times New Roman" w:cs="Times New Roman" w:eastAsia="Times New Roman" w:hAnsi="Times New Roman"/>
          <w:sz w:val="17"/>
          <w:szCs w:val="17"/>
          <w:color w:val="0000EE"/>
        </w:rPr>
      </w:pPr>
    </w:p>
    <w:p>
      <w:pPr>
        <w:ind w:left="1680" w:right="759" w:hanging="160"/>
        <w:spacing w:after="0" w:line="262" w:lineRule="auto"/>
        <w:tabs>
          <w:tab w:leader="none" w:pos="1680" w:val="left"/>
        </w:tabs>
        <w:numPr>
          <w:ilvl w:val="1"/>
          <w:numId w:val="33"/>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description of our common units contained in our </w:t>
      </w:r>
      <w:hyperlink r:id="rId95">
        <w:r>
          <w:rPr>
            <w:rFonts w:ascii="Times New Roman" w:cs="Times New Roman" w:eastAsia="Times New Roman" w:hAnsi="Times New Roman"/>
            <w:sz w:val="17"/>
            <w:szCs w:val="17"/>
            <w:u w:val="single" w:color="auto"/>
            <w:color w:val="0000EE"/>
          </w:rPr>
          <w:t>Form 8-A/A dated November 16, 2016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96">
        <w:r>
          <w:rPr>
            <w:rFonts w:ascii="Times New Roman" w:cs="Times New Roman" w:eastAsia="Times New Roman" w:hAnsi="Times New Roman"/>
            <w:sz w:val="17"/>
            <w:szCs w:val="17"/>
            <w:u w:val="single" w:color="auto"/>
            <w:color w:val="0000EE"/>
          </w:rPr>
          <w:t>Form 8-A dated December 11, 2020,</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any subsequent amendment thereto filed for the purpose of</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updating such description.</w:t>
      </w:r>
    </w:p>
    <w:p>
      <w:pPr>
        <w:spacing w:after="0" w:line="93" w:lineRule="exact"/>
        <w:rPr>
          <w:rFonts w:ascii="Times New Roman" w:cs="Times New Roman" w:eastAsia="Times New Roman" w:hAnsi="Times New Roman"/>
          <w:sz w:val="17"/>
          <w:szCs w:val="17"/>
          <w:color w:val="auto"/>
        </w:rPr>
      </w:pPr>
    </w:p>
    <w:p>
      <w:pPr>
        <w:ind w:left="1180" w:right="819" w:firstLine="337"/>
        <w:spacing w:after="0" w:line="262" w:lineRule="auto"/>
        <w:rPr>
          <w:sz w:val="20"/>
          <w:szCs w:val="20"/>
          <w:color w:val="auto"/>
        </w:rPr>
      </w:pPr>
      <w:r>
        <w:rPr>
          <w:rFonts w:ascii="Times New Roman" w:cs="Times New Roman" w:eastAsia="Times New Roman" w:hAnsi="Times New Roman"/>
          <w:sz w:val="17"/>
          <w:szCs w:val="17"/>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05" w:lineRule="exact"/>
        <w:rPr>
          <w:rFonts w:ascii="Times New Roman" w:cs="Times New Roman" w:eastAsia="Times New Roman" w:hAnsi="Times New Roman"/>
          <w:sz w:val="17"/>
          <w:szCs w:val="17"/>
          <w:color w:val="auto"/>
        </w:rPr>
      </w:pPr>
    </w:p>
    <w:p>
      <w:pPr>
        <w:ind w:left="3780"/>
        <w:spacing w:after="0"/>
        <w:rPr>
          <w:sz w:val="20"/>
          <w:szCs w:val="20"/>
          <w:color w:val="auto"/>
        </w:rPr>
      </w:pPr>
      <w:r>
        <w:rPr>
          <w:rFonts w:ascii="Times New Roman" w:cs="Times New Roman" w:eastAsia="Times New Roman" w:hAnsi="Times New Roman"/>
          <w:sz w:val="17"/>
          <w:szCs w:val="17"/>
          <w:color w:val="auto"/>
        </w:rPr>
        <w:t>Plains All American Pipeline, L.P.</w:t>
      </w:r>
    </w:p>
    <w:p>
      <w:pPr>
        <w:spacing w:after="0" w:line="23" w:lineRule="exact"/>
        <w:rPr>
          <w:rFonts w:ascii="Times New Roman" w:cs="Times New Roman" w:eastAsia="Times New Roman" w:hAnsi="Times New Roman"/>
          <w:sz w:val="17"/>
          <w:szCs w:val="17"/>
          <w:color w:val="auto"/>
        </w:rPr>
      </w:pPr>
    </w:p>
    <w:p>
      <w:pPr>
        <w:ind w:left="4020"/>
        <w:spacing w:after="0"/>
        <w:rPr>
          <w:sz w:val="20"/>
          <w:szCs w:val="20"/>
          <w:color w:val="auto"/>
        </w:rPr>
      </w:pPr>
      <w:r>
        <w:rPr>
          <w:rFonts w:ascii="Times New Roman" w:cs="Times New Roman" w:eastAsia="Times New Roman" w:hAnsi="Times New Roman"/>
          <w:sz w:val="17"/>
          <w:szCs w:val="17"/>
          <w:color w:val="auto"/>
        </w:rPr>
        <w:t>333 Clay Street, Suite 1600</w:t>
      </w:r>
    </w:p>
    <w:p>
      <w:pPr>
        <w:spacing w:after="0" w:line="7" w:lineRule="exact"/>
        <w:rPr>
          <w:rFonts w:ascii="Times New Roman" w:cs="Times New Roman" w:eastAsia="Times New Roman" w:hAnsi="Times New Roman"/>
          <w:sz w:val="17"/>
          <w:szCs w:val="17"/>
          <w:color w:val="auto"/>
        </w:rPr>
      </w:pPr>
    </w:p>
    <w:p>
      <w:pPr>
        <w:ind w:left="4220"/>
        <w:spacing w:after="0"/>
        <w:rPr>
          <w:sz w:val="20"/>
          <w:szCs w:val="20"/>
          <w:color w:val="auto"/>
        </w:rPr>
      </w:pPr>
      <w:r>
        <w:rPr>
          <w:rFonts w:ascii="Times New Roman" w:cs="Times New Roman" w:eastAsia="Times New Roman" w:hAnsi="Times New Roman"/>
          <w:sz w:val="17"/>
          <w:szCs w:val="17"/>
          <w:color w:val="auto"/>
        </w:rPr>
        <w:t>Houston, Texas 77002</w:t>
      </w:r>
    </w:p>
    <w:p>
      <w:pPr>
        <w:spacing w:after="0" w:line="7" w:lineRule="exact"/>
        <w:rPr>
          <w:rFonts w:ascii="Times New Roman" w:cs="Times New Roman" w:eastAsia="Times New Roman" w:hAnsi="Times New Roman"/>
          <w:sz w:val="17"/>
          <w:szCs w:val="17"/>
          <w:color w:val="auto"/>
        </w:rPr>
      </w:pPr>
    </w:p>
    <w:p>
      <w:pPr>
        <w:ind w:left="3920"/>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7" w:lineRule="exact"/>
        <w:rPr>
          <w:rFonts w:ascii="Times New Roman" w:cs="Times New Roman" w:eastAsia="Times New Roman" w:hAnsi="Times New Roman"/>
          <w:sz w:val="17"/>
          <w:szCs w:val="17"/>
          <w:color w:val="auto"/>
        </w:rPr>
      </w:pPr>
    </w:p>
    <w:p>
      <w:pPr>
        <w:ind w:left="4060"/>
        <w:spacing w:after="0"/>
        <w:rPr>
          <w:sz w:val="20"/>
          <w:szCs w:val="20"/>
          <w:color w:val="auto"/>
        </w:rPr>
      </w:pPr>
      <w:r>
        <w:rPr>
          <w:rFonts w:ascii="Times New Roman" w:cs="Times New Roman" w:eastAsia="Times New Roman" w:hAnsi="Times New Roman"/>
          <w:sz w:val="17"/>
          <w:szCs w:val="17"/>
          <w:color w:val="auto"/>
        </w:rPr>
        <w:t>Telephone: (713) 646-4100</w:t>
      </w:r>
    </w:p>
    <w:p>
      <w:pPr>
        <w:spacing w:after="0" w:line="130" w:lineRule="exact"/>
        <w:rPr>
          <w:rFonts w:ascii="Times New Roman" w:cs="Times New Roman" w:eastAsia="Times New Roman" w:hAnsi="Times New Roman"/>
          <w:sz w:val="17"/>
          <w:szCs w:val="17"/>
          <w:color w:val="auto"/>
        </w:rPr>
      </w:pPr>
    </w:p>
    <w:p>
      <w:pPr>
        <w:ind w:left="1180" w:right="779" w:firstLine="337"/>
        <w:spacing w:after="0" w:line="252" w:lineRule="auto"/>
        <w:rPr>
          <w:sz w:val="20"/>
          <w:szCs w:val="20"/>
          <w:color w:val="auto"/>
        </w:rPr>
      </w:pPr>
      <w:r>
        <w:rPr>
          <w:rFonts w:ascii="Times New Roman" w:cs="Times New Roman" w:eastAsia="Times New Roman" w:hAnsi="Times New Roman"/>
          <w:sz w:val="17"/>
          <w:szCs w:val="17"/>
          <w:color w:val="auto"/>
        </w:rPr>
        <w:t xml:space="preserve">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t>
      </w:r>
      <w:r>
        <w:rPr>
          <w:rFonts w:ascii="Times New Roman" w:cs="Times New Roman" w:eastAsia="Times New Roman" w:hAnsi="Times New Roman"/>
          <w:sz w:val="17"/>
          <w:szCs w:val="17"/>
          <w:i w:val="1"/>
          <w:iCs w:val="1"/>
          <w:color w:val="auto"/>
        </w:rPr>
        <w:t>www.plainsallamerican.com</w:t>
      </w:r>
      <w:r>
        <w:rPr>
          <w:rFonts w:ascii="Times New Roman" w:cs="Times New Roman" w:eastAsia="Times New Roman" w:hAnsi="Times New Roman"/>
          <w:sz w:val="17"/>
          <w:szCs w:val="17"/>
          <w:color w:val="auto"/>
        </w:rPr>
        <w:t xml:space="preserve">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50" w:lineRule="exact"/>
        <w:rPr>
          <w:sz w:val="20"/>
          <w:szCs w:val="20"/>
          <w:color w:val="auto"/>
        </w:rPr>
      </w:pPr>
    </w:p>
    <w:p>
      <w:pPr>
        <w:ind w:left="1180" w:right="699" w:firstLine="337"/>
        <w:spacing w:after="0" w:line="241" w:lineRule="auto"/>
        <w:rPr>
          <w:sz w:val="20"/>
          <w:szCs w:val="20"/>
          <w:color w:val="auto"/>
        </w:rPr>
      </w:pPr>
      <w:r>
        <w:rPr>
          <w:rFonts w:ascii="Times New Roman" w:cs="Times New Roman" w:eastAsia="Times New Roman" w:hAnsi="Times New Roman"/>
          <w:sz w:val="17"/>
          <w:szCs w:val="17"/>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78" w:lineRule="exact"/>
        <w:rPr>
          <w:sz w:val="20"/>
          <w:szCs w:val="20"/>
          <w:color w:val="auto"/>
        </w:rPr>
      </w:pPr>
    </w:p>
    <w:p>
      <w:pPr>
        <w:ind w:left="1680" w:right="739" w:hanging="160"/>
        <w:spacing w:after="0" w:line="251"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68" w:lineRule="exact"/>
        <w:rPr>
          <w:rFonts w:ascii="Times New Roman" w:cs="Times New Roman" w:eastAsia="Times New Roman" w:hAnsi="Times New Roman"/>
          <w:sz w:val="17"/>
          <w:szCs w:val="17"/>
          <w:color w:val="auto"/>
        </w:rPr>
      </w:pPr>
    </w:p>
    <w:p>
      <w:pPr>
        <w:ind w:left="1680" w:right="899" w:hanging="160"/>
        <w:spacing w:after="0" w:line="262"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54" w:lineRule="exact"/>
        <w:rPr>
          <w:rFonts w:ascii="Times New Roman" w:cs="Times New Roman" w:eastAsia="Times New Roman" w:hAnsi="Times New Roman"/>
          <w:sz w:val="17"/>
          <w:szCs w:val="17"/>
          <w:color w:val="auto"/>
        </w:rPr>
      </w:pPr>
    </w:p>
    <w:p>
      <w:pPr>
        <w:ind w:left="1680" w:right="959" w:hanging="160"/>
        <w:spacing w:after="0" w:line="262"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4" w:lineRule="exact"/>
        <w:rPr>
          <w:rFonts w:ascii="Times New Roman" w:cs="Times New Roman" w:eastAsia="Times New Roman" w:hAnsi="Times New Roman"/>
          <w:sz w:val="17"/>
          <w:szCs w:val="17"/>
          <w:color w:val="auto"/>
        </w:rPr>
      </w:pPr>
    </w:p>
    <w:p>
      <w:pPr>
        <w:ind w:left="1680" w:right="919" w:hanging="160"/>
        <w:spacing w:after="0" w:line="275"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44" w:lineRule="exact"/>
        <w:rPr>
          <w:rFonts w:ascii="Times New Roman" w:cs="Times New Roman" w:eastAsia="Times New Roman" w:hAnsi="Times New Roman"/>
          <w:sz w:val="17"/>
          <w:szCs w:val="17"/>
          <w:color w:val="auto"/>
        </w:rPr>
      </w:pPr>
    </w:p>
    <w:p>
      <w:pPr>
        <w:ind w:left="1680" w:right="1259" w:hanging="160"/>
        <w:spacing w:after="0" w:line="275"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liabilities or events that are not covered by an indemnity, insurance or existing reserves;</w:t>
      </w:r>
    </w:p>
    <w:p>
      <w:pPr>
        <w:spacing w:after="0" w:line="44" w:lineRule="exact"/>
        <w:rPr>
          <w:rFonts w:ascii="Times New Roman" w:cs="Times New Roman" w:eastAsia="Times New Roman" w:hAnsi="Times New Roman"/>
          <w:sz w:val="17"/>
          <w:szCs w:val="17"/>
          <w:color w:val="auto"/>
        </w:rPr>
      </w:pPr>
    </w:p>
    <w:p>
      <w:pPr>
        <w:jc w:val="both"/>
        <w:ind w:left="1680" w:right="1219" w:hanging="160"/>
        <w:spacing w:after="0" w:line="262"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54" w:lineRule="exact"/>
        <w:rPr>
          <w:rFonts w:ascii="Times New Roman" w:cs="Times New Roman" w:eastAsia="Times New Roman" w:hAnsi="Times New Roman"/>
          <w:sz w:val="17"/>
          <w:szCs w:val="17"/>
          <w:color w:val="auto"/>
        </w:rPr>
      </w:pPr>
    </w:p>
    <w:p>
      <w:pPr>
        <w:ind w:left="1680" w:right="859" w:hanging="160"/>
        <w:spacing w:after="0" w:line="275"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and our ability to consummate, divestitures, joint ventures, acquisitions or other strategic opportunities;</w:t>
      </w:r>
    </w:p>
    <w:p>
      <w:pPr>
        <w:spacing w:after="0" w:line="57" w:lineRule="exact"/>
        <w:rPr>
          <w:rFonts w:ascii="Times New Roman" w:cs="Times New Roman" w:eastAsia="Times New Roman" w:hAnsi="Times New Roman"/>
          <w:sz w:val="17"/>
          <w:szCs w:val="17"/>
          <w:color w:val="auto"/>
        </w:rPr>
      </w:pPr>
    </w:p>
    <w:p>
      <w:pPr>
        <w:ind w:left="1680" w:right="1159" w:hanging="160"/>
        <w:spacing w:after="0" w:line="275"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our credit rating and ability to receive open credit from our suppliers and trade counterparties;</w:t>
      </w:r>
    </w:p>
    <w:p>
      <w:pPr>
        <w:spacing w:after="0" w:line="44" w:lineRule="exact"/>
        <w:rPr>
          <w:rFonts w:ascii="Times New Roman" w:cs="Times New Roman" w:eastAsia="Times New Roman" w:hAnsi="Times New Roman"/>
          <w:sz w:val="17"/>
          <w:szCs w:val="17"/>
          <w:color w:val="auto"/>
        </w:rPr>
      </w:pPr>
    </w:p>
    <w:p>
      <w:pPr>
        <w:ind w:left="1680" w:right="759" w:hanging="160"/>
        <w:spacing w:after="0" w:line="262"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54" w:lineRule="exact"/>
        <w:rPr>
          <w:rFonts w:ascii="Times New Roman" w:cs="Times New Roman" w:eastAsia="Times New Roman" w:hAnsi="Times New Roman"/>
          <w:sz w:val="17"/>
          <w:szCs w:val="17"/>
          <w:color w:val="auto"/>
        </w:rPr>
      </w:pPr>
    </w:p>
    <w:p>
      <w:pPr>
        <w:ind w:left="1680" w:right="1239" w:hanging="160"/>
        <w:spacing w:after="0" w:line="275"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w:t>
      </w:r>
    </w:p>
    <w:p>
      <w:pPr>
        <w:spacing w:after="0" w:line="44" w:lineRule="exact"/>
        <w:rPr>
          <w:rFonts w:ascii="Times New Roman" w:cs="Times New Roman" w:eastAsia="Times New Roman" w:hAnsi="Times New Roman"/>
          <w:sz w:val="17"/>
          <w:szCs w:val="17"/>
          <w:color w:val="auto"/>
        </w:rPr>
      </w:pPr>
    </w:p>
    <w:p>
      <w:pPr>
        <w:ind w:left="1680" w:right="819" w:hanging="160"/>
        <w:spacing w:after="0" w:line="253"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5" w:lineRule="exact"/>
        <w:rPr>
          <w:rFonts w:ascii="Times New Roman" w:cs="Times New Roman" w:eastAsia="Times New Roman" w:hAnsi="Times New Roman"/>
          <w:sz w:val="17"/>
          <w:szCs w:val="17"/>
          <w:color w:val="auto"/>
        </w:rPr>
      </w:pPr>
    </w:p>
    <w:p>
      <w:pPr>
        <w:ind w:left="1680" w:right="879" w:hanging="160"/>
        <w:spacing w:after="0" w:line="262" w:lineRule="auto"/>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3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80" w:right="799" w:hanging="160"/>
        <w:spacing w:after="0" w:line="275"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costs and expenses related to unexpected or unplanned capital expenditures, third-party claims or other factors;</w:t>
      </w:r>
    </w:p>
    <w:p>
      <w:pPr>
        <w:spacing w:after="0" w:line="57" w:lineRule="exact"/>
        <w:rPr>
          <w:rFonts w:ascii="Times New Roman" w:cs="Times New Roman" w:eastAsia="Times New Roman" w:hAnsi="Times New Roman"/>
          <w:sz w:val="17"/>
          <w:szCs w:val="17"/>
          <w:color w:val="auto"/>
        </w:rPr>
      </w:pPr>
    </w:p>
    <w:p>
      <w:pPr>
        <w:ind w:left="1680" w:right="679" w:hanging="160"/>
        <w:spacing w:after="0" w:line="262"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4" w:lineRule="exact"/>
        <w:rPr>
          <w:rFonts w:ascii="Times New Roman" w:cs="Times New Roman" w:eastAsia="Times New Roman" w:hAnsi="Times New Roman"/>
          <w:sz w:val="17"/>
          <w:szCs w:val="17"/>
          <w:color w:val="auto"/>
        </w:rPr>
      </w:pPr>
    </w:p>
    <w:p>
      <w:pPr>
        <w:ind w:left="1680" w:right="899" w:hanging="160"/>
        <w:spacing w:after="0" w:line="275"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44" w:lineRule="exact"/>
        <w:rPr>
          <w:rFonts w:ascii="Times New Roman" w:cs="Times New Roman" w:eastAsia="Times New Roman" w:hAnsi="Times New Roman"/>
          <w:sz w:val="17"/>
          <w:szCs w:val="17"/>
          <w:color w:val="auto"/>
        </w:rPr>
      </w:pPr>
    </w:p>
    <w:p>
      <w:pPr>
        <w:ind w:left="1680" w:right="899" w:hanging="160"/>
        <w:spacing w:after="0" w:line="275"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or cost increases of supplies, materials or labor;</w:t>
      </w:r>
    </w:p>
    <w:p>
      <w:pPr>
        <w:spacing w:after="0" w:line="95" w:lineRule="exact"/>
        <w:rPr>
          <w:rFonts w:ascii="Times New Roman" w:cs="Times New Roman" w:eastAsia="Times New Roman" w:hAnsi="Times New Roman"/>
          <w:sz w:val="17"/>
          <w:szCs w:val="17"/>
          <w:color w:val="auto"/>
        </w:rPr>
      </w:pPr>
    </w:p>
    <w:p>
      <w:pPr>
        <w:ind w:left="1680" w:right="799" w:hanging="160"/>
        <w:spacing w:after="0" w:line="257"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59" w:lineRule="exact"/>
        <w:rPr>
          <w:rFonts w:ascii="Times New Roman" w:cs="Times New Roman" w:eastAsia="Times New Roman" w:hAnsi="Times New Roman"/>
          <w:sz w:val="17"/>
          <w:szCs w:val="17"/>
          <w:color w:val="auto"/>
        </w:rPr>
      </w:pPr>
    </w:p>
    <w:p>
      <w:pPr>
        <w:ind w:left="1680" w:right="1039" w:hanging="160"/>
        <w:spacing w:after="0" w:line="262"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7"/>
          <w:szCs w:val="17"/>
          <w:color w:val="auto"/>
        </w:rPr>
      </w:pPr>
    </w:p>
    <w:p>
      <w:pPr>
        <w:ind w:left="1680" w:right="819" w:hanging="160"/>
        <w:spacing w:after="0" w:line="275"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of producers, who have made commitments to our pipelines, to access capital to fund their drilling and completion activities;</w:t>
      </w:r>
    </w:p>
    <w:p>
      <w:pPr>
        <w:spacing w:after="0" w:line="44" w:lineRule="exact"/>
        <w:rPr>
          <w:rFonts w:ascii="Times New Roman" w:cs="Times New Roman" w:eastAsia="Times New Roman" w:hAnsi="Times New Roman"/>
          <w:sz w:val="17"/>
          <w:szCs w:val="17"/>
          <w:color w:val="auto"/>
        </w:rPr>
      </w:pPr>
    </w:p>
    <w:p>
      <w:pPr>
        <w:ind w:left="1680" w:right="679" w:hanging="160"/>
        <w:spacing w:after="0" w:line="255"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60" w:lineRule="exact"/>
        <w:rPr>
          <w:rFonts w:ascii="Times New Roman" w:cs="Times New Roman" w:eastAsia="Times New Roman" w:hAnsi="Times New Roman"/>
          <w:sz w:val="17"/>
          <w:szCs w:val="17"/>
          <w:color w:val="auto"/>
        </w:rPr>
      </w:pPr>
    </w:p>
    <w:p>
      <w:pPr>
        <w:ind w:left="1680" w:right="1019" w:hanging="160"/>
        <w:spacing w:after="0" w:line="275"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amplification of other risks caused by volatile financial markets, capital constraints, liquidity concerns and inflation;</w:t>
      </w:r>
    </w:p>
    <w:p>
      <w:pPr>
        <w:spacing w:after="0" w:line="57" w:lineRule="exact"/>
        <w:rPr>
          <w:rFonts w:ascii="Times New Roman" w:cs="Times New Roman" w:eastAsia="Times New Roman" w:hAnsi="Times New Roman"/>
          <w:sz w:val="17"/>
          <w:szCs w:val="17"/>
          <w:color w:val="auto"/>
        </w:rPr>
      </w:pPr>
    </w:p>
    <w:p>
      <w:pPr>
        <w:ind w:left="1680" w:right="999" w:hanging="160"/>
        <w:spacing w:after="0" w:line="275"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44"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95" w:lineRule="exact"/>
        <w:rPr>
          <w:rFonts w:ascii="Times New Roman" w:cs="Times New Roman" w:eastAsia="Times New Roman" w:hAnsi="Times New Roman"/>
          <w:sz w:val="17"/>
          <w:szCs w:val="17"/>
          <w:color w:val="auto"/>
        </w:rPr>
      </w:pPr>
    </w:p>
    <w:p>
      <w:pPr>
        <w:jc w:val="both"/>
        <w:ind w:left="1680" w:right="859" w:hanging="160"/>
        <w:spacing w:after="0" w:line="262"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6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under-utilization of our assets and facilities;</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or lack of availability, of insurance;</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risk management activities;</w:t>
      </w:r>
    </w:p>
    <w:p>
      <w:pPr>
        <w:spacing w:after="0" w:line="107" w:lineRule="exact"/>
        <w:rPr>
          <w:rFonts w:ascii="Times New Roman" w:cs="Times New Roman" w:eastAsia="Times New Roman" w:hAnsi="Times New Roman"/>
          <w:sz w:val="17"/>
          <w:szCs w:val="17"/>
          <w:color w:val="auto"/>
        </w:rPr>
      </w:pPr>
    </w:p>
    <w:p>
      <w:pPr>
        <w:ind w:left="1680" w:right="1019" w:hanging="160"/>
        <w:spacing w:after="0" w:line="275"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44"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development and operation of our assets; and</w:t>
      </w:r>
    </w:p>
    <w:p>
      <w:pPr>
        <w:spacing w:after="0" w:line="95" w:lineRule="exact"/>
        <w:rPr>
          <w:rFonts w:ascii="Times New Roman" w:cs="Times New Roman" w:eastAsia="Times New Roman" w:hAnsi="Times New Roman"/>
          <w:sz w:val="17"/>
          <w:szCs w:val="17"/>
          <w:color w:val="auto"/>
        </w:rPr>
      </w:pPr>
    </w:p>
    <w:p>
      <w:pPr>
        <w:ind w:left="1680" w:right="819" w:hanging="160"/>
        <w:spacing w:after="0" w:line="262"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05" w:lineRule="exact"/>
        <w:rPr>
          <w:sz w:val="20"/>
          <w:szCs w:val="20"/>
          <w:color w:val="auto"/>
        </w:rPr>
      </w:pPr>
    </w:p>
    <w:p>
      <w:pPr>
        <w:ind w:left="1180" w:right="899" w:firstLine="337"/>
        <w:spacing w:after="0" w:line="244"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Other factors described herein or incorporated by reference, as well as factors that are unknown or unpredictable, could also have a material adverse effect on future results. Please read “Risk Factors” </w:t>
      </w:r>
      <w:hyperlink r:id="rId85">
        <w:r>
          <w:rPr>
            <w:rFonts w:ascii="Times New Roman" w:cs="Times New Roman" w:eastAsia="Times New Roman" w:hAnsi="Times New Roman"/>
            <w:sz w:val="17"/>
            <w:szCs w:val="17"/>
            <w:color w:val="auto"/>
          </w:rPr>
          <w:t xml:space="preserve">beginning on page 3 of this prospectus and discussed in Item 1A. of our </w:t>
        </w:r>
        <w:r>
          <w:rPr>
            <w:rFonts w:ascii="Times New Roman" w:cs="Times New Roman" w:eastAsia="Times New Roman" w:hAnsi="Times New Roman"/>
            <w:sz w:val="17"/>
            <w:szCs w:val="17"/>
            <w:u w:val="single" w:color="auto"/>
            <w:color w:val="0000EE"/>
          </w:rPr>
          <w:t>Annual Report on Form 10- K for</w:t>
        </w:r>
      </w:hyperlink>
      <w:r>
        <w:rPr>
          <w:rFonts w:ascii="Times New Roman" w:cs="Times New Roman" w:eastAsia="Times New Roman" w:hAnsi="Times New Roman"/>
          <w:sz w:val="17"/>
          <w:szCs w:val="17"/>
          <w:color w:val="auto"/>
        </w:rPr>
        <w:t xml:space="preserve"> </w:t>
      </w:r>
      <w:hyperlink r:id="rId85">
        <w:r>
          <w:rPr>
            <w:rFonts w:ascii="Times New Roman" w:cs="Times New Roman" w:eastAsia="Times New Roman" w:hAnsi="Times New Roman"/>
            <w:sz w:val="17"/>
            <w:szCs w:val="17"/>
            <w:u w:val="single" w:color="auto"/>
            <w:color w:val="0000EE"/>
          </w:rPr>
          <w:t>the year ended December 31, 2020 (File No. 001-14569)</w:t>
        </w:r>
        <w:r>
          <w:rPr>
            <w:rFonts w:ascii="Times New Roman" w:cs="Times New Roman" w:eastAsia="Times New Roman" w:hAnsi="Times New Roman"/>
            <w:sz w:val="17"/>
            <w:szCs w:val="17"/>
            <w:color w:val="000000"/>
          </w:rPr>
          <w:t>, which is incorporated into this prospectus by</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reference. Except as required by applicable securities laws, we do not intend to update these forward-looking statements and information.</w:t>
      </w:r>
    </w:p>
    <w:p>
      <w:pPr>
        <w:spacing w:after="0" w:line="3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ABOUT PLAINS ALL AMERICAN PIPELINE, L.P.</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50" w:lineRule="exact"/>
        <w:rPr>
          <w:sz w:val="20"/>
          <w:szCs w:val="20"/>
          <w:color w:val="auto"/>
        </w:rPr>
      </w:pPr>
    </w:p>
    <w:p>
      <w:pPr>
        <w:ind w:left="1180" w:right="819" w:firstLine="337"/>
        <w:spacing w:after="0" w:line="262" w:lineRule="auto"/>
        <w:rPr>
          <w:sz w:val="20"/>
          <w:szCs w:val="20"/>
          <w:color w:val="auto"/>
        </w:rPr>
      </w:pPr>
      <w:r>
        <w:rPr>
          <w:rFonts w:ascii="Times New Roman" w:cs="Times New Roman" w:eastAsia="Times New Roman" w:hAnsi="Times New Roman"/>
          <w:sz w:val="17"/>
          <w:szCs w:val="17"/>
          <w:color w:val="auto"/>
        </w:rPr>
        <w:t>We are a Delaware limited partnership formed in 1998. Our operations are conducted directly and indirectly through our primary operating subsidiaries. Our assets and the services we provide are primarily focused on crude oil, NGL and natural gas.</w:t>
      </w:r>
    </w:p>
    <w:p>
      <w:pPr>
        <w:spacing w:after="0" w:line="105" w:lineRule="exact"/>
        <w:rPr>
          <w:sz w:val="20"/>
          <w:szCs w:val="20"/>
          <w:color w:val="auto"/>
        </w:rPr>
      </w:pPr>
    </w:p>
    <w:p>
      <w:pPr>
        <w:ind w:left="1180" w:right="819" w:firstLine="337"/>
        <w:spacing w:after="0" w:line="257" w:lineRule="auto"/>
        <w:rPr>
          <w:sz w:val="20"/>
          <w:szCs w:val="20"/>
          <w:color w:val="auto"/>
        </w:rPr>
      </w:pPr>
      <w:r>
        <w:rPr>
          <w:rFonts w:ascii="Times New Roman" w:cs="Times New Roman" w:eastAsia="Times New Roman" w:hAnsi="Times New Roman"/>
          <w:sz w:val="17"/>
          <w:szCs w:val="17"/>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98" w:lineRule="exact"/>
        <w:rPr>
          <w:sz w:val="20"/>
          <w:szCs w:val="20"/>
          <w:color w:val="auto"/>
        </w:rPr>
      </w:pPr>
    </w:p>
    <w:p>
      <w:pPr>
        <w:ind w:left="1180" w:right="719" w:firstLine="337"/>
        <w:spacing w:after="0" w:line="257" w:lineRule="auto"/>
        <w:rPr>
          <w:sz w:val="20"/>
          <w:szCs w:val="20"/>
          <w:color w:val="auto"/>
        </w:rPr>
      </w:pPr>
      <w:r>
        <w:rPr>
          <w:rFonts w:ascii="Times New Roman" w:cs="Times New Roman" w:eastAsia="Times New Roman" w:hAnsi="Times New Roman"/>
          <w:sz w:val="17"/>
          <w:szCs w:val="17"/>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10" w:lineRule="exact"/>
        <w:rPr>
          <w:sz w:val="20"/>
          <w:szCs w:val="20"/>
          <w:color w:val="auto"/>
        </w:rPr>
      </w:pPr>
    </w:p>
    <w:p>
      <w:pPr>
        <w:ind w:left="1180" w:right="739" w:firstLine="337"/>
        <w:spacing w:after="0" w:line="255" w:lineRule="auto"/>
        <w:rPr>
          <w:sz w:val="20"/>
          <w:szCs w:val="20"/>
          <w:color w:val="auto"/>
        </w:rPr>
      </w:pPr>
      <w:r>
        <w:rPr>
          <w:rFonts w:ascii="Times New Roman" w:cs="Times New Roman" w:eastAsia="Times New Roman" w:hAnsi="Times New Roman"/>
          <w:sz w:val="17"/>
          <w:szCs w:val="17"/>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Ongoing Activities Related to Strategic Transactions</w:t>
      </w:r>
    </w:p>
    <w:p>
      <w:pPr>
        <w:spacing w:after="0" w:line="150" w:lineRule="exact"/>
        <w:rPr>
          <w:sz w:val="20"/>
          <w:szCs w:val="20"/>
          <w:color w:val="auto"/>
        </w:rPr>
      </w:pPr>
    </w:p>
    <w:p>
      <w:pPr>
        <w:ind w:left="1180" w:right="739" w:firstLine="337"/>
        <w:spacing w:after="0" w:line="251" w:lineRule="auto"/>
        <w:rPr>
          <w:sz w:val="20"/>
          <w:szCs w:val="20"/>
          <w:color w:val="auto"/>
        </w:rPr>
      </w:pPr>
      <w:r>
        <w:rPr>
          <w:rFonts w:ascii="Times New Roman" w:cs="Times New Roman" w:eastAsia="Times New Roman" w:hAnsi="Times New Roman"/>
          <w:sz w:val="17"/>
          <w:szCs w:val="17"/>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306" w:lineRule="exact"/>
        <w:rPr>
          <w:sz w:val="20"/>
          <w:szCs w:val="20"/>
          <w:color w:val="auto"/>
        </w:rPr>
      </w:pPr>
    </w:p>
    <w:p>
      <w:pPr>
        <w:ind w:left="1180" w:right="679" w:firstLine="337"/>
        <w:spacing w:after="0" w:line="251" w:lineRule="auto"/>
        <w:rPr>
          <w:sz w:val="20"/>
          <w:szCs w:val="20"/>
          <w:color w:val="auto"/>
        </w:rPr>
      </w:pPr>
      <w:r>
        <w:rPr>
          <w:rFonts w:ascii="Times New Roman" w:cs="Times New Roman" w:eastAsia="Times New Roman" w:hAnsi="Times New Roman"/>
          <w:sz w:val="17"/>
          <w:szCs w:val="17"/>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Principal Executive Offices and Internet Address</w:t>
      </w:r>
    </w:p>
    <w:p>
      <w:pPr>
        <w:spacing w:after="0" w:line="150" w:lineRule="exact"/>
        <w:rPr>
          <w:sz w:val="20"/>
          <w:szCs w:val="20"/>
          <w:color w:val="auto"/>
        </w:rPr>
      </w:pPr>
    </w:p>
    <w:p>
      <w:pPr>
        <w:ind w:left="1180" w:right="699" w:firstLine="337"/>
        <w:spacing w:after="0" w:line="252" w:lineRule="auto"/>
        <w:rPr>
          <w:sz w:val="20"/>
          <w:szCs w:val="20"/>
          <w:color w:val="auto"/>
        </w:rPr>
      </w:pPr>
      <w:r>
        <w:rPr>
          <w:rFonts w:ascii="Times New Roman" w:cs="Times New Roman" w:eastAsia="Times New Roman" w:hAnsi="Times New Roman"/>
          <w:sz w:val="17"/>
          <w:szCs w:val="17"/>
          <w:color w:val="auto"/>
        </w:rPr>
        <w:t xml:space="preserve">Our principal executive offices are located at 333 Clay Street, Suite 1600, Houston, Texas 77002 and our telephone number is (713) 646-4100. We maintain a website at </w:t>
      </w:r>
      <w:r>
        <w:rPr>
          <w:rFonts w:ascii="Times New Roman" w:cs="Times New Roman" w:eastAsia="Times New Roman" w:hAnsi="Times New Roman"/>
          <w:sz w:val="17"/>
          <w:szCs w:val="17"/>
          <w:i w:val="1"/>
          <w:iCs w:val="1"/>
          <w:color w:val="auto"/>
        </w:rPr>
        <w:t>www.plainsallamerican.com</w:t>
      </w:r>
      <w:r>
        <w:rPr>
          <w:rFonts w:ascii="Times New Roman" w:cs="Times New Roman" w:eastAsia="Times New Roman" w:hAnsi="Times New Roman"/>
          <w:sz w:val="17"/>
          <w:szCs w:val="17"/>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150" w:lineRule="exact"/>
        <w:rPr>
          <w:sz w:val="20"/>
          <w:szCs w:val="20"/>
          <w:color w:val="auto"/>
        </w:rPr>
      </w:pPr>
    </w:p>
    <w:p>
      <w:pPr>
        <w:ind w:left="1180" w:right="699" w:firstLine="337"/>
        <w:spacing w:after="0" w:line="262"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For additional information about us please refer to the documents set forth under “Where You Can Find </w:t>
      </w:r>
      <w:hyperlink r:id="rId85">
        <w:r>
          <w:rPr>
            <w:rFonts w:ascii="Times New Roman" w:cs="Times New Roman" w:eastAsia="Times New Roman" w:hAnsi="Times New Roman"/>
            <w:sz w:val="17"/>
            <w:szCs w:val="17"/>
            <w:color w:val="auto"/>
          </w:rPr>
          <w:t xml:space="preserve">More Information” in this prospectus, including our </w:t>
        </w:r>
        <w:r>
          <w:rPr>
            <w:rFonts w:ascii="Times New Roman" w:cs="Times New Roman" w:eastAsia="Times New Roman" w:hAnsi="Times New Roman"/>
            <w:sz w:val="17"/>
            <w:szCs w:val="17"/>
            <w:u w:val="single" w:color="auto"/>
            <w:color w:val="0000EE"/>
          </w:rPr>
          <w:t>Annual Report on Form 10-K for the fiscal year ended</w:t>
        </w:r>
      </w:hyperlink>
      <w:r>
        <w:rPr>
          <w:rFonts w:ascii="Times New Roman" w:cs="Times New Roman" w:eastAsia="Times New Roman" w:hAnsi="Times New Roman"/>
          <w:sz w:val="17"/>
          <w:szCs w:val="17"/>
          <w:color w:val="auto"/>
        </w:rPr>
        <w:t xml:space="preserve"> </w:t>
      </w:r>
      <w:hyperlink r:id="rId85">
        <w:r>
          <w:rPr>
            <w:rFonts w:ascii="Times New Roman" w:cs="Times New Roman" w:eastAsia="Times New Roman" w:hAnsi="Times New Roman"/>
            <w:sz w:val="17"/>
            <w:szCs w:val="17"/>
            <w:u w:val="single" w:color="auto"/>
            <w:color w:val="0000EE"/>
          </w:rPr>
          <w:t>December 31, 2020 (File No. 001-14569)</w:t>
        </w:r>
        <w:r>
          <w:rPr>
            <w:rFonts w:ascii="Times New Roman" w:cs="Times New Roman" w:eastAsia="Times New Roman" w:hAnsi="Times New Roman"/>
            <w:sz w:val="17"/>
            <w:szCs w:val="17"/>
            <w:color w:val="000000"/>
          </w:rPr>
          <w:t>, which is incorporated by reference herein.</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50" w:lineRule="exact"/>
        <w:rPr>
          <w:sz w:val="20"/>
          <w:szCs w:val="20"/>
          <w:color w:val="auto"/>
        </w:rPr>
      </w:pPr>
    </w:p>
    <w:p>
      <w:pPr>
        <w:ind w:left="1180" w:right="679" w:firstLine="337"/>
        <w:spacing w:after="0" w:line="251"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An investment in our securities involves a high degree of risk. Before you invest in our securities, you </w:t>
      </w:r>
      <w:hyperlink r:id="rId85">
        <w:r>
          <w:rPr>
            <w:rFonts w:ascii="Times New Roman" w:cs="Times New Roman" w:eastAsia="Times New Roman" w:hAnsi="Times New Roman"/>
            <w:sz w:val="17"/>
            <w:szCs w:val="17"/>
            <w:color w:val="auto"/>
          </w:rPr>
          <w:t xml:space="preserve">should carefully consider the risk factors included in Item 1A. “Risk Factors” in our </w:t>
        </w:r>
        <w:r>
          <w:rPr>
            <w:rFonts w:ascii="Times New Roman" w:cs="Times New Roman" w:eastAsia="Times New Roman" w:hAnsi="Times New Roman"/>
            <w:sz w:val="17"/>
            <w:szCs w:val="17"/>
            <w:u w:val="single" w:color="auto"/>
            <w:color w:val="0000EE"/>
          </w:rPr>
          <w:t>Annual Report on Form</w:t>
        </w:r>
      </w:hyperlink>
      <w:r>
        <w:rPr>
          <w:rFonts w:ascii="Times New Roman" w:cs="Times New Roman" w:eastAsia="Times New Roman" w:hAnsi="Times New Roman"/>
          <w:sz w:val="17"/>
          <w:szCs w:val="17"/>
          <w:color w:val="auto"/>
        </w:rPr>
        <w:t xml:space="preserve"> </w:t>
      </w:r>
      <w:hyperlink r:id="rId85">
        <w:r>
          <w:rPr>
            <w:rFonts w:ascii="Times New Roman" w:cs="Times New Roman" w:eastAsia="Times New Roman" w:hAnsi="Times New Roman"/>
            <w:sz w:val="17"/>
            <w:szCs w:val="17"/>
            <w:u w:val="single" w:color="auto"/>
            <w:color w:val="0000EE"/>
          </w:rPr>
          <w:t>10-K for the year ended December 31, 2020 (File No. 001-14569)</w:t>
        </w:r>
        <w:r>
          <w:rPr>
            <w:rFonts w:ascii="Times New Roman" w:cs="Times New Roman" w:eastAsia="Times New Roman" w:hAnsi="Times New Roman"/>
            <w:sz w:val="17"/>
            <w:szCs w:val="17"/>
            <w:color w:val="000000"/>
          </w:rPr>
          <w:t>, which is incorporated into this</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50" w:lineRule="exact"/>
        <w:rPr>
          <w:sz w:val="20"/>
          <w:szCs w:val="20"/>
          <w:color w:val="auto"/>
        </w:rPr>
      </w:pPr>
    </w:p>
    <w:p>
      <w:pPr>
        <w:ind w:left="1180" w:right="719" w:firstLine="337"/>
        <w:spacing w:after="0" w:line="257" w:lineRule="auto"/>
        <w:rPr>
          <w:sz w:val="20"/>
          <w:szCs w:val="20"/>
          <w:color w:val="auto"/>
        </w:rPr>
      </w:pPr>
      <w:r>
        <w:rPr>
          <w:rFonts w:ascii="Times New Roman" w:cs="Times New Roman" w:eastAsia="Times New Roman" w:hAnsi="Times New Roman"/>
          <w:sz w:val="17"/>
          <w:szCs w:val="17"/>
          <w:color w:val="auto"/>
        </w:rPr>
        <w:t>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w:t>
      </w:r>
    </w:p>
    <w:p>
      <w:pPr>
        <w:spacing w:after="0" w:line="110" w:lineRule="exact"/>
        <w:rPr>
          <w:sz w:val="20"/>
          <w:szCs w:val="20"/>
          <w:color w:val="auto"/>
        </w:rPr>
      </w:pPr>
    </w:p>
    <w:p>
      <w:pPr>
        <w:ind w:left="1180" w:right="1039" w:firstLine="337"/>
        <w:spacing w:after="0" w:line="275" w:lineRule="auto"/>
        <w:rPr>
          <w:sz w:val="20"/>
          <w:szCs w:val="20"/>
          <w:color w:val="auto"/>
        </w:rPr>
      </w:pPr>
      <w:r>
        <w:rPr>
          <w:rFonts w:ascii="Times New Roman" w:cs="Times New Roman" w:eastAsia="Times New Roman" w:hAnsi="Times New Roman"/>
          <w:sz w:val="17"/>
          <w:szCs w:val="17"/>
          <w:color w:val="auto"/>
        </w:rPr>
        <w:t>Any specific allocation of the net proceeds of an offering of securities to a specific purpose will be determined at the time of the offering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DESCRIPTION OF OUR DEBT SECURITIES</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The debt securities will be:</w:t>
      </w:r>
    </w:p>
    <w:p>
      <w:pPr>
        <w:spacing w:after="0" w:line="108" w:lineRule="exact"/>
        <w:rPr>
          <w:sz w:val="20"/>
          <w:szCs w:val="20"/>
          <w:color w:val="auto"/>
        </w:rPr>
      </w:pPr>
    </w:p>
    <w:p>
      <w:pPr>
        <w:ind w:left="1680" w:hanging="160"/>
        <w:spacing w:after="0"/>
        <w:tabs>
          <w:tab w:leader="none" w:pos="1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 general obligations;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senior debt securities or subordinated debt securities; and</w:t>
      </w:r>
    </w:p>
    <w:p>
      <w:pPr>
        <w:spacing w:after="0" w:line="107" w:lineRule="exact"/>
        <w:rPr>
          <w:rFonts w:ascii="Times New Roman" w:cs="Times New Roman" w:eastAsia="Times New Roman" w:hAnsi="Times New Roman"/>
          <w:sz w:val="17"/>
          <w:szCs w:val="17"/>
          <w:color w:val="auto"/>
        </w:rPr>
      </w:pPr>
    </w:p>
    <w:p>
      <w:pPr>
        <w:ind w:left="1680" w:right="1019" w:hanging="160"/>
        <w:spacing w:after="0" w:line="275" w:lineRule="auto"/>
        <w:tabs>
          <w:tab w:leader="none" w:pos="1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under separate indentures (which may be existing indentures) among Plains All American Pipeline, PAA Finance and U.S. Bank National Association, as successor Trustee.</w:t>
      </w:r>
    </w:p>
    <w:p>
      <w:pPr>
        <w:spacing w:after="0" w:line="95" w:lineRule="exact"/>
        <w:rPr>
          <w:sz w:val="20"/>
          <w:szCs w:val="20"/>
          <w:color w:val="auto"/>
        </w:rPr>
      </w:pPr>
    </w:p>
    <w:p>
      <w:pPr>
        <w:ind w:left="1180" w:right="679" w:firstLine="337"/>
        <w:spacing w:after="0" w:line="252" w:lineRule="auto"/>
        <w:rPr>
          <w:sz w:val="20"/>
          <w:szCs w:val="20"/>
          <w:color w:val="auto"/>
        </w:rPr>
      </w:pPr>
      <w:r>
        <w:rPr>
          <w:rFonts w:ascii="Times New Roman" w:cs="Times New Roman" w:eastAsia="Times New Roman" w:hAnsi="Times New Roman"/>
          <w:sz w:val="17"/>
          <w:szCs w:val="17"/>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14" w:lineRule="exact"/>
        <w:rPr>
          <w:sz w:val="20"/>
          <w:szCs w:val="20"/>
          <w:color w:val="auto"/>
        </w:rPr>
      </w:pPr>
    </w:p>
    <w:p>
      <w:pPr>
        <w:ind w:left="1180" w:right="739" w:firstLine="337"/>
        <w:spacing w:after="0" w:line="253" w:lineRule="auto"/>
        <w:rPr>
          <w:sz w:val="20"/>
          <w:szCs w:val="20"/>
          <w:color w:val="auto"/>
        </w:rPr>
      </w:pPr>
      <w:r>
        <w:rPr>
          <w:rFonts w:ascii="Times New Roman" w:cs="Times New Roman" w:eastAsia="Times New Roman" w:hAnsi="Times New Roman"/>
          <w:sz w:val="17"/>
          <w:szCs w:val="17"/>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Specific Terms of Each Series of Debt Securities in the Prospectus Supplement</w:t>
      </w:r>
    </w:p>
    <w:p>
      <w:pPr>
        <w:spacing w:after="0" w:line="137" w:lineRule="exact"/>
        <w:rPr>
          <w:sz w:val="20"/>
          <w:szCs w:val="20"/>
          <w:color w:val="auto"/>
        </w:rPr>
      </w:pPr>
    </w:p>
    <w:p>
      <w:pPr>
        <w:jc w:val="both"/>
        <w:ind w:left="1180" w:right="739" w:firstLine="337"/>
        <w:spacing w:after="0" w:line="262" w:lineRule="auto"/>
        <w:rPr>
          <w:sz w:val="20"/>
          <w:szCs w:val="20"/>
          <w:color w:val="auto"/>
        </w:rPr>
      </w:pPr>
      <w:r>
        <w:rPr>
          <w:rFonts w:ascii="Times New Roman" w:cs="Times New Roman" w:eastAsia="Times New Roman" w:hAnsi="Times New Roman"/>
          <w:sz w:val="17"/>
          <w:szCs w:val="17"/>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67" w:lineRule="exact"/>
        <w:rPr>
          <w:sz w:val="20"/>
          <w:szCs w:val="20"/>
          <w:color w:val="auto"/>
        </w:rPr>
      </w:pPr>
    </w:p>
    <w:p>
      <w:pPr>
        <w:ind w:left="1680" w:hanging="160"/>
        <w:spacing w:after="0"/>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PAA Finance will be a co-issuer of the debt securities;</w:t>
      </w:r>
    </w:p>
    <w:p>
      <w:pPr>
        <w:spacing w:after="0" w:line="120"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are senior or subordinated debt securities;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debt securities;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principal amount of the debt securities;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assets, if any, that are pledged as security for the payment of the debt securities;</w:t>
      </w:r>
    </w:p>
    <w:p>
      <w:pPr>
        <w:spacing w:after="0" w:line="107" w:lineRule="exact"/>
        <w:rPr>
          <w:rFonts w:ascii="Times New Roman" w:cs="Times New Roman" w:eastAsia="Times New Roman" w:hAnsi="Times New Roman"/>
          <w:sz w:val="17"/>
          <w:szCs w:val="17"/>
          <w:color w:val="auto"/>
        </w:rPr>
      </w:pPr>
    </w:p>
    <w:p>
      <w:pPr>
        <w:ind w:left="1680" w:right="739" w:hanging="160"/>
        <w:spacing w:after="0" w:line="275" w:lineRule="auto"/>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will issue the debt securities in individual certificates to each holder in registered form, or in the form of temporary or permanent global securities held by a depository on behalf of holders;</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at which we will issue the debt securities;</w:t>
      </w:r>
    </w:p>
    <w:p>
      <w:pPr>
        <w:spacing w:after="0" w:line="107" w:lineRule="exact"/>
        <w:rPr>
          <w:rFonts w:ascii="Times New Roman" w:cs="Times New Roman" w:eastAsia="Times New Roman" w:hAnsi="Times New Roman"/>
          <w:sz w:val="17"/>
          <w:szCs w:val="17"/>
          <w:color w:val="auto"/>
        </w:rPr>
      </w:pPr>
    </w:p>
    <w:p>
      <w:pPr>
        <w:ind w:left="1680" w:right="1199" w:hanging="160"/>
        <w:spacing w:after="0" w:line="275" w:lineRule="auto"/>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the principal amount that will be payable if the maturity of the debt securities is accelerated;</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currency unit in which the debt securities will be payable, if not U.S. dollars;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on which the principal of the debt securities will be payable;</w:t>
      </w:r>
    </w:p>
    <w:p>
      <w:pPr>
        <w:spacing w:after="0" w:line="107" w:lineRule="exact"/>
        <w:rPr>
          <w:rFonts w:ascii="Times New Roman" w:cs="Times New Roman" w:eastAsia="Times New Roman" w:hAnsi="Times New Roman"/>
          <w:sz w:val="17"/>
          <w:szCs w:val="17"/>
          <w:color w:val="auto"/>
        </w:rPr>
      </w:pPr>
    </w:p>
    <w:p>
      <w:pPr>
        <w:ind w:left="1680" w:right="1399" w:hanging="160"/>
        <w:spacing w:after="0" w:line="275" w:lineRule="auto"/>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that the debt securities will bear and the interest payment dates for the debt securities;</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conversion or exchange provisions;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optional redemption provisions;</w:t>
      </w:r>
    </w:p>
    <w:p>
      <w:pPr>
        <w:spacing w:after="0" w:line="107" w:lineRule="exact"/>
        <w:rPr>
          <w:rFonts w:ascii="Times New Roman" w:cs="Times New Roman" w:eastAsia="Times New Roman" w:hAnsi="Times New Roman"/>
          <w:sz w:val="17"/>
          <w:szCs w:val="17"/>
          <w:color w:val="auto"/>
        </w:rPr>
      </w:pPr>
    </w:p>
    <w:p>
      <w:pPr>
        <w:ind w:left="1680" w:right="939" w:hanging="160"/>
        <w:spacing w:after="0" w:line="275" w:lineRule="auto"/>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sinking fund or other provisions that would obligate us to repurchase or otherwise redeem the debt securities;</w:t>
      </w:r>
    </w:p>
    <w:p>
      <w:pPr>
        <w:spacing w:after="0" w:line="3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39635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80" w:hanging="160"/>
        <w:spacing w:after="0"/>
        <w:tabs>
          <w:tab w:leader="none" w:pos="1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to or additional events of default or covenants; and</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debt securities.</w:t>
      </w:r>
    </w:p>
    <w:p>
      <w:pPr>
        <w:spacing w:after="0" w:line="146" w:lineRule="exact"/>
        <w:rPr>
          <w:sz w:val="20"/>
          <w:szCs w:val="20"/>
          <w:color w:val="auto"/>
        </w:rPr>
      </w:pPr>
    </w:p>
    <w:p>
      <w:pPr>
        <w:ind w:left="1180" w:right="699" w:firstLine="337"/>
        <w:spacing w:after="0" w:line="243" w:lineRule="auto"/>
        <w:rPr>
          <w:sz w:val="20"/>
          <w:szCs w:val="20"/>
          <w:color w:val="auto"/>
        </w:rPr>
      </w:pPr>
      <w:r>
        <w:rPr>
          <w:rFonts w:ascii="Times New Roman" w:cs="Times New Roman" w:eastAsia="Times New Roman" w:hAnsi="Times New Roman"/>
          <w:sz w:val="17"/>
          <w:szCs w:val="17"/>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Possible Future Guarantees</w:t>
      </w:r>
    </w:p>
    <w:p>
      <w:pPr>
        <w:spacing w:after="0" w:line="150" w:lineRule="exact"/>
        <w:rPr>
          <w:sz w:val="20"/>
          <w:szCs w:val="20"/>
          <w:color w:val="auto"/>
        </w:rPr>
      </w:pPr>
    </w:p>
    <w:p>
      <w:pPr>
        <w:ind w:left="1180" w:right="899" w:firstLine="337"/>
        <w:spacing w:after="0" w:line="243" w:lineRule="auto"/>
        <w:rPr>
          <w:sz w:val="20"/>
          <w:szCs w:val="20"/>
          <w:color w:val="auto"/>
        </w:rPr>
      </w:pPr>
      <w:r>
        <w:rPr>
          <w:rFonts w:ascii="Times New Roman" w:cs="Times New Roman" w:eastAsia="Times New Roman" w:hAnsi="Times New Roman"/>
          <w:sz w:val="17"/>
          <w:szCs w:val="17"/>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10" w:lineRule="exact"/>
        <w:rPr>
          <w:sz w:val="20"/>
          <w:szCs w:val="20"/>
          <w:color w:val="auto"/>
        </w:rPr>
      </w:pPr>
    </w:p>
    <w:p>
      <w:pPr>
        <w:ind w:left="1180" w:right="939" w:firstLine="337"/>
        <w:spacing w:after="0" w:line="242" w:lineRule="auto"/>
        <w:rPr>
          <w:sz w:val="20"/>
          <w:szCs w:val="20"/>
          <w:color w:val="auto"/>
        </w:rPr>
      </w:pPr>
      <w:r>
        <w:rPr>
          <w:rFonts w:ascii="Times New Roman" w:cs="Times New Roman" w:eastAsia="Times New Roman" w:hAnsi="Times New Roman"/>
          <w:sz w:val="17"/>
          <w:szCs w:val="17"/>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11" w:lineRule="exact"/>
        <w:rPr>
          <w:sz w:val="20"/>
          <w:szCs w:val="20"/>
          <w:color w:val="auto"/>
        </w:rPr>
      </w:pPr>
    </w:p>
    <w:p>
      <w:pPr>
        <w:ind w:left="1180" w:right="899" w:firstLine="337"/>
        <w:spacing w:after="0" w:line="254" w:lineRule="auto"/>
        <w:rPr>
          <w:sz w:val="20"/>
          <w:szCs w:val="20"/>
          <w:color w:val="auto"/>
        </w:rPr>
      </w:pPr>
      <w:r>
        <w:rPr>
          <w:rFonts w:ascii="Times New Roman" w:cs="Times New Roman" w:eastAsia="Times New Roman" w:hAnsi="Times New Roman"/>
          <w:sz w:val="17"/>
          <w:szCs w:val="17"/>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Consolidation, Merger or Asset Sale</w:t>
      </w:r>
    </w:p>
    <w:p>
      <w:pPr>
        <w:spacing w:after="0" w:line="150" w:lineRule="exact"/>
        <w:rPr>
          <w:sz w:val="20"/>
          <w:szCs w:val="20"/>
          <w:color w:val="auto"/>
        </w:rPr>
      </w:pPr>
    </w:p>
    <w:p>
      <w:pPr>
        <w:ind w:left="1180" w:right="699" w:firstLine="337"/>
        <w:spacing w:after="0" w:line="243" w:lineRule="auto"/>
        <w:rPr>
          <w:sz w:val="20"/>
          <w:szCs w:val="20"/>
          <w:color w:val="auto"/>
        </w:rPr>
      </w:pPr>
      <w:r>
        <w:rPr>
          <w:rFonts w:ascii="Times New Roman" w:cs="Times New Roman" w:eastAsia="Times New Roman" w:hAnsi="Times New Roman"/>
          <w:sz w:val="17"/>
          <w:szCs w:val="17"/>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10" w:lineRule="exact"/>
        <w:rPr>
          <w:sz w:val="20"/>
          <w:szCs w:val="20"/>
          <w:color w:val="auto"/>
        </w:rPr>
      </w:pPr>
    </w:p>
    <w:p>
      <w:pPr>
        <w:jc w:val="both"/>
        <w:ind w:left="1180" w:right="759" w:firstLine="337"/>
        <w:spacing w:after="0" w:line="254" w:lineRule="auto"/>
        <w:rPr>
          <w:sz w:val="20"/>
          <w:szCs w:val="20"/>
          <w:color w:val="auto"/>
        </w:rPr>
      </w:pPr>
      <w:r>
        <w:rPr>
          <w:rFonts w:ascii="Times New Roman" w:cs="Times New Roman" w:eastAsia="Times New Roman" w:hAnsi="Times New Roman"/>
          <w:sz w:val="17"/>
          <w:szCs w:val="17"/>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62" w:lineRule="exact"/>
        <w:rPr>
          <w:sz w:val="20"/>
          <w:szCs w:val="20"/>
          <w:color w:val="auto"/>
        </w:rPr>
      </w:pPr>
    </w:p>
    <w:p>
      <w:pPr>
        <w:ind w:left="1680" w:right="679" w:hanging="160"/>
        <w:spacing w:after="0" w:line="257" w:lineRule="auto"/>
        <w:tabs>
          <w:tab w:leader="none" w:pos="1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or acquiring entity must assume the issuer’s obligations under the indenture; and</w:t>
      </w:r>
    </w:p>
    <w:p>
      <w:pPr>
        <w:spacing w:after="0" w:line="107" w:lineRule="exact"/>
        <w:rPr>
          <w:rFonts w:ascii="Times New Roman" w:cs="Times New Roman" w:eastAsia="Times New Roman" w:hAnsi="Times New Roman"/>
          <w:sz w:val="17"/>
          <w:szCs w:val="17"/>
          <w:color w:val="auto"/>
        </w:rPr>
      </w:pPr>
    </w:p>
    <w:p>
      <w:pPr>
        <w:ind w:left="1680" w:right="879" w:hanging="160"/>
        <w:spacing w:after="0" w:line="275" w:lineRule="auto"/>
        <w:tabs>
          <w:tab w:leader="none" w:pos="1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(as defined under “— Events of Default and Remedies” below) may exist.</w:t>
      </w:r>
    </w:p>
    <w:p>
      <w:pPr>
        <w:spacing w:after="0" w:line="95" w:lineRule="exact"/>
        <w:rPr>
          <w:sz w:val="20"/>
          <w:szCs w:val="20"/>
          <w:color w:val="auto"/>
        </w:rPr>
      </w:pPr>
    </w:p>
    <w:p>
      <w:pPr>
        <w:ind w:left="1180" w:right="699" w:firstLine="337"/>
        <w:spacing w:after="0" w:line="254" w:lineRule="auto"/>
        <w:rPr>
          <w:sz w:val="20"/>
          <w:szCs w:val="20"/>
          <w:color w:val="auto"/>
        </w:rPr>
      </w:pPr>
      <w:r>
        <w:rPr>
          <w:rFonts w:ascii="Times New Roman" w:cs="Times New Roman" w:eastAsia="Times New Roman" w:hAnsi="Times New Roman"/>
          <w:sz w:val="17"/>
          <w:szCs w:val="17"/>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No Protection in the Event of a Change of Control</w:t>
      </w:r>
    </w:p>
    <w:p>
      <w:pPr>
        <w:spacing w:after="0" w:line="1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Unless otherwise set forth in the prospectus supplement, the debt securities will not contain any</w:t>
      </w:r>
    </w:p>
    <w:p>
      <w:pPr>
        <w:spacing w:after="0" w:line="23" w:lineRule="exact"/>
        <w:rPr>
          <w:sz w:val="20"/>
          <w:szCs w:val="20"/>
          <w:color w:val="auto"/>
        </w:rPr>
      </w:pPr>
    </w:p>
    <w:p>
      <w:pPr>
        <w:ind w:left="1180" w:right="759"/>
        <w:spacing w:after="0"/>
        <w:rPr>
          <w:sz w:val="20"/>
          <w:szCs w:val="20"/>
          <w:color w:val="auto"/>
        </w:rPr>
      </w:pPr>
      <w:r>
        <w:rPr>
          <w:rFonts w:ascii="Times New Roman" w:cs="Times New Roman" w:eastAsia="Times New Roman" w:hAnsi="Times New Roman"/>
          <w:sz w:val="17"/>
          <w:szCs w:val="17"/>
          <w:color w:val="auto"/>
        </w:rPr>
        <w:t>provisions that protect the holders of the debt securities in the event of a change of control of us or in the event of a highly leveraged transaction, whether or not such transaction results in a change of control of us.</w:t>
      </w:r>
    </w:p>
    <w:p>
      <w:pPr>
        <w:spacing w:after="0" w:line="35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Modification of Indentures</w:t>
      </w:r>
    </w:p>
    <w:p>
      <w:pPr>
        <w:spacing w:after="0" w:line="150" w:lineRule="exact"/>
        <w:rPr>
          <w:sz w:val="20"/>
          <w:szCs w:val="20"/>
          <w:color w:val="auto"/>
        </w:rPr>
      </w:pPr>
    </w:p>
    <w:p>
      <w:pPr>
        <w:ind w:left="1180" w:right="719" w:firstLine="337"/>
        <w:spacing w:after="0" w:line="241" w:lineRule="auto"/>
        <w:rPr>
          <w:sz w:val="20"/>
          <w:szCs w:val="20"/>
          <w:color w:val="auto"/>
        </w:rPr>
      </w:pPr>
      <w:r>
        <w:rPr>
          <w:rFonts w:ascii="Times New Roman" w:cs="Times New Roman" w:eastAsia="Times New Roman" w:hAnsi="Times New Roman"/>
          <w:sz w:val="17"/>
          <w:szCs w:val="17"/>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72" w:lineRule="exact"/>
        <w:rPr>
          <w:sz w:val="20"/>
          <w:szCs w:val="20"/>
          <w:color w:val="auto"/>
        </w:rPr>
      </w:pPr>
    </w:p>
    <w:p>
      <w:pPr>
        <w:ind w:left="1680" w:right="1299" w:hanging="160"/>
        <w:spacing w:after="0" w:line="275" w:lineRule="auto"/>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debt securities whose holders must consent to an amendment, supplement or waiver;</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or change the fixed maturity of any debt security;</w:t>
      </w:r>
    </w:p>
    <w:p>
      <w:pPr>
        <w:spacing w:after="0" w:line="95" w:lineRule="exact"/>
        <w:rPr>
          <w:rFonts w:ascii="Times New Roman" w:cs="Times New Roman" w:eastAsia="Times New Roman" w:hAnsi="Times New Roman"/>
          <w:sz w:val="17"/>
          <w:szCs w:val="17"/>
          <w:color w:val="auto"/>
        </w:rPr>
      </w:pPr>
    </w:p>
    <w:p>
      <w:pPr>
        <w:jc w:val="both"/>
        <w:ind w:left="1680" w:right="779" w:hanging="160"/>
        <w:spacing w:after="0" w:line="262" w:lineRule="auto"/>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6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change the time for payment of interest on any debt security;</w:t>
      </w:r>
    </w:p>
    <w:p>
      <w:pPr>
        <w:spacing w:after="0" w:line="107" w:lineRule="exact"/>
        <w:rPr>
          <w:rFonts w:ascii="Times New Roman" w:cs="Times New Roman" w:eastAsia="Times New Roman" w:hAnsi="Times New Roman"/>
          <w:sz w:val="17"/>
          <w:szCs w:val="17"/>
          <w:color w:val="auto"/>
        </w:rPr>
      </w:pPr>
    </w:p>
    <w:p>
      <w:pPr>
        <w:ind w:left="1680" w:right="799" w:hanging="160"/>
        <w:spacing w:after="0" w:line="257" w:lineRule="auto"/>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Times New Roman" w:cs="Times New Roman" w:eastAsia="Times New Roman" w:hAnsi="Times New Roman"/>
          <w:sz w:val="17"/>
          <w:szCs w:val="17"/>
          <w:color w:val="auto"/>
        </w:rPr>
      </w:pPr>
    </w:p>
    <w:p>
      <w:pPr>
        <w:ind w:left="1680" w:right="859" w:hanging="160"/>
        <w:spacing w:after="0" w:line="275" w:lineRule="auto"/>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permitted under the indenture, release any security that may have been granted with respect to the debt securities;</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debt security payable in currency other than that stated in the debt securities;</w:t>
      </w:r>
    </w:p>
    <w:p>
      <w:pPr>
        <w:spacing w:after="0" w:line="107" w:lineRule="exact"/>
        <w:rPr>
          <w:rFonts w:ascii="Times New Roman" w:cs="Times New Roman" w:eastAsia="Times New Roman" w:hAnsi="Times New Roman"/>
          <w:sz w:val="17"/>
          <w:szCs w:val="17"/>
          <w:color w:val="auto"/>
        </w:rPr>
      </w:pPr>
    </w:p>
    <w:p>
      <w:pPr>
        <w:ind w:left="1680" w:right="859" w:hanging="160"/>
        <w:spacing w:after="0" w:line="275" w:lineRule="auto"/>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subordinated debt security, make any change in the subordination provisions that adversely affects the rights of any holder under those provisions;</w:t>
      </w:r>
    </w:p>
    <w:p>
      <w:pPr>
        <w:spacing w:after="0" w:line="44" w:lineRule="exact"/>
        <w:rPr>
          <w:rFonts w:ascii="Times New Roman" w:cs="Times New Roman" w:eastAsia="Times New Roman" w:hAnsi="Times New Roman"/>
          <w:sz w:val="17"/>
          <w:szCs w:val="17"/>
          <w:color w:val="auto"/>
        </w:rPr>
      </w:pPr>
    </w:p>
    <w:p>
      <w:pPr>
        <w:ind w:left="1680" w:right="719" w:hanging="160"/>
        <w:spacing w:after="0" w:line="262" w:lineRule="auto"/>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67" w:lineRule="exact"/>
        <w:rPr>
          <w:rFonts w:ascii="Times New Roman" w:cs="Times New Roman" w:eastAsia="Times New Roman" w:hAnsi="Times New Roman"/>
          <w:sz w:val="17"/>
          <w:szCs w:val="17"/>
          <w:color w:val="auto"/>
        </w:rPr>
      </w:pPr>
    </w:p>
    <w:p>
      <w:pPr>
        <w:ind w:left="1680" w:right="999" w:hanging="160"/>
        <w:spacing w:after="0" w:line="275" w:lineRule="auto"/>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redemption payment with respect to any debt security (except as may be permitted in the case of a particular series of debt securities);</w:t>
      </w:r>
    </w:p>
    <w:p>
      <w:pPr>
        <w:spacing w:after="0" w:line="57" w:lineRule="exact"/>
        <w:rPr>
          <w:rFonts w:ascii="Times New Roman" w:cs="Times New Roman" w:eastAsia="Times New Roman" w:hAnsi="Times New Roman"/>
          <w:sz w:val="17"/>
          <w:szCs w:val="17"/>
          <w:color w:val="auto"/>
        </w:rPr>
      </w:pPr>
    </w:p>
    <w:p>
      <w:pPr>
        <w:ind w:left="1680" w:right="899" w:hanging="160"/>
        <w:spacing w:after="0" w:line="262" w:lineRule="auto"/>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67" w:lineRule="exact"/>
        <w:rPr>
          <w:rFonts w:ascii="Times New Roman" w:cs="Times New Roman" w:eastAsia="Times New Roman" w:hAnsi="Times New Roman"/>
          <w:sz w:val="17"/>
          <w:szCs w:val="17"/>
          <w:color w:val="auto"/>
        </w:rPr>
      </w:pPr>
    </w:p>
    <w:p>
      <w:pPr>
        <w:ind w:left="1680" w:right="719" w:hanging="160"/>
        <w:spacing w:after="0" w:line="275" w:lineRule="auto"/>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the preceding amendment, supplement and waiver provisions (except to increase any percentage set forth therein).</w:t>
      </w:r>
    </w:p>
    <w:p>
      <w:pPr>
        <w:spacing w:after="0" w:line="83" w:lineRule="exact"/>
        <w:rPr>
          <w:sz w:val="20"/>
          <w:szCs w:val="20"/>
          <w:color w:val="auto"/>
        </w:rPr>
      </w:pPr>
    </w:p>
    <w:p>
      <w:pPr>
        <w:ind w:left="1180" w:right="779" w:firstLine="337"/>
        <w:spacing w:after="0" w:line="275" w:lineRule="auto"/>
        <w:rPr>
          <w:sz w:val="20"/>
          <w:szCs w:val="20"/>
          <w:color w:val="auto"/>
        </w:rPr>
      </w:pPr>
      <w:r>
        <w:rPr>
          <w:rFonts w:ascii="Times New Roman" w:cs="Times New Roman" w:eastAsia="Times New Roman" w:hAnsi="Times New Roman"/>
          <w:sz w:val="17"/>
          <w:szCs w:val="17"/>
          <w:color w:val="auto"/>
        </w:rPr>
        <w:t>We may supplement or amend an indenture without the consent of any holders of the debt securities in certain circumstances, including:</w:t>
      </w:r>
    </w:p>
    <w:p>
      <w:pPr>
        <w:spacing w:after="0" w:line="45" w:lineRule="exact"/>
        <w:rPr>
          <w:sz w:val="20"/>
          <w:szCs w:val="20"/>
          <w:color w:val="auto"/>
        </w:rPr>
      </w:pPr>
    </w:p>
    <w:p>
      <w:pPr>
        <w:ind w:left="1680" w:hanging="160"/>
        <w:spacing w:after="0"/>
        <w:tabs>
          <w:tab w:leader="none" w:pos="1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the form of terms of any series of debt securities;</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notes in addition to or in place of certificated notes;</w:t>
      </w:r>
    </w:p>
    <w:p>
      <w:pPr>
        <w:spacing w:after="0" w:line="107" w:lineRule="exact"/>
        <w:rPr>
          <w:rFonts w:ascii="Times New Roman" w:cs="Times New Roman" w:eastAsia="Times New Roman" w:hAnsi="Times New Roman"/>
          <w:sz w:val="17"/>
          <w:szCs w:val="17"/>
          <w:color w:val="auto"/>
        </w:rPr>
      </w:pPr>
    </w:p>
    <w:p>
      <w:pPr>
        <w:ind w:left="1680" w:right="839" w:hanging="160"/>
        <w:spacing w:after="0" w:line="275" w:lineRule="auto"/>
        <w:tabs>
          <w:tab w:leader="none" w:pos="1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assumption of an issuer’s obligations to holders of debt securities in the case of a merger or consolidation or disposition of all or substantially all of such issuer’s assets;</w:t>
      </w:r>
    </w:p>
    <w:p>
      <w:pPr>
        <w:spacing w:after="0" w:line="44" w:lineRule="exact"/>
        <w:rPr>
          <w:rFonts w:ascii="Times New Roman" w:cs="Times New Roman" w:eastAsia="Times New Roman" w:hAnsi="Times New Roman"/>
          <w:sz w:val="17"/>
          <w:szCs w:val="17"/>
          <w:color w:val="auto"/>
        </w:rPr>
      </w:pPr>
    </w:p>
    <w:p>
      <w:pPr>
        <w:jc w:val="both"/>
        <w:ind w:left="1680" w:right="939" w:hanging="160"/>
        <w:spacing w:after="0" w:line="262" w:lineRule="auto"/>
        <w:tabs>
          <w:tab w:leader="none" w:pos="1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subordinated debt security, to make any change in the subordination provisions that limits or terminates the benefits applicable to any holder of Senior Indebtedness of Plains All American Pipeline;</w:t>
      </w:r>
    </w:p>
    <w:p>
      <w:pPr>
        <w:spacing w:after="0" w:line="6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or release any guarantors pursuant to the terms of the indenture;</w:t>
      </w:r>
    </w:p>
    <w:p>
      <w:pPr>
        <w:spacing w:after="0" w:line="3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39635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80" w:right="1099" w:hanging="160"/>
        <w:spacing w:after="0" w:line="262" w:lineRule="auto"/>
        <w:tabs>
          <w:tab w:leader="none" w:pos="16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67" w:lineRule="exact"/>
        <w:rPr>
          <w:rFonts w:ascii="Times New Roman" w:cs="Times New Roman" w:eastAsia="Times New Roman" w:hAnsi="Times New Roman"/>
          <w:sz w:val="17"/>
          <w:szCs w:val="17"/>
          <w:color w:val="auto"/>
        </w:rPr>
      </w:pPr>
    </w:p>
    <w:p>
      <w:pPr>
        <w:ind w:left="1680" w:right="1259" w:hanging="160"/>
        <w:spacing w:after="0" w:line="275" w:lineRule="auto"/>
        <w:tabs>
          <w:tab w:leader="none" w:pos="16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requirements of the SEC in order to effect or maintain the qualification of the Indenture under the Trust Indenture Act;</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or provide for the acceptance of appointment under the indenture of a successor Trustee;</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any additional Events of Default; or</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secure the debt securities and/or any guarantees.</w:t>
      </w:r>
    </w:p>
    <w:p>
      <w:pPr>
        <w:spacing w:after="0" w:line="20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Events of Default and Remedies</w:t>
      </w:r>
    </w:p>
    <w:p>
      <w:pPr>
        <w:spacing w:after="0" w:line="137" w:lineRule="exact"/>
        <w:rPr>
          <w:sz w:val="20"/>
          <w:szCs w:val="20"/>
          <w:color w:val="auto"/>
        </w:rPr>
      </w:pPr>
    </w:p>
    <w:p>
      <w:pPr>
        <w:ind w:left="1180" w:right="779" w:firstLine="337"/>
        <w:spacing w:after="0" w:line="275" w:lineRule="auto"/>
        <w:rPr>
          <w:sz w:val="20"/>
          <w:szCs w:val="20"/>
          <w:color w:val="auto"/>
        </w:rPr>
      </w:pPr>
      <w:r>
        <w:rPr>
          <w:rFonts w:ascii="Times New Roman" w:cs="Times New Roman" w:eastAsia="Times New Roman" w:hAnsi="Times New Roman"/>
          <w:sz w:val="17"/>
          <w:szCs w:val="17"/>
          <w:color w:val="auto"/>
        </w:rPr>
        <w:t>“Event of Default,” when used in an indenture, will mean any of the following with respect to the debt securities of any series:</w:t>
      </w:r>
    </w:p>
    <w:p>
      <w:pPr>
        <w:spacing w:after="0" w:line="57" w:lineRule="exact"/>
        <w:rPr>
          <w:sz w:val="20"/>
          <w:szCs w:val="20"/>
          <w:color w:val="auto"/>
        </w:rPr>
      </w:pPr>
    </w:p>
    <w:p>
      <w:pPr>
        <w:ind w:left="1680" w:hanging="160"/>
        <w:spacing w:after="0"/>
        <w:tabs>
          <w:tab w:leader="none" w:pos="1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when due the principal of or any premium on any debt security of that series;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within 60 days of the due date, interest on any debt security of that series;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when due any sinking fund payment with respect to any debt securities of that series;</w:t>
      </w:r>
    </w:p>
    <w:p>
      <w:pPr>
        <w:spacing w:after="0" w:line="107" w:lineRule="exact"/>
        <w:rPr>
          <w:rFonts w:ascii="Times New Roman" w:cs="Times New Roman" w:eastAsia="Times New Roman" w:hAnsi="Times New Roman"/>
          <w:sz w:val="17"/>
          <w:szCs w:val="17"/>
          <w:color w:val="auto"/>
        </w:rPr>
      </w:pPr>
    </w:p>
    <w:p>
      <w:pPr>
        <w:ind w:left="1680" w:right="1019" w:hanging="160"/>
        <w:spacing w:after="0" w:line="275" w:lineRule="auto"/>
        <w:tabs>
          <w:tab w:leader="none" w:pos="1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on the part of the issuers to comply with the covenant described under “— Consolidation, Merger or Asset Sale;”</w:t>
      </w:r>
    </w:p>
    <w:p>
      <w:pPr>
        <w:spacing w:after="0" w:line="57" w:lineRule="exact"/>
        <w:rPr>
          <w:rFonts w:ascii="Times New Roman" w:cs="Times New Roman" w:eastAsia="Times New Roman" w:hAnsi="Times New Roman"/>
          <w:sz w:val="17"/>
          <w:szCs w:val="17"/>
          <w:color w:val="auto"/>
        </w:rPr>
      </w:pPr>
    </w:p>
    <w:p>
      <w:pPr>
        <w:ind w:left="1680" w:right="779" w:hanging="160"/>
        <w:spacing w:after="0" w:line="275" w:lineRule="auto"/>
        <w:tabs>
          <w:tab w:leader="none" w:pos="1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perform any other covenant in the indenture that continues for 30 days after written notice is given to the issuers;</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or reorganization of an issuer; or</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provided under the terms of the debt securities of that series.</w:t>
      </w:r>
    </w:p>
    <w:p>
      <w:pPr>
        <w:spacing w:after="0" w:line="146" w:lineRule="exact"/>
        <w:rPr>
          <w:sz w:val="20"/>
          <w:szCs w:val="20"/>
          <w:color w:val="auto"/>
        </w:rPr>
      </w:pPr>
    </w:p>
    <w:p>
      <w:pPr>
        <w:jc w:val="both"/>
        <w:ind w:left="1180" w:right="699" w:firstLine="337"/>
        <w:spacing w:after="0" w:line="257" w:lineRule="auto"/>
        <w:rPr>
          <w:sz w:val="20"/>
          <w:szCs w:val="20"/>
          <w:color w:val="auto"/>
        </w:rPr>
      </w:pPr>
      <w:r>
        <w:rPr>
          <w:rFonts w:ascii="Times New Roman" w:cs="Times New Roman" w:eastAsia="Times New Roman" w:hAnsi="Times New Roman"/>
          <w:sz w:val="17"/>
          <w:szCs w:val="17"/>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10" w:lineRule="exact"/>
        <w:rPr>
          <w:sz w:val="20"/>
          <w:szCs w:val="20"/>
          <w:color w:val="auto"/>
        </w:rPr>
      </w:pPr>
    </w:p>
    <w:p>
      <w:pPr>
        <w:ind w:left="1180" w:right="719" w:firstLine="337"/>
        <w:spacing w:after="0" w:line="255" w:lineRule="auto"/>
        <w:rPr>
          <w:sz w:val="20"/>
          <w:szCs w:val="20"/>
          <w:color w:val="auto"/>
        </w:rPr>
      </w:pPr>
      <w:r>
        <w:rPr>
          <w:rFonts w:ascii="Times New Roman" w:cs="Times New Roman" w:eastAsia="Times New Roman" w:hAnsi="Times New Roman"/>
          <w:sz w:val="17"/>
          <w:szCs w:val="17"/>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99" w:lineRule="exact"/>
        <w:rPr>
          <w:sz w:val="20"/>
          <w:szCs w:val="20"/>
          <w:color w:val="auto"/>
        </w:rPr>
      </w:pPr>
    </w:p>
    <w:p>
      <w:pPr>
        <w:ind w:left="1180" w:right="859" w:firstLine="337"/>
        <w:spacing w:after="0" w:line="253" w:lineRule="auto"/>
        <w:rPr>
          <w:sz w:val="20"/>
          <w:szCs w:val="20"/>
          <w:color w:val="auto"/>
        </w:rPr>
      </w:pPr>
      <w:r>
        <w:rPr>
          <w:rFonts w:ascii="Times New Roman" w:cs="Times New Roman" w:eastAsia="Times New Roman" w:hAnsi="Times New Roman"/>
          <w:sz w:val="17"/>
          <w:szCs w:val="17"/>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No Limit on Amount of Debt Securities</w:t>
      </w:r>
    </w:p>
    <w:p>
      <w:pPr>
        <w:spacing w:after="0" w:line="150" w:lineRule="exact"/>
        <w:rPr>
          <w:sz w:val="20"/>
          <w:szCs w:val="20"/>
          <w:color w:val="auto"/>
        </w:rPr>
      </w:pPr>
    </w:p>
    <w:p>
      <w:pPr>
        <w:ind w:left="1180" w:right="799" w:firstLine="337"/>
        <w:spacing w:after="0" w:line="262" w:lineRule="auto"/>
        <w:rPr>
          <w:sz w:val="20"/>
          <w:szCs w:val="20"/>
          <w:color w:val="auto"/>
        </w:rPr>
      </w:pPr>
      <w:r>
        <w:rPr>
          <w:rFonts w:ascii="Times New Roman" w:cs="Times New Roman" w:eastAsia="Times New Roman" w:hAnsi="Times New Roman"/>
          <w:sz w:val="17"/>
          <w:szCs w:val="17"/>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Registration of Notes</w:t>
      </w:r>
    </w:p>
    <w:p>
      <w:pPr>
        <w:spacing w:after="0" w:line="150" w:lineRule="exact"/>
        <w:rPr>
          <w:sz w:val="20"/>
          <w:szCs w:val="20"/>
          <w:color w:val="auto"/>
        </w:rPr>
      </w:pPr>
    </w:p>
    <w:p>
      <w:pPr>
        <w:ind w:left="1180" w:right="1059" w:firstLine="337"/>
        <w:spacing w:after="0" w:line="275" w:lineRule="auto"/>
        <w:rPr>
          <w:sz w:val="20"/>
          <w:szCs w:val="20"/>
          <w:color w:val="auto"/>
        </w:rPr>
      </w:pPr>
      <w:r>
        <w:rPr>
          <w:rFonts w:ascii="Times New Roman" w:cs="Times New Roman" w:eastAsia="Times New Roman" w:hAnsi="Times New Roman"/>
          <w:sz w:val="17"/>
          <w:szCs w:val="17"/>
          <w:color w:val="auto"/>
        </w:rPr>
        <w:t>We will issue debt securities of a series only in registered form, without coupons, unless otherwise indicated in the prospectus supplement.</w:t>
      </w:r>
    </w:p>
    <w:p>
      <w:pPr>
        <w:spacing w:after="0" w:line="3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Minimum Denominations</w:t>
      </w:r>
    </w:p>
    <w:p>
      <w:pPr>
        <w:spacing w:after="0" w:line="137" w:lineRule="exact"/>
        <w:rPr>
          <w:sz w:val="20"/>
          <w:szCs w:val="20"/>
          <w:color w:val="auto"/>
        </w:rPr>
      </w:pPr>
    </w:p>
    <w:p>
      <w:pPr>
        <w:ind w:left="1180" w:right="859" w:firstLine="337"/>
        <w:spacing w:after="0" w:line="275" w:lineRule="auto"/>
        <w:rPr>
          <w:sz w:val="20"/>
          <w:szCs w:val="20"/>
          <w:color w:val="auto"/>
        </w:rPr>
      </w:pPr>
      <w:r>
        <w:rPr>
          <w:rFonts w:ascii="Times New Roman" w:cs="Times New Roman" w:eastAsia="Times New Roman" w:hAnsi="Times New Roman"/>
          <w:sz w:val="17"/>
          <w:szCs w:val="17"/>
          <w:color w:val="auto"/>
        </w:rPr>
        <w:t>Unless the prospectus supplement states otherwise, the debt securities will be issued only in principal amounts of $1,000 each or integral multiples of $1,000.</w:t>
      </w:r>
    </w:p>
    <w:p>
      <w:pPr>
        <w:spacing w:after="0" w:line="14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No Personal Liability</w:t>
      </w:r>
    </w:p>
    <w:p>
      <w:pPr>
        <w:spacing w:after="0" w:line="137" w:lineRule="exact"/>
        <w:rPr>
          <w:sz w:val="20"/>
          <w:szCs w:val="20"/>
          <w:color w:val="auto"/>
        </w:rPr>
      </w:pPr>
    </w:p>
    <w:p>
      <w:pPr>
        <w:ind w:left="1180" w:right="719" w:firstLine="337"/>
        <w:spacing w:after="0" w:line="242" w:lineRule="auto"/>
        <w:rPr>
          <w:sz w:val="20"/>
          <w:szCs w:val="20"/>
          <w:color w:val="auto"/>
        </w:rPr>
      </w:pPr>
      <w:r>
        <w:rPr>
          <w:rFonts w:ascii="Times New Roman" w:cs="Times New Roman" w:eastAsia="Times New Roman" w:hAnsi="Times New Roman"/>
          <w:sz w:val="17"/>
          <w:szCs w:val="17"/>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Payment and Transfer</w:t>
      </w:r>
    </w:p>
    <w:p>
      <w:pPr>
        <w:spacing w:after="0" w:line="137" w:lineRule="exact"/>
        <w:rPr>
          <w:sz w:val="20"/>
          <w:szCs w:val="20"/>
          <w:color w:val="auto"/>
        </w:rPr>
      </w:pPr>
    </w:p>
    <w:p>
      <w:pPr>
        <w:ind w:left="1180" w:right="779" w:firstLine="337"/>
        <w:spacing w:after="0" w:line="254" w:lineRule="auto"/>
        <w:rPr>
          <w:sz w:val="20"/>
          <w:szCs w:val="20"/>
          <w:color w:val="auto"/>
        </w:rPr>
      </w:pPr>
      <w:r>
        <w:rPr>
          <w:rFonts w:ascii="Times New Roman" w:cs="Times New Roman" w:eastAsia="Times New Roman" w:hAnsi="Times New Roman"/>
          <w:sz w:val="17"/>
          <w:szCs w:val="17"/>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00" w:lineRule="exact"/>
        <w:rPr>
          <w:sz w:val="20"/>
          <w:szCs w:val="20"/>
          <w:color w:val="auto"/>
        </w:rPr>
      </w:pPr>
    </w:p>
    <w:p>
      <w:pPr>
        <w:ind w:left="1180" w:right="719" w:firstLine="337"/>
        <w:spacing w:after="0" w:line="247" w:lineRule="auto"/>
        <w:rPr>
          <w:sz w:val="20"/>
          <w:szCs w:val="20"/>
          <w:color w:val="auto"/>
        </w:rPr>
      </w:pPr>
      <w:r>
        <w:rPr>
          <w:rFonts w:ascii="Times New Roman" w:cs="Times New Roman" w:eastAsia="Times New Roman" w:hAnsi="Times New Roman"/>
          <w:sz w:val="17"/>
          <w:szCs w:val="17"/>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05" w:lineRule="exact"/>
        <w:rPr>
          <w:sz w:val="20"/>
          <w:szCs w:val="20"/>
          <w:color w:val="auto"/>
        </w:rPr>
      </w:pPr>
    </w:p>
    <w:p>
      <w:pPr>
        <w:ind w:left="1180" w:right="879" w:firstLine="337"/>
        <w:spacing w:after="0" w:line="248" w:lineRule="auto"/>
        <w:rPr>
          <w:sz w:val="20"/>
          <w:szCs w:val="20"/>
          <w:color w:val="auto"/>
        </w:rPr>
      </w:pPr>
      <w:r>
        <w:rPr>
          <w:rFonts w:ascii="Times New Roman" w:cs="Times New Roman" w:eastAsia="Times New Roman" w:hAnsi="Times New Roman"/>
          <w:sz w:val="17"/>
          <w:szCs w:val="17"/>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3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Exchange, Registration and Transfer</w:t>
      </w:r>
    </w:p>
    <w:p>
      <w:pPr>
        <w:spacing w:after="0" w:line="137" w:lineRule="exact"/>
        <w:rPr>
          <w:sz w:val="20"/>
          <w:szCs w:val="20"/>
          <w:color w:val="auto"/>
        </w:rPr>
      </w:pPr>
    </w:p>
    <w:p>
      <w:pPr>
        <w:ind w:left="1180" w:right="739" w:firstLine="337"/>
        <w:spacing w:after="0" w:line="242" w:lineRule="auto"/>
        <w:rPr>
          <w:sz w:val="20"/>
          <w:szCs w:val="20"/>
          <w:color w:val="auto"/>
        </w:rPr>
      </w:pPr>
      <w:r>
        <w:rPr>
          <w:rFonts w:ascii="Times New Roman" w:cs="Times New Roman" w:eastAsia="Times New Roman" w:hAnsi="Times New Roman"/>
          <w:sz w:val="17"/>
          <w:szCs w:val="17"/>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We will not be required to:</w:t>
      </w:r>
    </w:p>
    <w:p>
      <w:pPr>
        <w:spacing w:after="0" w:line="95" w:lineRule="exact"/>
        <w:rPr>
          <w:sz w:val="20"/>
          <w:szCs w:val="20"/>
          <w:color w:val="auto"/>
        </w:rPr>
      </w:pPr>
    </w:p>
    <w:p>
      <w:pPr>
        <w:ind w:left="1680" w:right="739" w:hanging="160"/>
        <w:spacing w:after="0" w:line="257" w:lineRule="auto"/>
        <w:tabs>
          <w:tab w:leader="none" w:pos="1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47" w:lineRule="exact"/>
        <w:rPr>
          <w:rFonts w:ascii="Times New Roman" w:cs="Times New Roman" w:eastAsia="Times New Roman" w:hAnsi="Times New Roman"/>
          <w:sz w:val="17"/>
          <w:szCs w:val="17"/>
          <w:color w:val="auto"/>
        </w:rPr>
      </w:pPr>
    </w:p>
    <w:p>
      <w:pPr>
        <w:ind w:left="1680" w:right="739" w:hanging="160"/>
        <w:spacing w:after="0" w:line="275" w:lineRule="auto"/>
        <w:tabs>
          <w:tab w:leader="none" w:pos="1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transfer of or exchange any debt security called for redemption or repurchase, except the unredeemed portion of any debt security we are redeeming or repurchasing in part.</w:t>
      </w:r>
    </w:p>
    <w:p>
      <w:pPr>
        <w:spacing w:after="0" w:line="10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Provisions Relating only to the Senior Debt Securities</w:t>
      </w:r>
    </w:p>
    <w:p>
      <w:pPr>
        <w:spacing w:after="0" w:line="137" w:lineRule="exact"/>
        <w:rPr>
          <w:sz w:val="20"/>
          <w:szCs w:val="20"/>
          <w:color w:val="auto"/>
        </w:rPr>
      </w:pPr>
    </w:p>
    <w:p>
      <w:pPr>
        <w:ind w:left="1180" w:right="1039" w:firstLine="337"/>
        <w:spacing w:after="0" w:line="247" w:lineRule="auto"/>
        <w:rPr>
          <w:sz w:val="20"/>
          <w:szCs w:val="20"/>
          <w:color w:val="auto"/>
        </w:rPr>
      </w:pPr>
      <w:r>
        <w:rPr>
          <w:rFonts w:ascii="Times New Roman" w:cs="Times New Roman" w:eastAsia="Times New Roman" w:hAnsi="Times New Roman"/>
          <w:sz w:val="17"/>
          <w:szCs w:val="17"/>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Provisions Relating only to the Subordinated Debt Securities</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Subordinated Debt Securities Subordinated to Senior Indebtedness</w:t>
      </w:r>
    </w:p>
    <w:p>
      <w:pPr>
        <w:spacing w:after="0" w:line="137" w:lineRule="exact"/>
        <w:rPr>
          <w:sz w:val="20"/>
          <w:szCs w:val="20"/>
          <w:color w:val="auto"/>
        </w:rPr>
      </w:pPr>
    </w:p>
    <w:p>
      <w:pPr>
        <w:ind w:left="1180" w:right="839" w:firstLine="337"/>
        <w:spacing w:after="0" w:line="260" w:lineRule="auto"/>
        <w:rPr>
          <w:sz w:val="20"/>
          <w:szCs w:val="20"/>
          <w:color w:val="auto"/>
        </w:rPr>
      </w:pPr>
      <w:r>
        <w:rPr>
          <w:rFonts w:ascii="Times New Roman" w:cs="Times New Roman" w:eastAsia="Times New Roman" w:hAnsi="Times New Roman"/>
          <w:sz w:val="17"/>
          <w:szCs w:val="17"/>
          <w:color w:val="auto"/>
        </w:rPr>
        <w:t>The subordinated debt securities will rank junior in right of payment to all of the Senior Indebtedness of Plains All American Pipeline. “Senior Indebtedness” will be defined in a supplemental indenture or</w:t>
      </w:r>
    </w:p>
    <w:p>
      <w:pPr>
        <w:spacing w:after="0" w:line="3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699"/>
        <w:spacing w:after="0" w:line="275" w:lineRule="auto"/>
        <w:rPr>
          <w:sz w:val="20"/>
          <w:szCs w:val="20"/>
          <w:color w:val="auto"/>
        </w:rPr>
      </w:pPr>
      <w:r>
        <w:rPr>
          <w:rFonts w:ascii="Times New Roman" w:cs="Times New Roman" w:eastAsia="Times New Roman" w:hAnsi="Times New Roman"/>
          <w:sz w:val="17"/>
          <w:szCs w:val="17"/>
          <w:color w:val="auto"/>
        </w:rPr>
        <w:t>authorizing resolutions respecting any issuance of a series of subordinated debt securities, and the definition will be set forth in the prospectus supplement.</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Payment Blockages</w:t>
      </w:r>
    </w:p>
    <w:p>
      <w:pPr>
        <w:spacing w:after="0" w:line="150" w:lineRule="exact"/>
        <w:rPr>
          <w:sz w:val="20"/>
          <w:szCs w:val="20"/>
          <w:color w:val="auto"/>
        </w:rPr>
      </w:pPr>
    </w:p>
    <w:p>
      <w:pPr>
        <w:ind w:left="1180" w:right="759" w:firstLine="337"/>
        <w:spacing w:after="0" w:line="275" w:lineRule="auto"/>
        <w:rPr>
          <w:sz w:val="20"/>
          <w:szCs w:val="20"/>
          <w:color w:val="auto"/>
        </w:rPr>
      </w:pPr>
      <w:r>
        <w:rPr>
          <w:rFonts w:ascii="Times New Roman" w:cs="Times New Roman" w:eastAsia="Times New Roman" w:hAnsi="Times New Roman"/>
          <w:sz w:val="17"/>
          <w:szCs w:val="17"/>
          <w:color w:val="auto"/>
        </w:rPr>
        <w:t>The subordinated indenture will provide that no payment of principal, interest and any premium on the subordinated debt securities may be made in the event:</w:t>
      </w:r>
    </w:p>
    <w:p>
      <w:pPr>
        <w:spacing w:after="0" w:line="57" w:lineRule="exact"/>
        <w:rPr>
          <w:sz w:val="20"/>
          <w:szCs w:val="20"/>
          <w:color w:val="auto"/>
        </w:rPr>
      </w:pPr>
    </w:p>
    <w:p>
      <w:pPr>
        <w:ind w:left="1680" w:hanging="160"/>
        <w:spacing w:after="0"/>
        <w:tabs>
          <w:tab w:leader="none" w:pos="16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property is involved in any voluntary or involuntary liquidation or bankruptcy;</w:t>
      </w:r>
    </w:p>
    <w:p>
      <w:pPr>
        <w:spacing w:after="0" w:line="107" w:lineRule="exact"/>
        <w:rPr>
          <w:rFonts w:ascii="Times New Roman" w:cs="Times New Roman" w:eastAsia="Times New Roman" w:hAnsi="Times New Roman"/>
          <w:sz w:val="17"/>
          <w:szCs w:val="17"/>
          <w:color w:val="auto"/>
        </w:rPr>
      </w:pPr>
    </w:p>
    <w:p>
      <w:pPr>
        <w:ind w:left="1680" w:right="779" w:hanging="160"/>
        <w:spacing w:after="0" w:line="257" w:lineRule="auto"/>
        <w:tabs>
          <w:tab w:leader="none" w:pos="16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85" w:lineRule="exact"/>
        <w:rPr>
          <w:rFonts w:ascii="Times New Roman" w:cs="Times New Roman" w:eastAsia="Times New Roman" w:hAnsi="Times New Roman"/>
          <w:sz w:val="17"/>
          <w:szCs w:val="17"/>
          <w:color w:val="auto"/>
        </w:rPr>
      </w:pPr>
    </w:p>
    <w:p>
      <w:pPr>
        <w:ind w:left="1680" w:right="879" w:hanging="160"/>
        <w:spacing w:after="0" w:line="262" w:lineRule="auto"/>
        <w:tabs>
          <w:tab w:leader="none" w:pos="16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 Limitation on Amount of Senior Debt</w:t>
      </w:r>
    </w:p>
    <w:p>
      <w:pPr>
        <w:spacing w:after="0" w:line="137" w:lineRule="exact"/>
        <w:rPr>
          <w:sz w:val="20"/>
          <w:szCs w:val="20"/>
          <w:color w:val="auto"/>
        </w:rPr>
      </w:pPr>
    </w:p>
    <w:p>
      <w:pPr>
        <w:ind w:left="1180" w:right="819" w:firstLine="337"/>
        <w:spacing w:after="0" w:line="275" w:lineRule="auto"/>
        <w:rPr>
          <w:sz w:val="20"/>
          <w:szCs w:val="20"/>
          <w:color w:val="auto"/>
        </w:rPr>
      </w:pPr>
      <w:r>
        <w:rPr>
          <w:rFonts w:ascii="Times New Roman" w:cs="Times New Roman" w:eastAsia="Times New Roman" w:hAnsi="Times New Roman"/>
          <w:sz w:val="17"/>
          <w:szCs w:val="17"/>
          <w:color w:val="auto"/>
        </w:rPr>
        <w:t>The subordinated indenture will not limit the amount of Senior Indebtedness that Plains All American Pipeline may incur, unless otherwise indicated in the prospectus supplement.</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Book Entry, Delivery and Form</w:t>
      </w:r>
    </w:p>
    <w:p>
      <w:pPr>
        <w:spacing w:after="0" w:line="150" w:lineRule="exact"/>
        <w:rPr>
          <w:sz w:val="20"/>
          <w:szCs w:val="20"/>
          <w:color w:val="auto"/>
        </w:rPr>
      </w:pPr>
    </w:p>
    <w:p>
      <w:pPr>
        <w:ind w:left="1180" w:right="679" w:firstLine="337"/>
        <w:spacing w:after="0" w:line="252" w:lineRule="auto"/>
        <w:rPr>
          <w:sz w:val="20"/>
          <w:szCs w:val="20"/>
          <w:color w:val="auto"/>
        </w:rPr>
      </w:pPr>
      <w:r>
        <w:rPr>
          <w:rFonts w:ascii="Times New Roman" w:cs="Times New Roman" w:eastAsia="Times New Roman" w:hAnsi="Times New Roman"/>
          <w:sz w:val="17"/>
          <w:szCs w:val="17"/>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14" w:lineRule="exact"/>
        <w:rPr>
          <w:sz w:val="20"/>
          <w:szCs w:val="20"/>
          <w:color w:val="auto"/>
        </w:rPr>
      </w:pPr>
    </w:p>
    <w:p>
      <w:pPr>
        <w:ind w:left="1180" w:right="919" w:firstLine="337"/>
        <w:spacing w:after="0" w:line="275" w:lineRule="auto"/>
        <w:rPr>
          <w:sz w:val="20"/>
          <w:szCs w:val="20"/>
          <w:color w:val="auto"/>
        </w:rPr>
      </w:pPr>
      <w:r>
        <w:rPr>
          <w:rFonts w:ascii="Times New Roman" w:cs="Times New Roman" w:eastAsia="Times New Roman" w:hAnsi="Times New Roman"/>
          <w:sz w:val="17"/>
          <w:szCs w:val="17"/>
          <w:color w:val="auto"/>
        </w:rPr>
        <w:t>Beneficial interests in global debt securities will be shown on, and transfers of global debt securities will be made only through, records maintained by DTC and its participants.</w:t>
      </w:r>
    </w:p>
    <w:p>
      <w:pPr>
        <w:spacing w:after="0" w:line="83" w:lineRule="exact"/>
        <w:rPr>
          <w:sz w:val="20"/>
          <w:szCs w:val="20"/>
          <w:color w:val="auto"/>
        </w:rPr>
      </w:pPr>
    </w:p>
    <w:p>
      <w:pPr>
        <w:ind w:left="1180" w:right="679" w:firstLine="337"/>
        <w:spacing w:after="0" w:line="251" w:lineRule="auto"/>
        <w:rPr>
          <w:sz w:val="20"/>
          <w:szCs w:val="20"/>
          <w:color w:val="auto"/>
        </w:rPr>
      </w:pPr>
      <w:r>
        <w:rPr>
          <w:rFonts w:ascii="Times New Roman" w:cs="Times New Roman" w:eastAsia="Times New Roman" w:hAnsi="Times New Roman"/>
          <w:sz w:val="17"/>
          <w:szCs w:val="17"/>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19" w:lineRule="exact"/>
        <w:rPr>
          <w:sz w:val="20"/>
          <w:szCs w:val="20"/>
          <w:color w:val="auto"/>
        </w:rPr>
      </w:pPr>
    </w:p>
    <w:p>
      <w:pPr>
        <w:ind w:left="1180" w:right="979" w:firstLine="337"/>
        <w:spacing w:after="0" w:line="262" w:lineRule="auto"/>
        <w:rPr>
          <w:sz w:val="20"/>
          <w:szCs w:val="20"/>
          <w:color w:val="auto"/>
        </w:rPr>
      </w:pPr>
      <w:r>
        <w:rPr>
          <w:rFonts w:ascii="Times New Roman" w:cs="Times New Roman" w:eastAsia="Times New Roman" w:hAnsi="Times New Roman"/>
          <w:sz w:val="17"/>
          <w:szCs w:val="17"/>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05" w:lineRule="exact"/>
        <w:rPr>
          <w:sz w:val="20"/>
          <w:szCs w:val="20"/>
          <w:color w:val="auto"/>
        </w:rPr>
      </w:pPr>
    </w:p>
    <w:p>
      <w:pPr>
        <w:ind w:left="1180" w:right="859" w:firstLine="337"/>
        <w:spacing w:after="0" w:line="275" w:lineRule="auto"/>
        <w:rPr>
          <w:sz w:val="20"/>
          <w:szCs w:val="20"/>
          <w:color w:val="auto"/>
        </w:rPr>
      </w:pPr>
      <w:r>
        <w:rPr>
          <w:rFonts w:ascii="Times New Roman" w:cs="Times New Roman" w:eastAsia="Times New Roman" w:hAnsi="Times New Roman"/>
          <w:sz w:val="17"/>
          <w:szCs w:val="17"/>
          <w:color w:val="auto"/>
        </w:rPr>
        <w:t>DTC is owned by a number of its Direct Participants and by the New York Stock Exchange, Inc., The American Stock Exchange, Inc. and the Financial Industry Regulatory Authority (“FINRA”).</w:t>
      </w:r>
    </w:p>
    <w:p>
      <w:pPr>
        <w:spacing w:after="0" w:line="83" w:lineRule="exact"/>
        <w:rPr>
          <w:sz w:val="20"/>
          <w:szCs w:val="20"/>
          <w:color w:val="auto"/>
        </w:rPr>
      </w:pPr>
    </w:p>
    <w:p>
      <w:pPr>
        <w:ind w:left="1180" w:right="739" w:firstLine="337"/>
        <w:spacing w:after="0" w:line="257" w:lineRule="auto"/>
        <w:rPr>
          <w:sz w:val="20"/>
          <w:szCs w:val="20"/>
          <w:color w:val="auto"/>
        </w:rPr>
      </w:pPr>
      <w:r>
        <w:rPr>
          <w:rFonts w:ascii="Times New Roman" w:cs="Times New Roman" w:eastAsia="Times New Roman" w:hAnsi="Times New Roman"/>
          <w:sz w:val="17"/>
          <w:szCs w:val="17"/>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35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59" w:firstLine="337"/>
        <w:spacing w:after="0" w:line="241" w:lineRule="auto"/>
        <w:rPr>
          <w:sz w:val="20"/>
          <w:szCs w:val="20"/>
          <w:color w:val="auto"/>
        </w:rPr>
      </w:pPr>
      <w:r>
        <w:rPr>
          <w:rFonts w:ascii="Times New Roman" w:cs="Times New Roman" w:eastAsia="Times New Roman" w:hAnsi="Times New Roman"/>
          <w:sz w:val="17"/>
          <w:szCs w:val="17"/>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16" w:lineRule="exact"/>
        <w:rPr>
          <w:sz w:val="20"/>
          <w:szCs w:val="20"/>
          <w:color w:val="auto"/>
        </w:rPr>
      </w:pPr>
    </w:p>
    <w:p>
      <w:pPr>
        <w:ind w:left="1180" w:right="1339" w:firstLine="337"/>
        <w:spacing w:after="0" w:line="260" w:lineRule="auto"/>
        <w:rPr>
          <w:sz w:val="20"/>
          <w:szCs w:val="20"/>
          <w:color w:val="auto"/>
        </w:rPr>
      </w:pPr>
      <w:r>
        <w:rPr>
          <w:rFonts w:ascii="Times New Roman" w:cs="Times New Roman" w:eastAsia="Times New Roman" w:hAnsi="Times New Roman"/>
          <w:sz w:val="17"/>
          <w:szCs w:val="17"/>
          <w:color w:val="auto"/>
        </w:rPr>
        <w:t>Debt securities represented by a global debt security will be exchangeable for certificated debt securities with the same terms in authorized denominations only if:</w:t>
      </w:r>
    </w:p>
    <w:p>
      <w:pPr>
        <w:spacing w:after="0" w:line="57" w:lineRule="exact"/>
        <w:rPr>
          <w:sz w:val="20"/>
          <w:szCs w:val="20"/>
          <w:color w:val="auto"/>
        </w:rPr>
      </w:pPr>
    </w:p>
    <w:p>
      <w:pPr>
        <w:jc w:val="both"/>
        <w:ind w:left="1680" w:right="1059" w:hanging="160"/>
        <w:spacing w:after="0" w:line="262" w:lineRule="auto"/>
        <w:tabs>
          <w:tab w:leader="none" w:pos="16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9" w:lineRule="exact"/>
        <w:rPr>
          <w:rFonts w:ascii="Times New Roman" w:cs="Times New Roman" w:eastAsia="Times New Roman" w:hAnsi="Times New Roman"/>
          <w:sz w:val="17"/>
          <w:szCs w:val="17"/>
          <w:color w:val="auto"/>
        </w:rPr>
      </w:pPr>
    </w:p>
    <w:p>
      <w:pPr>
        <w:ind w:left="1680" w:right="959" w:hanging="160"/>
        <w:spacing w:after="0" w:line="275" w:lineRule="auto"/>
        <w:tabs>
          <w:tab w:leader="none" w:pos="16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determine not to require all of the debt securities of a series to be represented by a global debt security.</w:t>
      </w:r>
    </w:p>
    <w:p>
      <w:pPr>
        <w:spacing w:after="0" w:line="1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Satisfaction and Discharge; Defeasance</w:t>
      </w:r>
    </w:p>
    <w:p>
      <w:pPr>
        <w:spacing w:after="0" w:line="124" w:lineRule="exact"/>
        <w:rPr>
          <w:sz w:val="20"/>
          <w:szCs w:val="20"/>
          <w:color w:val="auto"/>
        </w:rPr>
      </w:pPr>
    </w:p>
    <w:p>
      <w:pPr>
        <w:ind w:left="1180" w:right="1199" w:firstLine="337"/>
        <w:spacing w:after="0" w:line="260" w:lineRule="auto"/>
        <w:rPr>
          <w:sz w:val="20"/>
          <w:szCs w:val="20"/>
          <w:color w:val="auto"/>
        </w:rPr>
      </w:pPr>
      <w:r>
        <w:rPr>
          <w:rFonts w:ascii="Times New Roman" w:cs="Times New Roman" w:eastAsia="Times New Roman" w:hAnsi="Times New Roman"/>
          <w:sz w:val="17"/>
          <w:szCs w:val="17"/>
          <w:color w:val="auto"/>
        </w:rPr>
        <w:t>Each indenture will be discharged and will cease to be of further effect as to all outstanding debt securities of any series issued thereunder, when:</w:t>
      </w:r>
    </w:p>
    <w:p>
      <w:pPr>
        <w:spacing w:after="0" w:line="82" w:lineRule="exact"/>
        <w:rPr>
          <w:sz w:val="20"/>
          <w:szCs w:val="20"/>
          <w:color w:val="auto"/>
        </w:rPr>
      </w:pPr>
    </w:p>
    <w:p>
      <w:pPr>
        <w:ind w:left="1860" w:hanging="340"/>
        <w:spacing w:after="0"/>
        <w:tabs>
          <w:tab w:leader="none" w:pos="18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w:t>
      </w:r>
    </w:p>
    <w:p>
      <w:pPr>
        <w:spacing w:after="0" w:line="133" w:lineRule="exact"/>
        <w:rPr>
          <w:rFonts w:ascii="Times New Roman" w:cs="Times New Roman" w:eastAsia="Times New Roman" w:hAnsi="Times New Roman"/>
          <w:sz w:val="17"/>
          <w:szCs w:val="17"/>
          <w:color w:val="auto"/>
        </w:rPr>
      </w:pPr>
    </w:p>
    <w:p>
      <w:pPr>
        <w:ind w:left="2200" w:right="779" w:hanging="343"/>
        <w:spacing w:after="0" w:line="257" w:lineRule="auto"/>
        <w:tabs>
          <w:tab w:leader="none" w:pos="22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97" w:lineRule="exact"/>
        <w:rPr>
          <w:rFonts w:ascii="Times New Roman" w:cs="Times New Roman" w:eastAsia="Times New Roman" w:hAnsi="Times New Roman"/>
          <w:sz w:val="17"/>
          <w:szCs w:val="17"/>
          <w:color w:val="auto"/>
        </w:rPr>
      </w:pPr>
    </w:p>
    <w:p>
      <w:pPr>
        <w:ind w:left="2200" w:right="679" w:hanging="343"/>
        <w:spacing w:after="0" w:line="250" w:lineRule="auto"/>
        <w:tabs>
          <w:tab w:leader="none" w:pos="22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97" w:lineRule="exact"/>
        <w:rPr>
          <w:rFonts w:ascii="Times New Roman" w:cs="Times New Roman" w:eastAsia="Times New Roman" w:hAnsi="Times New Roman"/>
          <w:sz w:val="17"/>
          <w:szCs w:val="17"/>
          <w:color w:val="auto"/>
        </w:rPr>
      </w:pPr>
    </w:p>
    <w:p>
      <w:pPr>
        <w:ind w:left="1860" w:hanging="340"/>
        <w:spacing w:after="0"/>
        <w:tabs>
          <w:tab w:leader="none" w:pos="18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paid or caused to be paid all other sums payable by us under the indenture; and</w:t>
      </w:r>
    </w:p>
    <w:p>
      <w:pPr>
        <w:spacing w:after="0" w:line="133" w:lineRule="exact"/>
        <w:rPr>
          <w:rFonts w:ascii="Times New Roman" w:cs="Times New Roman" w:eastAsia="Times New Roman" w:hAnsi="Times New Roman"/>
          <w:sz w:val="17"/>
          <w:szCs w:val="17"/>
          <w:color w:val="auto"/>
        </w:rPr>
      </w:pPr>
    </w:p>
    <w:p>
      <w:pPr>
        <w:ind w:left="1860" w:right="859" w:hanging="340"/>
        <w:spacing w:after="0" w:line="275" w:lineRule="auto"/>
        <w:tabs>
          <w:tab w:leader="none" w:pos="18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an officers’ certificate and an opinion of counsel to the Trustee stating that all conditions precedent to satisfaction and discharge have been satisfied.</w:t>
      </w:r>
    </w:p>
    <w:p>
      <w:pPr>
        <w:spacing w:after="0" w:line="95" w:lineRule="exact"/>
        <w:rPr>
          <w:sz w:val="20"/>
          <w:szCs w:val="20"/>
          <w:color w:val="auto"/>
        </w:rPr>
      </w:pPr>
    </w:p>
    <w:p>
      <w:pPr>
        <w:ind w:left="1520" w:right="1079" w:firstLine="337"/>
        <w:spacing w:after="0" w:line="260" w:lineRule="auto"/>
        <w:rPr>
          <w:sz w:val="20"/>
          <w:szCs w:val="20"/>
          <w:color w:val="auto"/>
        </w:rPr>
      </w:pPr>
      <w:r>
        <w:rPr>
          <w:rFonts w:ascii="Times New Roman" w:cs="Times New Roman" w:eastAsia="Times New Roman" w:hAnsi="Times New Roman"/>
          <w:sz w:val="17"/>
          <w:szCs w:val="17"/>
          <w:color w:val="auto"/>
        </w:rPr>
        <w:t>The debt securities of a particular series will be subject to legal or covenant defeasance to the extent, and upon the terms and conditions, set forth in the prospectus supplement.</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The Trustee</w:t>
      </w:r>
    </w:p>
    <w:p>
      <w:pPr>
        <w:spacing w:after="0" w:line="137" w:lineRule="exact"/>
        <w:rPr>
          <w:sz w:val="20"/>
          <w:szCs w:val="20"/>
          <w:color w:val="auto"/>
        </w:rPr>
      </w:pPr>
    </w:p>
    <w:p>
      <w:pPr>
        <w:ind w:left="1180" w:right="759" w:firstLine="337"/>
        <w:spacing w:after="0" w:line="246" w:lineRule="auto"/>
        <w:rPr>
          <w:sz w:val="20"/>
          <w:szCs w:val="20"/>
          <w:color w:val="auto"/>
        </w:rPr>
      </w:pPr>
      <w:r>
        <w:rPr>
          <w:rFonts w:ascii="Times New Roman" w:cs="Times New Roman" w:eastAsia="Times New Roman" w:hAnsi="Times New Roman"/>
          <w:sz w:val="17"/>
          <w:szCs w:val="17"/>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Resignation or Removal of Trustee</w:t>
      </w:r>
    </w:p>
    <w:p>
      <w:pPr>
        <w:spacing w:after="0" w:line="124" w:lineRule="exact"/>
        <w:rPr>
          <w:sz w:val="20"/>
          <w:szCs w:val="20"/>
          <w:color w:val="auto"/>
        </w:rPr>
      </w:pPr>
    </w:p>
    <w:p>
      <w:pPr>
        <w:jc w:val="both"/>
        <w:ind w:left="1180" w:right="819" w:firstLine="337"/>
        <w:spacing w:after="0" w:line="254" w:lineRule="auto"/>
        <w:rPr>
          <w:sz w:val="20"/>
          <w:szCs w:val="20"/>
          <w:color w:val="auto"/>
        </w:rPr>
      </w:pPr>
      <w:r>
        <w:rPr>
          <w:rFonts w:ascii="Times New Roman" w:cs="Times New Roman" w:eastAsia="Times New Roman" w:hAnsi="Times New Roman"/>
          <w:sz w:val="17"/>
          <w:szCs w:val="17"/>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34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919" w:firstLine="337"/>
        <w:spacing w:after="0" w:line="275" w:lineRule="auto"/>
        <w:rPr>
          <w:sz w:val="20"/>
          <w:szCs w:val="20"/>
          <w:color w:val="auto"/>
        </w:rPr>
      </w:pPr>
      <w:r>
        <w:rPr>
          <w:rFonts w:ascii="Times New Roman" w:cs="Times New Roman" w:eastAsia="Times New Roman" w:hAnsi="Times New Roman"/>
          <w:sz w:val="17"/>
          <w:szCs w:val="17"/>
          <w:color w:val="auto"/>
        </w:rPr>
        <w:t>Any resignation will require the appointment of a successor trustee under the applicable indenture in accordance with the terms and conditions of such indenture.</w:t>
      </w:r>
    </w:p>
    <w:p>
      <w:pPr>
        <w:spacing w:after="0" w:line="95" w:lineRule="exact"/>
        <w:rPr>
          <w:sz w:val="20"/>
          <w:szCs w:val="20"/>
          <w:color w:val="auto"/>
        </w:rPr>
      </w:pPr>
    </w:p>
    <w:p>
      <w:pPr>
        <w:ind w:left="1180" w:right="759" w:firstLine="337"/>
        <w:spacing w:after="0" w:line="257" w:lineRule="auto"/>
        <w:rPr>
          <w:sz w:val="20"/>
          <w:szCs w:val="20"/>
          <w:color w:val="auto"/>
        </w:rPr>
      </w:pPr>
      <w:r>
        <w:rPr>
          <w:rFonts w:ascii="Times New Roman" w:cs="Times New Roman" w:eastAsia="Times New Roman" w:hAnsi="Times New Roman"/>
          <w:sz w:val="17"/>
          <w:szCs w:val="17"/>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Trustee if it is a Creditor</w:t>
      </w:r>
    </w:p>
    <w:p>
      <w:pPr>
        <w:spacing w:after="0" w:line="150" w:lineRule="exact"/>
        <w:rPr>
          <w:sz w:val="20"/>
          <w:szCs w:val="20"/>
          <w:color w:val="auto"/>
        </w:rPr>
      </w:pPr>
    </w:p>
    <w:p>
      <w:pPr>
        <w:ind w:left="1180" w:right="859" w:firstLine="337"/>
        <w:spacing w:after="0" w:line="262" w:lineRule="auto"/>
        <w:rPr>
          <w:sz w:val="20"/>
          <w:szCs w:val="20"/>
          <w:color w:val="auto"/>
        </w:rPr>
      </w:pPr>
      <w:r>
        <w:rPr>
          <w:rFonts w:ascii="Times New Roman" w:cs="Times New Roman" w:eastAsia="Times New Roman" w:hAnsi="Times New Roman"/>
          <w:sz w:val="17"/>
          <w:szCs w:val="17"/>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Certificates and Opinions to be Furnished to Trustee</w:t>
      </w:r>
    </w:p>
    <w:p>
      <w:pPr>
        <w:spacing w:after="0" w:line="137" w:lineRule="exact"/>
        <w:rPr>
          <w:sz w:val="20"/>
          <w:szCs w:val="20"/>
          <w:color w:val="auto"/>
        </w:rPr>
      </w:pPr>
    </w:p>
    <w:p>
      <w:pPr>
        <w:ind w:left="1180" w:right="799" w:firstLine="337"/>
        <w:spacing w:after="0" w:line="255" w:lineRule="auto"/>
        <w:rPr>
          <w:sz w:val="20"/>
          <w:szCs w:val="20"/>
          <w:color w:val="auto"/>
        </w:rPr>
      </w:pPr>
      <w:r>
        <w:rPr>
          <w:rFonts w:ascii="Times New Roman" w:cs="Times New Roman" w:eastAsia="Times New Roman" w:hAnsi="Times New Roman"/>
          <w:sz w:val="17"/>
          <w:szCs w:val="17"/>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Each indenture and all of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DESCRIPTION OF OUR PREFERRED UNITS</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Series A Preferred Units</w:t>
      </w:r>
    </w:p>
    <w:p>
      <w:pPr>
        <w:spacing w:after="0" w:line="150" w:lineRule="exact"/>
        <w:rPr>
          <w:sz w:val="20"/>
          <w:szCs w:val="20"/>
          <w:color w:val="auto"/>
        </w:rPr>
      </w:pPr>
    </w:p>
    <w:p>
      <w:pPr>
        <w:ind w:left="1180" w:right="679" w:firstLine="337"/>
        <w:spacing w:after="0" w:line="239" w:lineRule="auto"/>
        <w:rPr>
          <w:sz w:val="20"/>
          <w:szCs w:val="20"/>
          <w:color w:val="auto"/>
        </w:rPr>
      </w:pPr>
      <w:r>
        <w:rPr>
          <w:rFonts w:ascii="Times New Roman" w:cs="Times New Roman" w:eastAsia="Times New Roman" w:hAnsi="Times New Roman"/>
          <w:sz w:val="17"/>
          <w:szCs w:val="17"/>
          <w:color w:val="auto"/>
        </w:rPr>
        <w:t>On January 28, 2016, we completed a private placement of 61,030,127 Series A Convertible Preferred Units representing limited partner interests in us (the “Series A preferred units”) for a cash purchase price of $26.25 per unit (the “Issue Price”) .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equal to an annual rate of 8% of the Issue Price ($2.10 per unit annualized). With respect to each quarter ended on or prior to December 31, 2017 (the “Initial Distribution Period”), we had the option, which we elected, to pay distributions on the Series A preferred units in additional Series A preferred units. With respect to each quarter ending after the Initial Distribution Period, we have paid distributions on the Series A preferred units in cash. For a period of</w:t>
      </w:r>
    </w:p>
    <w:p>
      <w:pPr>
        <w:spacing w:after="0" w:line="5" w:lineRule="exact"/>
        <w:rPr>
          <w:sz w:val="20"/>
          <w:szCs w:val="20"/>
          <w:color w:val="auto"/>
        </w:rPr>
      </w:pPr>
    </w:p>
    <w:p>
      <w:pPr>
        <w:ind w:left="1180" w:right="759"/>
        <w:spacing w:after="0"/>
        <w:rPr>
          <w:sz w:val="20"/>
          <w:szCs w:val="20"/>
          <w:color w:val="auto"/>
        </w:rPr>
      </w:pPr>
      <w:r>
        <w:rPr>
          <w:rFonts w:ascii="Times New Roman" w:cs="Times New Roman" w:eastAsia="Times New Roman" w:hAnsi="Times New Roman"/>
          <w:sz w:val="17"/>
          <w:szCs w:val="17"/>
          <w:color w:val="auto"/>
        </w:rPr>
        <w:t>30 days following (a) the fifth anniversary of the issue date of the Series A preferred units and (b) each subsequent anniversary of the issue date, the holders of Series A preferred units, acting by majority vote, may make a one-time election to reset the Series A preferred unit distribution rate to equal the then applicable rate of ten-year U.S. Treasury Securities plus 5.85% (the “Preferred Distribution Rate Reset Option”). If the holders of Series A preferred units have exercised the Preferred Distribution Rate Reset Option,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302" w:lineRule="exact"/>
        <w:rPr>
          <w:sz w:val="20"/>
          <w:szCs w:val="20"/>
          <w:color w:val="auto"/>
        </w:rPr>
      </w:pPr>
    </w:p>
    <w:p>
      <w:pPr>
        <w:ind w:left="1180" w:right="679" w:firstLine="337"/>
        <w:spacing w:after="0" w:line="238" w:lineRule="auto"/>
        <w:rPr>
          <w:sz w:val="20"/>
          <w:szCs w:val="20"/>
          <w:color w:val="auto"/>
        </w:rPr>
      </w:pPr>
      <w:r>
        <w:rPr>
          <w:rFonts w:ascii="Times New Roman" w:cs="Times New Roman" w:eastAsia="Times New Roman" w:hAnsi="Times New Roman"/>
          <w:sz w:val="17"/>
          <w:szCs w:val="17"/>
          <w:color w:val="auto"/>
        </w:rPr>
        <w:t>The holders of Series A preferred units may convert such units into common units, generally on a one-for- one basis and subject to customary anti -dilution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9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Series B Preferred Units</w:t>
      </w:r>
    </w:p>
    <w:p>
      <w:pPr>
        <w:spacing w:after="0" w:line="137" w:lineRule="exact"/>
        <w:rPr>
          <w:sz w:val="20"/>
          <w:szCs w:val="20"/>
          <w:color w:val="auto"/>
        </w:rPr>
      </w:pPr>
    </w:p>
    <w:p>
      <w:pPr>
        <w:ind w:left="1180" w:right="859" w:firstLine="337"/>
        <w:spacing w:after="0" w:line="247" w:lineRule="auto"/>
        <w:rPr>
          <w:sz w:val="20"/>
          <w:szCs w:val="20"/>
          <w:color w:val="auto"/>
        </w:rPr>
      </w:pPr>
      <w:r>
        <w:rPr>
          <w:rFonts w:ascii="Times New Roman" w:cs="Times New Roman" w:eastAsia="Times New Roman" w:hAnsi="Times New Roman"/>
          <w:sz w:val="17"/>
          <w:szCs w:val="17"/>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307" w:lineRule="exact"/>
        <w:rPr>
          <w:sz w:val="20"/>
          <w:szCs w:val="20"/>
          <w:color w:val="auto"/>
        </w:rPr>
      </w:pPr>
    </w:p>
    <w:p>
      <w:pPr>
        <w:ind w:left="1180" w:right="739" w:firstLine="337"/>
        <w:spacing w:after="0" w:line="241" w:lineRule="auto"/>
        <w:rPr>
          <w:sz w:val="20"/>
          <w:szCs w:val="20"/>
          <w:color w:val="auto"/>
        </w:rPr>
      </w:pPr>
      <w:r>
        <w:rPr>
          <w:rFonts w:ascii="Times New Roman" w:cs="Times New Roman" w:eastAsia="Times New Roman" w:hAnsi="Times New Roman"/>
          <w:sz w:val="17"/>
          <w:szCs w:val="17"/>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w:t>
      </w:r>
    </w:p>
    <w:p>
      <w:pPr>
        <w:spacing w:after="0" w:line="35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679" w:firstLine="337"/>
        <w:spacing w:after="0" w:line="250" w:lineRule="auto"/>
        <w:rPr>
          <w:sz w:val="20"/>
          <w:szCs w:val="20"/>
          <w:color w:val="auto"/>
        </w:rPr>
      </w:pPr>
      <w:r>
        <w:rPr>
          <w:rFonts w:ascii="Times New Roman" w:cs="Times New Roman" w:eastAsia="Times New Roman" w:hAnsi="Times New Roman"/>
          <w:sz w:val="17"/>
          <w:szCs w:val="17"/>
          <w:color w:val="auto"/>
        </w:rPr>
        <w:t>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Series B Three-Month LIBOR (as defined in and calculated pursuant to our partnership agreement) plus a spread of 4.11%.</w:t>
      </w:r>
    </w:p>
    <w:p>
      <w:pPr>
        <w:spacing w:after="0" w:line="123" w:lineRule="exact"/>
        <w:rPr>
          <w:sz w:val="20"/>
          <w:szCs w:val="20"/>
          <w:color w:val="auto"/>
        </w:rPr>
      </w:pPr>
    </w:p>
    <w:p>
      <w:pPr>
        <w:ind w:left="1180" w:right="699" w:firstLine="337"/>
        <w:spacing w:after="0" w:line="252" w:lineRule="auto"/>
        <w:rPr>
          <w:sz w:val="20"/>
          <w:szCs w:val="20"/>
          <w:color w:val="auto"/>
        </w:rPr>
      </w:pPr>
      <w:r>
        <w:rPr>
          <w:rFonts w:ascii="Times New Roman" w:cs="Times New Roman" w:eastAsia="Times New Roman" w:hAnsi="Times New Roman"/>
          <w:sz w:val="17"/>
          <w:szCs w:val="17"/>
          <w:color w:val="auto"/>
        </w:rPr>
        <w:t>The Series B preferred units have a liquidation preference of $1,000 per unit. 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w:t>
      </w:r>
    </w:p>
    <w:p>
      <w:pPr>
        <w:ind w:left="1180" w:right="699"/>
        <w:spacing w:after="0" w:line="252" w:lineRule="auto"/>
        <w:rPr>
          <w:sz w:val="20"/>
          <w:szCs w:val="20"/>
          <w:color w:val="auto"/>
        </w:rPr>
      </w:pPr>
      <w:r>
        <w:rPr>
          <w:rFonts w:ascii="Times New Roman" w:cs="Times New Roman" w:eastAsia="Times New Roman" w:hAnsi="Times New Roman"/>
          <w:sz w:val="17"/>
          <w:szCs w:val="17"/>
          <w:color w:val="auto"/>
        </w:rPr>
        <w:t>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Future Issuances of Preferred Units</w:t>
      </w:r>
    </w:p>
    <w:p>
      <w:pPr>
        <w:spacing w:after="0" w:line="150" w:lineRule="exact"/>
        <w:rPr>
          <w:sz w:val="20"/>
          <w:szCs w:val="20"/>
          <w:color w:val="auto"/>
        </w:rPr>
      </w:pPr>
    </w:p>
    <w:p>
      <w:pPr>
        <w:ind w:left="1180" w:right="699" w:firstLine="337"/>
        <w:spacing w:after="0" w:line="253" w:lineRule="auto"/>
        <w:rPr>
          <w:sz w:val="20"/>
          <w:szCs w:val="20"/>
          <w:color w:val="auto"/>
        </w:rPr>
      </w:pPr>
      <w:r>
        <w:rPr>
          <w:rFonts w:ascii="Times New Roman" w:cs="Times New Roman" w:eastAsia="Times New Roman" w:hAnsi="Times New Roman"/>
          <w:sz w:val="17"/>
          <w:szCs w:val="17"/>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Series A</w:t>
      </w:r>
    </w:p>
    <w:p>
      <w:pPr>
        <w:ind w:left="1180" w:right="739"/>
        <w:spacing w:after="0" w:line="250" w:lineRule="auto"/>
        <w:rPr>
          <w:sz w:val="20"/>
          <w:szCs w:val="20"/>
          <w:color w:val="auto"/>
        </w:rPr>
      </w:pPr>
      <w:r>
        <w:rPr>
          <w:rFonts w:ascii="Times New Roman" w:cs="Times New Roman" w:eastAsia="Times New Roman" w:hAnsi="Times New Roman"/>
          <w:sz w:val="17"/>
          <w:szCs w:val="17"/>
          <w:color w:val="auto"/>
        </w:rPr>
        <w:t>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w:t>
      </w:r>
    </w:p>
    <w:p>
      <w:pPr>
        <w:spacing w:after="0" w:line="105" w:lineRule="exact"/>
        <w:rPr>
          <w:sz w:val="20"/>
          <w:szCs w:val="20"/>
          <w:color w:val="auto"/>
        </w:rPr>
      </w:pPr>
    </w:p>
    <w:p>
      <w:pPr>
        <w:ind w:left="1180" w:right="679" w:firstLine="337"/>
        <w:spacing w:after="0" w:line="262" w:lineRule="auto"/>
        <w:rPr>
          <w:sz w:val="20"/>
          <w:szCs w:val="20"/>
          <w:color w:val="auto"/>
        </w:rPr>
      </w:pPr>
      <w:r>
        <w:rPr>
          <w:rFonts w:ascii="Times New Roman" w:cs="Times New Roman" w:eastAsia="Times New Roman" w:hAnsi="Times New Roman"/>
          <w:sz w:val="17"/>
          <w:szCs w:val="17"/>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67" w:lineRule="exact"/>
        <w:rPr>
          <w:sz w:val="20"/>
          <w:szCs w:val="20"/>
          <w:color w:val="auto"/>
        </w:rPr>
      </w:pPr>
    </w:p>
    <w:p>
      <w:pPr>
        <w:ind w:left="1680" w:right="1039" w:hanging="160"/>
        <w:spacing w:after="0" w:line="275" w:lineRule="auto"/>
        <w:tabs>
          <w:tab w:leader="none" w:pos="16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stated value, and liquidation preference of the preferred units and the number of preferred units offered;</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public offering price at which the preferred units will be issued;</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conversion or exchange provisions of the preferred units;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redemption or sinking fund provisions of the preferred units;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distribution rights of the preferred units, if any;</w:t>
      </w:r>
    </w:p>
    <w:p>
      <w:pPr>
        <w:spacing w:after="0" w:line="107" w:lineRule="exact"/>
        <w:rPr>
          <w:rFonts w:ascii="Times New Roman" w:cs="Times New Roman" w:eastAsia="Times New Roman" w:hAnsi="Times New Roman"/>
          <w:sz w:val="17"/>
          <w:szCs w:val="17"/>
          <w:color w:val="auto"/>
        </w:rPr>
      </w:pPr>
    </w:p>
    <w:p>
      <w:pPr>
        <w:ind w:left="1680" w:right="1719" w:hanging="160"/>
        <w:spacing w:after="0" w:line="275" w:lineRule="auto"/>
        <w:tabs>
          <w:tab w:leader="none" w:pos="16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additional material federal income tax considerations regarding the preferred units; and</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rights, preferences, privileges, limitations, and restrictions of the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DESCRIPTION OF OUR COMMON UNITS</w:t>
      </w:r>
    </w:p>
    <w:p>
      <w:pPr>
        <w:spacing w:after="0" w:line="150" w:lineRule="exact"/>
        <w:rPr>
          <w:sz w:val="20"/>
          <w:szCs w:val="20"/>
          <w:color w:val="auto"/>
        </w:rPr>
      </w:pPr>
    </w:p>
    <w:p>
      <w:pPr>
        <w:ind w:left="1180" w:right="679" w:firstLine="337"/>
        <w:spacing w:after="0" w:line="247" w:lineRule="auto"/>
        <w:rPr>
          <w:sz w:val="20"/>
          <w:szCs w:val="20"/>
          <w:color w:val="auto"/>
        </w:rPr>
      </w:pPr>
      <w:r>
        <w:rPr>
          <w:rFonts w:ascii="Times New Roman" w:cs="Times New Roman" w:eastAsia="Times New Roman" w:hAnsi="Times New Roman"/>
          <w:sz w:val="17"/>
          <w:szCs w:val="17"/>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05" w:lineRule="exact"/>
        <w:rPr>
          <w:sz w:val="20"/>
          <w:szCs w:val="20"/>
          <w:color w:val="auto"/>
        </w:rPr>
      </w:pPr>
    </w:p>
    <w:p>
      <w:pPr>
        <w:ind w:left="1180" w:right="1219" w:firstLine="337"/>
        <w:spacing w:after="0" w:line="260" w:lineRule="auto"/>
        <w:rPr>
          <w:sz w:val="20"/>
          <w:szCs w:val="20"/>
          <w:color w:val="auto"/>
        </w:rPr>
      </w:pPr>
      <w:r>
        <w:rPr>
          <w:rFonts w:ascii="Times New Roman" w:cs="Times New Roman" w:eastAsia="Times New Roman" w:hAnsi="Times New Roman"/>
          <w:sz w:val="17"/>
          <w:szCs w:val="17"/>
          <w:color w:val="auto"/>
        </w:rPr>
        <w:t>Our outstanding common units are listed on NASDAQ under the symbol “PAA.” Any additional common units we issue will also be listed on NASDAQ.</w:t>
      </w:r>
    </w:p>
    <w:p>
      <w:pPr>
        <w:spacing w:after="0" w:line="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The transfer agent and registrar for our common units is American Stock Transfer &amp; Trust Company.</w:t>
      </w:r>
    </w:p>
    <w:p>
      <w:pPr>
        <w:spacing w:after="0" w:line="20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150" w:lineRule="exact"/>
        <w:rPr>
          <w:sz w:val="20"/>
          <w:szCs w:val="20"/>
          <w:color w:val="auto"/>
        </w:rPr>
      </w:pPr>
    </w:p>
    <w:p>
      <w:pPr>
        <w:ind w:left="1180" w:right="699" w:firstLine="337"/>
        <w:spacing w:after="0"/>
        <w:rPr>
          <w:sz w:val="20"/>
          <w:szCs w:val="20"/>
          <w:color w:val="auto"/>
        </w:rPr>
      </w:pPr>
      <w:r>
        <w:rPr>
          <w:rFonts w:ascii="Times New Roman" w:cs="Times New Roman" w:eastAsia="Times New Roman" w:hAnsi="Times New Roman"/>
          <w:sz w:val="17"/>
          <w:szCs w:val="17"/>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 In addition, our partnership agreement limits fiduciary duties our general partner may owe to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307" w:lineRule="exact"/>
        <w:rPr>
          <w:sz w:val="20"/>
          <w:szCs w:val="20"/>
          <w:color w:val="auto"/>
        </w:rPr>
      </w:pPr>
    </w:p>
    <w:p>
      <w:pPr>
        <w:ind w:left="1180" w:right="719" w:firstLine="337"/>
        <w:spacing w:after="0" w:line="247" w:lineRule="auto"/>
        <w:rPr>
          <w:sz w:val="20"/>
          <w:szCs w:val="20"/>
          <w:color w:val="auto"/>
        </w:rPr>
      </w:pPr>
      <w:r>
        <w:rPr>
          <w:rFonts w:ascii="Times New Roman" w:cs="Times New Roman" w:eastAsia="Times New Roman" w:hAnsi="Times New Roman"/>
          <w:sz w:val="17"/>
          <w:szCs w:val="17"/>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w:t>
      </w:r>
    </w:p>
    <w:p>
      <w:pPr>
        <w:spacing w:after="0" w:line="105" w:lineRule="exact"/>
        <w:rPr>
          <w:sz w:val="20"/>
          <w:szCs w:val="20"/>
          <w:color w:val="auto"/>
        </w:rPr>
      </w:pPr>
    </w:p>
    <w:p>
      <w:pPr>
        <w:ind w:left="1180" w:right="719" w:firstLine="337"/>
        <w:spacing w:after="0" w:line="243" w:lineRule="auto"/>
        <w:rPr>
          <w:sz w:val="20"/>
          <w:szCs w:val="20"/>
          <w:color w:val="auto"/>
        </w:rPr>
      </w:pPr>
      <w:r>
        <w:rPr>
          <w:rFonts w:ascii="Times New Roman" w:cs="Times New Roman" w:eastAsia="Times New Roman" w:hAnsi="Times New Roman"/>
          <w:sz w:val="17"/>
          <w:szCs w:val="17"/>
          <w:color w:val="auto"/>
        </w:rPr>
        <w:t>Subject to limited exceptions, PAGP GP’s Third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110" w:lineRule="exact"/>
        <w:rPr>
          <w:sz w:val="20"/>
          <w:szCs w:val="20"/>
          <w:color w:val="auto"/>
        </w:rPr>
      </w:pPr>
    </w:p>
    <w:p>
      <w:pPr>
        <w:ind w:left="1180" w:right="719" w:firstLine="337"/>
        <w:spacing w:after="0" w:line="247" w:lineRule="auto"/>
        <w:rPr>
          <w:sz w:val="20"/>
          <w:szCs w:val="20"/>
          <w:color w:val="auto"/>
        </w:rPr>
      </w:pPr>
      <w:r>
        <w:rPr>
          <w:rFonts w:ascii="Times New Roman" w:cs="Times New Roman" w:eastAsia="Times New Roman" w:hAnsi="Times New Roman"/>
          <w:sz w:val="17"/>
          <w:szCs w:val="17"/>
          <w:color w:val="auto"/>
        </w:rPr>
        <w:t>The board is divided into three staggered classes. At each annual meeting, only the eligible directors of a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307" w:lineRule="exact"/>
        <w:rPr>
          <w:sz w:val="20"/>
          <w:szCs w:val="20"/>
          <w:color w:val="auto"/>
        </w:rPr>
      </w:pPr>
    </w:p>
    <w:p>
      <w:pPr>
        <w:ind w:left="1180" w:right="679" w:firstLine="337"/>
        <w:spacing w:after="0"/>
        <w:rPr>
          <w:sz w:val="20"/>
          <w:szCs w:val="20"/>
          <w:color w:val="auto"/>
        </w:rPr>
      </w:pPr>
      <w:r>
        <w:rPr>
          <w:rFonts w:ascii="Times New Roman" w:cs="Times New Roman" w:eastAsia="Times New Roman" w:hAnsi="Times New Roman"/>
          <w:sz w:val="17"/>
          <w:szCs w:val="17"/>
          <w:color w:val="auto"/>
        </w:rPr>
        <w:t>PAGP holds annual shareholder meetings for the purpose of electing eligible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eligible directors at PAGP’s annual meeting. We will vote (or refrain from voting) our Class C shares for the election of eligible directors at the direction and on behalf of our eligible common and Series A preferred unitholders in the same proportion as the votes received from or withheld by our limited partners. At our annual meetings, common units held by AAP will not be voted on the election of directors and other routine matters and will not be counted for purposes of determining whether a quorum exists.</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Status as Limited Partner or Assignee</w:t>
      </w:r>
    </w:p>
    <w:p>
      <w:pPr>
        <w:spacing w:after="0" w:line="150" w:lineRule="exact"/>
        <w:rPr>
          <w:sz w:val="20"/>
          <w:szCs w:val="20"/>
          <w:color w:val="auto"/>
        </w:rPr>
      </w:pPr>
    </w:p>
    <w:p>
      <w:pPr>
        <w:ind w:left="1180" w:right="939" w:firstLine="337"/>
        <w:spacing w:after="0" w:line="246" w:lineRule="auto"/>
        <w:rPr>
          <w:sz w:val="20"/>
          <w:szCs w:val="20"/>
          <w:color w:val="auto"/>
        </w:rPr>
      </w:pPr>
      <w:r>
        <w:rPr>
          <w:rFonts w:ascii="Times New Roman" w:cs="Times New Roman" w:eastAsia="Times New Roman" w:hAnsi="Times New Roman"/>
          <w:sz w:val="17"/>
          <w:szCs w:val="17"/>
          <w:color w:val="auto"/>
        </w:rPr>
        <w:t>Except as described under “Description of Our Partnership Agreement — Limited Liability,” the common units will be fully paid, and common unitholders will not be required to make additional capital contributions to us.</w:t>
      </w:r>
    </w:p>
    <w:p>
      <w:pPr>
        <w:spacing w:after="0" w:line="34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839" w:firstLine="337"/>
        <w:spacing w:after="0" w:line="247" w:lineRule="auto"/>
        <w:rPr>
          <w:sz w:val="20"/>
          <w:szCs w:val="20"/>
          <w:color w:val="auto"/>
        </w:rPr>
      </w:pPr>
      <w:r>
        <w:rPr>
          <w:rFonts w:ascii="Times New Roman" w:cs="Times New Roman" w:eastAsia="Times New Roman" w:hAnsi="Times New Roman"/>
          <w:sz w:val="17"/>
          <w:szCs w:val="17"/>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06" w:lineRule="exact"/>
        <w:rPr>
          <w:sz w:val="20"/>
          <w:szCs w:val="20"/>
          <w:color w:val="auto"/>
        </w:rPr>
      </w:pPr>
    </w:p>
    <w:p>
      <w:pPr>
        <w:ind w:left="1180" w:right="879" w:firstLine="337"/>
        <w:spacing w:after="0" w:line="242" w:lineRule="auto"/>
        <w:rPr>
          <w:sz w:val="20"/>
          <w:szCs w:val="20"/>
          <w:color w:val="auto"/>
        </w:rPr>
      </w:pPr>
      <w:r>
        <w:rPr>
          <w:rFonts w:ascii="Times New Roman" w:cs="Times New Roman" w:eastAsia="Times New Roman" w:hAnsi="Times New Roman"/>
          <w:sz w:val="17"/>
          <w:szCs w:val="17"/>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3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Redemption Right</w:t>
      </w:r>
    </w:p>
    <w:p>
      <w:pPr>
        <w:spacing w:after="0" w:line="150" w:lineRule="exact"/>
        <w:rPr>
          <w:sz w:val="20"/>
          <w:szCs w:val="20"/>
          <w:color w:val="auto"/>
        </w:rPr>
      </w:pPr>
    </w:p>
    <w:p>
      <w:pPr>
        <w:ind w:left="1180" w:right="739" w:firstLine="337"/>
        <w:spacing w:after="0"/>
        <w:rPr>
          <w:sz w:val="20"/>
          <w:szCs w:val="20"/>
          <w:color w:val="auto"/>
        </w:rPr>
      </w:pPr>
      <w:r>
        <w:rPr>
          <w:rFonts w:ascii="Times New Roman" w:cs="Times New Roman" w:eastAsia="Times New Roman" w:hAnsi="Times New Roman"/>
          <w:sz w:val="17"/>
          <w:szCs w:val="17"/>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any), in each case, to PAGP. The AAP Class A units transferred to AAP will be canceled, the PAGP Class B shares transferred to PAGP will be canceled and the general partner units transferred to PAGP will remain outstanding and increase PAGP’s</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ownership percentage in PAGP GP.</w:t>
      </w:r>
    </w:p>
    <w:p>
      <w:pPr>
        <w:spacing w:after="0" w:line="115" w:lineRule="exact"/>
        <w:rPr>
          <w:sz w:val="20"/>
          <w:szCs w:val="20"/>
          <w:color w:val="auto"/>
        </w:rPr>
      </w:pPr>
    </w:p>
    <w:p>
      <w:pPr>
        <w:ind w:left="1180" w:right="699" w:firstLine="337"/>
        <w:spacing w:after="0" w:line="241" w:lineRule="auto"/>
        <w:rPr>
          <w:sz w:val="20"/>
          <w:szCs w:val="20"/>
          <w:color w:val="auto"/>
        </w:rPr>
      </w:pPr>
      <w:r>
        <w:rPr>
          <w:rFonts w:ascii="Times New Roman" w:cs="Times New Roman" w:eastAsia="Times New Roman" w:hAnsi="Times New Roman"/>
          <w:sz w:val="17"/>
          <w:szCs w:val="17"/>
          <w:color w:val="auto"/>
        </w:rPr>
        <w:t>As long as PAGP’s Class A shares are publicly traded, a holder of Class B units of AAP (the “AAP management units”) will be entitled to convert his or her vested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vested AAP management units who convert such units into AAP Class A units and PAGP Class B shares will not receive general partner units and thus will not need to include any general partner units in a transfer or the exercise of their Redemption Right.</w:t>
      </w:r>
    </w:p>
    <w:p>
      <w:pPr>
        <w:spacing w:after="0" w:line="306" w:lineRule="exact"/>
        <w:rPr>
          <w:sz w:val="20"/>
          <w:szCs w:val="20"/>
          <w:color w:val="auto"/>
        </w:rPr>
      </w:pPr>
    </w:p>
    <w:p>
      <w:pPr>
        <w:ind w:left="1180" w:right="899" w:firstLine="337"/>
        <w:spacing w:after="0" w:line="260" w:lineRule="auto"/>
        <w:rPr>
          <w:sz w:val="20"/>
          <w:szCs w:val="20"/>
          <w:color w:val="auto"/>
        </w:rPr>
      </w:pPr>
      <w:r>
        <w:rPr>
          <w:rFonts w:ascii="Times New Roman" w:cs="Times New Roman" w:eastAsia="Times New Roman" w:hAnsi="Times New Roman"/>
          <w:sz w:val="17"/>
          <w:szCs w:val="17"/>
          <w:color w:val="auto"/>
        </w:rPr>
        <w:t>The above mechanisms are subject to customary conversion rate adjustments for equity splits, equity dividends and reclassifications.</w:t>
      </w:r>
    </w:p>
    <w:p>
      <w:pPr>
        <w:spacing w:after="0" w:line="16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Reports and Records</w:t>
      </w:r>
    </w:p>
    <w:p>
      <w:pPr>
        <w:spacing w:after="0" w:line="137" w:lineRule="exact"/>
        <w:rPr>
          <w:sz w:val="20"/>
          <w:szCs w:val="20"/>
          <w:color w:val="auto"/>
        </w:rPr>
      </w:pPr>
    </w:p>
    <w:p>
      <w:pPr>
        <w:ind w:left="1180" w:right="719" w:firstLine="337"/>
        <w:spacing w:after="0" w:line="252" w:lineRule="auto"/>
        <w:rPr>
          <w:sz w:val="20"/>
          <w:szCs w:val="20"/>
          <w:color w:val="auto"/>
        </w:rPr>
      </w:pPr>
      <w:r>
        <w:rPr>
          <w:rFonts w:ascii="Times New Roman" w:cs="Times New Roman" w:eastAsia="Times New Roman" w:hAnsi="Times New Roman"/>
          <w:sz w:val="17"/>
          <w:szCs w:val="17"/>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7" w:lineRule="exact"/>
        <w:rPr>
          <w:sz w:val="20"/>
          <w:szCs w:val="20"/>
          <w:color w:val="auto"/>
        </w:rPr>
      </w:pPr>
    </w:p>
    <w:p>
      <w:pPr>
        <w:ind w:left="1180" w:right="699" w:firstLine="337"/>
        <w:spacing w:after="0" w:line="255" w:lineRule="auto"/>
        <w:rPr>
          <w:sz w:val="20"/>
          <w:szCs w:val="20"/>
          <w:color w:val="auto"/>
        </w:rPr>
      </w:pPr>
      <w:r>
        <w:rPr>
          <w:rFonts w:ascii="Times New Roman" w:cs="Times New Roman" w:eastAsia="Times New Roman" w:hAnsi="Times New Roman"/>
          <w:sz w:val="17"/>
          <w:szCs w:val="17"/>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11" w:lineRule="exact"/>
        <w:rPr>
          <w:sz w:val="20"/>
          <w:szCs w:val="20"/>
          <w:color w:val="auto"/>
        </w:rPr>
      </w:pPr>
    </w:p>
    <w:p>
      <w:pPr>
        <w:ind w:left="1180" w:right="1059" w:firstLine="337"/>
        <w:spacing w:after="0" w:line="275" w:lineRule="auto"/>
        <w:rPr>
          <w:sz w:val="20"/>
          <w:szCs w:val="20"/>
          <w:color w:val="auto"/>
        </w:rPr>
      </w:pPr>
      <w:r>
        <w:rPr>
          <w:rFonts w:ascii="Times New Roman" w:cs="Times New Roman" w:eastAsia="Times New Roman" w:hAnsi="Times New Roman"/>
          <w:sz w:val="17"/>
          <w:szCs w:val="17"/>
          <w:color w:val="auto"/>
        </w:rPr>
        <w:t>A limited partner can, for a purpose reasonably related to the limited partner’s interest as a limited partner, upon reasonable demand and at his own expense, have furnished to him:</w:t>
      </w:r>
    </w:p>
    <w:p>
      <w:pPr>
        <w:spacing w:after="0" w:line="57" w:lineRule="exact"/>
        <w:rPr>
          <w:sz w:val="20"/>
          <w:szCs w:val="20"/>
          <w:color w:val="auto"/>
        </w:rPr>
      </w:pPr>
    </w:p>
    <w:p>
      <w:pPr>
        <w:ind w:left="1680" w:hanging="160"/>
        <w:spacing w:after="0"/>
        <w:tabs>
          <w:tab w:leader="none" w:pos="16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current list of the name and last known address of each partner;</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our tax returns;</w:t>
      </w:r>
    </w:p>
    <w:p>
      <w:pPr>
        <w:spacing w:after="0" w:line="3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80" w:right="699" w:hanging="160"/>
        <w:spacing w:after="0" w:line="262" w:lineRule="auto"/>
        <w:tabs>
          <w:tab w:leader="none" w:pos="16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as to the amount of cash and a description and statement of the agreed value of any other property or services, contributed or to be contributed by each partner and the date on which each became a partner;</w:t>
      </w:r>
    </w:p>
    <w:p>
      <w:pPr>
        <w:spacing w:after="0" w:line="67" w:lineRule="exact"/>
        <w:rPr>
          <w:rFonts w:ascii="Times New Roman" w:cs="Times New Roman" w:eastAsia="Times New Roman" w:hAnsi="Times New Roman"/>
          <w:sz w:val="17"/>
          <w:szCs w:val="17"/>
          <w:color w:val="auto"/>
        </w:rPr>
      </w:pPr>
    </w:p>
    <w:p>
      <w:pPr>
        <w:ind w:left="1680" w:right="859" w:hanging="160"/>
        <w:spacing w:after="0" w:line="275" w:lineRule="auto"/>
        <w:tabs>
          <w:tab w:leader="none" w:pos="16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copies of our partnership agreement, our certificate of limited partnership, amendments to either of them and powers of attorney which have been executed under our partnership agreement;</w:t>
      </w:r>
    </w:p>
    <w:p>
      <w:pPr>
        <w:spacing w:after="0" w:line="5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regarding the status of our business and financial condition; and</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regarding our affairs as is just and reasonable.</w:t>
      </w:r>
    </w:p>
    <w:p>
      <w:pPr>
        <w:spacing w:after="0" w:line="146" w:lineRule="exact"/>
        <w:rPr>
          <w:sz w:val="20"/>
          <w:szCs w:val="20"/>
          <w:color w:val="auto"/>
        </w:rPr>
      </w:pPr>
    </w:p>
    <w:p>
      <w:pPr>
        <w:ind w:left="1180" w:right="879" w:firstLine="337"/>
        <w:spacing w:after="0" w:line="262" w:lineRule="auto"/>
        <w:rPr>
          <w:sz w:val="20"/>
          <w:szCs w:val="20"/>
          <w:color w:val="auto"/>
        </w:rPr>
      </w:pPr>
      <w:r>
        <w:rPr>
          <w:rFonts w:ascii="Times New Roman" w:cs="Times New Roman" w:eastAsia="Times New Roman" w:hAnsi="Times New Roman"/>
          <w:sz w:val="17"/>
          <w:szCs w:val="17"/>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CASH DISTRIBUTION POLICY</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Distributions of Available Cash</w:t>
      </w:r>
    </w:p>
    <w:p>
      <w:pPr>
        <w:spacing w:after="0" w:line="146" w:lineRule="exact"/>
        <w:rPr>
          <w:sz w:val="20"/>
          <w:szCs w:val="20"/>
          <w:color w:val="auto"/>
        </w:rPr>
      </w:pPr>
    </w:p>
    <w:p>
      <w:pPr>
        <w:ind w:left="1180" w:right="999" w:firstLine="337"/>
        <w:spacing w:after="0" w:line="280" w:lineRule="auto"/>
        <w:rPr>
          <w:sz w:val="20"/>
          <w:szCs w:val="20"/>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We will distribute to our unitholders, on a quarterly basis, all of our available cash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manner described below.</w:t>
      </w:r>
    </w:p>
    <w:p>
      <w:pPr>
        <w:spacing w:after="0" w:line="87" w:lineRule="exact"/>
        <w:rPr>
          <w:sz w:val="20"/>
          <w:szCs w:val="20"/>
          <w:color w:val="auto"/>
        </w:rPr>
      </w:pPr>
    </w:p>
    <w:p>
      <w:pPr>
        <w:ind w:left="1180" w:right="859" w:firstLine="337"/>
        <w:spacing w:after="0" w:line="264" w:lineRule="auto"/>
        <w:rPr>
          <w:sz w:val="20"/>
          <w:szCs w:val="20"/>
          <w:color w:val="auto"/>
        </w:rPr>
      </w:pPr>
      <w:r>
        <w:rPr>
          <w:rFonts w:ascii="Times New Roman" w:cs="Times New Roman" w:eastAsia="Times New Roman" w:hAnsi="Times New Roman"/>
          <w:sz w:val="17"/>
          <w:szCs w:val="17"/>
          <w:i w:val="1"/>
          <w:iCs w:val="1"/>
          <w:color w:val="auto"/>
        </w:rPr>
        <w:t>Definition of Available Cash</w:t>
      </w:r>
      <w:r>
        <w:rPr>
          <w:rFonts w:ascii="Times New Roman" w:cs="Times New Roman" w:eastAsia="Times New Roman" w:hAnsi="Times New Roman"/>
          <w:sz w:val="17"/>
          <w:szCs w:val="17"/>
          <w:color w:val="auto"/>
        </w:rPr>
        <w:t>. Available cash generally means, for any quarter ending prior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liquidation, all cash and cash equivalents on hand at the end of that quarter less reserves established in the reasonable discretion of the general partner for future requirements to:</w:t>
      </w:r>
    </w:p>
    <w:p>
      <w:pPr>
        <w:spacing w:after="0" w:line="67" w:lineRule="exact"/>
        <w:rPr>
          <w:sz w:val="20"/>
          <w:szCs w:val="20"/>
          <w:color w:val="auto"/>
        </w:rPr>
      </w:pPr>
    </w:p>
    <w:p>
      <w:pPr>
        <w:ind w:left="1680" w:right="1199" w:hanging="160"/>
        <w:spacing w:after="0" w:line="275" w:lineRule="auto"/>
        <w:tabs>
          <w:tab w:leader="none" w:pos="16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the proper conduct of our business and the business of our operating partnerships (including reserves for future capital expenditures and for our anticipated future credit needs);</w:t>
      </w:r>
    </w:p>
    <w:p>
      <w:pPr>
        <w:spacing w:after="0" w:line="57" w:lineRule="exact"/>
        <w:rPr>
          <w:rFonts w:ascii="Times New Roman" w:cs="Times New Roman" w:eastAsia="Times New Roman" w:hAnsi="Times New Roman"/>
          <w:sz w:val="17"/>
          <w:szCs w:val="17"/>
          <w:color w:val="auto"/>
        </w:rPr>
      </w:pPr>
    </w:p>
    <w:p>
      <w:pPr>
        <w:ind w:left="1680" w:right="719" w:hanging="160"/>
        <w:spacing w:after="0" w:line="275" w:lineRule="auto"/>
        <w:tabs>
          <w:tab w:leader="none" w:pos="16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applicable law or any loan agreement, security agreement, mortgage, debt instrument or other agreement or obligation; or</w:t>
      </w:r>
    </w:p>
    <w:p>
      <w:pPr>
        <w:spacing w:after="0" w:line="57" w:lineRule="exact"/>
        <w:rPr>
          <w:rFonts w:ascii="Times New Roman" w:cs="Times New Roman" w:eastAsia="Times New Roman" w:hAnsi="Times New Roman"/>
          <w:sz w:val="17"/>
          <w:szCs w:val="17"/>
          <w:color w:val="auto"/>
        </w:rPr>
      </w:pPr>
    </w:p>
    <w:p>
      <w:pPr>
        <w:ind w:left="1680" w:right="819" w:hanging="160"/>
        <w:spacing w:after="0" w:line="275" w:lineRule="auto"/>
        <w:tabs>
          <w:tab w:leader="none" w:pos="16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funds for distributions to our Series A and Series B preferred unitholders or distributions to our common unitholders for any one or more of the next four quarters.</w:t>
      </w:r>
    </w:p>
    <w:p>
      <w:pPr>
        <w:spacing w:after="0" w:line="9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Our available cash also includes cash on hand resulting from borrowings made after the end of the quarter.</w:t>
      </w:r>
    </w:p>
    <w:p>
      <w:pPr>
        <w:spacing w:after="0" w:line="20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Operating Surplus and Capital Surplus</w:t>
      </w:r>
    </w:p>
    <w:p>
      <w:pPr>
        <w:spacing w:after="0" w:line="146" w:lineRule="exact"/>
        <w:rPr>
          <w:sz w:val="20"/>
          <w:szCs w:val="20"/>
          <w:color w:val="auto"/>
        </w:rPr>
      </w:pPr>
    </w:p>
    <w:p>
      <w:pPr>
        <w:ind w:left="1180" w:right="1039" w:firstLine="337"/>
        <w:spacing w:after="0" w:line="264" w:lineRule="auto"/>
        <w:rPr>
          <w:sz w:val="20"/>
          <w:szCs w:val="20"/>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Cash distributions to our common unitholders will be characterized as either operating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surplus or capital surplus. We distribute available cash from operating surplus differently than available cash from capital surplus. See “— Quarterly Distributions of Available Cash.”</w:t>
      </w:r>
    </w:p>
    <w:p>
      <w:pPr>
        <w:spacing w:after="0" w:line="88" w:lineRule="exact"/>
        <w:rPr>
          <w:sz w:val="20"/>
          <w:szCs w:val="20"/>
          <w:color w:val="auto"/>
        </w:rPr>
      </w:pPr>
    </w:p>
    <w:p>
      <w:pPr>
        <w:ind w:left="1520"/>
        <w:spacing w:after="0"/>
        <w:tabs>
          <w:tab w:leader="none" w:pos="3940" w:val="left"/>
        </w:tabs>
        <w:rPr>
          <w:sz w:val="20"/>
          <w:szCs w:val="20"/>
          <w:color w:val="auto"/>
        </w:rPr>
      </w:pPr>
      <w:r>
        <w:rPr>
          <w:rFonts w:ascii="Times New Roman" w:cs="Times New Roman" w:eastAsia="Times New Roman" w:hAnsi="Times New Roman"/>
          <w:sz w:val="17"/>
          <w:szCs w:val="17"/>
          <w:i w:val="1"/>
          <w:iCs w:val="1"/>
          <w:color w:val="auto"/>
        </w:rPr>
        <w:t>Definition of Operating Surplus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Operating surplus refers generally to:</w:t>
      </w:r>
    </w:p>
    <w:p>
      <w:pPr>
        <w:spacing w:after="0" w:line="112" w:lineRule="exact"/>
        <w:rPr>
          <w:sz w:val="20"/>
          <w:szCs w:val="20"/>
          <w:color w:val="auto"/>
        </w:rPr>
      </w:pPr>
    </w:p>
    <w:p>
      <w:pPr>
        <w:ind w:left="1680" w:hanging="160"/>
        <w:spacing w:after="0"/>
        <w:tabs>
          <w:tab w:leader="none" w:pos="16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cash balances on the closing date of our initial public offering; plus</w:t>
      </w:r>
    </w:p>
    <w:p>
      <w:pPr>
        <w:spacing w:after="0" w:line="120"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million; plus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cash receipts from operations, excluding cash that is capital surplus; less</w:t>
      </w:r>
    </w:p>
    <w:p>
      <w:pPr>
        <w:spacing w:after="0" w:line="107" w:lineRule="exact"/>
        <w:rPr>
          <w:rFonts w:ascii="Times New Roman" w:cs="Times New Roman" w:eastAsia="Times New Roman" w:hAnsi="Times New Roman"/>
          <w:sz w:val="17"/>
          <w:szCs w:val="17"/>
          <w:color w:val="auto"/>
        </w:rPr>
      </w:pPr>
    </w:p>
    <w:p>
      <w:pPr>
        <w:ind w:left="1680" w:right="859" w:hanging="160"/>
        <w:spacing w:after="0" w:line="262" w:lineRule="auto"/>
        <w:tabs>
          <w:tab w:leader="none" w:pos="16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9" w:lineRule="exact"/>
        <w:rPr>
          <w:sz w:val="20"/>
          <w:szCs w:val="20"/>
          <w:color w:val="auto"/>
        </w:rPr>
      </w:pPr>
    </w:p>
    <w:p>
      <w:pPr>
        <w:ind w:left="1520"/>
        <w:spacing w:after="0"/>
        <w:tabs>
          <w:tab w:leader="none" w:pos="3740" w:val="left"/>
        </w:tabs>
        <w:rPr>
          <w:sz w:val="20"/>
          <w:szCs w:val="20"/>
          <w:color w:val="auto"/>
        </w:rPr>
      </w:pPr>
      <w:r>
        <w:rPr>
          <w:rFonts w:ascii="Times New Roman" w:cs="Times New Roman" w:eastAsia="Times New Roman" w:hAnsi="Times New Roman"/>
          <w:sz w:val="17"/>
          <w:szCs w:val="17"/>
          <w:i w:val="1"/>
          <w:iCs w:val="1"/>
          <w:color w:val="auto"/>
        </w:rPr>
        <w:t>Definition of Capital Surplus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Capital surplus will generally be generated only by:</w:t>
      </w:r>
    </w:p>
    <w:p>
      <w:pPr>
        <w:spacing w:after="0" w:line="124" w:lineRule="exact"/>
        <w:rPr>
          <w:sz w:val="20"/>
          <w:szCs w:val="20"/>
          <w:color w:val="auto"/>
        </w:rPr>
      </w:pPr>
    </w:p>
    <w:p>
      <w:pPr>
        <w:ind w:left="1680" w:hanging="160"/>
        <w:spacing w:after="0"/>
        <w:tabs>
          <w:tab w:leader="none" w:pos="16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borrowings other than working capital borrowings;</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debt and equity securities; and</w:t>
      </w:r>
    </w:p>
    <w:p>
      <w:pPr>
        <w:spacing w:after="0" w:line="107" w:lineRule="exact"/>
        <w:rPr>
          <w:rFonts w:ascii="Times New Roman" w:cs="Times New Roman" w:eastAsia="Times New Roman" w:hAnsi="Times New Roman"/>
          <w:sz w:val="17"/>
          <w:szCs w:val="17"/>
          <w:color w:val="auto"/>
        </w:rPr>
      </w:pPr>
    </w:p>
    <w:p>
      <w:pPr>
        <w:ind w:left="1680" w:right="1059" w:hanging="160"/>
        <w:spacing w:after="0" w:line="275" w:lineRule="auto"/>
        <w:tabs>
          <w:tab w:leader="none" w:pos="16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or other dispositions of assets for cash, other than inventory, accounts receivable and other assets in the ordinary course of business.</w:t>
      </w:r>
    </w:p>
    <w:p>
      <w:pPr>
        <w:spacing w:after="0" w:line="83" w:lineRule="exact"/>
        <w:rPr>
          <w:sz w:val="20"/>
          <w:szCs w:val="20"/>
          <w:color w:val="auto"/>
        </w:rPr>
      </w:pPr>
    </w:p>
    <w:p>
      <w:pPr>
        <w:ind w:left="1180" w:right="779" w:firstLine="337"/>
        <w:spacing w:after="0" w:line="257" w:lineRule="auto"/>
        <w:rPr>
          <w:sz w:val="20"/>
          <w:szCs w:val="20"/>
          <w:color w:val="auto"/>
        </w:rPr>
      </w:pPr>
      <w:r>
        <w:rPr>
          <w:rFonts w:ascii="Times New Roman" w:cs="Times New Roman" w:eastAsia="Times New Roman" w:hAnsi="Times New Roman"/>
          <w:sz w:val="17"/>
          <w:szCs w:val="17"/>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10" w:lineRule="exact"/>
        <w:rPr>
          <w:sz w:val="20"/>
          <w:szCs w:val="20"/>
          <w:color w:val="auto"/>
        </w:rPr>
      </w:pPr>
    </w:p>
    <w:p>
      <w:pPr>
        <w:ind w:left="1180" w:right="879" w:firstLine="337"/>
        <w:spacing w:after="0" w:line="257" w:lineRule="auto"/>
        <w:rPr>
          <w:sz w:val="20"/>
          <w:szCs w:val="20"/>
          <w:color w:val="auto"/>
        </w:rPr>
      </w:pPr>
      <w:r>
        <w:rPr>
          <w:rFonts w:ascii="Times New Roman" w:cs="Times New Roman" w:eastAsia="Times New Roman" w:hAnsi="Times New Roman"/>
          <w:sz w:val="17"/>
          <w:szCs w:val="17"/>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Effect of Issuance of Additional Units</w:t>
      </w:r>
    </w:p>
    <w:p>
      <w:pPr>
        <w:spacing w:after="0" w:line="150" w:lineRule="exact"/>
        <w:rPr>
          <w:sz w:val="20"/>
          <w:szCs w:val="20"/>
          <w:color w:val="auto"/>
        </w:rPr>
      </w:pPr>
    </w:p>
    <w:p>
      <w:pPr>
        <w:ind w:left="1180" w:right="679" w:firstLine="337"/>
        <w:spacing w:after="0" w:line="275" w:lineRule="auto"/>
        <w:rPr>
          <w:sz w:val="20"/>
          <w:szCs w:val="20"/>
          <w:color w:val="auto"/>
        </w:rPr>
      </w:pPr>
      <w:r>
        <w:rPr>
          <w:rFonts w:ascii="Times New Roman" w:cs="Times New Roman" w:eastAsia="Times New Roman" w:hAnsi="Times New Roman"/>
          <w:sz w:val="17"/>
          <w:szCs w:val="17"/>
          <w:color w:val="auto"/>
        </w:rPr>
        <w:t>We can issue additional common units or other equity securities for consideration and under terms and conditions approved by our general partner in its sole discretion and without the approval of our unitholders,</w:t>
      </w:r>
    </w:p>
    <w:p>
      <w:pPr>
        <w:spacing w:after="0" w:line="3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859"/>
        <w:spacing w:after="0" w:line="262" w:lineRule="auto"/>
        <w:rPr>
          <w:sz w:val="20"/>
          <w:szCs w:val="20"/>
          <w:color w:val="auto"/>
        </w:rPr>
      </w:pPr>
      <w:r>
        <w:rPr>
          <w:rFonts w:ascii="Times New Roman" w:cs="Times New Roman" w:eastAsia="Times New Roman" w:hAnsi="Times New Roman"/>
          <w:sz w:val="17"/>
          <w:szCs w:val="17"/>
          <w:color w:val="auto"/>
        </w:rPr>
        <w:t>other than current holders of our Series A preferred units and Series B preferred units in certain circumstances. We may fund acquisitions through the issuance of additional common units or other equity securities.</w:t>
      </w:r>
    </w:p>
    <w:p>
      <w:pPr>
        <w:spacing w:after="0" w:line="105" w:lineRule="exact"/>
        <w:rPr>
          <w:sz w:val="20"/>
          <w:szCs w:val="20"/>
          <w:color w:val="auto"/>
        </w:rPr>
      </w:pPr>
    </w:p>
    <w:p>
      <w:pPr>
        <w:ind w:left="1180" w:right="899" w:firstLine="337"/>
        <w:spacing w:after="0" w:line="262" w:lineRule="auto"/>
        <w:rPr>
          <w:sz w:val="20"/>
          <w:szCs w:val="20"/>
          <w:color w:val="auto"/>
        </w:rPr>
      </w:pPr>
      <w:r>
        <w:rPr>
          <w:rFonts w:ascii="Times New Roman" w:cs="Times New Roman" w:eastAsia="Times New Roman" w:hAnsi="Times New Roman"/>
          <w:sz w:val="17"/>
          <w:szCs w:val="17"/>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Series A Convertible Preferred Units</w:t>
      </w:r>
    </w:p>
    <w:p>
      <w:pPr>
        <w:spacing w:after="0" w:line="150" w:lineRule="exact"/>
        <w:rPr>
          <w:sz w:val="20"/>
          <w:szCs w:val="20"/>
          <w:color w:val="auto"/>
        </w:rPr>
      </w:pPr>
    </w:p>
    <w:p>
      <w:pPr>
        <w:ind w:left="1180" w:right="979" w:firstLine="337"/>
        <w:spacing w:after="0" w:line="262" w:lineRule="auto"/>
        <w:rPr>
          <w:sz w:val="20"/>
          <w:szCs w:val="20"/>
          <w:color w:val="auto"/>
        </w:rPr>
      </w:pPr>
      <w:r>
        <w:rPr>
          <w:rFonts w:ascii="Times New Roman" w:cs="Times New Roman" w:eastAsia="Times New Roman" w:hAnsi="Times New Roman"/>
          <w:sz w:val="17"/>
          <w:szCs w:val="17"/>
          <w:color w:val="auto"/>
        </w:rPr>
        <w:t>The terms of our Series A preferred units and notable provisions with respect to distributions on the Series A preferred units are described under “Description of Our Preferred Units — Series A Preferred Units.”</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Series B Convertible Preferred Units</w:t>
      </w:r>
    </w:p>
    <w:p>
      <w:pPr>
        <w:spacing w:after="0" w:line="137" w:lineRule="exact"/>
        <w:rPr>
          <w:sz w:val="20"/>
          <w:szCs w:val="20"/>
          <w:color w:val="auto"/>
        </w:rPr>
      </w:pPr>
    </w:p>
    <w:p>
      <w:pPr>
        <w:ind w:left="1180" w:right="979" w:firstLine="337"/>
        <w:spacing w:after="0" w:line="262" w:lineRule="auto"/>
        <w:rPr>
          <w:sz w:val="20"/>
          <w:szCs w:val="20"/>
          <w:color w:val="auto"/>
        </w:rPr>
      </w:pPr>
      <w:r>
        <w:rPr>
          <w:rFonts w:ascii="Times New Roman" w:cs="Times New Roman" w:eastAsia="Times New Roman" w:hAnsi="Times New Roman"/>
          <w:sz w:val="17"/>
          <w:szCs w:val="17"/>
          <w:color w:val="auto"/>
        </w:rPr>
        <w:t>The terms of our Series B preferred units and notable provisions with respect to distributions on the Series B preferred units are described under “Description of Our Preferred Units — Series B Preferred Units.”</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Quarterly Distributions of Available Cash</w:t>
      </w:r>
    </w:p>
    <w:p>
      <w:pPr>
        <w:spacing w:after="0" w:line="150" w:lineRule="exact"/>
        <w:rPr>
          <w:sz w:val="20"/>
          <w:szCs w:val="20"/>
          <w:color w:val="auto"/>
        </w:rPr>
      </w:pPr>
    </w:p>
    <w:p>
      <w:pPr>
        <w:ind w:left="1180" w:right="839" w:firstLine="337"/>
        <w:spacing w:after="0" w:line="257" w:lineRule="auto"/>
        <w:rPr>
          <w:sz w:val="20"/>
          <w:szCs w:val="20"/>
          <w:color w:val="auto"/>
        </w:rPr>
      </w:pPr>
      <w:r>
        <w:rPr>
          <w:rFonts w:ascii="Times New Roman" w:cs="Times New Roman" w:eastAsia="Times New Roman" w:hAnsi="Times New Roman"/>
          <w:sz w:val="17"/>
          <w:szCs w:val="17"/>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Distributions from Operating Surplus</w:t>
      </w:r>
    </w:p>
    <w:p>
      <w:pPr>
        <w:spacing w:after="0" w:line="150" w:lineRule="exact"/>
        <w:rPr>
          <w:sz w:val="20"/>
          <w:szCs w:val="20"/>
          <w:color w:val="auto"/>
        </w:rPr>
      </w:pPr>
    </w:p>
    <w:p>
      <w:pPr>
        <w:ind w:left="1180" w:right="699" w:firstLine="337"/>
        <w:spacing w:after="0" w:line="257" w:lineRule="auto"/>
        <w:rPr>
          <w:sz w:val="20"/>
          <w:szCs w:val="20"/>
          <w:color w:val="auto"/>
        </w:rPr>
      </w:pPr>
      <w:r>
        <w:rPr>
          <w:rFonts w:ascii="Times New Roman" w:cs="Times New Roman" w:eastAsia="Times New Roman" w:hAnsi="Times New Roman"/>
          <w:sz w:val="17"/>
          <w:szCs w:val="17"/>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Distributions from Capital Surplus</w:t>
      </w:r>
    </w:p>
    <w:p>
      <w:pPr>
        <w:spacing w:after="0" w:line="137" w:lineRule="exact"/>
        <w:rPr>
          <w:sz w:val="20"/>
          <w:szCs w:val="20"/>
          <w:color w:val="auto"/>
        </w:rPr>
      </w:pPr>
    </w:p>
    <w:p>
      <w:pPr>
        <w:ind w:left="1180" w:right="859" w:firstLine="337"/>
        <w:spacing w:after="0" w:line="262" w:lineRule="auto"/>
        <w:rPr>
          <w:sz w:val="20"/>
          <w:szCs w:val="20"/>
          <w:color w:val="auto"/>
        </w:rPr>
      </w:pPr>
      <w:r>
        <w:rPr>
          <w:rFonts w:ascii="Times New Roman" w:cs="Times New Roman" w:eastAsia="Times New Roman" w:hAnsi="Times New Roman"/>
          <w:sz w:val="17"/>
          <w:szCs w:val="17"/>
          <w:color w:val="auto"/>
        </w:rPr>
        <w:t xml:space="preserve">We will make distributions of available cash from capital surplus to all common unitholders pro rata. We may not make distributions of capital surplus without the approval of (i) holders of at least 75% of the outstanding Series A preferred units and (ii) holders of at least 66 </w:t>
      </w:r>
      <w:r>
        <w:rPr>
          <w:rFonts w:ascii="Times New Roman" w:cs="Times New Roman" w:eastAsia="Times New Roman" w:hAnsi="Times New Roman"/>
          <w:sz w:val="11"/>
          <w:szCs w:val="11"/>
          <w:color w:val="auto"/>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7"/>
          <w:szCs w:val="17"/>
          <w:color w:val="auto"/>
        </w:rPr>
        <w:t>% of the outstanding Series B preferred units.</w:t>
      </w:r>
    </w:p>
    <w:p>
      <w:pPr>
        <w:spacing w:after="0" w:line="16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Distribution of Cash upon Liquidation</w:t>
      </w:r>
    </w:p>
    <w:p>
      <w:pPr>
        <w:spacing w:after="0" w:line="150" w:lineRule="exact"/>
        <w:rPr>
          <w:sz w:val="20"/>
          <w:szCs w:val="20"/>
          <w:color w:val="auto"/>
        </w:rPr>
      </w:pPr>
    </w:p>
    <w:p>
      <w:pPr>
        <w:ind w:left="1180" w:right="1019" w:firstLine="337"/>
        <w:spacing w:after="0" w:line="257" w:lineRule="auto"/>
        <w:rPr>
          <w:sz w:val="20"/>
          <w:szCs w:val="20"/>
          <w:color w:val="auto"/>
        </w:rPr>
      </w:pPr>
      <w:r>
        <w:rPr>
          <w:rFonts w:ascii="Times New Roman" w:cs="Times New Roman" w:eastAsia="Times New Roman" w:hAnsi="Times New Roman"/>
          <w:sz w:val="17"/>
          <w:szCs w:val="17"/>
          <w:color w:val="auto"/>
        </w:rPr>
        <w:t>If we dissolve and liquidate, we will sell or otherwise dispose of our assets and adjust the partners’ capital account balances to reflect any resulting gain or loss. We will apply the proceeds of liquidation</w:t>
      </w:r>
    </w:p>
    <w:p>
      <w:pPr>
        <w:spacing w:after="0" w:line="2" w:lineRule="exact"/>
        <w:rPr>
          <w:sz w:val="20"/>
          <w:szCs w:val="20"/>
          <w:color w:val="auto"/>
        </w:rPr>
      </w:pPr>
    </w:p>
    <w:p>
      <w:pPr>
        <w:ind w:left="1180" w:right="719" w:firstLine="3"/>
        <w:spacing w:after="0" w:line="250" w:lineRule="auto"/>
        <w:tabs>
          <w:tab w:leader="none" w:pos="139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DESCRIPTION OF OUR PARTNERSHIP AGREEMENT</w:t>
      </w:r>
    </w:p>
    <w:p>
      <w:pPr>
        <w:spacing w:after="0" w:line="150" w:lineRule="exact"/>
        <w:rPr>
          <w:sz w:val="20"/>
          <w:szCs w:val="20"/>
          <w:color w:val="auto"/>
        </w:rPr>
      </w:pPr>
    </w:p>
    <w:p>
      <w:pPr>
        <w:ind w:left="1180" w:right="999" w:firstLine="337"/>
        <w:spacing w:after="0" w:line="260" w:lineRule="auto"/>
        <w:rPr>
          <w:sz w:val="20"/>
          <w:szCs w:val="20"/>
          <w:color w:val="auto"/>
        </w:rPr>
      </w:pPr>
      <w:r>
        <w:rPr>
          <w:rFonts w:ascii="Times New Roman" w:cs="Times New Roman" w:eastAsia="Times New Roman" w:hAnsi="Times New Roman"/>
          <w:sz w:val="17"/>
          <w:szCs w:val="17"/>
          <w:color w:val="auto"/>
        </w:rPr>
        <w:t>The following is a summary of the material provisions of our partnership agreement. The following provisions of our partnership agreement are summarized elsewhere in this prospectus:</w:t>
      </w:r>
    </w:p>
    <w:p>
      <w:pPr>
        <w:spacing w:after="0" w:line="57" w:lineRule="exact"/>
        <w:rPr>
          <w:sz w:val="20"/>
          <w:szCs w:val="20"/>
          <w:color w:val="auto"/>
        </w:rPr>
      </w:pPr>
    </w:p>
    <w:p>
      <w:pPr>
        <w:ind w:left="1680" w:hanging="160"/>
        <w:spacing w:after="0"/>
        <w:tabs>
          <w:tab w:leader="none" w:pos="16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of our available cash are described under “Cash Distribution Policy;”</w:t>
      </w:r>
    </w:p>
    <w:p>
      <w:pPr>
        <w:spacing w:after="0" w:line="107" w:lineRule="exact"/>
        <w:rPr>
          <w:rFonts w:ascii="Times New Roman" w:cs="Times New Roman" w:eastAsia="Times New Roman" w:hAnsi="Times New Roman"/>
          <w:sz w:val="17"/>
          <w:szCs w:val="17"/>
          <w:color w:val="auto"/>
        </w:rPr>
      </w:pPr>
    </w:p>
    <w:p>
      <w:pPr>
        <w:ind w:left="1680" w:right="1159" w:hanging="160"/>
        <w:spacing w:after="0" w:line="275" w:lineRule="auto"/>
        <w:tabs>
          <w:tab w:leader="none" w:pos="16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allocations of taxable income and other tax matters are described under “Material U.S. Federal Income Tax Consequences;”</w:t>
      </w:r>
    </w:p>
    <w:p>
      <w:pPr>
        <w:spacing w:after="0" w:line="44"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of holders of our preferred units are described under “Description of our Preferred Units;” and</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of holders of our common units are described under “Description of Our Common Units.”</w:t>
      </w:r>
    </w:p>
    <w:p>
      <w:pPr>
        <w:spacing w:after="0" w:line="20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150" w:lineRule="exact"/>
        <w:rPr>
          <w:sz w:val="20"/>
          <w:szCs w:val="20"/>
          <w:color w:val="auto"/>
        </w:rPr>
      </w:pPr>
    </w:p>
    <w:p>
      <w:pPr>
        <w:ind w:left="1180" w:right="719" w:firstLine="337"/>
        <w:spacing w:after="0" w:line="243" w:lineRule="auto"/>
        <w:rPr>
          <w:sz w:val="20"/>
          <w:szCs w:val="20"/>
          <w:color w:val="auto"/>
        </w:rPr>
      </w:pPr>
      <w:r>
        <w:rPr>
          <w:rFonts w:ascii="Times New Roman" w:cs="Times New Roman" w:eastAsia="Times New Roman" w:hAnsi="Times New Roman"/>
          <w:sz w:val="17"/>
          <w:szCs w:val="17"/>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50" w:lineRule="exact"/>
        <w:rPr>
          <w:sz w:val="20"/>
          <w:szCs w:val="20"/>
          <w:color w:val="auto"/>
        </w:rPr>
      </w:pPr>
    </w:p>
    <w:p>
      <w:pPr>
        <w:ind w:left="1180" w:right="679" w:firstLine="337"/>
        <w:spacing w:after="0" w:line="243" w:lineRule="auto"/>
        <w:rPr>
          <w:sz w:val="20"/>
          <w:szCs w:val="20"/>
          <w:color w:val="auto"/>
        </w:rPr>
      </w:pPr>
      <w:r>
        <w:rPr>
          <w:rFonts w:ascii="Times New Roman" w:cs="Times New Roman" w:eastAsia="Times New Roman" w:hAnsi="Times New Roman"/>
          <w:sz w:val="17"/>
          <w:szCs w:val="17"/>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Reimbursements of Our General Partner</w:t>
      </w:r>
    </w:p>
    <w:p>
      <w:pPr>
        <w:spacing w:after="0" w:line="137" w:lineRule="exact"/>
        <w:rPr>
          <w:sz w:val="20"/>
          <w:szCs w:val="20"/>
          <w:color w:val="auto"/>
        </w:rPr>
      </w:pPr>
    </w:p>
    <w:p>
      <w:pPr>
        <w:ind w:left="1180" w:right="779" w:firstLine="337"/>
        <w:spacing w:after="0" w:line="247" w:lineRule="auto"/>
        <w:rPr>
          <w:sz w:val="20"/>
          <w:szCs w:val="20"/>
          <w:color w:val="auto"/>
        </w:rPr>
      </w:pPr>
      <w:r>
        <w:rPr>
          <w:rFonts w:ascii="Times New Roman" w:cs="Times New Roman" w:eastAsia="Times New Roman" w:hAnsi="Times New Roman"/>
          <w:sz w:val="17"/>
          <w:szCs w:val="17"/>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Issuance of Additional Securities</w:t>
      </w:r>
    </w:p>
    <w:p>
      <w:pPr>
        <w:spacing w:after="0" w:line="137" w:lineRule="exact"/>
        <w:rPr>
          <w:sz w:val="20"/>
          <w:szCs w:val="20"/>
          <w:color w:val="auto"/>
        </w:rPr>
      </w:pPr>
    </w:p>
    <w:p>
      <w:pPr>
        <w:ind w:left="1180" w:right="839" w:firstLine="337"/>
        <w:spacing w:after="0" w:line="247" w:lineRule="auto"/>
        <w:rPr>
          <w:sz w:val="20"/>
          <w:szCs w:val="20"/>
          <w:color w:val="auto"/>
        </w:rPr>
      </w:pPr>
      <w:r>
        <w:rPr>
          <w:rFonts w:ascii="Times New Roman" w:cs="Times New Roman" w:eastAsia="Times New Roman" w:hAnsi="Times New Roman"/>
          <w:sz w:val="17"/>
          <w:szCs w:val="17"/>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It is likely that we will fund acquisitions through the issuance of additional common units or other</w:t>
      </w:r>
    </w:p>
    <w:p>
      <w:pPr>
        <w:spacing w:after="0" w:line="23" w:lineRule="exact"/>
        <w:rPr>
          <w:sz w:val="20"/>
          <w:szCs w:val="20"/>
          <w:color w:val="auto"/>
        </w:rPr>
      </w:pPr>
    </w:p>
    <w:p>
      <w:pPr>
        <w:ind w:left="1180" w:right="719"/>
        <w:spacing w:after="0"/>
        <w:rPr>
          <w:sz w:val="20"/>
          <w:szCs w:val="20"/>
          <w:color w:val="auto"/>
        </w:rPr>
      </w:pPr>
      <w:r>
        <w:rPr>
          <w:rFonts w:ascii="Times New Roman" w:cs="Times New Roman" w:eastAsia="Times New Roman" w:hAnsi="Times New Roman"/>
          <w:sz w:val="17"/>
          <w:szCs w:val="17"/>
          <w:color w:val="auto"/>
        </w:rPr>
        <w:t>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12" w:lineRule="exact"/>
        <w:rPr>
          <w:sz w:val="20"/>
          <w:szCs w:val="20"/>
          <w:color w:val="auto"/>
        </w:rPr>
      </w:pPr>
    </w:p>
    <w:p>
      <w:pPr>
        <w:jc w:val="both"/>
        <w:ind w:left="1180" w:right="859" w:firstLine="337"/>
        <w:spacing w:after="0" w:line="246" w:lineRule="auto"/>
        <w:rPr>
          <w:sz w:val="20"/>
          <w:szCs w:val="20"/>
          <w:color w:val="auto"/>
        </w:rPr>
      </w:pPr>
      <w:r>
        <w:rPr>
          <w:rFonts w:ascii="Times New Roman" w:cs="Times New Roman" w:eastAsia="Times New Roman" w:hAnsi="Times New Roman"/>
          <w:sz w:val="17"/>
          <w:szCs w:val="17"/>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06" w:lineRule="exact"/>
        <w:rPr>
          <w:sz w:val="20"/>
          <w:szCs w:val="20"/>
          <w:color w:val="auto"/>
        </w:rPr>
      </w:pPr>
    </w:p>
    <w:p>
      <w:pPr>
        <w:ind w:left="1180" w:right="699" w:firstLine="337"/>
        <w:spacing w:after="0" w:line="244" w:lineRule="auto"/>
        <w:rPr>
          <w:sz w:val="20"/>
          <w:szCs w:val="20"/>
          <w:color w:val="auto"/>
        </w:rPr>
      </w:pPr>
      <w:r>
        <w:rPr>
          <w:rFonts w:ascii="Times New Roman" w:cs="Times New Roman" w:eastAsia="Times New Roman" w:hAnsi="Times New Roman"/>
          <w:sz w:val="17"/>
          <w:szCs w:val="17"/>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200" w:lineRule="exact"/>
        <w:rPr>
          <w:sz w:val="20"/>
          <w:szCs w:val="20"/>
          <w:color w:val="auto"/>
        </w:rPr>
      </w:pPr>
    </w:p>
    <w:p>
      <w:pPr>
        <w:spacing w:after="0" w:line="3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39635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Amendments to Our Partnership Agreement</w:t>
      </w:r>
    </w:p>
    <w:p>
      <w:pPr>
        <w:spacing w:after="0" w:line="150" w:lineRule="exact"/>
        <w:rPr>
          <w:sz w:val="20"/>
          <w:szCs w:val="20"/>
          <w:color w:val="auto"/>
        </w:rPr>
      </w:pPr>
    </w:p>
    <w:p>
      <w:pPr>
        <w:ind w:left="1180" w:right="719" w:firstLine="337"/>
        <w:spacing w:after="0" w:line="242" w:lineRule="auto"/>
        <w:rPr>
          <w:sz w:val="20"/>
          <w:szCs w:val="20"/>
          <w:color w:val="auto"/>
        </w:rPr>
      </w:pPr>
      <w:r>
        <w:rPr>
          <w:rFonts w:ascii="Times New Roman" w:cs="Times New Roman" w:eastAsia="Times New Roman" w:hAnsi="Times New Roman"/>
          <w:sz w:val="17"/>
          <w:szCs w:val="17"/>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Withdrawal or Removal of Our General Partner</w:t>
      </w:r>
    </w:p>
    <w:p>
      <w:pPr>
        <w:spacing w:after="0" w:line="150" w:lineRule="exact"/>
        <w:rPr>
          <w:sz w:val="20"/>
          <w:szCs w:val="20"/>
          <w:color w:val="auto"/>
        </w:rPr>
      </w:pPr>
    </w:p>
    <w:p>
      <w:pPr>
        <w:ind w:left="1180" w:right="739" w:firstLine="337"/>
        <w:spacing w:after="0" w:line="243" w:lineRule="auto"/>
        <w:rPr>
          <w:sz w:val="20"/>
          <w:szCs w:val="20"/>
          <w:color w:val="auto"/>
        </w:rPr>
      </w:pPr>
      <w:r>
        <w:rPr>
          <w:rFonts w:ascii="Times New Roman" w:cs="Times New Roman" w:eastAsia="Times New Roman" w:hAnsi="Times New Roman"/>
          <w:sz w:val="17"/>
          <w:szCs w:val="17"/>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10" w:lineRule="exact"/>
        <w:rPr>
          <w:sz w:val="20"/>
          <w:szCs w:val="20"/>
          <w:color w:val="auto"/>
        </w:rPr>
      </w:pPr>
    </w:p>
    <w:p>
      <w:pPr>
        <w:ind w:left="1180" w:right="839" w:firstLine="337"/>
        <w:spacing w:after="0" w:line="243" w:lineRule="auto"/>
        <w:rPr>
          <w:sz w:val="20"/>
          <w:szCs w:val="20"/>
          <w:color w:val="auto"/>
        </w:rPr>
      </w:pPr>
      <w:r>
        <w:rPr>
          <w:rFonts w:ascii="Times New Roman" w:cs="Times New Roman" w:eastAsia="Times New Roman" w:hAnsi="Times New Roman"/>
          <w:sz w:val="17"/>
          <w:szCs w:val="17"/>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110" w:lineRule="exact"/>
        <w:rPr>
          <w:sz w:val="20"/>
          <w:szCs w:val="20"/>
          <w:color w:val="auto"/>
        </w:rPr>
      </w:pPr>
    </w:p>
    <w:p>
      <w:pPr>
        <w:ind w:left="1180" w:right="759" w:firstLine="337"/>
        <w:spacing w:after="0" w:line="241" w:lineRule="auto"/>
        <w:rPr>
          <w:sz w:val="20"/>
          <w:szCs w:val="20"/>
          <w:color w:val="auto"/>
        </w:rPr>
      </w:pPr>
      <w:r>
        <w:rPr>
          <w:rFonts w:ascii="Times New Roman" w:cs="Times New Roman" w:eastAsia="Times New Roman" w:hAnsi="Times New Roman"/>
          <w:sz w:val="17"/>
          <w:szCs w:val="17"/>
          <w:color w:val="auto"/>
        </w:rPr>
        <w:t>Our general partner may not be removed unless that removal is approved by the vote of the holders of not less than two- 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307" w:lineRule="exact"/>
        <w:rPr>
          <w:sz w:val="20"/>
          <w:szCs w:val="20"/>
          <w:color w:val="auto"/>
        </w:rPr>
      </w:pPr>
    </w:p>
    <w:p>
      <w:pPr>
        <w:ind w:left="1180" w:right="959" w:firstLine="337"/>
        <w:spacing w:after="0" w:line="254" w:lineRule="auto"/>
        <w:rPr>
          <w:sz w:val="20"/>
          <w:szCs w:val="20"/>
          <w:color w:val="auto"/>
        </w:rPr>
      </w:pPr>
      <w:r>
        <w:rPr>
          <w:rFonts w:ascii="Times New Roman" w:cs="Times New Roman" w:eastAsia="Times New Roman" w:hAnsi="Times New Roman"/>
          <w:sz w:val="17"/>
          <w:szCs w:val="17"/>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00" w:lineRule="exact"/>
        <w:rPr>
          <w:sz w:val="20"/>
          <w:szCs w:val="20"/>
          <w:color w:val="auto"/>
        </w:rPr>
      </w:pPr>
    </w:p>
    <w:p>
      <w:pPr>
        <w:jc w:val="both"/>
        <w:ind w:left="1180" w:right="739" w:firstLine="337"/>
        <w:spacing w:after="0" w:line="260" w:lineRule="auto"/>
        <w:rPr>
          <w:sz w:val="20"/>
          <w:szCs w:val="20"/>
          <w:color w:val="auto"/>
        </w:rPr>
      </w:pPr>
      <w:r>
        <w:rPr>
          <w:rFonts w:ascii="Times New Roman" w:cs="Times New Roman" w:eastAsia="Times New Roman" w:hAnsi="Times New Roman"/>
          <w:sz w:val="17"/>
          <w:szCs w:val="17"/>
          <w:color w:val="auto"/>
        </w:rPr>
        <w:t>In addition, our partnership agreement expressly permits the sale, in whole or in part, of the ownership of our general partner. Our general partner may also transfer, in whole or in part, the common units it owns.</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Liquidation and Distribution of Proceeds</w:t>
      </w:r>
    </w:p>
    <w:p>
      <w:pPr>
        <w:spacing w:after="0" w:line="150" w:lineRule="exact"/>
        <w:rPr>
          <w:sz w:val="20"/>
          <w:szCs w:val="20"/>
          <w:color w:val="auto"/>
        </w:rPr>
      </w:pPr>
    </w:p>
    <w:p>
      <w:pPr>
        <w:ind w:left="1180" w:right="759" w:firstLine="337"/>
        <w:spacing w:after="0" w:line="247" w:lineRule="auto"/>
        <w:rPr>
          <w:sz w:val="20"/>
          <w:szCs w:val="20"/>
          <w:color w:val="auto"/>
        </w:rPr>
      </w:pPr>
      <w:r>
        <w:rPr>
          <w:rFonts w:ascii="Times New Roman" w:cs="Times New Roman" w:eastAsia="Times New Roman" w:hAnsi="Times New Roman"/>
          <w:sz w:val="17"/>
          <w:szCs w:val="17"/>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67" w:lineRule="exact"/>
        <w:rPr>
          <w:sz w:val="20"/>
          <w:szCs w:val="20"/>
          <w:color w:val="auto"/>
        </w:rPr>
      </w:pPr>
    </w:p>
    <w:p>
      <w:pPr>
        <w:ind w:left="1680" w:right="1359" w:hanging="160"/>
        <w:spacing w:after="0" w:line="275" w:lineRule="auto"/>
        <w:tabs>
          <w:tab w:leader="none" w:pos="16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towards the payment of all of our creditors and the creation of a reserve for contingent liabilities;</w:t>
      </w:r>
    </w:p>
    <w:p>
      <w:pPr>
        <w:spacing w:after="0" w:line="44" w:lineRule="exact"/>
        <w:rPr>
          <w:rFonts w:ascii="Times New Roman" w:cs="Times New Roman" w:eastAsia="Times New Roman" w:hAnsi="Times New Roman"/>
          <w:sz w:val="17"/>
          <w:szCs w:val="17"/>
          <w:color w:val="auto"/>
        </w:rPr>
      </w:pPr>
    </w:p>
    <w:p>
      <w:pPr>
        <w:ind w:left="1680" w:right="1139" w:hanging="160"/>
        <w:spacing w:after="0" w:line="262" w:lineRule="auto"/>
        <w:tabs>
          <w:tab w:leader="none" w:pos="16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4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finally, to all partners in accordance with the positive balance in their respective capital accounts.</w:t>
      </w:r>
    </w:p>
    <w:p>
      <w:pPr>
        <w:spacing w:after="0" w:line="146" w:lineRule="exact"/>
        <w:rPr>
          <w:sz w:val="20"/>
          <w:szCs w:val="20"/>
          <w:color w:val="auto"/>
        </w:rPr>
      </w:pPr>
    </w:p>
    <w:p>
      <w:pPr>
        <w:ind w:left="1180" w:right="919" w:firstLine="337"/>
        <w:spacing w:after="0" w:line="247" w:lineRule="auto"/>
        <w:rPr>
          <w:sz w:val="20"/>
          <w:szCs w:val="20"/>
          <w:color w:val="auto"/>
        </w:rPr>
      </w:pPr>
      <w:r>
        <w:rPr>
          <w:rFonts w:ascii="Times New Roman" w:cs="Times New Roman" w:eastAsia="Times New Roman" w:hAnsi="Times New Roman"/>
          <w:sz w:val="17"/>
          <w:szCs w:val="17"/>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33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Change of Management Provisions</w:t>
      </w:r>
    </w:p>
    <w:p>
      <w:pPr>
        <w:spacing w:after="0" w:line="150" w:lineRule="exact"/>
        <w:rPr>
          <w:sz w:val="20"/>
          <w:szCs w:val="20"/>
          <w:color w:val="auto"/>
        </w:rPr>
      </w:pPr>
    </w:p>
    <w:p>
      <w:pPr>
        <w:ind w:left="1180" w:right="799" w:firstLine="337"/>
        <w:spacing w:after="0" w:line="260" w:lineRule="auto"/>
        <w:rPr>
          <w:sz w:val="20"/>
          <w:szCs w:val="20"/>
          <w:color w:val="auto"/>
        </w:rPr>
      </w:pPr>
      <w:r>
        <w:rPr>
          <w:rFonts w:ascii="Times New Roman" w:cs="Times New Roman" w:eastAsia="Times New Roman" w:hAnsi="Times New Roman"/>
          <w:sz w:val="17"/>
          <w:szCs w:val="17"/>
          <w:color w:val="auto"/>
        </w:rPr>
        <w:t>Our partnership agreement contains the following specific provisions that are intended to discourage a person or group from attempting to remove our general partner or otherwise change management:</w:t>
      </w:r>
    </w:p>
    <w:p>
      <w:pPr>
        <w:spacing w:after="0" w:line="57" w:lineRule="exact"/>
        <w:rPr>
          <w:sz w:val="20"/>
          <w:szCs w:val="20"/>
          <w:color w:val="auto"/>
        </w:rPr>
      </w:pPr>
    </w:p>
    <w:p>
      <w:pPr>
        <w:jc w:val="both"/>
        <w:ind w:left="1680" w:right="899" w:hanging="160"/>
        <w:spacing w:after="0" w:line="269" w:lineRule="auto"/>
        <w:tabs>
          <w:tab w:leader="none" w:pos="16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if a person acquires 20% or more of any class of units then outstanding other than from our general partner or its affiliates, the units owned by such person cannot be voted on any matter; and</w:t>
      </w:r>
    </w:p>
    <w:p>
      <w:pPr>
        <w:spacing w:after="0" w:line="269" w:lineRule="exact"/>
        <w:rPr>
          <w:rFonts w:ascii="Times New Roman" w:cs="Times New Roman" w:eastAsia="Times New Roman" w:hAnsi="Times New Roman"/>
          <w:sz w:val="17"/>
          <w:szCs w:val="17"/>
          <w:color w:val="auto"/>
        </w:rPr>
      </w:pPr>
    </w:p>
    <w:p>
      <w:pPr>
        <w:jc w:val="both"/>
        <w:ind w:left="1680" w:right="979" w:hanging="160"/>
        <w:spacing w:after="0" w:line="262" w:lineRule="auto"/>
        <w:tabs>
          <w:tab w:leader="none" w:pos="16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Limited Call Right</w:t>
      </w:r>
    </w:p>
    <w:p>
      <w:pPr>
        <w:spacing w:after="0" w:line="1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If at any time our general partner and its affiliates (other than, with respect to the Series A</w:t>
      </w:r>
    </w:p>
    <w:p>
      <w:pPr>
        <w:spacing w:after="0" w:line="1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preferred units, such affiliates that originally purchased Series A preferred units) own 80% or more of the</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issued and outstanding limited partner interests of any class, our general partner will have the right to</w:t>
      </w:r>
    </w:p>
    <w:p>
      <w:pPr>
        <w:ind w:left="1180"/>
        <w:spacing w:after="0" w:line="232" w:lineRule="auto"/>
        <w:rPr>
          <w:sz w:val="20"/>
          <w:szCs w:val="20"/>
          <w:color w:val="auto"/>
        </w:rPr>
      </w:pPr>
      <w:r>
        <w:rPr>
          <w:rFonts w:ascii="Times New Roman" w:cs="Times New Roman" w:eastAsia="Times New Roman" w:hAnsi="Times New Roman"/>
          <w:sz w:val="17"/>
          <w:szCs w:val="17"/>
          <w:color w:val="auto"/>
        </w:rPr>
        <w:t>purchase all, but not less than all, of the outstanding limited partner interests of that class that are held by</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non-affiliated persons. The record date for determining ownership of the limited partner interests would be</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selected by our general partner on at least 10 but not more than 60 days’ notice. The purchase price in the</w:t>
      </w:r>
    </w:p>
    <w:p>
      <w:pPr>
        <w:ind w:left="1180"/>
        <w:spacing w:after="0" w:line="232" w:lineRule="auto"/>
        <w:rPr>
          <w:sz w:val="20"/>
          <w:szCs w:val="20"/>
          <w:color w:val="auto"/>
        </w:rPr>
      </w:pPr>
      <w:r>
        <w:rPr>
          <w:rFonts w:ascii="Times New Roman" w:cs="Times New Roman" w:eastAsia="Times New Roman" w:hAnsi="Times New Roman"/>
          <w:sz w:val="17"/>
          <w:szCs w:val="17"/>
          <w:color w:val="auto"/>
        </w:rPr>
        <w:t>event of a purchase under these provisions would be the greater of (1) the current market price (as defined</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in our agreement) of the limited partner interests of the class as of the date three days prior to the date that</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notice is mailed to the limited partners as provided in our partnership agreement and (2) the highest cash</w:t>
      </w:r>
    </w:p>
    <w:p>
      <w:pPr>
        <w:ind w:left="1180"/>
        <w:spacing w:after="0" w:line="232" w:lineRule="auto"/>
        <w:rPr>
          <w:sz w:val="20"/>
          <w:szCs w:val="20"/>
          <w:color w:val="auto"/>
        </w:rPr>
      </w:pPr>
      <w:r>
        <w:rPr>
          <w:rFonts w:ascii="Times New Roman" w:cs="Times New Roman" w:eastAsia="Times New Roman" w:hAnsi="Times New Roman"/>
          <w:sz w:val="17"/>
          <w:szCs w:val="17"/>
          <w:color w:val="auto"/>
        </w:rPr>
        <w:t>price paid by our general partner or any of its affiliates for any limited partner interest of the class</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purchased within the 90 days preceding the date our general partner mails notice of its election to purchase</w:t>
      </w:r>
    </w:p>
    <w:p>
      <w:pPr>
        <w:spacing w:after="0" w:line="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the units.</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50" w:lineRule="exact"/>
        <w:rPr>
          <w:sz w:val="20"/>
          <w:szCs w:val="20"/>
          <w:color w:val="auto"/>
        </w:rPr>
      </w:pPr>
    </w:p>
    <w:p>
      <w:pPr>
        <w:ind w:left="1180" w:right="719" w:firstLine="337"/>
        <w:spacing w:after="0" w:line="241" w:lineRule="auto"/>
        <w:rPr>
          <w:sz w:val="20"/>
          <w:szCs w:val="20"/>
          <w:color w:val="auto"/>
        </w:rPr>
      </w:pPr>
      <w:r>
        <w:rPr>
          <w:rFonts w:ascii="Times New Roman" w:cs="Times New Roman" w:eastAsia="Times New Roman" w:hAnsi="Times New Roman"/>
          <w:sz w:val="17"/>
          <w:szCs w:val="17"/>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306" w:lineRule="exact"/>
        <w:rPr>
          <w:sz w:val="20"/>
          <w:szCs w:val="20"/>
          <w:color w:val="auto"/>
        </w:rPr>
      </w:pPr>
    </w:p>
    <w:p>
      <w:pPr>
        <w:jc w:val="both"/>
        <w:ind w:left="1180" w:right="859" w:firstLine="337"/>
        <w:spacing w:after="0" w:line="262" w:lineRule="auto"/>
        <w:rPr>
          <w:sz w:val="20"/>
          <w:szCs w:val="20"/>
          <w:color w:val="auto"/>
        </w:rPr>
      </w:pPr>
      <w:r>
        <w:rPr>
          <w:rFonts w:ascii="Times New Roman" w:cs="Times New Roman" w:eastAsia="Times New Roman" w:hAnsi="Times New Roman"/>
          <w:sz w:val="17"/>
          <w:szCs w:val="17"/>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0" w:lineRule="exact"/>
        <w:rPr>
          <w:sz w:val="20"/>
          <w:szCs w:val="20"/>
          <w:color w:val="auto"/>
        </w:rPr>
      </w:pPr>
    </w:p>
    <w:p>
      <w:pPr>
        <w:ind w:left="1180" w:right="719" w:firstLine="337"/>
        <w:spacing w:after="0" w:line="255" w:lineRule="auto"/>
        <w:rPr>
          <w:sz w:val="20"/>
          <w:szCs w:val="20"/>
          <w:color w:val="auto"/>
        </w:rPr>
      </w:pPr>
      <w:r>
        <w:rPr>
          <w:rFonts w:ascii="Times New Roman" w:cs="Times New Roman" w:eastAsia="Times New Roman" w:hAnsi="Times New Roman"/>
          <w:sz w:val="17"/>
          <w:szCs w:val="17"/>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Limited Liability</w:t>
      </w:r>
    </w:p>
    <w:p>
      <w:pPr>
        <w:spacing w:after="0" w:line="137" w:lineRule="exact"/>
        <w:rPr>
          <w:sz w:val="20"/>
          <w:szCs w:val="20"/>
          <w:color w:val="auto"/>
        </w:rPr>
      </w:pPr>
    </w:p>
    <w:p>
      <w:pPr>
        <w:jc w:val="both"/>
        <w:ind w:left="1180" w:right="739" w:firstLine="337"/>
        <w:spacing w:after="0" w:line="255" w:lineRule="auto"/>
        <w:rPr>
          <w:sz w:val="20"/>
          <w:szCs w:val="20"/>
          <w:color w:val="auto"/>
        </w:rPr>
      </w:pPr>
      <w:r>
        <w:rPr>
          <w:rFonts w:ascii="Times New Roman" w:cs="Times New Roman" w:eastAsia="Times New Roman" w:hAnsi="Times New Roman"/>
          <w:sz w:val="17"/>
          <w:szCs w:val="17"/>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11" w:lineRule="exact"/>
        <w:rPr>
          <w:sz w:val="20"/>
          <w:szCs w:val="20"/>
          <w:color w:val="auto"/>
        </w:rPr>
      </w:pPr>
    </w:p>
    <w:p>
      <w:pPr>
        <w:jc w:val="both"/>
        <w:ind w:left="1180" w:right="959" w:firstLine="337"/>
        <w:spacing w:after="0" w:line="275" w:lineRule="auto"/>
        <w:rPr>
          <w:sz w:val="20"/>
          <w:szCs w:val="20"/>
          <w:color w:val="auto"/>
        </w:rPr>
      </w:pPr>
      <w:r>
        <w:rPr>
          <w:rFonts w:ascii="Times New Roman" w:cs="Times New Roman" w:eastAsia="Times New Roman" w:hAnsi="Times New Roman"/>
          <w:sz w:val="17"/>
          <w:szCs w:val="17"/>
          <w:color w:val="auto"/>
        </w:rPr>
        <w:t>Under the Delaware Act, a limited partnership may not make a distribution to a partner to the extent that at the time of the distribution, after giving effect to the distribution, all liabilities of the partnership,</w:t>
      </w:r>
    </w:p>
    <w:p>
      <w:pPr>
        <w:spacing w:after="0" w:line="3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59"/>
        <w:spacing w:after="0" w:line="251" w:lineRule="auto"/>
        <w:rPr>
          <w:sz w:val="20"/>
          <w:szCs w:val="20"/>
          <w:color w:val="auto"/>
        </w:rPr>
      </w:pPr>
      <w:r>
        <w:rPr>
          <w:rFonts w:ascii="Times New Roman" w:cs="Times New Roman" w:eastAsia="Times New Roman" w:hAnsi="Times New Roman"/>
          <w:sz w:val="17"/>
          <w:szCs w:val="17"/>
          <w:color w:val="auto"/>
        </w:rPr>
        <w:t>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MATERIAL U.S. FEDERAL INCOME TAX CONSEQUENCES</w:t>
      </w:r>
    </w:p>
    <w:p>
      <w:pPr>
        <w:spacing w:after="0" w:line="150" w:lineRule="exact"/>
        <w:rPr>
          <w:sz w:val="20"/>
          <w:szCs w:val="20"/>
          <w:color w:val="auto"/>
        </w:rPr>
      </w:pPr>
    </w:p>
    <w:p>
      <w:pPr>
        <w:ind w:left="1180" w:right="699" w:firstLine="337"/>
        <w:spacing w:after="0" w:line="252" w:lineRule="auto"/>
        <w:rPr>
          <w:sz w:val="20"/>
          <w:szCs w:val="20"/>
          <w:color w:val="auto"/>
        </w:rPr>
      </w:pPr>
      <w:r>
        <w:rPr>
          <w:rFonts w:ascii="Times New Roman" w:cs="Times New Roman" w:eastAsia="Times New Roman" w:hAnsi="Times New Roman"/>
          <w:sz w:val="17"/>
          <w:szCs w:val="17"/>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320" w:lineRule="exact"/>
        <w:rPr>
          <w:sz w:val="20"/>
          <w:szCs w:val="20"/>
          <w:color w:val="auto"/>
        </w:rPr>
      </w:pPr>
    </w:p>
    <w:p>
      <w:pPr>
        <w:ind w:left="1180" w:right="719" w:firstLine="337"/>
        <w:spacing w:after="0" w:line="250" w:lineRule="auto"/>
        <w:rPr>
          <w:sz w:val="20"/>
          <w:szCs w:val="20"/>
          <w:color w:val="auto"/>
        </w:rPr>
      </w:pPr>
      <w:r>
        <w:rPr>
          <w:rFonts w:ascii="Times New Roman" w:cs="Times New Roman" w:eastAsia="Times New Roman" w:hAnsi="Times New Roman"/>
          <w:sz w:val="17"/>
          <w:szCs w:val="17"/>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304" w:lineRule="exact"/>
        <w:rPr>
          <w:sz w:val="20"/>
          <w:szCs w:val="20"/>
          <w:color w:val="auto"/>
        </w:rPr>
      </w:pPr>
    </w:p>
    <w:p>
      <w:pPr>
        <w:ind w:left="1180" w:right="1179" w:firstLine="337"/>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87" w:lineRule="exact"/>
        <w:rPr>
          <w:sz w:val="20"/>
          <w:szCs w:val="20"/>
          <w:color w:val="auto"/>
        </w:rPr>
      </w:pPr>
    </w:p>
    <w:p>
      <w:pPr>
        <w:ind w:left="1180" w:right="699" w:firstLine="337"/>
        <w:spacing w:after="0" w:line="250" w:lineRule="auto"/>
        <w:rPr>
          <w:sz w:val="20"/>
          <w:szCs w:val="20"/>
          <w:color w:val="auto"/>
        </w:rPr>
      </w:pPr>
      <w:r>
        <w:rPr>
          <w:rFonts w:ascii="Times New Roman" w:cs="Times New Roman" w:eastAsia="Times New Roman" w:hAnsi="Times New Roman"/>
          <w:sz w:val="17"/>
          <w:szCs w:val="17"/>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3" w:lineRule="exact"/>
        <w:rPr>
          <w:sz w:val="20"/>
          <w:szCs w:val="20"/>
          <w:color w:val="auto"/>
        </w:rPr>
      </w:pPr>
    </w:p>
    <w:p>
      <w:pPr>
        <w:ind w:left="1180" w:right="919" w:firstLine="337"/>
        <w:spacing w:after="0" w:line="275" w:lineRule="auto"/>
        <w:rPr>
          <w:sz w:val="20"/>
          <w:szCs w:val="20"/>
          <w:color w:val="auto"/>
        </w:rPr>
      </w:pPr>
      <w:r>
        <w:rPr>
          <w:rFonts w:ascii="Times New Roman" w:cs="Times New Roman" w:eastAsia="Times New Roman" w:hAnsi="Times New Roman"/>
          <w:sz w:val="17"/>
          <w:szCs w:val="17"/>
          <w:color w:val="auto"/>
        </w:rPr>
        <w:t>For the reasons described below, Vinson &amp; Elkins L.L.P. has not rendered an opinion with respect to the following federal income tax issues:</w:t>
      </w:r>
    </w:p>
    <w:p>
      <w:pPr>
        <w:spacing w:after="0" w:line="57" w:lineRule="exact"/>
        <w:rPr>
          <w:sz w:val="20"/>
          <w:szCs w:val="20"/>
          <w:color w:val="auto"/>
        </w:rPr>
      </w:pPr>
    </w:p>
    <w:p>
      <w:pPr>
        <w:ind w:left="1680" w:right="919" w:hanging="160"/>
        <w:spacing w:after="0" w:line="262" w:lineRule="auto"/>
        <w:tabs>
          <w:tab w:leader="none" w:pos="16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treatment of a unitholder whose units are the subject of a securities loan (e.g., a loan to a short seller to cover a short sale of units) (please read “— Tax Consequences of Unit Ownership —  Treatment of Securities Loans”);</w:t>
      </w:r>
    </w:p>
    <w:p>
      <w:pPr>
        <w:spacing w:after="0" w:line="80" w:lineRule="exact"/>
        <w:rPr>
          <w:rFonts w:ascii="Times New Roman" w:cs="Times New Roman" w:eastAsia="Times New Roman" w:hAnsi="Times New Roman"/>
          <w:sz w:val="17"/>
          <w:szCs w:val="17"/>
          <w:color w:val="auto"/>
        </w:rPr>
      </w:pPr>
    </w:p>
    <w:p>
      <w:pPr>
        <w:ind w:left="1680" w:right="819" w:hanging="160"/>
        <w:spacing w:after="0" w:line="262" w:lineRule="auto"/>
        <w:tabs>
          <w:tab w:leader="none" w:pos="16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our monthly convention for allocating taxable income and losses is permitted by existing Treasury Regulations (please read “— Disposition of Units — Allocations Between Transferors and Transferees”);</w:t>
      </w:r>
    </w:p>
    <w:p>
      <w:pPr>
        <w:spacing w:after="0" w:line="67" w:lineRule="exact"/>
        <w:rPr>
          <w:rFonts w:ascii="Times New Roman" w:cs="Times New Roman" w:eastAsia="Times New Roman" w:hAnsi="Times New Roman"/>
          <w:sz w:val="17"/>
          <w:szCs w:val="17"/>
          <w:color w:val="auto"/>
        </w:rPr>
      </w:pPr>
    </w:p>
    <w:p>
      <w:pPr>
        <w:ind w:left="1680" w:right="739" w:hanging="160"/>
        <w:spacing w:after="0" w:line="262" w:lineRule="auto"/>
        <w:tabs>
          <w:tab w:leader="none" w:pos="16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our method for taking into account Section 743 adjustments is sustainable in certain cases (please read “— Tax Consequences of Unit Ownership — Section 754 Election” and “— Disposition of Units — Uniformity of Units”);</w:t>
      </w: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80" w:right="719" w:hanging="160"/>
        <w:spacing w:after="0" w:line="262" w:lineRule="auto"/>
        <w:tabs>
          <w:tab w:leader="none" w:pos="1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67" w:lineRule="exact"/>
        <w:rPr>
          <w:rFonts w:ascii="Times New Roman" w:cs="Times New Roman" w:eastAsia="Times New Roman" w:hAnsi="Times New Roman"/>
          <w:sz w:val="17"/>
          <w:szCs w:val="17"/>
          <w:color w:val="auto"/>
        </w:rPr>
      </w:pPr>
    </w:p>
    <w:p>
      <w:pPr>
        <w:jc w:val="both"/>
        <w:ind w:left="1680" w:right="839" w:hanging="160"/>
        <w:spacing w:after="0" w:line="262" w:lineRule="auto"/>
        <w:tabs>
          <w:tab w:leader="none" w:pos="1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our allocations of income, gain, loss and deduction will be given effect for federal income tax purposes (please read “— Tax Consequences of Unit Ownership — Allocation of Income, Gain, Loss and Deduction”).</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Taxation of the Partnership</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Partnership Status</w:t>
      </w:r>
    </w:p>
    <w:p>
      <w:pPr>
        <w:spacing w:after="0" w:line="150" w:lineRule="exact"/>
        <w:rPr>
          <w:sz w:val="20"/>
          <w:szCs w:val="20"/>
          <w:color w:val="auto"/>
        </w:rPr>
      </w:pPr>
    </w:p>
    <w:p>
      <w:pPr>
        <w:ind w:left="1180" w:right="859" w:firstLine="337"/>
        <w:spacing w:after="0"/>
        <w:rPr>
          <w:sz w:val="20"/>
          <w:szCs w:val="20"/>
          <w:color w:val="auto"/>
        </w:rPr>
      </w:pPr>
      <w:r>
        <w:rPr>
          <w:rFonts w:ascii="Times New Roman" w:cs="Times New Roman" w:eastAsia="Times New Roman" w:hAnsi="Times New Roman"/>
          <w:sz w:val="17"/>
          <w:szCs w:val="17"/>
          <w:color w:val="auto"/>
        </w:rPr>
        <w:t>We expect to be treated as a partnership for federal income tax purposes and, therefore, subject to the discussion below under “— Administrative Matters —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111" w:lineRule="exact"/>
        <w:rPr>
          <w:sz w:val="20"/>
          <w:szCs w:val="20"/>
          <w:color w:val="auto"/>
        </w:rPr>
      </w:pPr>
    </w:p>
    <w:p>
      <w:pPr>
        <w:ind w:left="1180" w:right="679" w:firstLine="337"/>
        <w:spacing w:after="0"/>
        <w:rPr>
          <w:sz w:val="20"/>
          <w:szCs w:val="20"/>
          <w:color w:val="auto"/>
        </w:rPr>
      </w:pPr>
      <w:r>
        <w:rPr>
          <w:rFonts w:ascii="Times New Roman" w:cs="Times New Roman" w:eastAsia="Times New Roman" w:hAnsi="Times New Roman"/>
          <w:sz w:val="17"/>
          <w:szCs w:val="17"/>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18" w:lineRule="exact"/>
        <w:rPr>
          <w:sz w:val="20"/>
          <w:szCs w:val="20"/>
          <w:color w:val="auto"/>
        </w:rPr>
      </w:pPr>
    </w:p>
    <w:p>
      <w:pPr>
        <w:ind w:left="1180" w:right="679" w:firstLine="337"/>
        <w:spacing w:after="0" w:line="243" w:lineRule="auto"/>
        <w:rPr>
          <w:sz w:val="20"/>
          <w:szCs w:val="20"/>
          <w:color w:val="auto"/>
        </w:rPr>
      </w:pPr>
      <w:r>
        <w:rPr>
          <w:rFonts w:ascii="Times New Roman" w:cs="Times New Roman" w:eastAsia="Times New Roman" w:hAnsi="Times New Roman"/>
          <w:sz w:val="17"/>
          <w:szCs w:val="17"/>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10" w:lineRule="exact"/>
        <w:rPr>
          <w:sz w:val="20"/>
          <w:szCs w:val="20"/>
          <w:color w:val="auto"/>
        </w:rPr>
      </w:pPr>
    </w:p>
    <w:p>
      <w:pPr>
        <w:ind w:left="1520" w:right="939" w:firstLine="273"/>
        <w:spacing w:after="0" w:line="275" w:lineRule="auto"/>
        <w:tabs>
          <w:tab w:leader="none" w:pos="203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we nor any of our partnership or limited liability company operating subsidiaries has elected or will elect to be treated as a corporation for federal income tax purposes;</w:t>
      </w:r>
    </w:p>
    <w:p>
      <w:pPr>
        <w:spacing w:after="0" w:line="82" w:lineRule="exact"/>
        <w:rPr>
          <w:rFonts w:ascii="Times New Roman" w:cs="Times New Roman" w:eastAsia="Times New Roman" w:hAnsi="Times New Roman"/>
          <w:sz w:val="17"/>
          <w:szCs w:val="17"/>
          <w:color w:val="auto"/>
        </w:rPr>
      </w:pPr>
    </w:p>
    <w:p>
      <w:pPr>
        <w:jc w:val="both"/>
        <w:ind w:left="1520" w:right="759" w:firstLine="273"/>
        <w:spacing w:after="0" w:line="246" w:lineRule="auto"/>
        <w:tabs>
          <w:tab w:leader="none" w:pos="204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06" w:lineRule="exact"/>
        <w:rPr>
          <w:rFonts w:ascii="Times New Roman" w:cs="Times New Roman" w:eastAsia="Times New Roman" w:hAnsi="Times New Roman"/>
          <w:sz w:val="17"/>
          <w:szCs w:val="17"/>
          <w:color w:val="auto"/>
        </w:rPr>
      </w:pPr>
    </w:p>
    <w:p>
      <w:pPr>
        <w:ind w:left="1520" w:right="739" w:firstLine="273"/>
        <w:spacing w:after="0" w:line="247" w:lineRule="auto"/>
        <w:tabs>
          <w:tab w:leader="none" w:pos="203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We believe that these representations are true and will be true in the future.</w:t>
      </w:r>
    </w:p>
    <w:p>
      <w:pPr>
        <w:spacing w:after="0" w:line="146" w:lineRule="exact"/>
        <w:rPr>
          <w:sz w:val="20"/>
          <w:szCs w:val="20"/>
          <w:color w:val="auto"/>
        </w:rPr>
      </w:pPr>
    </w:p>
    <w:p>
      <w:pPr>
        <w:ind w:left="1180" w:right="759" w:firstLine="337"/>
        <w:spacing w:after="0" w:line="254" w:lineRule="auto"/>
        <w:rPr>
          <w:sz w:val="20"/>
          <w:szCs w:val="20"/>
          <w:color w:val="auto"/>
        </w:rPr>
      </w:pPr>
      <w:r>
        <w:rPr>
          <w:rFonts w:ascii="Times New Roman" w:cs="Times New Roman" w:eastAsia="Times New Roman" w:hAnsi="Times New Roman"/>
          <w:sz w:val="17"/>
          <w:szCs w:val="17"/>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w:t>
      </w:r>
    </w:p>
    <w:p>
      <w:pPr>
        <w:spacing w:after="0" w:line="3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59"/>
        <w:spacing w:after="0" w:line="253" w:lineRule="auto"/>
        <w:rPr>
          <w:sz w:val="20"/>
          <w:szCs w:val="20"/>
          <w:color w:val="auto"/>
        </w:rPr>
      </w:pPr>
      <w:r>
        <w:rPr>
          <w:rFonts w:ascii="Times New Roman" w:cs="Times New Roman" w:eastAsia="Times New Roman" w:hAnsi="Times New Roman"/>
          <w:sz w:val="17"/>
          <w:szCs w:val="17"/>
          <w:color w:val="auto"/>
        </w:rPr>
        <w:t>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318" w:lineRule="exact"/>
        <w:rPr>
          <w:sz w:val="20"/>
          <w:szCs w:val="20"/>
          <w:color w:val="auto"/>
        </w:rPr>
      </w:pPr>
    </w:p>
    <w:p>
      <w:pPr>
        <w:ind w:left="1180" w:right="679" w:firstLine="337"/>
        <w:spacing w:after="0" w:line="253" w:lineRule="auto"/>
        <w:rPr>
          <w:sz w:val="20"/>
          <w:szCs w:val="20"/>
          <w:color w:val="auto"/>
        </w:rPr>
      </w:pPr>
      <w:r>
        <w:rPr>
          <w:rFonts w:ascii="Times New Roman" w:cs="Times New Roman" w:eastAsia="Times New Roman" w:hAnsi="Times New Roman"/>
          <w:sz w:val="17"/>
          <w:szCs w:val="17"/>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16" w:lineRule="exact"/>
        <w:rPr>
          <w:sz w:val="20"/>
          <w:szCs w:val="20"/>
          <w:color w:val="auto"/>
        </w:rPr>
      </w:pPr>
    </w:p>
    <w:p>
      <w:pPr>
        <w:ind w:left="1180" w:right="739" w:firstLine="337"/>
        <w:spacing w:after="0" w:line="255" w:lineRule="auto"/>
        <w:rPr>
          <w:sz w:val="20"/>
          <w:szCs w:val="20"/>
          <w:color w:val="auto"/>
        </w:rPr>
      </w:pPr>
      <w:r>
        <w:rPr>
          <w:rFonts w:ascii="Times New Roman" w:cs="Times New Roman" w:eastAsia="Times New Roman" w:hAnsi="Times New Roman"/>
          <w:sz w:val="17"/>
          <w:szCs w:val="17"/>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99" w:lineRule="exact"/>
        <w:rPr>
          <w:sz w:val="20"/>
          <w:szCs w:val="20"/>
          <w:color w:val="auto"/>
        </w:rPr>
      </w:pPr>
    </w:p>
    <w:p>
      <w:pPr>
        <w:ind w:left="1180" w:right="799" w:firstLine="337"/>
        <w:spacing w:after="0" w:line="255" w:lineRule="auto"/>
        <w:rPr>
          <w:sz w:val="20"/>
          <w:szCs w:val="20"/>
          <w:color w:val="auto"/>
        </w:rPr>
      </w:pPr>
      <w:r>
        <w:rPr>
          <w:rFonts w:ascii="Times New Roman" w:cs="Times New Roman" w:eastAsia="Times New Roman" w:hAnsi="Times New Roman"/>
          <w:sz w:val="17"/>
          <w:szCs w:val="17"/>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11" w:lineRule="exact"/>
        <w:rPr>
          <w:sz w:val="20"/>
          <w:szCs w:val="20"/>
          <w:color w:val="auto"/>
        </w:rPr>
      </w:pPr>
    </w:p>
    <w:p>
      <w:pPr>
        <w:ind w:left="1180" w:right="839" w:firstLine="337"/>
        <w:spacing w:after="0" w:line="257" w:lineRule="auto"/>
        <w:rPr>
          <w:sz w:val="20"/>
          <w:szCs w:val="20"/>
          <w:color w:val="auto"/>
        </w:rPr>
      </w:pPr>
      <w:r>
        <w:rPr>
          <w:rFonts w:ascii="Times New Roman" w:cs="Times New Roman" w:eastAsia="Times New Roman" w:hAnsi="Times New Roman"/>
          <w:sz w:val="17"/>
          <w:szCs w:val="17"/>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10" w:lineRule="exact"/>
        <w:rPr>
          <w:sz w:val="20"/>
          <w:szCs w:val="20"/>
          <w:color w:val="auto"/>
        </w:rPr>
      </w:pPr>
    </w:p>
    <w:p>
      <w:pPr>
        <w:ind w:left="1180" w:right="759" w:firstLine="337"/>
        <w:spacing w:after="0" w:line="255" w:lineRule="auto"/>
        <w:rPr>
          <w:sz w:val="20"/>
          <w:szCs w:val="20"/>
          <w:color w:val="auto"/>
        </w:rPr>
      </w:pPr>
      <w:r>
        <w:rPr>
          <w:rFonts w:ascii="Times New Roman" w:cs="Times New Roman" w:eastAsia="Times New Roman" w:hAnsi="Times New Roman"/>
          <w:sz w:val="17"/>
          <w:szCs w:val="17"/>
          <w:color w:val="auto"/>
        </w:rPr>
        <w:t>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99" w:lineRule="exact"/>
        <w:rPr>
          <w:sz w:val="20"/>
          <w:szCs w:val="20"/>
          <w:color w:val="auto"/>
        </w:rPr>
      </w:pPr>
    </w:p>
    <w:p>
      <w:pPr>
        <w:ind w:left="1180" w:right="1059" w:firstLine="337"/>
        <w:spacing w:after="0" w:line="275" w:lineRule="auto"/>
        <w:rPr>
          <w:sz w:val="20"/>
          <w:szCs w:val="20"/>
          <w:color w:val="auto"/>
        </w:rPr>
      </w:pPr>
      <w:r>
        <w:rPr>
          <w:rFonts w:ascii="Times New Roman" w:cs="Times New Roman" w:eastAsia="Times New Roman" w:hAnsi="Times New Roman"/>
          <w:sz w:val="17"/>
          <w:szCs w:val="17"/>
          <w:color w:val="auto"/>
        </w:rPr>
        <w:t>The remainder of this discussion is based on the opinion of Vinson &amp; Elkins L.L.P. that we will be treated as a partnership for federal income tax purposes.</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Tax Consequences of Unit Ownership</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Limited Partner Status</w:t>
      </w:r>
    </w:p>
    <w:p>
      <w:pPr>
        <w:spacing w:after="0" w:line="150" w:lineRule="exact"/>
        <w:rPr>
          <w:sz w:val="20"/>
          <w:szCs w:val="20"/>
          <w:color w:val="auto"/>
        </w:rPr>
      </w:pPr>
    </w:p>
    <w:p>
      <w:pPr>
        <w:ind w:left="1180" w:right="719" w:firstLine="337"/>
        <w:spacing w:after="0" w:line="256" w:lineRule="auto"/>
        <w:rPr>
          <w:sz w:val="20"/>
          <w:szCs w:val="20"/>
          <w:color w:val="auto"/>
        </w:rPr>
      </w:pPr>
      <w:r>
        <w:rPr>
          <w:rFonts w:ascii="Times New Roman" w:cs="Times New Roman" w:eastAsia="Times New Roman" w:hAnsi="Times New Roman"/>
          <w:sz w:val="17"/>
          <w:szCs w:val="17"/>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316" w:lineRule="exact"/>
        <w:rPr>
          <w:sz w:val="20"/>
          <w:szCs w:val="20"/>
          <w:color w:val="auto"/>
        </w:rPr>
      </w:pPr>
    </w:p>
    <w:p>
      <w:pPr>
        <w:ind w:left="1180" w:right="839" w:firstLine="337"/>
        <w:spacing w:after="0" w:line="252" w:lineRule="auto"/>
        <w:rPr>
          <w:sz w:val="20"/>
          <w:szCs w:val="20"/>
          <w:color w:val="auto"/>
        </w:rPr>
      </w:pPr>
      <w:r>
        <w:rPr>
          <w:rFonts w:ascii="Times New Roman" w:cs="Times New Roman" w:eastAsia="Times New Roman" w:hAnsi="Times New Roman"/>
          <w:sz w:val="17"/>
          <w:szCs w:val="17"/>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899" w:firstLine="337"/>
        <w:spacing w:after="0" w:line="275" w:lineRule="auto"/>
        <w:rPr>
          <w:sz w:val="20"/>
          <w:szCs w:val="20"/>
          <w:color w:val="auto"/>
        </w:rPr>
      </w:pPr>
      <w:r>
        <w:rPr>
          <w:rFonts w:ascii="Times New Roman" w:cs="Times New Roman" w:eastAsia="Times New Roman" w:hAnsi="Times New Roman"/>
          <w:sz w:val="17"/>
          <w:szCs w:val="17"/>
          <w:color w:val="auto"/>
        </w:rPr>
        <w:t>For a discussion related to the risks of losing partner status as a result of securities loans, please read “— Tax Consequences of Unit Ownership — Treatment of Securities Loans.”</w:t>
      </w:r>
    </w:p>
    <w:p>
      <w:pPr>
        <w:spacing w:after="0" w:line="83" w:lineRule="exact"/>
        <w:rPr>
          <w:sz w:val="20"/>
          <w:szCs w:val="20"/>
          <w:color w:val="auto"/>
        </w:rPr>
      </w:pPr>
    </w:p>
    <w:p>
      <w:pPr>
        <w:ind w:left="1180" w:right="1019" w:firstLine="337"/>
        <w:spacing w:after="0" w:line="246" w:lineRule="auto"/>
        <w:rPr>
          <w:sz w:val="20"/>
          <w:szCs w:val="20"/>
          <w:color w:val="auto"/>
        </w:rPr>
      </w:pPr>
      <w:r>
        <w:rPr>
          <w:rFonts w:ascii="Times New Roman" w:cs="Times New Roman" w:eastAsia="Times New Roman" w:hAnsi="Times New Roman"/>
          <w:sz w:val="17"/>
          <w:szCs w:val="17"/>
          <w:color w:val="auto"/>
        </w:rPr>
        <w:t>A unitholder who is not treated as a partner in us as described above is urged to consult its own tax advisors with respect to the tax consequences applicable to such unitholder under its particular circumstances.</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Flow-Through of Taxable Income</w:t>
      </w:r>
    </w:p>
    <w:p>
      <w:pPr>
        <w:spacing w:after="0" w:line="1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Subject to the discussion below under “— Entity-Level Collections of Unitholder Taxes” and</w:t>
      </w:r>
    </w:p>
    <w:p>
      <w:pPr>
        <w:spacing w:after="0" w:line="23" w:lineRule="exact"/>
        <w:rPr>
          <w:sz w:val="20"/>
          <w:szCs w:val="20"/>
          <w:color w:val="auto"/>
        </w:rPr>
      </w:pPr>
    </w:p>
    <w:p>
      <w:pPr>
        <w:ind w:left="1180" w:right="819"/>
        <w:spacing w:after="0" w:line="237" w:lineRule="auto"/>
        <w:rPr>
          <w:sz w:val="20"/>
          <w:szCs w:val="20"/>
          <w:color w:val="auto"/>
        </w:rPr>
      </w:pPr>
      <w:r>
        <w:rPr>
          <w:rFonts w:ascii="Times New Roman" w:cs="Times New Roman" w:eastAsia="Times New Roman" w:hAnsi="Times New Roman"/>
          <w:sz w:val="17"/>
          <w:szCs w:val="17"/>
          <w:color w:val="auto"/>
        </w:rPr>
        <w:t>“—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8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Basis of Units</w:t>
      </w:r>
    </w:p>
    <w:p>
      <w:pPr>
        <w:spacing w:after="0" w:line="137" w:lineRule="exact"/>
        <w:rPr>
          <w:sz w:val="20"/>
          <w:szCs w:val="20"/>
          <w:color w:val="auto"/>
        </w:rPr>
      </w:pPr>
    </w:p>
    <w:p>
      <w:pPr>
        <w:ind w:left="1180" w:right="919" w:firstLine="337"/>
        <w:spacing w:after="0" w:line="251" w:lineRule="auto"/>
        <w:rPr>
          <w:sz w:val="20"/>
          <w:szCs w:val="20"/>
          <w:color w:val="auto"/>
        </w:rPr>
      </w:pPr>
      <w:r>
        <w:rPr>
          <w:rFonts w:ascii="Times New Roman" w:cs="Times New Roman" w:eastAsia="Times New Roman" w:hAnsi="Times New Roman"/>
          <w:sz w:val="17"/>
          <w:szCs w:val="17"/>
          <w:color w:val="auto"/>
        </w:rPr>
        <w:t>A unitholder’s tax basis in its units initially will be the amount paid or treated as paid for those units increased by the unitholder’s initial allocable share of our liabilities. That basis generally will be</w:t>
      </w:r>
    </w:p>
    <w:p>
      <w:pPr>
        <w:spacing w:after="0" w:line="1" w:lineRule="exact"/>
        <w:rPr>
          <w:sz w:val="20"/>
          <w:szCs w:val="20"/>
          <w:color w:val="auto"/>
        </w:rPr>
      </w:pPr>
    </w:p>
    <w:p>
      <w:pPr>
        <w:ind w:left="1180" w:right="679" w:firstLine="3"/>
        <w:spacing w:after="0"/>
        <w:tabs>
          <w:tab w:leader="none" w:pos="139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Treatment of Distributions</w:t>
      </w:r>
    </w:p>
    <w:p>
      <w:pPr>
        <w:spacing w:after="0" w:line="150" w:lineRule="exact"/>
        <w:rPr>
          <w:sz w:val="20"/>
          <w:szCs w:val="20"/>
          <w:color w:val="auto"/>
        </w:rPr>
      </w:pPr>
    </w:p>
    <w:p>
      <w:pPr>
        <w:ind w:left="1180" w:right="739" w:firstLine="337"/>
        <w:spacing w:after="0" w:line="241" w:lineRule="auto"/>
        <w:rPr>
          <w:sz w:val="20"/>
          <w:szCs w:val="20"/>
          <w:color w:val="auto"/>
        </w:rPr>
      </w:pPr>
      <w:r>
        <w:rPr>
          <w:rFonts w:ascii="Times New Roman" w:cs="Times New Roman" w:eastAsia="Times New Roman" w:hAnsi="Times New Roman"/>
          <w:sz w:val="17"/>
          <w:szCs w:val="17"/>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112" w:lineRule="exact"/>
        <w:rPr>
          <w:sz w:val="20"/>
          <w:szCs w:val="20"/>
          <w:color w:val="auto"/>
        </w:rPr>
      </w:pPr>
    </w:p>
    <w:p>
      <w:pPr>
        <w:ind w:left="1180" w:right="779" w:firstLine="337"/>
        <w:spacing w:after="0" w:line="252" w:lineRule="auto"/>
        <w:rPr>
          <w:sz w:val="20"/>
          <w:szCs w:val="20"/>
          <w:color w:val="auto"/>
        </w:rPr>
      </w:pPr>
      <w:r>
        <w:rPr>
          <w:rFonts w:ascii="Times New Roman" w:cs="Times New Roman" w:eastAsia="Times New Roman" w:hAnsi="Times New Roman"/>
          <w:sz w:val="17"/>
          <w:szCs w:val="17"/>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117" w:lineRule="exact"/>
        <w:rPr>
          <w:sz w:val="20"/>
          <w:szCs w:val="20"/>
          <w:color w:val="auto"/>
        </w:rPr>
      </w:pPr>
    </w:p>
    <w:p>
      <w:pPr>
        <w:ind w:left="1180" w:right="699" w:firstLine="337"/>
        <w:spacing w:after="0" w:line="250" w:lineRule="auto"/>
        <w:rPr>
          <w:sz w:val="20"/>
          <w:szCs w:val="20"/>
          <w:color w:val="auto"/>
        </w:rPr>
      </w:pPr>
      <w:r>
        <w:rPr>
          <w:rFonts w:ascii="Times New Roman" w:cs="Times New Roman" w:eastAsia="Times New Roman" w:hAnsi="Times New Roman"/>
          <w:sz w:val="17"/>
          <w:szCs w:val="17"/>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4" w:lineRule="exact"/>
        <w:rPr>
          <w:sz w:val="20"/>
          <w:szCs w:val="20"/>
          <w:color w:val="auto"/>
        </w:rPr>
      </w:pPr>
    </w:p>
    <w:p>
      <w:pPr>
        <w:ind w:left="1180" w:right="1019" w:firstLine="3"/>
        <w:spacing w:after="0" w:line="256" w:lineRule="auto"/>
        <w:tabs>
          <w:tab w:leader="none" w:pos="143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unitholder’s tax basis (typically zero) in the Section 751 Assets deemed to be relinquished in the exchange.</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Deductibility of Losses</w:t>
      </w:r>
    </w:p>
    <w:p>
      <w:pPr>
        <w:spacing w:after="0" w:line="150" w:lineRule="exact"/>
        <w:rPr>
          <w:sz w:val="20"/>
          <w:szCs w:val="20"/>
          <w:color w:val="auto"/>
        </w:rPr>
      </w:pPr>
    </w:p>
    <w:p>
      <w:pPr>
        <w:ind w:left="1180" w:right="779" w:firstLine="337"/>
        <w:spacing w:after="0" w:line="259" w:lineRule="auto"/>
        <w:rPr>
          <w:sz w:val="20"/>
          <w:szCs w:val="20"/>
          <w:color w:val="auto"/>
        </w:rPr>
      </w:pPr>
      <w:r>
        <w:rPr>
          <w:rFonts w:ascii="Times New Roman" w:cs="Times New Roman" w:eastAsia="Times New Roman" w:hAnsi="Times New Roman"/>
          <w:sz w:val="17"/>
          <w:szCs w:val="17"/>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pacing w:after="0" w:line="200" w:lineRule="exact"/>
        <w:rPr>
          <w:sz w:val="20"/>
          <w:szCs w:val="20"/>
          <w:color w:val="auto"/>
        </w:rPr>
      </w:pPr>
    </w:p>
    <w:p>
      <w:pPr>
        <w:spacing w:after="0" w:line="34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59"/>
        <w:spacing w:after="0" w:line="245" w:lineRule="auto"/>
        <w:rPr>
          <w:sz w:val="20"/>
          <w:szCs w:val="20"/>
          <w:color w:val="auto"/>
        </w:rPr>
      </w:pPr>
      <w:r>
        <w:rPr>
          <w:rFonts w:ascii="Times New Roman" w:cs="Times New Roman" w:eastAsia="Times New Roman" w:hAnsi="Times New Roman"/>
          <w:sz w:val="17"/>
          <w:szCs w:val="17"/>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spacing w:after="0" w:line="1" w:lineRule="exact"/>
        <w:rPr>
          <w:sz w:val="20"/>
          <w:szCs w:val="20"/>
          <w:color w:val="auto"/>
        </w:rPr>
      </w:pPr>
    </w:p>
    <w:p>
      <w:pPr>
        <w:ind w:left="1180" w:right="699" w:firstLine="3"/>
        <w:spacing w:after="0"/>
        <w:tabs>
          <w:tab w:leader="none" w:pos="1432"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296" w:lineRule="exact"/>
        <w:rPr>
          <w:sz w:val="20"/>
          <w:szCs w:val="20"/>
          <w:color w:val="auto"/>
        </w:rPr>
      </w:pPr>
    </w:p>
    <w:p>
      <w:pPr>
        <w:ind w:left="1180" w:right="779" w:firstLine="337"/>
        <w:spacing w:after="0" w:line="242" w:lineRule="auto"/>
        <w:rPr>
          <w:sz w:val="20"/>
          <w:szCs w:val="20"/>
          <w:color w:val="auto"/>
        </w:rPr>
      </w:pPr>
      <w:r>
        <w:rPr>
          <w:rFonts w:ascii="Times New Roman" w:cs="Times New Roman" w:eastAsia="Times New Roman" w:hAnsi="Times New Roman"/>
          <w:sz w:val="17"/>
          <w:szCs w:val="17"/>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11" w:lineRule="exact"/>
        <w:rPr>
          <w:sz w:val="20"/>
          <w:szCs w:val="20"/>
          <w:color w:val="auto"/>
        </w:rPr>
      </w:pPr>
    </w:p>
    <w:p>
      <w:pPr>
        <w:ind w:left="1180" w:right="739" w:firstLine="337"/>
        <w:spacing w:after="0" w:line="251" w:lineRule="auto"/>
        <w:rPr>
          <w:sz w:val="20"/>
          <w:szCs w:val="20"/>
          <w:color w:val="auto"/>
        </w:rPr>
      </w:pPr>
      <w:r>
        <w:rPr>
          <w:rFonts w:ascii="Times New Roman" w:cs="Times New Roman" w:eastAsia="Times New Roman" w:hAnsi="Times New Roman"/>
          <w:sz w:val="17"/>
          <w:szCs w:val="17"/>
          <w:color w:val="auto"/>
        </w:rPr>
        <w:t>In addition to the basis and at risk limitations, passive activity loss limitations limit the deductibility of losses incurred by individuals, estates, trusts, some closely-held corporations and personal service</w:t>
      </w:r>
    </w:p>
    <w:p>
      <w:pPr>
        <w:spacing w:after="0" w:line="1" w:lineRule="exact"/>
        <w:rPr>
          <w:sz w:val="20"/>
          <w:szCs w:val="20"/>
          <w:color w:val="auto"/>
        </w:rPr>
      </w:pPr>
    </w:p>
    <w:p>
      <w:pPr>
        <w:ind w:left="1180" w:right="759"/>
        <w:spacing w:after="0" w:line="238" w:lineRule="auto"/>
        <w:rPr>
          <w:sz w:val="20"/>
          <w:szCs w:val="20"/>
          <w:color w:val="auto"/>
        </w:rPr>
      </w:pPr>
      <w:r>
        <w:rPr>
          <w:rFonts w:ascii="Times New Roman" w:cs="Times New Roman" w:eastAsia="Times New Roman" w:hAnsi="Times New Roman"/>
          <w:sz w:val="17"/>
          <w:szCs w:val="17"/>
          <w:color w:val="auto"/>
        </w:rPr>
        <w:t>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16" w:lineRule="exact"/>
        <w:rPr>
          <w:sz w:val="20"/>
          <w:szCs w:val="20"/>
          <w:color w:val="auto"/>
        </w:rPr>
      </w:pPr>
    </w:p>
    <w:p>
      <w:pPr>
        <w:ind w:left="1180" w:right="679" w:firstLine="337"/>
        <w:spacing w:after="0" w:line="250" w:lineRule="auto"/>
        <w:rPr>
          <w:sz w:val="20"/>
          <w:szCs w:val="20"/>
          <w:color w:val="auto"/>
        </w:rPr>
      </w:pPr>
      <w:r>
        <w:rPr>
          <w:rFonts w:ascii="Times New Roman" w:cs="Times New Roman" w:eastAsia="Times New Roman" w:hAnsi="Times New Roman"/>
          <w:sz w:val="17"/>
          <w:szCs w:val="17"/>
          <w:color w:val="auto"/>
        </w:rPr>
        <w:t>For taxpayers other than corporations in taxable years beginning after December 31, 2020,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(increased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3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Interest Deductions</w:t>
      </w:r>
    </w:p>
    <w:p>
      <w:pPr>
        <w:spacing w:after="0" w:line="137" w:lineRule="exact"/>
        <w:rPr>
          <w:sz w:val="20"/>
          <w:szCs w:val="20"/>
          <w:color w:val="auto"/>
        </w:rPr>
      </w:pPr>
    </w:p>
    <w:p>
      <w:pPr>
        <w:ind w:left="1180" w:right="779" w:firstLine="337"/>
        <w:spacing w:after="0" w:line="253" w:lineRule="auto"/>
        <w:rPr>
          <w:sz w:val="20"/>
          <w:szCs w:val="20"/>
          <w:color w:val="auto"/>
        </w:rPr>
      </w:pPr>
      <w:r>
        <w:rPr>
          <w:rFonts w:ascii="Times New Roman" w:cs="Times New Roman" w:eastAsia="Times New Roman" w:hAnsi="Times New Roman"/>
          <w:sz w:val="17"/>
          <w:szCs w:val="17"/>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w:t>
      </w:r>
    </w:p>
    <w:p>
      <w:pPr>
        <w:spacing w:after="0" w:line="35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819"/>
        <w:spacing w:after="0" w:line="242" w:lineRule="auto"/>
        <w:rPr>
          <w:sz w:val="20"/>
          <w:szCs w:val="20"/>
          <w:color w:val="auto"/>
        </w:rPr>
      </w:pPr>
      <w:r>
        <w:rPr>
          <w:rFonts w:ascii="Times New Roman" w:cs="Times New Roman" w:eastAsia="Times New Roman" w:hAnsi="Times New Roman"/>
          <w:sz w:val="17"/>
          <w:szCs w:val="17"/>
          <w:color w:val="auto"/>
        </w:rPr>
        <w:t>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308" w:lineRule="exact"/>
        <w:rPr>
          <w:sz w:val="20"/>
          <w:szCs w:val="20"/>
          <w:color w:val="auto"/>
        </w:rPr>
      </w:pPr>
    </w:p>
    <w:p>
      <w:pPr>
        <w:ind w:left="1180" w:right="699" w:firstLine="337"/>
        <w:spacing w:after="0" w:line="243" w:lineRule="auto"/>
        <w:rPr>
          <w:sz w:val="20"/>
          <w:szCs w:val="20"/>
          <w:color w:val="auto"/>
        </w:rPr>
      </w:pPr>
      <w:r>
        <w:rPr>
          <w:rFonts w:ascii="Times New Roman" w:cs="Times New Roman" w:eastAsia="Times New Roman" w:hAnsi="Times New Roman"/>
          <w:sz w:val="17"/>
          <w:szCs w:val="17"/>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110" w:lineRule="exact"/>
        <w:rPr>
          <w:sz w:val="20"/>
          <w:szCs w:val="20"/>
          <w:color w:val="auto"/>
        </w:rPr>
      </w:pPr>
    </w:p>
    <w:p>
      <w:pPr>
        <w:ind w:left="1180" w:right="679" w:firstLine="337"/>
        <w:spacing w:after="0" w:line="246" w:lineRule="auto"/>
        <w:rPr>
          <w:sz w:val="20"/>
          <w:szCs w:val="20"/>
          <w:color w:val="auto"/>
        </w:rPr>
      </w:pPr>
      <w:r>
        <w:rPr>
          <w:rFonts w:ascii="Times New Roman" w:cs="Times New Roman" w:eastAsia="Times New Roman" w:hAnsi="Times New Roman"/>
          <w:sz w:val="17"/>
          <w:szCs w:val="17"/>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69" w:lineRule="exact"/>
        <w:rPr>
          <w:sz w:val="20"/>
          <w:szCs w:val="20"/>
          <w:color w:val="auto"/>
        </w:rPr>
      </w:pPr>
    </w:p>
    <w:p>
      <w:pPr>
        <w:ind w:left="1680" w:hanging="160"/>
        <w:spacing w:after="0"/>
        <w:tabs>
          <w:tab w:leader="none" w:pos="1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indebtedness allocable to property held for investment;</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allocated against portfolio income; and</w:t>
      </w:r>
    </w:p>
    <w:p>
      <w:pPr>
        <w:spacing w:after="0" w:line="107" w:lineRule="exact"/>
        <w:rPr>
          <w:rFonts w:ascii="Times New Roman" w:cs="Times New Roman" w:eastAsia="Times New Roman" w:hAnsi="Times New Roman"/>
          <w:sz w:val="17"/>
          <w:szCs w:val="17"/>
          <w:color w:val="auto"/>
        </w:rPr>
      </w:pPr>
    </w:p>
    <w:p>
      <w:pPr>
        <w:ind w:left="1680" w:right="959" w:hanging="160"/>
        <w:spacing w:after="0" w:line="275" w:lineRule="auto"/>
        <w:tabs>
          <w:tab w:leader="none" w:pos="1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interest expense incurred to purchase or carry an interest in a passive activity to the extent allocable against portfolio income.</w:t>
      </w:r>
    </w:p>
    <w:p>
      <w:pPr>
        <w:spacing w:after="0" w:line="95" w:lineRule="exact"/>
        <w:rPr>
          <w:sz w:val="20"/>
          <w:szCs w:val="20"/>
          <w:color w:val="auto"/>
        </w:rPr>
      </w:pPr>
    </w:p>
    <w:p>
      <w:pPr>
        <w:ind w:left="1180" w:right="759" w:firstLine="337"/>
        <w:spacing w:after="0" w:line="241" w:lineRule="auto"/>
        <w:rPr>
          <w:sz w:val="20"/>
          <w:szCs w:val="20"/>
          <w:color w:val="auto"/>
        </w:rPr>
      </w:pPr>
      <w:r>
        <w:rPr>
          <w:rFonts w:ascii="Times New Roman" w:cs="Times New Roman" w:eastAsia="Times New Roman" w:hAnsi="Times New Roman"/>
          <w:sz w:val="17"/>
          <w:szCs w:val="17"/>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Entity-Level Collections of Unitholder Taxes</w:t>
      </w:r>
    </w:p>
    <w:p>
      <w:pPr>
        <w:spacing w:after="0" w:line="150" w:lineRule="exact"/>
        <w:rPr>
          <w:sz w:val="20"/>
          <w:szCs w:val="20"/>
          <w:color w:val="auto"/>
        </w:rPr>
      </w:pPr>
    </w:p>
    <w:p>
      <w:pPr>
        <w:ind w:left="1180" w:right="719" w:firstLine="337"/>
        <w:spacing w:after="0"/>
        <w:rPr>
          <w:sz w:val="20"/>
          <w:szCs w:val="20"/>
          <w:color w:val="auto"/>
        </w:rPr>
      </w:pPr>
      <w:r>
        <w:rPr>
          <w:rFonts w:ascii="Times New Roman" w:cs="Times New Roman" w:eastAsia="Times New Roman" w:hAnsi="Times New Roman"/>
          <w:sz w:val="17"/>
          <w:szCs w:val="17"/>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3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Allocation of Income, Gain, Loss and Deduction</w:t>
      </w:r>
    </w:p>
    <w:p>
      <w:pPr>
        <w:spacing w:after="0" w:line="150" w:lineRule="exact"/>
        <w:rPr>
          <w:sz w:val="20"/>
          <w:szCs w:val="20"/>
          <w:color w:val="auto"/>
        </w:rPr>
      </w:pPr>
    </w:p>
    <w:p>
      <w:pPr>
        <w:ind w:left="1180" w:right="699" w:firstLine="337"/>
        <w:spacing w:after="0" w:line="242" w:lineRule="auto"/>
        <w:rPr>
          <w:sz w:val="20"/>
          <w:szCs w:val="20"/>
          <w:color w:val="auto"/>
        </w:rPr>
      </w:pPr>
      <w:r>
        <w:rPr>
          <w:rFonts w:ascii="Times New Roman" w:cs="Times New Roman" w:eastAsia="Times New Roman" w:hAnsi="Times New Roman"/>
          <w:sz w:val="17"/>
          <w:szCs w:val="17"/>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pacing w:after="0" w:line="200" w:lineRule="exact"/>
        <w:rPr>
          <w:sz w:val="20"/>
          <w:szCs w:val="20"/>
          <w:color w:val="auto"/>
        </w:rPr>
      </w:pPr>
    </w:p>
    <w:p>
      <w:pPr>
        <w:spacing w:after="0" w:line="3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979"/>
        <w:spacing w:after="0" w:line="275" w:lineRule="auto"/>
        <w:rPr>
          <w:sz w:val="20"/>
          <w:szCs w:val="20"/>
          <w:color w:val="auto"/>
        </w:rPr>
      </w:pPr>
      <w:r>
        <w:rPr>
          <w:rFonts w:ascii="Times New Roman" w:cs="Times New Roman" w:eastAsia="Times New Roman" w:hAnsi="Times New Roman"/>
          <w:sz w:val="17"/>
          <w:szCs w:val="17"/>
          <w:color w:val="auto"/>
        </w:rPr>
        <w:t>above) to the unitholder who was allocated the deduction giving rise to that recapture income in order to minimize the recognition of ordinary income by other unitholders.</w:t>
      </w:r>
    </w:p>
    <w:p>
      <w:pPr>
        <w:spacing w:after="0" w:line="83" w:lineRule="exact"/>
        <w:rPr>
          <w:sz w:val="20"/>
          <w:szCs w:val="20"/>
          <w:color w:val="auto"/>
        </w:rPr>
      </w:pPr>
    </w:p>
    <w:p>
      <w:pPr>
        <w:ind w:left="1180" w:right="859" w:firstLine="337"/>
        <w:spacing w:after="0" w:line="243" w:lineRule="auto"/>
        <w:rPr>
          <w:sz w:val="20"/>
          <w:szCs w:val="20"/>
          <w:color w:val="auto"/>
        </w:rPr>
      </w:pPr>
      <w:r>
        <w:rPr>
          <w:rFonts w:ascii="Times New Roman" w:cs="Times New Roman" w:eastAsia="Times New Roman" w:hAnsi="Times New Roman"/>
          <w:sz w:val="17"/>
          <w:szCs w:val="17"/>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110" w:lineRule="exact"/>
        <w:rPr>
          <w:sz w:val="20"/>
          <w:szCs w:val="20"/>
          <w:color w:val="auto"/>
        </w:rPr>
      </w:pPr>
    </w:p>
    <w:p>
      <w:pPr>
        <w:ind w:left="1180" w:right="679" w:firstLine="337"/>
        <w:spacing w:after="0"/>
        <w:rPr>
          <w:sz w:val="20"/>
          <w:szCs w:val="20"/>
          <w:color w:val="auto"/>
        </w:rPr>
      </w:pPr>
      <w:r>
        <w:rPr>
          <w:rFonts w:ascii="Times New Roman" w:cs="Times New Roman" w:eastAsia="Times New Roman" w:hAnsi="Times New Roman"/>
          <w:sz w:val="17"/>
          <w:szCs w:val="17"/>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8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Treatment of Securities Loans</w:t>
      </w:r>
    </w:p>
    <w:p>
      <w:pPr>
        <w:spacing w:after="0" w:line="137" w:lineRule="exact"/>
        <w:rPr>
          <w:sz w:val="20"/>
          <w:szCs w:val="20"/>
          <w:color w:val="auto"/>
        </w:rPr>
      </w:pPr>
    </w:p>
    <w:p>
      <w:pPr>
        <w:ind w:left="1180" w:right="699" w:firstLine="337"/>
        <w:spacing w:after="0" w:line="242" w:lineRule="auto"/>
        <w:rPr>
          <w:sz w:val="20"/>
          <w:szCs w:val="20"/>
          <w:color w:val="auto"/>
        </w:rPr>
      </w:pPr>
      <w:r>
        <w:rPr>
          <w:rFonts w:ascii="Times New Roman" w:cs="Times New Roman" w:eastAsia="Times New Roman" w:hAnsi="Times New Roman"/>
          <w:sz w:val="17"/>
          <w:szCs w:val="17"/>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308" w:lineRule="exact"/>
        <w:rPr>
          <w:sz w:val="20"/>
          <w:szCs w:val="20"/>
          <w:color w:val="auto"/>
        </w:rPr>
      </w:pPr>
    </w:p>
    <w:p>
      <w:pPr>
        <w:ind w:left="1180" w:right="739" w:firstLine="337"/>
        <w:spacing w:after="0" w:line="244" w:lineRule="auto"/>
        <w:rPr>
          <w:sz w:val="20"/>
          <w:szCs w:val="20"/>
          <w:color w:val="auto"/>
        </w:rPr>
      </w:pPr>
      <w:r>
        <w:rPr>
          <w:rFonts w:ascii="Times New Roman" w:cs="Times New Roman" w:eastAsia="Times New Roman" w:hAnsi="Times New Roman"/>
          <w:sz w:val="17"/>
          <w:szCs w:val="17"/>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Tax Rates</w:t>
      </w:r>
    </w:p>
    <w:p>
      <w:pPr>
        <w:spacing w:after="0" w:line="150" w:lineRule="exact"/>
        <w:rPr>
          <w:sz w:val="20"/>
          <w:szCs w:val="20"/>
          <w:color w:val="auto"/>
        </w:rPr>
      </w:pPr>
    </w:p>
    <w:p>
      <w:pPr>
        <w:ind w:left="1180" w:right="799" w:firstLine="337"/>
        <w:spacing w:after="0" w:line="247" w:lineRule="auto"/>
        <w:rPr>
          <w:sz w:val="20"/>
          <w:szCs w:val="20"/>
          <w:color w:val="auto"/>
        </w:rPr>
      </w:pPr>
      <w:r>
        <w:rPr>
          <w:rFonts w:ascii="Times New Roman" w:cs="Times New Roman" w:eastAsia="Times New Roman" w:hAnsi="Times New Roman"/>
          <w:sz w:val="17"/>
          <w:szCs w:val="17"/>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05" w:lineRule="exact"/>
        <w:rPr>
          <w:sz w:val="20"/>
          <w:szCs w:val="20"/>
          <w:color w:val="auto"/>
        </w:rPr>
      </w:pPr>
    </w:p>
    <w:p>
      <w:pPr>
        <w:ind w:left="1180" w:right="739" w:firstLine="337"/>
        <w:spacing w:after="0"/>
        <w:rPr>
          <w:sz w:val="20"/>
          <w:szCs w:val="20"/>
          <w:color w:val="auto"/>
        </w:rPr>
      </w:pPr>
      <w:r>
        <w:rPr>
          <w:rFonts w:ascii="Times New Roman" w:cs="Times New Roman" w:eastAsia="Times New Roman" w:hAnsi="Times New Roman"/>
          <w:sz w:val="17"/>
          <w:szCs w:val="17"/>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313" w:lineRule="exact"/>
        <w:rPr>
          <w:sz w:val="20"/>
          <w:szCs w:val="20"/>
          <w:color w:val="auto"/>
        </w:rPr>
      </w:pPr>
    </w:p>
    <w:p>
      <w:pPr>
        <w:jc w:val="both"/>
        <w:ind w:left="1180" w:right="839" w:firstLine="337"/>
        <w:spacing w:after="0" w:line="246" w:lineRule="auto"/>
        <w:rPr>
          <w:sz w:val="20"/>
          <w:szCs w:val="20"/>
          <w:color w:val="auto"/>
        </w:rPr>
      </w:pPr>
      <w:r>
        <w:rPr>
          <w:rFonts w:ascii="Times New Roman" w:cs="Times New Roman" w:eastAsia="Times New Roman" w:hAnsi="Times New Roman"/>
          <w:sz w:val="17"/>
          <w:szCs w:val="17"/>
          <w:color w:val="auto"/>
        </w:rPr>
        <w:t>For taxable years beginning after December 31, 2017 and ending on or before December 31, 2025, an individual unitholder is entitled to a deduction equal to 20% of his or her allocable share of our “qualified business income.” For purposes of this deduction, our “qualified business income” is equal to the sum of:</w:t>
      </w:r>
    </w:p>
    <w:p>
      <w:pPr>
        <w:spacing w:after="0" w:line="34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80" w:right="779" w:hanging="160"/>
        <w:spacing w:after="0" w:line="257" w:lineRule="auto"/>
        <w:tabs>
          <w:tab w:leader="none" w:pos="16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72" w:lineRule="exact"/>
        <w:rPr>
          <w:rFonts w:ascii="Times New Roman" w:cs="Times New Roman" w:eastAsia="Times New Roman" w:hAnsi="Times New Roman"/>
          <w:sz w:val="17"/>
          <w:szCs w:val="17"/>
          <w:color w:val="auto"/>
        </w:rPr>
      </w:pPr>
    </w:p>
    <w:p>
      <w:pPr>
        <w:ind w:left="1680" w:right="839" w:hanging="160"/>
        <w:spacing w:after="0" w:line="262" w:lineRule="auto"/>
        <w:tabs>
          <w:tab w:leader="none" w:pos="16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05" w:lineRule="exact"/>
        <w:rPr>
          <w:sz w:val="20"/>
          <w:szCs w:val="20"/>
          <w:color w:val="auto"/>
        </w:rPr>
      </w:pPr>
    </w:p>
    <w:p>
      <w:pPr>
        <w:ind w:left="1180" w:right="759" w:firstLine="337"/>
        <w:spacing w:after="0" w:line="246" w:lineRule="auto"/>
        <w:rPr>
          <w:sz w:val="20"/>
          <w:szCs w:val="20"/>
          <w:color w:val="auto"/>
        </w:rPr>
      </w:pPr>
      <w:r>
        <w:rPr>
          <w:rFonts w:ascii="Times New Roman" w:cs="Times New Roman" w:eastAsia="Times New Roman" w:hAnsi="Times New Roman"/>
          <w:sz w:val="17"/>
          <w:szCs w:val="17"/>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Section 754 Election</w:t>
      </w:r>
    </w:p>
    <w:p>
      <w:pPr>
        <w:spacing w:after="0" w:line="137" w:lineRule="exact"/>
        <w:rPr>
          <w:sz w:val="20"/>
          <w:szCs w:val="20"/>
          <w:color w:val="auto"/>
        </w:rPr>
      </w:pPr>
    </w:p>
    <w:p>
      <w:pPr>
        <w:ind w:left="1180" w:right="719" w:firstLine="337"/>
        <w:spacing w:after="0" w:line="250" w:lineRule="auto"/>
        <w:rPr>
          <w:sz w:val="20"/>
          <w:szCs w:val="20"/>
          <w:color w:val="auto"/>
        </w:rPr>
      </w:pPr>
      <w:r>
        <w:rPr>
          <w:rFonts w:ascii="Times New Roman" w:cs="Times New Roman" w:eastAsia="Times New Roman" w:hAnsi="Times New Roman"/>
          <w:sz w:val="17"/>
          <w:szCs w:val="17"/>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spacing w:after="0" w:line="3" w:lineRule="exact"/>
        <w:rPr>
          <w:sz w:val="20"/>
          <w:szCs w:val="20"/>
          <w:color w:val="auto"/>
        </w:rPr>
      </w:pPr>
    </w:p>
    <w:p>
      <w:pPr>
        <w:ind w:left="1180" w:right="879" w:firstLine="3"/>
        <w:spacing w:after="0" w:line="256" w:lineRule="auto"/>
        <w:tabs>
          <w:tab w:leader="none" w:pos="143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share of the tax basis in our assets as to all unitholders and (2) its Section 743(b) adjustment to that tax basis (which may be positive or negative).</w:t>
      </w:r>
    </w:p>
    <w:p>
      <w:pPr>
        <w:spacing w:after="0" w:line="110" w:lineRule="exact"/>
        <w:rPr>
          <w:sz w:val="20"/>
          <w:szCs w:val="20"/>
          <w:color w:val="auto"/>
        </w:rPr>
      </w:pPr>
    </w:p>
    <w:p>
      <w:pPr>
        <w:ind w:left="1180" w:right="779" w:firstLine="337"/>
        <w:spacing w:after="0" w:line="253" w:lineRule="auto"/>
        <w:rPr>
          <w:sz w:val="20"/>
          <w:szCs w:val="20"/>
          <w:color w:val="auto"/>
        </w:rPr>
      </w:pPr>
      <w:r>
        <w:rPr>
          <w:rFonts w:ascii="Times New Roman" w:cs="Times New Roman" w:eastAsia="Times New Roman" w:hAnsi="Times New Roman"/>
          <w:sz w:val="17"/>
          <w:szCs w:val="17"/>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Under our partnership agreement, we are authorized to take a position to preserve the uniformity</w:t>
      </w:r>
    </w:p>
    <w:p>
      <w:pPr>
        <w:spacing w:after="0" w:line="23" w:lineRule="exact"/>
        <w:rPr>
          <w:sz w:val="20"/>
          <w:szCs w:val="20"/>
          <w:color w:val="auto"/>
        </w:rPr>
      </w:pPr>
    </w:p>
    <w:p>
      <w:pPr>
        <w:ind w:left="1180" w:right="759"/>
        <w:spacing w:after="0" w:line="249" w:lineRule="auto"/>
        <w:rPr>
          <w:sz w:val="20"/>
          <w:szCs w:val="20"/>
          <w:color w:val="auto"/>
        </w:rPr>
      </w:pPr>
      <w:r>
        <w:rPr>
          <w:rFonts w:ascii="Times New Roman" w:cs="Times New Roman" w:eastAsia="Times New Roman" w:hAnsi="Times New Roman"/>
          <w:sz w:val="17"/>
          <w:szCs w:val="17"/>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106" w:lineRule="exact"/>
        <w:rPr>
          <w:sz w:val="20"/>
          <w:szCs w:val="20"/>
          <w:color w:val="auto"/>
        </w:rPr>
      </w:pPr>
    </w:p>
    <w:p>
      <w:pPr>
        <w:ind w:left="1180" w:right="719" w:firstLine="337"/>
        <w:spacing w:after="0" w:line="254" w:lineRule="auto"/>
        <w:rPr>
          <w:sz w:val="20"/>
          <w:szCs w:val="20"/>
          <w:color w:val="auto"/>
        </w:rPr>
      </w:pPr>
      <w:r>
        <w:rPr>
          <w:rFonts w:ascii="Times New Roman" w:cs="Times New Roman" w:eastAsia="Times New Roman" w:hAnsi="Times New Roman"/>
          <w:sz w:val="17"/>
          <w:szCs w:val="17"/>
          <w:color w:val="auto"/>
        </w:rPr>
        <w:t>The IRS may challenge the positions we adopt with respect to depreciating or amortizing the Section 743(b) or Section 734(b) adjustments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w:t>
      </w:r>
    </w:p>
    <w:p>
      <w:pPr>
        <w:spacing w:after="0" w:line="195" w:lineRule="exact"/>
        <w:rPr>
          <w:sz w:val="20"/>
          <w:szCs w:val="20"/>
          <w:color w:val="auto"/>
        </w:rPr>
      </w:pPr>
    </w:p>
    <w:p>
      <w:pPr>
        <w:ind w:left="1180" w:right="839"/>
        <w:spacing w:after="0" w:line="256" w:lineRule="auto"/>
        <w:rPr>
          <w:sz w:val="20"/>
          <w:szCs w:val="20"/>
          <w:color w:val="auto"/>
        </w:rPr>
      </w:pPr>
      <w:r>
        <w:rPr>
          <w:rFonts w:ascii="Times New Roman" w:cs="Times New Roman" w:eastAsia="Times New Roman" w:hAnsi="Times New Roman"/>
          <w:sz w:val="17"/>
          <w:szCs w:val="17"/>
          <w:color w:val="auto"/>
        </w:rPr>
        <w:t>“— Disposition of Units — Recognition of Gain or Loss.” If a challenge to such treatment were sustained, the gain from the sale of units may be increased without the benefit of additional deductions.</w:t>
      </w:r>
    </w:p>
    <w:p>
      <w:pPr>
        <w:spacing w:after="0" w:line="110" w:lineRule="exact"/>
        <w:rPr>
          <w:sz w:val="20"/>
          <w:szCs w:val="20"/>
          <w:color w:val="auto"/>
        </w:rPr>
      </w:pPr>
    </w:p>
    <w:p>
      <w:pPr>
        <w:ind w:left="1180" w:right="799" w:firstLine="337"/>
        <w:spacing w:after="0" w:line="253" w:lineRule="auto"/>
        <w:rPr>
          <w:sz w:val="20"/>
          <w:szCs w:val="20"/>
          <w:color w:val="auto"/>
        </w:rPr>
      </w:pPr>
      <w:r>
        <w:rPr>
          <w:rFonts w:ascii="Times New Roman" w:cs="Times New Roman" w:eastAsia="Times New Roman" w:hAnsi="Times New Roman"/>
          <w:sz w:val="17"/>
          <w:szCs w:val="17"/>
          <w:color w:val="auto"/>
        </w:rPr>
        <w:t>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w:t>
      </w:r>
    </w:p>
    <w:p>
      <w:pPr>
        <w:spacing w:after="0" w:line="3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39635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899"/>
        <w:spacing w:after="0" w:line="255" w:lineRule="auto"/>
        <w:rPr>
          <w:sz w:val="20"/>
          <w:szCs w:val="20"/>
          <w:color w:val="auto"/>
        </w:rPr>
      </w:pPr>
      <w:r>
        <w:rPr>
          <w:rFonts w:ascii="Times New Roman" w:cs="Times New Roman" w:eastAsia="Times New Roman" w:hAnsi="Times New Roman"/>
          <w:sz w:val="17"/>
          <w:szCs w:val="17"/>
          <w:color w:val="auto"/>
        </w:rPr>
        <w:t>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Tax Treatment of Operations</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Accounting Method and Taxable Year</w:t>
      </w:r>
    </w:p>
    <w:p>
      <w:pPr>
        <w:spacing w:after="0" w:line="150" w:lineRule="exact"/>
        <w:rPr>
          <w:sz w:val="20"/>
          <w:szCs w:val="20"/>
          <w:color w:val="auto"/>
        </w:rPr>
      </w:pPr>
    </w:p>
    <w:p>
      <w:pPr>
        <w:ind w:left="1180" w:right="759" w:firstLine="337"/>
        <w:spacing w:after="0" w:line="253" w:lineRule="auto"/>
        <w:rPr>
          <w:sz w:val="20"/>
          <w:szCs w:val="20"/>
          <w:color w:val="auto"/>
        </w:rPr>
      </w:pPr>
      <w:r>
        <w:rPr>
          <w:rFonts w:ascii="Times New Roman" w:cs="Times New Roman" w:eastAsia="Times New Roman" w:hAnsi="Times New Roman"/>
          <w:sz w:val="17"/>
          <w:szCs w:val="17"/>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ind w:left="1180" w:right="699"/>
        <w:spacing w:after="0" w:line="250" w:lineRule="auto"/>
        <w:rPr>
          <w:sz w:val="20"/>
          <w:szCs w:val="20"/>
          <w:color w:val="auto"/>
        </w:rPr>
      </w:pPr>
      <w:r>
        <w:rPr>
          <w:rFonts w:ascii="Times New Roman" w:cs="Times New Roman" w:eastAsia="Times New Roman" w:hAnsi="Times New Roman"/>
          <w:sz w:val="17"/>
          <w:szCs w:val="17"/>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Tax Basis, Depreciation and Amortization</w:t>
      </w:r>
    </w:p>
    <w:p>
      <w:pPr>
        <w:spacing w:after="0" w:line="150" w:lineRule="exact"/>
        <w:rPr>
          <w:sz w:val="20"/>
          <w:szCs w:val="20"/>
          <w:color w:val="auto"/>
        </w:rPr>
      </w:pPr>
    </w:p>
    <w:p>
      <w:pPr>
        <w:ind w:left="1180" w:right="759" w:firstLine="337"/>
        <w:spacing w:after="0" w:line="251" w:lineRule="auto"/>
        <w:rPr>
          <w:sz w:val="20"/>
          <w:szCs w:val="20"/>
          <w:color w:val="auto"/>
        </w:rPr>
      </w:pPr>
      <w:r>
        <w:rPr>
          <w:rFonts w:ascii="Times New Roman" w:cs="Times New Roman" w:eastAsia="Times New Roman" w:hAnsi="Times New Roman"/>
          <w:sz w:val="17"/>
          <w:szCs w:val="17"/>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310" w:lineRule="exact"/>
        <w:rPr>
          <w:sz w:val="20"/>
          <w:szCs w:val="20"/>
          <w:color w:val="auto"/>
        </w:rPr>
      </w:pPr>
    </w:p>
    <w:p>
      <w:pPr>
        <w:ind w:left="1180" w:right="719" w:firstLine="337"/>
        <w:spacing w:after="0" w:line="254" w:lineRule="auto"/>
        <w:rPr>
          <w:sz w:val="20"/>
          <w:szCs w:val="20"/>
          <w:color w:val="auto"/>
        </w:rPr>
      </w:pPr>
      <w:r>
        <w:rPr>
          <w:rFonts w:ascii="Times New Roman" w:cs="Times New Roman" w:eastAsia="Times New Roman" w:hAnsi="Times New Roman"/>
          <w:sz w:val="17"/>
          <w:szCs w:val="17"/>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318" w:lineRule="exact"/>
        <w:rPr>
          <w:sz w:val="20"/>
          <w:szCs w:val="20"/>
          <w:color w:val="auto"/>
        </w:rPr>
      </w:pPr>
    </w:p>
    <w:p>
      <w:pPr>
        <w:ind w:left="1180" w:right="699" w:firstLine="337"/>
        <w:spacing w:after="0" w:line="251" w:lineRule="auto"/>
        <w:rPr>
          <w:sz w:val="20"/>
          <w:szCs w:val="20"/>
          <w:color w:val="auto"/>
        </w:rPr>
      </w:pPr>
      <w:r>
        <w:rPr>
          <w:rFonts w:ascii="Times New Roman" w:cs="Times New Roman" w:eastAsia="Times New Roman" w:hAnsi="Times New Roman"/>
          <w:sz w:val="17"/>
          <w:szCs w:val="17"/>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 depreciation deduction instead of the 100% deduction for our first taxable year ending after September 27, 2017.</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Valuation and Tax Basis of Each of Our Properties</w:t>
      </w:r>
    </w:p>
    <w:p>
      <w:pPr>
        <w:spacing w:after="0" w:line="150" w:lineRule="exact"/>
        <w:rPr>
          <w:sz w:val="20"/>
          <w:szCs w:val="20"/>
          <w:color w:val="auto"/>
        </w:rPr>
      </w:pPr>
    </w:p>
    <w:p>
      <w:pPr>
        <w:ind w:left="1180" w:right="719" w:firstLine="337"/>
        <w:spacing w:after="0" w:line="253" w:lineRule="auto"/>
        <w:rPr>
          <w:sz w:val="20"/>
          <w:szCs w:val="20"/>
          <w:color w:val="auto"/>
        </w:rPr>
      </w:pPr>
      <w:r>
        <w:rPr>
          <w:rFonts w:ascii="Times New Roman" w:cs="Times New Roman" w:eastAsia="Times New Roman" w:hAnsi="Times New Roman"/>
          <w:sz w:val="17"/>
          <w:szCs w:val="17"/>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w:t>
      </w:r>
    </w:p>
    <w:p>
      <w:pPr>
        <w:spacing w:after="0" w:line="200" w:lineRule="exact"/>
        <w:rPr>
          <w:sz w:val="20"/>
          <w:szCs w:val="20"/>
          <w:color w:val="auto"/>
        </w:rPr>
      </w:pP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999"/>
        <w:spacing w:after="0" w:line="275" w:lineRule="auto"/>
        <w:rPr>
          <w:sz w:val="20"/>
          <w:szCs w:val="20"/>
          <w:color w:val="auto"/>
        </w:rPr>
      </w:pPr>
      <w:r>
        <w:rPr>
          <w:rFonts w:ascii="Times New Roman" w:cs="Times New Roman" w:eastAsia="Times New Roman" w:hAnsi="Times New Roman"/>
          <w:sz w:val="17"/>
          <w:szCs w:val="17"/>
          <w:color w:val="auto"/>
        </w:rPr>
        <w:t>previously reported by a unitholder could change, and such unitholder could be required to adjust its tax liability for prior years and incur interest and penalties with respect to those adjustments.</w:t>
      </w:r>
    </w:p>
    <w:p>
      <w:pPr>
        <w:spacing w:after="0" w:line="14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Disposition of Units</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Recognition of Gain or Loss</w:t>
      </w:r>
    </w:p>
    <w:p>
      <w:pPr>
        <w:spacing w:after="0" w:line="150" w:lineRule="exact"/>
        <w:rPr>
          <w:sz w:val="20"/>
          <w:szCs w:val="20"/>
          <w:color w:val="auto"/>
        </w:rPr>
      </w:pPr>
    </w:p>
    <w:p>
      <w:pPr>
        <w:ind w:left="1180" w:right="699" w:firstLine="337"/>
        <w:spacing w:after="0" w:line="241" w:lineRule="auto"/>
        <w:rPr>
          <w:sz w:val="20"/>
          <w:szCs w:val="20"/>
          <w:color w:val="auto"/>
        </w:rPr>
      </w:pPr>
      <w:r>
        <w:rPr>
          <w:rFonts w:ascii="Times New Roman" w:cs="Times New Roman" w:eastAsia="Times New Roman" w:hAnsi="Times New Roman"/>
          <w:sz w:val="17"/>
          <w:szCs w:val="17"/>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306" w:lineRule="exact"/>
        <w:rPr>
          <w:sz w:val="20"/>
          <w:szCs w:val="20"/>
          <w:color w:val="auto"/>
        </w:rPr>
      </w:pPr>
    </w:p>
    <w:p>
      <w:pPr>
        <w:ind w:left="1180" w:right="679" w:firstLine="337"/>
        <w:spacing w:after="0"/>
        <w:rPr>
          <w:sz w:val="20"/>
          <w:szCs w:val="20"/>
          <w:color w:val="auto"/>
        </w:rPr>
      </w:pPr>
      <w:r>
        <w:rPr>
          <w:rFonts w:ascii="Times New Roman" w:cs="Times New Roman" w:eastAsia="Times New Roman" w:hAnsi="Times New Roman"/>
          <w:sz w:val="17"/>
          <w:szCs w:val="17"/>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313" w:lineRule="exact"/>
        <w:rPr>
          <w:sz w:val="20"/>
          <w:szCs w:val="20"/>
          <w:color w:val="auto"/>
        </w:rPr>
      </w:pPr>
    </w:p>
    <w:p>
      <w:pPr>
        <w:ind w:left="1180" w:right="679" w:firstLine="337"/>
        <w:spacing w:after="0"/>
        <w:rPr>
          <w:sz w:val="20"/>
          <w:szCs w:val="20"/>
          <w:color w:val="auto"/>
        </w:rPr>
      </w:pPr>
      <w:r>
        <w:rPr>
          <w:rFonts w:ascii="Times New Roman" w:cs="Times New Roman" w:eastAsia="Times New Roman" w:hAnsi="Times New Roman"/>
          <w:sz w:val="17"/>
          <w:szCs w:val="17"/>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11" w:lineRule="exact"/>
        <w:rPr>
          <w:sz w:val="20"/>
          <w:szCs w:val="20"/>
          <w:color w:val="auto"/>
        </w:rPr>
      </w:pPr>
    </w:p>
    <w:p>
      <w:pPr>
        <w:ind w:left="1180" w:right="739" w:firstLine="337"/>
        <w:spacing w:after="0" w:line="242" w:lineRule="auto"/>
        <w:rPr>
          <w:sz w:val="20"/>
          <w:szCs w:val="20"/>
          <w:color w:val="auto"/>
        </w:rPr>
      </w:pPr>
      <w:r>
        <w:rPr>
          <w:rFonts w:ascii="Times New Roman" w:cs="Times New Roman" w:eastAsia="Times New Roman" w:hAnsi="Times New Roman"/>
          <w:sz w:val="17"/>
          <w:szCs w:val="17"/>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1" w:lineRule="exact"/>
        <w:rPr>
          <w:sz w:val="20"/>
          <w:szCs w:val="20"/>
          <w:color w:val="auto"/>
        </w:rPr>
      </w:pPr>
    </w:p>
    <w:p>
      <w:pPr>
        <w:jc w:val="both"/>
        <w:ind w:left="1180" w:right="739"/>
        <w:spacing w:after="0" w:line="237" w:lineRule="auto"/>
        <w:rPr>
          <w:sz w:val="20"/>
          <w:szCs w:val="20"/>
          <w:color w:val="auto"/>
        </w:rPr>
      </w:pPr>
      <w:r>
        <w:rPr>
          <w:rFonts w:ascii="Times New Roman" w:cs="Times New Roman" w:eastAsia="Times New Roman" w:hAnsi="Times New Roman"/>
          <w:sz w:val="17"/>
          <w:szCs w:val="17"/>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113" w:lineRule="exact"/>
        <w:rPr>
          <w:sz w:val="20"/>
          <w:szCs w:val="20"/>
          <w:color w:val="auto"/>
        </w:rPr>
      </w:pPr>
    </w:p>
    <w:p>
      <w:pPr>
        <w:ind w:left="1180" w:right="679" w:firstLine="337"/>
        <w:spacing w:after="0" w:line="247" w:lineRule="auto"/>
        <w:rPr>
          <w:sz w:val="20"/>
          <w:szCs w:val="20"/>
          <w:color w:val="auto"/>
        </w:rPr>
      </w:pPr>
      <w:r>
        <w:rPr>
          <w:rFonts w:ascii="Times New Roman" w:cs="Times New Roman" w:eastAsia="Times New Roman" w:hAnsi="Times New Roman"/>
          <w:sz w:val="17"/>
          <w:szCs w:val="17"/>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80" w:lineRule="exact"/>
        <w:rPr>
          <w:sz w:val="20"/>
          <w:szCs w:val="20"/>
          <w:color w:val="auto"/>
        </w:rPr>
      </w:pPr>
    </w:p>
    <w:p>
      <w:pPr>
        <w:ind w:left="1680" w:hanging="160"/>
        <w:spacing w:after="0"/>
        <w:tabs>
          <w:tab w:leader="none" w:pos="16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short sale;</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offsetting notional principal contract; or</w:t>
      </w:r>
    </w:p>
    <w:p>
      <w:pPr>
        <w:spacing w:after="0" w:line="107" w:lineRule="exact"/>
        <w:rPr>
          <w:rFonts w:ascii="Times New Roman" w:cs="Times New Roman" w:eastAsia="Times New Roman" w:hAnsi="Times New Roman"/>
          <w:sz w:val="17"/>
          <w:szCs w:val="17"/>
          <w:color w:val="auto"/>
        </w:rPr>
      </w:pPr>
    </w:p>
    <w:p>
      <w:pPr>
        <w:ind w:left="1680" w:right="1279" w:hanging="160"/>
        <w:spacing w:after="0" w:line="275" w:lineRule="auto"/>
        <w:tabs>
          <w:tab w:leader="none" w:pos="16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futures or forward contract with respect to the partnership interest or substantially identical property.</w:t>
      </w:r>
    </w:p>
    <w:p>
      <w:pPr>
        <w:spacing w:after="0" w:line="3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59" w:firstLine="337"/>
        <w:spacing w:after="0" w:line="242" w:lineRule="auto"/>
        <w:rPr>
          <w:sz w:val="20"/>
          <w:szCs w:val="20"/>
          <w:color w:val="auto"/>
        </w:rPr>
      </w:pPr>
      <w:r>
        <w:rPr>
          <w:rFonts w:ascii="Times New Roman" w:cs="Times New Roman" w:eastAsia="Times New Roman" w:hAnsi="Times New Roman"/>
          <w:sz w:val="17"/>
          <w:szCs w:val="17"/>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8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Allocations Between Transferors and Transferees</w:t>
      </w:r>
    </w:p>
    <w:p>
      <w:pPr>
        <w:spacing w:after="0" w:line="137" w:lineRule="exact"/>
        <w:rPr>
          <w:sz w:val="20"/>
          <w:szCs w:val="20"/>
          <w:color w:val="auto"/>
        </w:rPr>
      </w:pPr>
    </w:p>
    <w:p>
      <w:pPr>
        <w:ind w:left="1180" w:right="719" w:firstLine="337"/>
        <w:spacing w:after="0" w:line="241" w:lineRule="auto"/>
        <w:rPr>
          <w:sz w:val="20"/>
          <w:szCs w:val="20"/>
          <w:color w:val="auto"/>
        </w:rPr>
      </w:pPr>
      <w:r>
        <w:rPr>
          <w:rFonts w:ascii="Times New Roman" w:cs="Times New Roman" w:eastAsia="Times New Roman" w:hAnsi="Times New Roman"/>
          <w:sz w:val="17"/>
          <w:szCs w:val="17"/>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16" w:lineRule="exact"/>
        <w:rPr>
          <w:sz w:val="20"/>
          <w:szCs w:val="20"/>
          <w:color w:val="auto"/>
        </w:rPr>
      </w:pPr>
    </w:p>
    <w:p>
      <w:pPr>
        <w:ind w:left="1180" w:right="699" w:firstLine="337"/>
        <w:spacing w:after="0" w:line="242" w:lineRule="auto"/>
        <w:rPr>
          <w:sz w:val="20"/>
          <w:szCs w:val="20"/>
          <w:color w:val="auto"/>
        </w:rPr>
      </w:pPr>
      <w:r>
        <w:rPr>
          <w:rFonts w:ascii="Times New Roman" w:cs="Times New Roman" w:eastAsia="Times New Roman" w:hAnsi="Times New Roman"/>
          <w:sz w:val="17"/>
          <w:szCs w:val="17"/>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293" w:lineRule="exact"/>
        <w:rPr>
          <w:sz w:val="20"/>
          <w:szCs w:val="20"/>
          <w:color w:val="auto"/>
        </w:rPr>
      </w:pPr>
    </w:p>
    <w:p>
      <w:pPr>
        <w:ind w:left="1180" w:right="679" w:firstLine="337"/>
        <w:spacing w:after="0" w:line="247" w:lineRule="auto"/>
        <w:rPr>
          <w:sz w:val="20"/>
          <w:szCs w:val="20"/>
          <w:color w:val="auto"/>
        </w:rPr>
      </w:pPr>
      <w:r>
        <w:rPr>
          <w:rFonts w:ascii="Times New Roman" w:cs="Times New Roman" w:eastAsia="Times New Roman" w:hAnsi="Times New Roman"/>
          <w:sz w:val="17"/>
          <w:szCs w:val="17"/>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Notification Requirements</w:t>
      </w:r>
    </w:p>
    <w:p>
      <w:pPr>
        <w:spacing w:after="0" w:line="137" w:lineRule="exact"/>
        <w:rPr>
          <w:sz w:val="20"/>
          <w:szCs w:val="20"/>
          <w:color w:val="auto"/>
        </w:rPr>
      </w:pPr>
    </w:p>
    <w:p>
      <w:pPr>
        <w:ind w:left="1180" w:right="759" w:firstLine="337"/>
        <w:spacing w:after="0" w:line="242" w:lineRule="auto"/>
        <w:rPr>
          <w:sz w:val="20"/>
          <w:szCs w:val="20"/>
          <w:color w:val="auto"/>
        </w:rPr>
      </w:pPr>
      <w:r>
        <w:rPr>
          <w:rFonts w:ascii="Times New Roman" w:cs="Times New Roman" w:eastAsia="Times New Roman" w:hAnsi="Times New Roman"/>
          <w:sz w:val="17"/>
          <w:szCs w:val="17"/>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8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Uniformity of Units</w:t>
      </w:r>
    </w:p>
    <w:p>
      <w:pPr>
        <w:spacing w:after="0" w:line="137" w:lineRule="exact"/>
        <w:rPr>
          <w:sz w:val="20"/>
          <w:szCs w:val="20"/>
          <w:color w:val="auto"/>
        </w:rPr>
      </w:pPr>
    </w:p>
    <w:p>
      <w:pPr>
        <w:jc w:val="both"/>
        <w:ind w:left="1180" w:right="839" w:firstLine="337"/>
        <w:spacing w:after="0" w:line="247" w:lineRule="auto"/>
        <w:rPr>
          <w:sz w:val="20"/>
          <w:szCs w:val="20"/>
          <w:color w:val="auto"/>
        </w:rPr>
      </w:pPr>
      <w:r>
        <w:rPr>
          <w:rFonts w:ascii="Times New Roman" w:cs="Times New Roman" w:eastAsia="Times New Roman" w:hAnsi="Times New Roman"/>
          <w:sz w:val="17"/>
          <w:szCs w:val="17"/>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106" w:lineRule="exact"/>
        <w:rPr>
          <w:sz w:val="20"/>
          <w:szCs w:val="20"/>
          <w:color w:val="auto"/>
        </w:rPr>
      </w:pPr>
    </w:p>
    <w:p>
      <w:pPr>
        <w:ind w:left="1180" w:right="719" w:firstLine="337"/>
        <w:spacing w:after="0" w:line="243" w:lineRule="auto"/>
        <w:rPr>
          <w:sz w:val="20"/>
          <w:szCs w:val="20"/>
          <w:color w:val="auto"/>
        </w:rPr>
      </w:pPr>
      <w:r>
        <w:rPr>
          <w:rFonts w:ascii="Times New Roman" w:cs="Times New Roman" w:eastAsia="Times New Roman" w:hAnsi="Times New Roman"/>
          <w:sz w:val="17"/>
          <w:szCs w:val="17"/>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35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39" w:firstLine="337"/>
        <w:spacing w:after="0" w:line="242" w:lineRule="auto"/>
        <w:rPr>
          <w:sz w:val="20"/>
          <w:szCs w:val="20"/>
          <w:color w:val="auto"/>
        </w:rPr>
      </w:pPr>
      <w:r>
        <w:rPr>
          <w:rFonts w:ascii="Times New Roman" w:cs="Times New Roman" w:eastAsia="Times New Roman" w:hAnsi="Times New Roman"/>
          <w:sz w:val="17"/>
          <w:szCs w:val="17"/>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306" w:lineRule="exact"/>
        <w:rPr>
          <w:sz w:val="20"/>
          <w:szCs w:val="20"/>
          <w:color w:val="auto"/>
        </w:rPr>
      </w:pPr>
    </w:p>
    <w:p>
      <w:pPr>
        <w:jc w:val="both"/>
        <w:ind w:left="1180" w:right="759" w:firstLine="337"/>
        <w:spacing w:after="0" w:line="245" w:lineRule="auto"/>
        <w:rPr>
          <w:sz w:val="20"/>
          <w:szCs w:val="20"/>
          <w:color w:val="auto"/>
        </w:rPr>
      </w:pPr>
      <w:r>
        <w:rPr>
          <w:rFonts w:ascii="Times New Roman" w:cs="Times New Roman" w:eastAsia="Times New Roman" w:hAnsi="Times New Roman"/>
          <w:sz w:val="17"/>
          <w:szCs w:val="17"/>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spacing w:after="0" w:line="1" w:lineRule="exact"/>
        <w:rPr>
          <w:sz w:val="20"/>
          <w:szCs w:val="20"/>
          <w:color w:val="auto"/>
        </w:rPr>
      </w:pPr>
    </w:p>
    <w:p>
      <w:pPr>
        <w:jc w:val="both"/>
        <w:ind w:left="1180" w:right="719"/>
        <w:spacing w:after="0" w:line="239" w:lineRule="auto"/>
        <w:rPr>
          <w:sz w:val="20"/>
          <w:szCs w:val="20"/>
          <w:color w:val="auto"/>
        </w:rPr>
      </w:pPr>
      <w:r>
        <w:rPr>
          <w:rFonts w:ascii="Times New Roman" w:cs="Times New Roman" w:eastAsia="Times New Roman" w:hAnsi="Times New Roman"/>
          <w:sz w:val="17"/>
          <w:szCs w:val="17"/>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Tax-Exempt Organizations and Other Investors</w:t>
      </w:r>
    </w:p>
    <w:p>
      <w:pPr>
        <w:spacing w:after="0" w:line="150" w:lineRule="exact"/>
        <w:rPr>
          <w:sz w:val="20"/>
          <w:szCs w:val="20"/>
          <w:color w:val="auto"/>
        </w:rPr>
      </w:pPr>
    </w:p>
    <w:p>
      <w:pPr>
        <w:jc w:val="both"/>
        <w:ind w:left="1180" w:right="759" w:firstLine="337"/>
        <w:spacing w:after="0" w:line="243" w:lineRule="auto"/>
        <w:rPr>
          <w:sz w:val="20"/>
          <w:szCs w:val="20"/>
          <w:color w:val="auto"/>
        </w:rPr>
      </w:pPr>
      <w:r>
        <w:rPr>
          <w:rFonts w:ascii="Times New Roman" w:cs="Times New Roman" w:eastAsia="Times New Roman" w:hAnsi="Times New Roman"/>
          <w:sz w:val="17"/>
          <w:szCs w:val="17"/>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10" w:lineRule="exact"/>
        <w:rPr>
          <w:sz w:val="20"/>
          <w:szCs w:val="20"/>
          <w:color w:val="auto"/>
        </w:rPr>
      </w:pPr>
    </w:p>
    <w:p>
      <w:pPr>
        <w:ind w:left="1180" w:right="759" w:firstLine="337"/>
        <w:spacing w:after="0" w:line="241" w:lineRule="auto"/>
        <w:rPr>
          <w:sz w:val="20"/>
          <w:szCs w:val="20"/>
          <w:color w:val="auto"/>
        </w:rPr>
      </w:pPr>
      <w:r>
        <w:rPr>
          <w:rFonts w:ascii="Times New Roman" w:cs="Times New Roman" w:eastAsia="Times New Roman" w:hAnsi="Times New Roman"/>
          <w:sz w:val="17"/>
          <w:szCs w:val="17"/>
          <w:color w:val="auto"/>
        </w:rPr>
        <w:t>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Tax -exempt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16" w:lineRule="exact"/>
        <w:rPr>
          <w:sz w:val="20"/>
          <w:szCs w:val="20"/>
          <w:color w:val="auto"/>
        </w:rPr>
      </w:pPr>
    </w:p>
    <w:p>
      <w:pPr>
        <w:jc w:val="both"/>
        <w:ind w:left="1180" w:right="739" w:firstLine="337"/>
        <w:spacing w:after="0" w:line="244" w:lineRule="auto"/>
        <w:rPr>
          <w:sz w:val="20"/>
          <w:szCs w:val="20"/>
          <w:color w:val="auto"/>
        </w:rPr>
      </w:pPr>
      <w:r>
        <w:rPr>
          <w:rFonts w:ascii="Times New Roman" w:cs="Times New Roman" w:eastAsia="Times New Roman" w:hAnsi="Times New Roman"/>
          <w:sz w:val="17"/>
          <w:szCs w:val="17"/>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spacing w:after="0" w:line="1" w:lineRule="exact"/>
        <w:rPr>
          <w:sz w:val="20"/>
          <w:szCs w:val="20"/>
          <w:color w:val="auto"/>
        </w:rPr>
      </w:pPr>
    </w:p>
    <w:p>
      <w:pPr>
        <w:ind w:left="1180" w:right="779"/>
        <w:spacing w:after="0" w:line="237" w:lineRule="auto"/>
        <w:rPr>
          <w:sz w:val="20"/>
          <w:szCs w:val="20"/>
          <w:color w:val="auto"/>
        </w:rPr>
      </w:pPr>
      <w:r>
        <w:rPr>
          <w:rFonts w:ascii="Times New Roman" w:cs="Times New Roman" w:eastAsia="Times New Roman" w:hAnsi="Times New Roman"/>
          <w:sz w:val="17"/>
          <w:szCs w:val="17"/>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17" w:lineRule="exact"/>
        <w:rPr>
          <w:sz w:val="20"/>
          <w:szCs w:val="20"/>
          <w:color w:val="auto"/>
        </w:rPr>
      </w:pPr>
    </w:p>
    <w:p>
      <w:pPr>
        <w:ind w:left="1180" w:right="839" w:firstLine="337"/>
        <w:spacing w:after="0" w:line="242" w:lineRule="auto"/>
        <w:rPr>
          <w:sz w:val="20"/>
          <w:szCs w:val="20"/>
          <w:color w:val="auto"/>
        </w:rPr>
      </w:pPr>
      <w:r>
        <w:rPr>
          <w:rFonts w:ascii="Times New Roman" w:cs="Times New Roman" w:eastAsia="Times New Roman" w:hAnsi="Times New Roman"/>
          <w:sz w:val="17"/>
          <w:szCs w:val="17"/>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1" w:lineRule="exact"/>
        <w:rPr>
          <w:sz w:val="20"/>
          <w:szCs w:val="20"/>
          <w:color w:val="auto"/>
        </w:rPr>
      </w:pPr>
    </w:p>
    <w:p>
      <w:pPr>
        <w:ind w:left="1180" w:right="679" w:firstLine="337"/>
        <w:spacing w:after="0" w:line="275" w:lineRule="auto"/>
        <w:rPr>
          <w:sz w:val="20"/>
          <w:szCs w:val="20"/>
          <w:color w:val="auto"/>
        </w:rPr>
      </w:pPr>
      <w:r>
        <w:rPr>
          <w:rFonts w:ascii="Times New Roman" w:cs="Times New Roman" w:eastAsia="Times New Roman" w:hAnsi="Times New Roman"/>
          <w:sz w:val="17"/>
          <w:szCs w:val="17"/>
          <w:color w:val="auto"/>
        </w:rPr>
        <w:t>A Non-U.S. Unitholder who sells or otherwise disposes of a unit will be subject to federal income tax on gain realized from the sale or disposition of that unit to the extent the gain is effectively connected with a</w:t>
      </w:r>
    </w:p>
    <w:p>
      <w:pPr>
        <w:spacing w:after="0" w:line="3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699"/>
        <w:spacing w:after="0" w:line="250" w:lineRule="auto"/>
        <w:rPr>
          <w:sz w:val="20"/>
          <w:szCs w:val="20"/>
          <w:color w:val="auto"/>
        </w:rPr>
      </w:pPr>
      <w:r>
        <w:rPr>
          <w:rFonts w:ascii="Times New Roman" w:cs="Times New Roman" w:eastAsia="Times New Roman" w:hAnsi="Times New Roman"/>
          <w:sz w:val="17"/>
          <w:szCs w:val="17"/>
          <w:color w:val="auto"/>
        </w:rPr>
        <w:t>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324" w:lineRule="exact"/>
        <w:rPr>
          <w:sz w:val="20"/>
          <w:szCs w:val="20"/>
          <w:color w:val="auto"/>
        </w:rPr>
      </w:pPr>
    </w:p>
    <w:p>
      <w:pPr>
        <w:ind w:left="1180" w:right="699" w:firstLine="337"/>
        <w:spacing w:after="0" w:line="250" w:lineRule="auto"/>
        <w:rPr>
          <w:sz w:val="20"/>
          <w:szCs w:val="20"/>
          <w:color w:val="auto"/>
        </w:rPr>
      </w:pPr>
      <w:r>
        <w:rPr>
          <w:rFonts w:ascii="Times New Roman" w:cs="Times New Roman" w:eastAsia="Times New Roman" w:hAnsi="Times New Roman"/>
          <w:sz w:val="17"/>
          <w:szCs w:val="17"/>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recently issued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The Treasury regulations, as amended by recently published IRS guidance, further provide that withholding on a transfer of an interest in a publicly traded partnership will not be imposed on a transfer that occurs prior to January 1, 2023. For a transfer of interests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units.</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Administrative Matters</w:t>
      </w:r>
    </w:p>
    <w:p>
      <w:pPr>
        <w:spacing w:after="0" w:line="2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Information Returns and Audit Procedures</w:t>
      </w:r>
    </w:p>
    <w:p>
      <w:pPr>
        <w:spacing w:after="0" w:line="150" w:lineRule="exact"/>
        <w:rPr>
          <w:sz w:val="20"/>
          <w:szCs w:val="20"/>
          <w:color w:val="auto"/>
        </w:rPr>
      </w:pPr>
    </w:p>
    <w:p>
      <w:pPr>
        <w:ind w:left="1180" w:right="699" w:firstLine="337"/>
        <w:spacing w:after="0" w:line="252" w:lineRule="auto"/>
        <w:rPr>
          <w:sz w:val="20"/>
          <w:szCs w:val="20"/>
          <w:color w:val="auto"/>
        </w:rPr>
      </w:pPr>
      <w:r>
        <w:rPr>
          <w:rFonts w:ascii="Times New Roman" w:cs="Times New Roman" w:eastAsia="Times New Roman" w:hAnsi="Times New Roman"/>
          <w:sz w:val="17"/>
          <w:szCs w:val="17"/>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05" w:lineRule="exact"/>
        <w:rPr>
          <w:sz w:val="20"/>
          <w:szCs w:val="20"/>
          <w:color w:val="auto"/>
        </w:rPr>
      </w:pPr>
    </w:p>
    <w:p>
      <w:pPr>
        <w:ind w:left="1180" w:right="739" w:firstLine="337"/>
        <w:spacing w:after="0" w:line="255" w:lineRule="auto"/>
        <w:rPr>
          <w:sz w:val="20"/>
          <w:szCs w:val="20"/>
          <w:color w:val="auto"/>
        </w:rPr>
      </w:pPr>
      <w:r>
        <w:rPr>
          <w:rFonts w:ascii="Times New Roman" w:cs="Times New Roman" w:eastAsia="Times New Roman" w:hAnsi="Times New Roman"/>
          <w:sz w:val="17"/>
          <w:szCs w:val="17"/>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11" w:lineRule="exact"/>
        <w:rPr>
          <w:sz w:val="20"/>
          <w:szCs w:val="20"/>
          <w:color w:val="auto"/>
        </w:rPr>
      </w:pPr>
    </w:p>
    <w:p>
      <w:pPr>
        <w:ind w:left="1180" w:right="759" w:firstLine="337"/>
        <w:spacing w:after="0" w:line="257" w:lineRule="auto"/>
        <w:rPr>
          <w:sz w:val="20"/>
          <w:szCs w:val="20"/>
          <w:color w:val="auto"/>
        </w:rPr>
      </w:pPr>
      <w:r>
        <w:rPr>
          <w:rFonts w:ascii="Times New Roman" w:cs="Times New Roman" w:eastAsia="Times New Roman" w:hAnsi="Times New Roman"/>
          <w:sz w:val="17"/>
          <w:szCs w:val="17"/>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10" w:lineRule="exact"/>
        <w:rPr>
          <w:sz w:val="20"/>
          <w:szCs w:val="20"/>
          <w:color w:val="auto"/>
        </w:rPr>
      </w:pPr>
    </w:p>
    <w:p>
      <w:pPr>
        <w:ind w:left="1180" w:right="719" w:firstLine="337"/>
        <w:spacing w:after="0" w:line="253" w:lineRule="auto"/>
        <w:rPr>
          <w:sz w:val="20"/>
          <w:szCs w:val="20"/>
          <w:color w:val="auto"/>
        </w:rPr>
      </w:pPr>
      <w:r>
        <w:rPr>
          <w:rFonts w:ascii="Times New Roman" w:cs="Times New Roman" w:eastAsia="Times New Roman" w:hAnsi="Times New Roman"/>
          <w:sz w:val="17"/>
          <w:szCs w:val="17"/>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w:t>
      </w:r>
    </w:p>
    <w:p>
      <w:pPr>
        <w:spacing w:after="0" w:line="3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1139"/>
        <w:spacing w:after="0" w:line="275" w:lineRule="auto"/>
        <w:rPr>
          <w:sz w:val="20"/>
          <w:szCs w:val="20"/>
          <w:color w:val="auto"/>
        </w:rPr>
      </w:pPr>
      <w:r>
        <w:rPr>
          <w:rFonts w:ascii="Times New Roman" w:cs="Times New Roman" w:eastAsia="Times New Roman" w:hAnsi="Times New Roman"/>
          <w:sz w:val="17"/>
          <w:szCs w:val="17"/>
          <w:color w:val="auto"/>
        </w:rPr>
        <w:t>partner, it may assess and collect any taxes (including penalties and interest) resulting from such audit adjustment directly from such entity.</w:t>
      </w:r>
    </w:p>
    <w:p>
      <w:pPr>
        <w:spacing w:after="0" w:line="83" w:lineRule="exact"/>
        <w:rPr>
          <w:sz w:val="20"/>
          <w:szCs w:val="20"/>
          <w:color w:val="auto"/>
        </w:rPr>
      </w:pPr>
    </w:p>
    <w:p>
      <w:pPr>
        <w:ind w:left="1180" w:right="719" w:firstLine="337"/>
        <w:spacing w:after="0"/>
        <w:rPr>
          <w:sz w:val="20"/>
          <w:szCs w:val="20"/>
          <w:color w:val="auto"/>
        </w:rPr>
      </w:pPr>
      <w:r>
        <w:rPr>
          <w:rFonts w:ascii="Times New Roman" w:cs="Times New Roman" w:eastAsia="Times New Roman" w:hAnsi="Times New Roman"/>
          <w:sz w:val="17"/>
          <w:szCs w:val="17"/>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w:t>
      </w:r>
    </w:p>
    <w:p>
      <w:pPr>
        <w:jc w:val="both"/>
        <w:ind w:left="1180" w:right="719"/>
        <w:spacing w:after="0" w:line="237" w:lineRule="auto"/>
        <w:rPr>
          <w:sz w:val="20"/>
          <w:szCs w:val="20"/>
          <w:color w:val="auto"/>
        </w:rPr>
      </w:pPr>
      <w:r>
        <w:rPr>
          <w:rFonts w:ascii="Times New Roman" w:cs="Times New Roman" w:eastAsia="Times New Roman" w:hAnsi="Times New Roman"/>
          <w:sz w:val="17"/>
          <w:szCs w:val="17"/>
          <w:color w:val="auto"/>
        </w:rPr>
        <w:t>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13" w:lineRule="exact"/>
        <w:rPr>
          <w:sz w:val="20"/>
          <w:szCs w:val="20"/>
          <w:color w:val="auto"/>
        </w:rPr>
      </w:pPr>
    </w:p>
    <w:p>
      <w:pPr>
        <w:ind w:left="1180" w:right="719" w:firstLine="337"/>
        <w:spacing w:after="0"/>
        <w:rPr>
          <w:sz w:val="20"/>
          <w:szCs w:val="20"/>
          <w:color w:val="auto"/>
        </w:rPr>
      </w:pPr>
      <w:r>
        <w:rPr>
          <w:rFonts w:ascii="Times New Roman" w:cs="Times New Roman" w:eastAsia="Times New Roman" w:hAnsi="Times New Roman"/>
          <w:sz w:val="17"/>
          <w:szCs w:val="17"/>
          <w:color w:val="auto"/>
        </w:rPr>
        <w:t>Additionally, pursuant to the Bipartisan Budget Act of 2015, the Code will no longer require that we designate a Tax Matters Partner. Instead, for taxable years beginning after December 31, 2017, we 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8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Additional Withholding Requirements</w:t>
      </w:r>
    </w:p>
    <w:p>
      <w:pPr>
        <w:spacing w:after="0" w:line="137" w:lineRule="exact"/>
        <w:rPr>
          <w:sz w:val="20"/>
          <w:szCs w:val="20"/>
          <w:color w:val="auto"/>
        </w:rPr>
      </w:pPr>
    </w:p>
    <w:p>
      <w:pPr>
        <w:ind w:left="1180" w:right="759" w:firstLine="337"/>
        <w:spacing w:after="0" w:line="242" w:lineRule="auto"/>
        <w:rPr>
          <w:sz w:val="20"/>
          <w:szCs w:val="20"/>
          <w:color w:val="auto"/>
        </w:rPr>
      </w:pPr>
      <w:r>
        <w:rPr>
          <w:rFonts w:ascii="Times New Roman" w:cs="Times New Roman" w:eastAsia="Times New Roman" w:hAnsi="Times New Roman"/>
          <w:sz w:val="17"/>
          <w:szCs w:val="17"/>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spacing w:after="0" w:line="3" w:lineRule="exact"/>
        <w:rPr>
          <w:sz w:val="20"/>
          <w:szCs w:val="20"/>
          <w:color w:val="auto"/>
        </w:rPr>
      </w:pPr>
    </w:p>
    <w:p>
      <w:pPr>
        <w:ind w:left="1180" w:right="739" w:firstLine="3"/>
        <w:spacing w:after="0" w:line="237" w:lineRule="auto"/>
        <w:tabs>
          <w:tab w:leader="none" w:pos="139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117" w:lineRule="exact"/>
        <w:rPr>
          <w:sz w:val="20"/>
          <w:szCs w:val="20"/>
          <w:color w:val="auto"/>
        </w:rPr>
      </w:pPr>
    </w:p>
    <w:p>
      <w:pPr>
        <w:ind w:left="1180" w:right="759" w:firstLine="337"/>
        <w:spacing w:after="0" w:line="242" w:lineRule="auto"/>
        <w:rPr>
          <w:sz w:val="20"/>
          <w:szCs w:val="20"/>
          <w:color w:val="auto"/>
        </w:rPr>
      </w:pPr>
      <w:r>
        <w:rPr>
          <w:rFonts w:ascii="Times New Roman" w:cs="Times New Roman" w:eastAsia="Times New Roman" w:hAnsi="Times New Roman"/>
          <w:sz w:val="17"/>
          <w:szCs w:val="17"/>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11" w:lineRule="exact"/>
        <w:rPr>
          <w:sz w:val="20"/>
          <w:szCs w:val="20"/>
          <w:color w:val="auto"/>
        </w:rPr>
      </w:pPr>
    </w:p>
    <w:p>
      <w:pPr>
        <w:ind w:left="1180" w:right="779" w:firstLine="337"/>
        <w:spacing w:after="0" w:line="244" w:lineRule="auto"/>
        <w:rPr>
          <w:sz w:val="20"/>
          <w:szCs w:val="20"/>
          <w:color w:val="auto"/>
        </w:rPr>
      </w:pPr>
      <w:r>
        <w:rPr>
          <w:rFonts w:ascii="Times New Roman" w:cs="Times New Roman" w:eastAsia="Times New Roman" w:hAnsi="Times New Roman"/>
          <w:sz w:val="17"/>
          <w:szCs w:val="17"/>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w:t>
      </w:r>
    </w:p>
    <w:p>
      <w:pPr>
        <w:spacing w:after="0" w:line="34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Nominee Reporting</w:t>
      </w:r>
    </w:p>
    <w:p>
      <w:pPr>
        <w:spacing w:after="0" w:line="1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Persons who hold an interest in us as a nominee for another person are required to furnish to us:</w:t>
      </w:r>
    </w:p>
    <w:p>
      <w:pPr>
        <w:spacing w:after="0" w:line="108" w:lineRule="exact"/>
        <w:rPr>
          <w:sz w:val="20"/>
          <w:szCs w:val="20"/>
          <w:color w:val="auto"/>
        </w:rPr>
      </w:pPr>
    </w:p>
    <w:p>
      <w:pPr>
        <w:ind w:left="1680" w:hanging="160"/>
        <w:spacing w:after="0"/>
        <w:tabs>
          <w:tab w:leader="none" w:pos="16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address and taxpayer identification number of the beneficial owner and the nominee;</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regarding whether the beneficial owner is:</w:t>
      </w:r>
    </w:p>
    <w:p>
      <w:pPr>
        <w:spacing w:after="0" w:line="107" w:lineRule="exact"/>
        <w:rPr>
          <w:rFonts w:ascii="Times New Roman" w:cs="Times New Roman" w:eastAsia="Times New Roman" w:hAnsi="Times New Roman"/>
          <w:sz w:val="17"/>
          <w:szCs w:val="17"/>
          <w:color w:val="auto"/>
        </w:rPr>
      </w:pPr>
    </w:p>
    <w:p>
      <w:pPr>
        <w:ind w:left="2020" w:hanging="163"/>
        <w:spacing w:after="0"/>
        <w:tabs>
          <w:tab w:leader="none" w:pos="20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non-U.S. person;</w:t>
      </w:r>
    </w:p>
    <w:p>
      <w:pPr>
        <w:spacing w:after="0" w:line="95" w:lineRule="exact"/>
        <w:rPr>
          <w:rFonts w:ascii="Times New Roman" w:cs="Times New Roman" w:eastAsia="Times New Roman" w:hAnsi="Times New Roman"/>
          <w:sz w:val="17"/>
          <w:szCs w:val="17"/>
          <w:color w:val="auto"/>
        </w:rPr>
      </w:pPr>
    </w:p>
    <w:p>
      <w:pPr>
        <w:ind w:left="2020" w:right="1459" w:hanging="163"/>
        <w:spacing w:after="0" w:line="275" w:lineRule="auto"/>
        <w:tabs>
          <w:tab w:leader="none" w:pos="20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non-U.S. government, an international organization or any wholly-owned agency or instrumentality of either of the foregoing; or</w:t>
      </w:r>
    </w:p>
    <w:p>
      <w:pPr>
        <w:spacing w:after="0" w:line="57" w:lineRule="exact"/>
        <w:rPr>
          <w:rFonts w:ascii="Times New Roman" w:cs="Times New Roman" w:eastAsia="Times New Roman" w:hAnsi="Times New Roman"/>
          <w:sz w:val="17"/>
          <w:szCs w:val="17"/>
          <w:color w:val="auto"/>
        </w:rPr>
      </w:pPr>
    </w:p>
    <w:p>
      <w:pPr>
        <w:ind w:left="2020" w:hanging="163"/>
        <w:spacing w:after="0"/>
        <w:tabs>
          <w:tab w:leader="none" w:pos="20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tax-exempt entity;</w:t>
      </w:r>
    </w:p>
    <w:p>
      <w:pPr>
        <w:spacing w:after="0" w:line="107"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description of units held, acquired or transferred for the beneficial owner; and</w:t>
      </w:r>
    </w:p>
    <w:p>
      <w:pPr>
        <w:spacing w:after="0" w:line="107" w:lineRule="exact"/>
        <w:rPr>
          <w:rFonts w:ascii="Times New Roman" w:cs="Times New Roman" w:eastAsia="Times New Roman" w:hAnsi="Times New Roman"/>
          <w:sz w:val="17"/>
          <w:szCs w:val="17"/>
          <w:color w:val="auto"/>
        </w:rPr>
      </w:pPr>
    </w:p>
    <w:p>
      <w:pPr>
        <w:ind w:left="1680" w:right="1079" w:hanging="160"/>
        <w:spacing w:after="0" w:line="275" w:lineRule="auto"/>
        <w:tabs>
          <w:tab w:leader="none" w:pos="16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 information including the dates of acquisitions and transfers, means of acquisitions and transfers, and acquisition cost for purchases, as well as the amount of net proceeds from sales.</w:t>
      </w:r>
    </w:p>
    <w:p>
      <w:pPr>
        <w:spacing w:after="0" w:line="95" w:lineRule="exact"/>
        <w:rPr>
          <w:sz w:val="20"/>
          <w:szCs w:val="20"/>
          <w:color w:val="auto"/>
        </w:rPr>
      </w:pPr>
    </w:p>
    <w:p>
      <w:pPr>
        <w:ind w:left="1180" w:right="739" w:firstLine="337"/>
        <w:spacing w:after="0" w:line="255" w:lineRule="auto"/>
        <w:rPr>
          <w:sz w:val="20"/>
          <w:szCs w:val="20"/>
          <w:color w:val="auto"/>
        </w:rPr>
      </w:pPr>
      <w:r>
        <w:rPr>
          <w:rFonts w:ascii="Times New Roman" w:cs="Times New Roman" w:eastAsia="Times New Roman" w:hAnsi="Times New Roman"/>
          <w:sz w:val="17"/>
          <w:szCs w:val="17"/>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Accuracy-Related Penalties</w:t>
      </w:r>
    </w:p>
    <w:p>
      <w:pPr>
        <w:spacing w:after="0" w:line="137" w:lineRule="exact"/>
        <w:rPr>
          <w:sz w:val="20"/>
          <w:szCs w:val="20"/>
          <w:color w:val="auto"/>
        </w:rPr>
      </w:pPr>
    </w:p>
    <w:p>
      <w:pPr>
        <w:ind w:left="1180" w:right="699" w:firstLine="337"/>
        <w:spacing w:after="0" w:line="253" w:lineRule="auto"/>
        <w:rPr>
          <w:sz w:val="20"/>
          <w:szCs w:val="20"/>
          <w:color w:val="auto"/>
        </w:rPr>
      </w:pPr>
      <w:r>
        <w:rPr>
          <w:rFonts w:ascii="Times New Roman" w:cs="Times New Roman" w:eastAsia="Times New Roman" w:hAnsi="Times New Roman"/>
          <w:sz w:val="17"/>
          <w:szCs w:val="17"/>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State, Local and Other Tax Considerations</w:t>
      </w:r>
    </w:p>
    <w:p>
      <w:pPr>
        <w:spacing w:after="0" w:line="150" w:lineRule="exact"/>
        <w:rPr>
          <w:sz w:val="20"/>
          <w:szCs w:val="20"/>
          <w:color w:val="auto"/>
        </w:rPr>
      </w:pPr>
    </w:p>
    <w:p>
      <w:pPr>
        <w:ind w:left="1180" w:right="739" w:firstLine="337"/>
        <w:spacing w:after="0" w:line="252" w:lineRule="auto"/>
        <w:rPr>
          <w:sz w:val="20"/>
          <w:szCs w:val="20"/>
          <w:color w:val="auto"/>
        </w:rPr>
      </w:pPr>
      <w:r>
        <w:rPr>
          <w:rFonts w:ascii="Times New Roman" w:cs="Times New Roman" w:eastAsia="Times New Roman" w:hAnsi="Times New Roman"/>
          <w:sz w:val="17"/>
          <w:szCs w:val="17"/>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14" w:lineRule="exact"/>
        <w:rPr>
          <w:sz w:val="20"/>
          <w:szCs w:val="20"/>
          <w:color w:val="auto"/>
        </w:rPr>
      </w:pPr>
    </w:p>
    <w:p>
      <w:pPr>
        <w:ind w:left="1180" w:right="679" w:firstLine="337"/>
        <w:spacing w:after="0" w:line="251" w:lineRule="auto"/>
        <w:rPr>
          <w:sz w:val="20"/>
          <w:szCs w:val="20"/>
          <w:color w:val="auto"/>
        </w:rPr>
      </w:pPr>
      <w:r>
        <w:rPr>
          <w:rFonts w:ascii="Times New Roman" w:cs="Times New Roman" w:eastAsia="Times New Roman" w:hAnsi="Times New Roman"/>
          <w:sz w:val="17"/>
          <w:szCs w:val="17"/>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Tax Consequences of Ownership of Preferred Units</w:t>
      </w:r>
    </w:p>
    <w:p>
      <w:pPr>
        <w:spacing w:after="0" w:line="137" w:lineRule="exact"/>
        <w:rPr>
          <w:sz w:val="20"/>
          <w:szCs w:val="20"/>
          <w:color w:val="auto"/>
        </w:rPr>
      </w:pPr>
    </w:p>
    <w:p>
      <w:pPr>
        <w:ind w:left="1180" w:right="819" w:firstLine="337"/>
        <w:spacing w:after="0" w:line="262" w:lineRule="auto"/>
        <w:rPr>
          <w:sz w:val="20"/>
          <w:szCs w:val="20"/>
          <w:color w:val="auto"/>
        </w:rPr>
      </w:pPr>
      <w:r>
        <w:rPr>
          <w:rFonts w:ascii="Times New Roman" w:cs="Times New Roman" w:eastAsia="Times New Roman" w:hAnsi="Times New Roman"/>
          <w:sz w:val="17"/>
          <w:szCs w:val="17"/>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34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Tax Consequences of Ownership of Debt Securities</w:t>
      </w:r>
    </w:p>
    <w:p>
      <w:pPr>
        <w:spacing w:after="0" w:line="150" w:lineRule="exact"/>
        <w:rPr>
          <w:sz w:val="20"/>
          <w:szCs w:val="20"/>
          <w:color w:val="auto"/>
        </w:rPr>
      </w:pPr>
    </w:p>
    <w:p>
      <w:pPr>
        <w:ind w:left="1180" w:right="819" w:firstLine="337"/>
        <w:spacing w:after="0" w:line="262" w:lineRule="auto"/>
        <w:rPr>
          <w:sz w:val="20"/>
          <w:szCs w:val="20"/>
          <w:color w:val="auto"/>
        </w:rPr>
      </w:pPr>
      <w:r>
        <w:rPr>
          <w:rFonts w:ascii="Times New Roman" w:cs="Times New Roman" w:eastAsia="Times New Roman" w:hAnsi="Times New Roman"/>
          <w:sz w:val="17"/>
          <w:szCs w:val="17"/>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01" w:lineRule="exact"/>
        <w:rPr>
          <w:sz w:val="20"/>
          <w:szCs w:val="20"/>
          <w:color w:val="auto"/>
        </w:rPr>
      </w:pPr>
    </w:p>
    <w:p>
      <w:pPr>
        <w:ind w:left="1180" w:right="699" w:firstLine="337"/>
        <w:spacing w:after="0" w:line="288" w:lineRule="auto"/>
        <w:rPr>
          <w:sz w:val="20"/>
          <w:szCs w:val="20"/>
          <w:color w:val="auto"/>
        </w:rPr>
      </w:pPr>
      <w:r>
        <w:rPr>
          <w:rFonts w:ascii="Times New Roman" w:cs="Times New Roman" w:eastAsia="Times New Roman" w:hAnsi="Times New Roman"/>
          <w:sz w:val="15"/>
          <w:szCs w:val="15"/>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spacing w:after="0" w:line="1" w:lineRule="exact"/>
        <w:rPr>
          <w:sz w:val="20"/>
          <w:szCs w:val="20"/>
          <w:color w:val="auto"/>
        </w:rPr>
      </w:pPr>
    </w:p>
    <w:p>
      <w:pPr>
        <w:ind w:left="1180" w:right="1439" w:firstLine="3"/>
        <w:spacing w:after="0" w:line="256" w:lineRule="auto"/>
        <w:tabs>
          <w:tab w:leader="none" w:pos="1346" w:val="left"/>
        </w:tabs>
        <w:numPr>
          <w:ilvl w:val="0"/>
          <w:numId w:val="7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Elkins L.L.P. has not rendered an opinion on the state, local, alternative minimum tax or non-U.S. tax consequences of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Under this prospectus, we intend to offer our securities to the public:</w:t>
      </w:r>
    </w:p>
    <w:p>
      <w:pPr>
        <w:spacing w:after="0" w:line="108" w:lineRule="exact"/>
        <w:rPr>
          <w:sz w:val="20"/>
          <w:szCs w:val="20"/>
          <w:color w:val="auto"/>
        </w:rPr>
      </w:pPr>
    </w:p>
    <w:p>
      <w:pPr>
        <w:ind w:left="1680" w:hanging="160"/>
        <w:spacing w:after="0"/>
        <w:tabs>
          <w:tab w:leader="none" w:pos="16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one or more underwriters for public offering and sale;</w:t>
      </w:r>
    </w:p>
    <w:p>
      <w:pPr>
        <w:spacing w:after="0" w:line="82" w:lineRule="exact"/>
        <w:rPr>
          <w:rFonts w:ascii="Times New Roman" w:cs="Times New Roman" w:eastAsia="Times New Roman" w:hAnsi="Times New Roman"/>
          <w:sz w:val="17"/>
          <w:szCs w:val="17"/>
          <w:color w:val="auto"/>
        </w:rPr>
      </w:pPr>
    </w:p>
    <w:p>
      <w:pPr>
        <w:ind w:left="1680" w:right="699" w:hanging="160"/>
        <w:spacing w:after="0" w:line="275" w:lineRule="auto"/>
        <w:tabs>
          <w:tab w:leader="none" w:pos="16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one or more broker-dealers who may act as agent or may purchase securities as principal and thereafter resell the securities from time to time;</w:t>
      </w:r>
    </w:p>
    <w:p>
      <w:pPr>
        <w:spacing w:after="0" w:line="44" w:lineRule="exact"/>
        <w:rPr>
          <w:rFonts w:ascii="Times New Roman" w:cs="Times New Roman" w:eastAsia="Times New Roman" w:hAnsi="Times New Roman"/>
          <w:sz w:val="17"/>
          <w:szCs w:val="17"/>
          <w:color w:val="auto"/>
        </w:rPr>
      </w:pPr>
    </w:p>
    <w:p>
      <w:pPr>
        <w:ind w:left="1680" w:right="1259" w:hanging="160"/>
        <w:spacing w:after="0" w:line="275" w:lineRule="auto"/>
        <w:tabs>
          <w:tab w:leader="none" w:pos="16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 through one or more transactions (which may involve crosses and block transactions) or distributions;</w:t>
      </w:r>
    </w:p>
    <w:p>
      <w:pPr>
        <w:spacing w:after="0" w:line="3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NASDAQ;</w:t>
      </w:r>
    </w:p>
    <w:p>
      <w:pPr>
        <w:spacing w:after="0" w:line="8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over-the-counter market;</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private transactions; or</w:t>
      </w:r>
    </w:p>
    <w:p>
      <w:pPr>
        <w:spacing w:after="0" w:line="8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investors directly.</w:t>
      </w:r>
    </w:p>
    <w:p>
      <w:pPr>
        <w:spacing w:after="0" w:line="14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We will price our securities at:</w:t>
      </w:r>
    </w:p>
    <w:p>
      <w:pPr>
        <w:spacing w:after="0" w:line="108" w:lineRule="exact"/>
        <w:rPr>
          <w:sz w:val="20"/>
          <w:szCs w:val="20"/>
          <w:color w:val="auto"/>
        </w:rPr>
      </w:pPr>
    </w:p>
    <w:p>
      <w:pPr>
        <w:ind w:left="1680" w:hanging="160"/>
        <w:spacing w:after="0"/>
        <w:tabs>
          <w:tab w:leader="none" w:pos="16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prices prevailing at the time of any sale under this registration statement;</w:t>
      </w:r>
    </w:p>
    <w:p>
      <w:pPr>
        <w:spacing w:after="0" w:line="8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prices related to then-current market prices;</w:t>
      </w:r>
    </w:p>
    <w:p>
      <w:pPr>
        <w:spacing w:after="0" w:line="82"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price; or</w:t>
      </w:r>
    </w:p>
    <w:p>
      <w:pPr>
        <w:spacing w:after="0" w:line="95" w:lineRule="exact"/>
        <w:rPr>
          <w:rFonts w:ascii="Times New Roman" w:cs="Times New Roman" w:eastAsia="Times New Roman" w:hAnsi="Times New Roman"/>
          <w:sz w:val="17"/>
          <w:szCs w:val="17"/>
          <w:color w:val="auto"/>
        </w:rPr>
      </w:pPr>
    </w:p>
    <w:p>
      <w:pPr>
        <w:ind w:left="1680" w:hanging="160"/>
        <w:spacing w:after="0"/>
        <w:tabs>
          <w:tab w:leader="none" w:pos="16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negotiated prices.</w:t>
      </w:r>
    </w:p>
    <w:p>
      <w:pPr>
        <w:spacing w:after="0" w:line="1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We may change the price of the securities offered from time to time.</w:t>
      </w:r>
    </w:p>
    <w:p>
      <w:pPr>
        <w:spacing w:after="0" w:line="146" w:lineRule="exact"/>
        <w:rPr>
          <w:sz w:val="20"/>
          <w:szCs w:val="20"/>
          <w:color w:val="auto"/>
        </w:rPr>
      </w:pPr>
    </w:p>
    <w:p>
      <w:pPr>
        <w:ind w:left="1180" w:right="839" w:firstLine="337"/>
        <w:spacing w:after="0" w:line="260" w:lineRule="auto"/>
        <w:rPr>
          <w:sz w:val="20"/>
          <w:szCs w:val="20"/>
          <w:color w:val="auto"/>
        </w:rPr>
      </w:pPr>
      <w:r>
        <w:rPr>
          <w:rFonts w:ascii="Times New Roman" w:cs="Times New Roman" w:eastAsia="Times New Roman" w:hAnsi="Times New Roman"/>
          <w:sz w:val="17"/>
          <w:szCs w:val="17"/>
          <w:color w:val="auto"/>
        </w:rPr>
        <w:t>We will pay or allow distributors’ or sellers’ commissions that will not exceed those customary in the types of transactions involved.</w:t>
      </w:r>
    </w:p>
    <w:p>
      <w:pPr>
        <w:spacing w:after="0" w:line="95" w:lineRule="exact"/>
        <w:rPr>
          <w:sz w:val="20"/>
          <w:szCs w:val="20"/>
          <w:color w:val="auto"/>
        </w:rPr>
      </w:pPr>
    </w:p>
    <w:p>
      <w:pPr>
        <w:ind w:left="1180" w:right="759" w:firstLine="337"/>
        <w:spacing w:after="0" w:line="247" w:lineRule="auto"/>
        <w:rPr>
          <w:sz w:val="20"/>
          <w:szCs w:val="20"/>
          <w:color w:val="auto"/>
        </w:rPr>
      </w:pPr>
      <w:r>
        <w:rPr>
          <w:rFonts w:ascii="Times New Roman" w:cs="Times New Roman" w:eastAsia="Times New Roman" w:hAnsi="Times New Roman"/>
          <w:sz w:val="17"/>
          <w:szCs w:val="17"/>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06" w:lineRule="exact"/>
        <w:rPr>
          <w:sz w:val="20"/>
          <w:szCs w:val="20"/>
          <w:color w:val="auto"/>
        </w:rPr>
      </w:pPr>
    </w:p>
    <w:p>
      <w:pPr>
        <w:ind w:left="1180" w:right="699" w:firstLine="337"/>
        <w:spacing w:after="0" w:line="241" w:lineRule="auto"/>
        <w:rPr>
          <w:sz w:val="20"/>
          <w:szCs w:val="20"/>
          <w:color w:val="auto"/>
        </w:rPr>
      </w:pPr>
      <w:r>
        <w:rPr>
          <w:rFonts w:ascii="Times New Roman" w:cs="Times New Roman" w:eastAsia="Times New Roman" w:hAnsi="Times New Roman"/>
          <w:sz w:val="17"/>
          <w:szCs w:val="17"/>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0" w:lineRule="exact"/>
        <w:rPr>
          <w:sz w:val="20"/>
          <w:szCs w:val="20"/>
          <w:color w:val="auto"/>
        </w:rPr>
      </w:pPr>
    </w:p>
    <w:p>
      <w:pPr>
        <w:jc w:val="both"/>
        <w:ind w:left="1180" w:right="919" w:firstLine="337"/>
        <w:spacing w:after="0" w:line="247" w:lineRule="auto"/>
        <w:rPr>
          <w:sz w:val="20"/>
          <w:szCs w:val="20"/>
          <w:color w:val="auto"/>
        </w:rPr>
      </w:pPr>
      <w:r>
        <w:rPr>
          <w:rFonts w:ascii="Times New Roman" w:cs="Times New Roman" w:eastAsia="Times New Roman" w:hAnsi="Times New Roman"/>
          <w:sz w:val="17"/>
          <w:szCs w:val="17"/>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05" w:lineRule="exact"/>
        <w:rPr>
          <w:sz w:val="20"/>
          <w:szCs w:val="20"/>
          <w:color w:val="auto"/>
        </w:rPr>
      </w:pPr>
    </w:p>
    <w:p>
      <w:pPr>
        <w:ind w:left="1180" w:right="919" w:firstLine="337"/>
        <w:spacing w:after="0" w:line="254" w:lineRule="auto"/>
        <w:rPr>
          <w:sz w:val="20"/>
          <w:szCs w:val="20"/>
          <w:color w:val="auto"/>
        </w:rPr>
      </w:pPr>
      <w:r>
        <w:rPr>
          <w:rFonts w:ascii="Times New Roman" w:cs="Times New Roman" w:eastAsia="Times New Roman" w:hAnsi="Times New Roman"/>
          <w:sz w:val="17"/>
          <w:szCs w:val="17"/>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00" w:lineRule="exact"/>
        <w:rPr>
          <w:sz w:val="20"/>
          <w:szCs w:val="20"/>
          <w:color w:val="auto"/>
        </w:rPr>
      </w:pPr>
    </w:p>
    <w:p>
      <w:pPr>
        <w:jc w:val="both"/>
        <w:ind w:left="1180" w:right="699" w:firstLine="337"/>
        <w:spacing w:after="0" w:line="246" w:lineRule="auto"/>
        <w:rPr>
          <w:sz w:val="20"/>
          <w:szCs w:val="20"/>
          <w:color w:val="auto"/>
        </w:rPr>
      </w:pPr>
      <w:r>
        <w:rPr>
          <w:rFonts w:ascii="Times New Roman" w:cs="Times New Roman" w:eastAsia="Times New Roman" w:hAnsi="Times New Roman"/>
          <w:sz w:val="17"/>
          <w:szCs w:val="17"/>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06" w:lineRule="exact"/>
        <w:rPr>
          <w:sz w:val="20"/>
          <w:szCs w:val="20"/>
          <w:color w:val="auto"/>
        </w:rPr>
      </w:pPr>
    </w:p>
    <w:p>
      <w:pPr>
        <w:ind w:left="1180" w:right="779" w:firstLine="337"/>
        <w:spacing w:after="0" w:line="254" w:lineRule="auto"/>
        <w:rPr>
          <w:sz w:val="20"/>
          <w:szCs w:val="20"/>
          <w:color w:val="auto"/>
        </w:rPr>
      </w:pPr>
      <w:r>
        <w:rPr>
          <w:rFonts w:ascii="Times New Roman" w:cs="Times New Roman" w:eastAsia="Times New Roman" w:hAnsi="Times New Roman"/>
          <w:sz w:val="17"/>
          <w:szCs w:val="17"/>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3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39635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right="779" w:firstLine="337"/>
        <w:spacing w:after="0" w:line="262"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05" w:lineRule="exact"/>
        <w:rPr>
          <w:sz w:val="20"/>
          <w:szCs w:val="20"/>
          <w:color w:val="auto"/>
        </w:rPr>
      </w:pPr>
    </w:p>
    <w:p>
      <w:pPr>
        <w:ind w:left="1180" w:right="739" w:firstLine="337"/>
        <w:spacing w:after="0" w:line="250" w:lineRule="auto"/>
        <w:rPr>
          <w:sz w:val="20"/>
          <w:szCs w:val="20"/>
          <w:color w:val="auto"/>
        </w:rPr>
      </w:pPr>
      <w:r>
        <w:rPr>
          <w:rFonts w:ascii="Times New Roman" w:cs="Times New Roman" w:eastAsia="Times New Roman" w:hAnsi="Times New Roman"/>
          <w:sz w:val="17"/>
          <w:szCs w:val="17"/>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50" w:lineRule="exact"/>
        <w:rPr>
          <w:sz w:val="20"/>
          <w:szCs w:val="20"/>
          <w:color w:val="auto"/>
        </w:rPr>
      </w:pPr>
    </w:p>
    <w:p>
      <w:pPr>
        <w:jc w:val="both"/>
        <w:ind w:left="1180" w:right="739" w:firstLine="337"/>
        <w:spacing w:after="0" w:line="253" w:lineRule="auto"/>
        <w:rPr>
          <w:sz w:val="20"/>
          <w:szCs w:val="20"/>
          <w:color w:val="auto"/>
        </w:rPr>
      </w:pPr>
      <w:r>
        <w:rPr>
          <w:rFonts w:ascii="Times New Roman" w:cs="Times New Roman" w:eastAsia="Times New Roman" w:hAnsi="Times New Roman"/>
          <w:sz w:val="17"/>
          <w:szCs w:val="17"/>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7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50" w:lineRule="exact"/>
        <w:rPr>
          <w:sz w:val="20"/>
          <w:szCs w:val="20"/>
          <w:color w:val="auto"/>
        </w:rPr>
      </w:pPr>
    </w:p>
    <w:p>
      <w:pPr>
        <w:ind w:left="1180" w:right="899" w:firstLine="337"/>
        <w:spacing w:after="0" w:line="253"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financial statements and management’s assessment of the effectiveness of internal control over financial reporting (which is included in Management’s Report on Internal Control over Financial </w:t>
      </w:r>
      <w:hyperlink r:id="rId85">
        <w:r>
          <w:rPr>
            <w:rFonts w:ascii="Times New Roman" w:cs="Times New Roman" w:eastAsia="Times New Roman" w:hAnsi="Times New Roman"/>
            <w:sz w:val="17"/>
            <w:szCs w:val="17"/>
            <w:color w:val="auto"/>
          </w:rPr>
          <w:t xml:space="preserve">Reporting) incorporated in this Prospectus by reference to the </w:t>
        </w:r>
        <w:r>
          <w:rPr>
            <w:rFonts w:ascii="Times New Roman" w:cs="Times New Roman" w:eastAsia="Times New Roman" w:hAnsi="Times New Roman"/>
            <w:sz w:val="17"/>
            <w:szCs w:val="17"/>
            <w:u w:val="single" w:color="auto"/>
            <w:color w:val="0000EE"/>
          </w:rPr>
          <w:t>Annual Report on Form 10-K for the year</w:t>
        </w:r>
      </w:hyperlink>
      <w:r>
        <w:rPr>
          <w:rFonts w:ascii="Times New Roman" w:cs="Times New Roman" w:eastAsia="Times New Roman" w:hAnsi="Times New Roman"/>
          <w:sz w:val="17"/>
          <w:szCs w:val="17"/>
          <w:color w:val="auto"/>
        </w:rPr>
        <w:t xml:space="preserve"> </w:t>
      </w:r>
      <w:hyperlink r:id="rId85">
        <w:r>
          <w:rPr>
            <w:rFonts w:ascii="Times New Roman" w:cs="Times New Roman" w:eastAsia="Times New Roman" w:hAnsi="Times New Roman"/>
            <w:sz w:val="17"/>
            <w:szCs w:val="17"/>
            <w:u w:val="single" w:color="auto"/>
            <w:color w:val="0000EE"/>
          </w:rPr>
          <w:t>ended December 31, 2020</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have been so incorporated in reliance on the report of PricewaterhouseCoopers</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639635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0</wp:posOffset>
            </wp:positionV>
            <wp:extent cx="487870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4878705" cy="1587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47625</wp:posOffset>
            </wp:positionV>
            <wp:extent cx="48787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4878705" cy="8255"/>
                    </a:xfrm>
                    <a:prstGeom prst="rect">
                      <a:avLst/>
                    </a:prstGeom>
                    <a:noFill/>
                  </pic:spPr>
                </pic:pic>
              </a:graphicData>
            </a:graphic>
          </wp:anchor>
        </w:drawing>
      </w:r>
    </w:p>
    <w:p>
      <w:pPr>
        <w:spacing w:after="0" w:line="2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4"/>
          <w:szCs w:val="24"/>
          <w:b w:val="1"/>
          <w:bCs w:val="1"/>
          <w:color w:val="auto"/>
        </w:rPr>
        <w:t>$650,000,000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4"/>
          <w:szCs w:val="24"/>
          <w:b w:val="1"/>
          <w:bCs w:val="1"/>
          <w:color w:val="auto"/>
        </w:rPr>
        <w:t>5.700%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233680</wp:posOffset>
            </wp:positionV>
            <wp:extent cx="1155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PROSPECTUS SUPPLEMENT</w:t>
      </w:r>
    </w:p>
    <w:p>
      <w:pPr>
        <w:spacing w:after="0" w:line="20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201930</wp:posOffset>
            </wp:positionV>
            <wp:extent cx="1155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i w:val="1"/>
          <w:iCs w:val="1"/>
          <w:color w:val="auto"/>
        </w:rPr>
        <w:t>Joint Book-Running Managers</w:t>
      </w:r>
    </w:p>
    <w:p>
      <w:pPr>
        <w:spacing w:after="0" w:line="2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Citigroup</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MUFG</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SMBC Nikko</w:t>
      </w:r>
    </w:p>
    <w:p>
      <w:pPr>
        <w:spacing w:after="0" w:line="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Truist Securities</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Barclays</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BMO Capital Markets</w:t>
      </w:r>
    </w:p>
    <w:p>
      <w:pPr>
        <w:spacing w:after="0" w:line="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BofA Securities</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CIBC Capital Markets</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ING</w:t>
      </w:r>
    </w:p>
    <w:p>
      <w:pPr>
        <w:spacing w:after="0" w:line="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J.P. Morgan</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Mizuho</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PNC Capital Markets LLC</w:t>
      </w:r>
    </w:p>
    <w:p>
      <w:pPr>
        <w:spacing w:after="0" w:line="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RBC Capital Markets</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Regions Securities LLC</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Scotiabank</w:t>
      </w:r>
    </w:p>
    <w:p>
      <w:pPr>
        <w:spacing w:after="0" w:line="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TD Securities</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US Bancorp</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Wells Fargo Securities</w:t>
      </w:r>
    </w:p>
    <w:p>
      <w:pPr>
        <w:spacing w:after="0" w:line="19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i w:val="1"/>
          <w:iCs w:val="1"/>
          <w:color w:val="auto"/>
        </w:rPr>
        <w:t>Co-Managers</w:t>
      </w:r>
    </w:p>
    <w:p>
      <w:pPr>
        <w:spacing w:after="0" w:line="20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BBVA</w:t>
      </w:r>
    </w:p>
    <w:p>
      <w:pPr>
        <w:spacing w:after="0" w:line="20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Morgan Stanley</w:t>
      </w:r>
    </w:p>
    <w:p>
      <w:pPr>
        <w:spacing w:after="0" w:line="20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Zions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161290</wp:posOffset>
            </wp:positionV>
            <wp:extent cx="48787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4878705" cy="8255"/>
                    </a:xfrm>
                    <a:prstGeom prst="rect">
                      <a:avLst/>
                    </a:prstGeom>
                    <a:noFill/>
                  </pic:spPr>
                </pic:pic>
              </a:graphicData>
            </a:graphic>
          </wp:anchor>
        </w:drawing>
      </w:r>
    </w:p>
    <w:p>
      <w:pPr>
        <w:spacing w:after="0" w:line="2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7620</wp:posOffset>
            </wp:positionV>
            <wp:extent cx="487870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4878705" cy="158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243840</wp:posOffset>
            </wp:positionV>
            <wp:extent cx="639635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6396355" cy="41275"/>
                    </a:xfrm>
                    <a:prstGeom prst="rect">
                      <a:avLst/>
                    </a:prstGeom>
                    <a:noFill/>
                  </pic:spPr>
                </pic:pic>
              </a:graphicData>
            </a:graphic>
          </wp:anchor>
        </w:drawing>
      </w:r>
    </w:p>
    <w:p>
      <w:pPr>
        <w:sectPr>
          <w:pgSz w:w="11900" w:h="16838" w:orient="portrait"/>
          <w:cols w:equalWidth="0" w:num="1">
            <w:col w:w="9539"/>
          </w:cols>
          <w:pgMar w:left="920" w:top="101" w:right="1440" w:bottom="1440" w:gutter="0" w:footer="0" w:header="0"/>
        </w:sectPr>
      </w:pPr>
    </w:p>
    <w:bookmarkStart w:id="89" w:name="page90"/>
    <w:bookmarkEnd w:id="89"/>
    <w:p>
      <w:pPr>
        <w:ind w:left="1042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424B5</w:t>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(Form Type)</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Plains All American Pipeline LP</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PAA Finance Corp.</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Table 1: Newly Registered and Carry Forward Securities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900" w:type="dxa"/>
            <w:vAlign w:val="bottom"/>
            <w:tcBorders>
              <w:top w:val="single" w:sz="8" w:color="auto"/>
              <w:left w:val="single" w:sz="8" w:color="auto"/>
              <w:right w:val="single" w:sz="8" w:color="auto"/>
            </w:tcBorders>
          </w:tcPr>
          <w:p>
            <w:pPr>
              <w:spacing w:after="0"/>
              <w:rPr>
                <w:sz w:val="17"/>
                <w:szCs w:val="17"/>
                <w:color w:val="auto"/>
              </w:rPr>
            </w:pPr>
          </w:p>
        </w:tc>
        <w:tc>
          <w:tcPr>
            <w:tcW w:w="640" w:type="dxa"/>
            <w:vAlign w:val="bottom"/>
            <w:tcBorders>
              <w:top w:val="single" w:sz="8" w:color="auto"/>
              <w:right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660" w:type="dxa"/>
            <w:vAlign w:val="bottom"/>
            <w:tcBorders>
              <w:top w:val="single" w:sz="8" w:color="auto"/>
              <w:right w:val="single" w:sz="8" w:color="auto"/>
            </w:tcBorders>
          </w:tcPr>
          <w:p>
            <w:pPr>
              <w:spacing w:after="0"/>
              <w:rPr>
                <w:sz w:val="17"/>
                <w:szCs w:val="17"/>
                <w:color w:val="auto"/>
              </w:rPr>
            </w:pPr>
          </w:p>
        </w:tc>
        <w:tc>
          <w:tcPr>
            <w:tcW w:w="640" w:type="dxa"/>
            <w:vAlign w:val="bottom"/>
            <w:tcBorders>
              <w:top w:val="single" w:sz="8" w:color="auto"/>
              <w:right w:val="single" w:sz="8" w:color="auto"/>
            </w:tcBorders>
          </w:tcPr>
          <w:p>
            <w:pPr>
              <w:spacing w:after="0"/>
              <w:rPr>
                <w:sz w:val="17"/>
                <w:szCs w:val="17"/>
                <w:color w:val="auto"/>
              </w:rPr>
            </w:pPr>
          </w:p>
        </w:tc>
        <w:tc>
          <w:tcPr>
            <w:tcW w:w="66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Filing Fee</w:t>
            </w:r>
          </w:p>
        </w:tc>
      </w:tr>
      <w:tr>
        <w:trPr>
          <w:trHeight w:val="202"/>
        </w:trPr>
        <w:tc>
          <w:tcPr>
            <w:tcW w:w="9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Previously</w:t>
            </w:r>
          </w:p>
        </w:tc>
      </w:tr>
      <w:tr>
        <w:trPr>
          <w:trHeight w:val="202"/>
        </w:trPr>
        <w:tc>
          <w:tcPr>
            <w:tcW w:w="9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Paid In</w:t>
            </w:r>
          </w:p>
        </w:tc>
      </w:tr>
      <w:tr>
        <w:trPr>
          <w:trHeight w:val="202"/>
        </w:trPr>
        <w:tc>
          <w:tcPr>
            <w:tcW w:w="9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Connection</w:t>
            </w:r>
          </w:p>
        </w:tc>
      </w:tr>
      <w:tr>
        <w:trPr>
          <w:trHeight w:val="202"/>
        </w:trPr>
        <w:tc>
          <w:tcPr>
            <w:tcW w:w="9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with</w:t>
            </w:r>
          </w:p>
        </w:tc>
      </w:tr>
      <w:tr>
        <w:trPr>
          <w:trHeight w:val="202"/>
        </w:trPr>
        <w:tc>
          <w:tcPr>
            <w:tcW w:w="9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Proposed</w:t>
            </w:r>
          </w:p>
        </w:tc>
        <w:tc>
          <w:tcPr>
            <w:tcW w:w="12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Unsold</w:t>
            </w:r>
          </w:p>
        </w:tc>
      </w:tr>
      <w:tr>
        <w:trPr>
          <w:trHeight w:val="202"/>
        </w:trPr>
        <w:tc>
          <w:tcPr>
            <w:tcW w:w="9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Calculation</w:t>
            </w: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Maximum</w:t>
            </w: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Carry</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Carry</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Securities</w:t>
            </w:r>
          </w:p>
        </w:tc>
      </w:tr>
      <w:tr>
        <w:trPr>
          <w:trHeight w:val="202"/>
        </w:trPr>
        <w:tc>
          <w:tcPr>
            <w:tcW w:w="9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Security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or Carry</w:t>
            </w: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Offering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Aggregate</w:t>
            </w: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Amount of</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Forward</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Forward</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Initial</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to be</w:t>
            </w:r>
          </w:p>
        </w:tc>
      </w:tr>
      <w:tr>
        <w:trPr>
          <w:trHeight w:val="202"/>
        </w:trPr>
        <w:tc>
          <w:tcPr>
            <w:tcW w:w="9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Security</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Amount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Price Per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Offering</w:t>
            </w: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Registration</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Form</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File</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effective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Carried</w:t>
            </w:r>
          </w:p>
        </w:tc>
      </w:tr>
      <w:tr>
        <w:trPr>
          <w:trHeight w:val="225"/>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Type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Title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Rule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Registered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Unit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Price (1)</w:t>
            </w:r>
          </w:p>
        </w:tc>
        <w:tc>
          <w:tcPr>
            <w:tcW w:w="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Fee 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Fee (2)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1"/>
              </w:rPr>
              <w:t>Type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Number</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Forward</w:t>
            </w:r>
          </w:p>
        </w:tc>
      </w:tr>
      <w:tr>
        <w:trPr>
          <w:trHeight w:val="214"/>
        </w:trPr>
        <w:tc>
          <w:tcPr>
            <w:tcW w:w="9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7"/>
                <w:szCs w:val="17"/>
                <w:color w:val="auto"/>
                <w:w w:val="98"/>
              </w:rPr>
              <w:t>Newly Registered Securities</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381"/>
        </w:trPr>
        <w:tc>
          <w:tcPr>
            <w:tcW w:w="900" w:type="dxa"/>
            <w:vAlign w:val="bottom"/>
            <w:tcBorders>
              <w:left w:val="single" w:sz="8" w:color="auto"/>
              <w:right w:val="single" w:sz="8" w:color="auto"/>
            </w:tcBorders>
          </w:tcPr>
          <w:p>
            <w:pPr>
              <w:jc w:val="center"/>
              <w:ind w:left="56"/>
              <w:spacing w:after="0"/>
              <w:rPr>
                <w:sz w:val="20"/>
                <w:szCs w:val="20"/>
                <w:color w:val="auto"/>
              </w:rPr>
            </w:pPr>
            <w:r>
              <w:rPr>
                <w:rFonts w:ascii="Times New Roman" w:cs="Times New Roman" w:eastAsia="Times New Roman" w:hAnsi="Times New Roman"/>
                <w:sz w:val="17"/>
                <w:szCs w:val="17"/>
                <w:color w:val="auto"/>
              </w:rPr>
              <w:t>Fees to Be</w:t>
            </w:r>
          </w:p>
        </w:tc>
        <w:tc>
          <w:tcPr>
            <w:tcW w:w="6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5.700% Senior</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Rule 457(o)</w:t>
            </w:r>
          </w:p>
        </w:tc>
        <w:tc>
          <w:tcPr>
            <w:tcW w:w="12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225"/>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Debt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Notes due 2034</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and 457(r)</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$650,000,000.00</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99.953%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$649,694,500.00</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0.00014760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$95,894.91</w:t>
            </w:r>
          </w:p>
        </w:tc>
        <w:tc>
          <w:tcPr>
            <w:tcW w:w="6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20"/>
        </w:trPr>
        <w:tc>
          <w:tcPr>
            <w:tcW w:w="90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900" w:type="dxa"/>
            <w:vAlign w:val="bottom"/>
            <w:tcBorders>
              <w:left w:val="single" w:sz="8" w:color="auto"/>
              <w:right w:val="single" w:sz="8" w:color="auto"/>
            </w:tcBorders>
          </w:tcPr>
          <w:p>
            <w:pPr>
              <w:jc w:val="center"/>
              <w:ind w:left="56"/>
              <w:spacing w:after="0" w:line="170" w:lineRule="exact"/>
              <w:rPr>
                <w:sz w:val="20"/>
                <w:szCs w:val="20"/>
                <w:color w:val="auto"/>
              </w:rPr>
            </w:pPr>
            <w:r>
              <w:rPr>
                <w:rFonts w:ascii="Times New Roman" w:cs="Times New Roman" w:eastAsia="Times New Roman" w:hAnsi="Times New Roman"/>
                <w:sz w:val="17"/>
                <w:szCs w:val="17"/>
                <w:color w:val="auto"/>
              </w:rPr>
              <w:t>Fees</w:t>
            </w:r>
          </w:p>
        </w:tc>
        <w:tc>
          <w:tcPr>
            <w:tcW w:w="6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02"/>
        </w:trPr>
        <w:tc>
          <w:tcPr>
            <w:tcW w:w="900" w:type="dxa"/>
            <w:vAlign w:val="bottom"/>
            <w:tcBorders>
              <w:left w:val="single" w:sz="8" w:color="auto"/>
              <w:right w:val="single" w:sz="8" w:color="auto"/>
            </w:tcBorders>
          </w:tcPr>
          <w:p>
            <w:pPr>
              <w:jc w:val="center"/>
              <w:ind w:left="56"/>
              <w:spacing w:after="0"/>
              <w:rPr>
                <w:sz w:val="20"/>
                <w:szCs w:val="20"/>
                <w:color w:val="auto"/>
              </w:rPr>
            </w:pPr>
            <w:r>
              <w:rPr>
                <w:rFonts w:ascii="Times New Roman" w:cs="Times New Roman" w:eastAsia="Times New Roman" w:hAnsi="Times New Roman"/>
                <w:sz w:val="17"/>
                <w:szCs w:val="17"/>
                <w:color w:val="auto"/>
                <w:w w:val="98"/>
              </w:rPr>
              <w:t>Previously</w:t>
            </w:r>
          </w:p>
        </w:tc>
        <w:tc>
          <w:tcPr>
            <w:tcW w:w="6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25"/>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214"/>
        </w:trPr>
        <w:tc>
          <w:tcPr>
            <w:tcW w:w="9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7"/>
                <w:szCs w:val="17"/>
                <w:color w:val="auto"/>
                <w:w w:val="98"/>
              </w:rPr>
              <w:t>Carry Forward Securities</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178"/>
        </w:trPr>
        <w:tc>
          <w:tcPr>
            <w:tcW w:w="900" w:type="dxa"/>
            <w:vAlign w:val="bottom"/>
            <w:tcBorders>
              <w:left w:val="single" w:sz="8" w:color="auto"/>
              <w:right w:val="single" w:sz="8" w:color="auto"/>
            </w:tcBorders>
          </w:tcPr>
          <w:p>
            <w:pPr>
              <w:jc w:val="center"/>
              <w:ind w:left="56"/>
              <w:spacing w:after="0" w:line="178" w:lineRule="exact"/>
              <w:rPr>
                <w:sz w:val="20"/>
                <w:szCs w:val="20"/>
                <w:color w:val="auto"/>
              </w:rPr>
            </w:pPr>
            <w:r>
              <w:rPr>
                <w:rFonts w:ascii="Times New Roman" w:cs="Times New Roman" w:eastAsia="Times New Roman" w:hAnsi="Times New Roman"/>
                <w:sz w:val="17"/>
                <w:szCs w:val="17"/>
                <w:color w:val="auto"/>
              </w:rPr>
              <w:t>Carry</w:t>
            </w:r>
          </w:p>
        </w:tc>
        <w:tc>
          <w:tcPr>
            <w:tcW w:w="64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r>
      <w:tr>
        <w:trPr>
          <w:trHeight w:val="202"/>
        </w:trPr>
        <w:tc>
          <w:tcPr>
            <w:tcW w:w="900" w:type="dxa"/>
            <w:vAlign w:val="bottom"/>
            <w:tcBorders>
              <w:left w:val="single" w:sz="8" w:color="auto"/>
              <w:right w:val="single" w:sz="8" w:color="auto"/>
            </w:tcBorders>
          </w:tcPr>
          <w:p>
            <w:pPr>
              <w:jc w:val="center"/>
              <w:ind w:left="56"/>
              <w:spacing w:after="0"/>
              <w:rPr>
                <w:sz w:val="20"/>
                <w:szCs w:val="20"/>
                <w:color w:val="auto"/>
              </w:rPr>
            </w:pPr>
            <w:r>
              <w:rPr>
                <w:rFonts w:ascii="Times New Roman" w:cs="Times New Roman" w:eastAsia="Times New Roman" w:hAnsi="Times New Roman"/>
                <w:sz w:val="17"/>
                <w:szCs w:val="17"/>
                <w:color w:val="auto"/>
                <w:w w:val="97"/>
              </w:rPr>
              <w:t>Forward</w:t>
            </w:r>
          </w:p>
        </w:tc>
        <w:tc>
          <w:tcPr>
            <w:tcW w:w="6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25"/>
        </w:trPr>
        <w:tc>
          <w:tcPr>
            <w:tcW w:w="900" w:type="dxa"/>
            <w:vAlign w:val="bottom"/>
            <w:tcBorders>
              <w:left w:val="single" w:sz="8" w:color="auto"/>
              <w:bottom w:val="single" w:sz="8" w:color="auto"/>
              <w:right w:val="single" w:sz="8" w:color="auto"/>
            </w:tcBorders>
          </w:tcPr>
          <w:p>
            <w:pPr>
              <w:jc w:val="center"/>
              <w:ind w:left="16"/>
              <w:spacing w:after="0"/>
              <w:rPr>
                <w:sz w:val="20"/>
                <w:szCs w:val="20"/>
                <w:color w:val="auto"/>
              </w:rPr>
            </w:pPr>
            <w:r>
              <w:rPr>
                <w:rFonts w:ascii="Times New Roman" w:cs="Times New Roman" w:eastAsia="Times New Roman" w:hAnsi="Times New Roman"/>
                <w:sz w:val="17"/>
                <w:szCs w:val="17"/>
                <w:color w:val="auto"/>
              </w:rPr>
              <w:t>Securities</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7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r>
      <w:tr>
        <w:trPr>
          <w:trHeight w:val="214"/>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40" w:type="dxa"/>
            <w:vAlign w:val="bottom"/>
            <w:tcBorders>
              <w:bottom w:val="single" w:sz="8" w:color="auto"/>
              <w:right w:val="single" w:sz="8" w:color="auto"/>
            </w:tcBorders>
            <w:gridSpan w:val="3"/>
          </w:tcPr>
          <w:p>
            <w:pPr>
              <w:jc w:val="center"/>
              <w:ind w:right="536"/>
              <w:spacing w:after="0"/>
              <w:rPr>
                <w:sz w:val="20"/>
                <w:szCs w:val="20"/>
                <w:color w:val="auto"/>
              </w:rPr>
            </w:pPr>
            <w:r>
              <w:rPr>
                <w:rFonts w:ascii="Times New Roman" w:cs="Times New Roman" w:eastAsia="Times New Roman" w:hAnsi="Times New Roman"/>
                <w:sz w:val="17"/>
                <w:szCs w:val="17"/>
                <w:color w:val="auto"/>
                <w:w w:val="97"/>
              </w:rPr>
              <w:t>Total Offering Amounts</w:t>
            </w:r>
          </w:p>
        </w:tc>
        <w:tc>
          <w:tcPr>
            <w:tcW w:w="7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$649,694,500.00</w:t>
            </w:r>
          </w:p>
        </w:tc>
        <w:tc>
          <w:tcPr>
            <w:tcW w:w="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$95,894.91</w:t>
            </w: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207"/>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40" w:type="dxa"/>
            <w:vAlign w:val="bottom"/>
            <w:tcBorders>
              <w:bottom w:val="single" w:sz="8" w:color="auto"/>
              <w:right w:val="single" w:sz="8" w:color="auto"/>
            </w:tcBorders>
            <w:gridSpan w:val="3"/>
          </w:tcPr>
          <w:p>
            <w:pPr>
              <w:jc w:val="center"/>
              <w:ind w:right="516"/>
              <w:spacing w:after="0"/>
              <w:rPr>
                <w:sz w:val="20"/>
                <w:szCs w:val="20"/>
                <w:color w:val="auto"/>
              </w:rPr>
            </w:pPr>
            <w:r>
              <w:rPr>
                <w:rFonts w:ascii="Times New Roman" w:cs="Times New Roman" w:eastAsia="Times New Roman" w:hAnsi="Times New Roman"/>
                <w:sz w:val="17"/>
                <w:szCs w:val="17"/>
                <w:color w:val="auto"/>
                <w:w w:val="98"/>
              </w:rPr>
              <w:t>Total Fees Previously Paid</w:t>
            </w:r>
          </w:p>
        </w:tc>
        <w:tc>
          <w:tcPr>
            <w:tcW w:w="7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207"/>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center"/>
              <w:ind w:left="516"/>
              <w:spacing w:after="0"/>
              <w:rPr>
                <w:sz w:val="20"/>
                <w:szCs w:val="20"/>
                <w:color w:val="auto"/>
              </w:rPr>
            </w:pPr>
            <w:r>
              <w:rPr>
                <w:rFonts w:ascii="Times New Roman" w:cs="Times New Roman" w:eastAsia="Times New Roman" w:hAnsi="Times New Roman"/>
                <w:sz w:val="17"/>
                <w:szCs w:val="17"/>
                <w:color w:val="auto"/>
                <w:w w:val="98"/>
              </w:rPr>
              <w:t>Total Fee Offsets</w:t>
            </w:r>
          </w:p>
        </w:tc>
        <w:tc>
          <w:tcPr>
            <w:tcW w:w="12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207"/>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center"/>
              <w:ind w:left="516"/>
              <w:spacing w:after="0"/>
              <w:rPr>
                <w:sz w:val="20"/>
                <w:szCs w:val="20"/>
                <w:color w:val="auto"/>
              </w:rPr>
            </w:pPr>
            <w:r>
              <w:rPr>
                <w:rFonts w:ascii="Times New Roman" w:cs="Times New Roman" w:eastAsia="Times New Roman" w:hAnsi="Times New Roman"/>
                <w:sz w:val="17"/>
                <w:szCs w:val="17"/>
                <w:color w:val="auto"/>
                <w:w w:val="97"/>
              </w:rPr>
              <w:t>Net Fee Due</w:t>
            </w:r>
          </w:p>
        </w:tc>
        <w:tc>
          <w:tcPr>
            <w:tcW w:w="12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$95,894.91</w:t>
            </w: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bl>
    <w:p>
      <w:pPr>
        <w:spacing w:after="0" w:line="211" w:lineRule="exact"/>
        <w:rPr>
          <w:sz w:val="20"/>
          <w:szCs w:val="20"/>
          <w:color w:val="auto"/>
        </w:rPr>
      </w:pPr>
    </w:p>
    <w:p>
      <w:pPr>
        <w:ind w:left="300" w:right="600" w:hanging="299"/>
        <w:spacing w:after="0" w:line="257" w:lineRule="auto"/>
        <w:tabs>
          <w:tab w:leader="none" w:pos="3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maximum aggregate offering price is being used to calculate the registration fee pursuant to Rule 457(o) under the Securities Act of 1933, as amended (the “Securities Act”).</w:t>
      </w:r>
    </w:p>
    <w:p>
      <w:pPr>
        <w:spacing w:after="0" w:line="1" w:lineRule="exact"/>
        <w:rPr>
          <w:rFonts w:ascii="Times New Roman" w:cs="Times New Roman" w:eastAsia="Times New Roman" w:hAnsi="Times New Roman"/>
          <w:sz w:val="17"/>
          <w:szCs w:val="17"/>
          <w:color w:val="auto"/>
        </w:rPr>
      </w:pPr>
    </w:p>
    <w:p>
      <w:pPr>
        <w:ind w:left="300" w:right="160" w:hanging="299"/>
        <w:spacing w:after="0" w:line="252" w:lineRule="auto"/>
        <w:tabs>
          <w:tab w:leader="none" w:pos="3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in accordance with Rule 457(r) of the Securities Act. This “Calculation of Filing Fee Tables” shall be deemed to update the “Calculation of Registration Fee” in the registrant’s registration statement on Form S-3ASR filed with the U.S. Securities and Exchange Commission on September 8, 2021 (File No. 333-259387).</w:t>
      </w:r>
    </w:p>
    <w:p>
      <w:pPr>
        <w:spacing w:after="0" w:line="17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7"/>
          <w:szCs w:val="17"/>
          <w:color w:val="auto"/>
        </w:rPr>
        <w:t>The prospectus supplement to which this exhibit is attached is a final prospectus supplement for the related offering. The maximum aggregate offering price of that offering is $649,694,500.00.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384175</wp:posOffset>
            </wp:positionV>
            <wp:extent cx="7141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340"/>
      </w:cols>
      <w:pgMar w:left="320" w:top="3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1)"/>
      <w:numFmt w:val="decimal"/>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1)"/>
      <w:numFmt w:val="lowerRoman"/>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12">
    <w:nsid w:val="2A487CB0"/>
    <w:multiLevelType w:val="hybridMultilevel"/>
    <w:lvl w:ilvl="0">
      <w:lvlJc w:val="left"/>
      <w:lvlText w:val="•"/>
      <w:numFmt w:val="bullet"/>
      <w:start w:val="1"/>
    </w:lvl>
    <w:lvl w:ilvl="1">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decimal"/>
      <w:start w:val="1"/>
    </w:lvl>
    <w:lvl w:ilvl="1">
      <w:lvlJc w:val="left"/>
      <w:lvlText w:val="(%2)"/>
      <w:numFmt w:val="lowerLetter"/>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8"/>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lowerLetter"/>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decimal"/>
      <w:start w:val="8"/>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upperLetter"/>
      <w:start w:val="11"/>
    </w:lvl>
    <w:lvl w:ilvl="1">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1)"/>
      <w:numFmt w:val="lowerLetter"/>
      <w:start w:val="1"/>
    </w:lvl>
    <w:lvl w:ilvl="1">
      <w:lvlJc w:val="left"/>
      <w:lvlText w:val="(%2)"/>
      <w:numFmt w:val="decimal"/>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1)"/>
      <w:numFmt w:val="lowerRoman"/>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lowerRoman"/>
      <w:start w:val="1"/>
    </w:lvl>
  </w:abstractNum>
  <w:abstractNum w:abstractNumId="61">
    <w:nsid w:val="1381823A"/>
    <w:multiLevelType w:val="hybridMultilevel"/>
    <w:lvl w:ilvl="0">
      <w:lvlJc w:val="left"/>
      <w:lvlText w:val="(%1)"/>
      <w:numFmt w:val="decimal"/>
      <w:start w:val="2"/>
    </w:lvl>
  </w:abstractNum>
  <w:abstractNum w:abstractNumId="62">
    <w:nsid w:val="5DB70AE5"/>
    <w:multiLevelType w:val="hybridMultilevel"/>
    <w:lvl w:ilvl="0">
      <w:lvlJc w:val="left"/>
      <w:lvlText w:val="(%1)"/>
      <w:numFmt w:val="decimal"/>
      <w:start w:val="3"/>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1)"/>
      <w:numFmt w:val="lowerRoman"/>
      <w:start w:val="1"/>
    </w:lvl>
  </w:abstractNum>
  <w:abstractNum w:abstractNumId="68">
    <w:nsid w:val="799D0247"/>
    <w:multiLevelType w:val="hybridMultilevel"/>
    <w:lvl w:ilvl="0">
      <w:lvlJc w:val="left"/>
      <w:lvlText w:val="•"/>
      <w:numFmt w:val="bullet"/>
      <w:start w:val="1"/>
    </w:lvl>
    <w:lvl w:ilvl="1">
      <w:lvlJc w:val="left"/>
      <w:lvlText w:val="•"/>
      <w:numFmt w:val="bullet"/>
      <w:start w:val="1"/>
    </w:lvl>
  </w:abstractNum>
  <w:abstractNum w:abstractNumId="69">
    <w:nsid w:val="6B94764"/>
    <w:multiLevelType w:val="hybridMultilevel"/>
    <w:lvl w:ilvl="0">
      <w:lvlJc w:val="left"/>
      <w:lvlText w:val="&amp;"/>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25" Type="http://schemas.openxmlformats.org/officeDocument/2006/relationships/hyperlink" Target="https://www.sec.gov/ix?doc=/Archives/edgar/data/1070423/000107042324000008/paa-20231231.htm" TargetMode="External"/><Relationship Id="rId28" Type="http://schemas.openxmlformats.org/officeDocument/2006/relationships/hyperlink" Target="https://www.sec.gov/ix?doc=/Archives/edgar/data/1070423/000107042324000014/paa-20240331.htm" TargetMode="External"/><Relationship Id="rId80" Type="http://schemas.openxmlformats.org/officeDocument/2006/relationships/hyperlink" Target="https://www.sec.gov/ix?doc=/Archives/edgar/data/1070423/000110465924046387/tm242707d2_def14a.htm" TargetMode="External"/><Relationship Id="rId81" Type="http://schemas.openxmlformats.org/officeDocument/2006/relationships/hyperlink" Target="https://www.sec.gov/ix?doc=/Archives/edgar/data/1070423/000110465924065666/tm2415729d1_8k.htm" TargetMode="External"/><Relationship Id="rId85" Type="http://schemas.openxmlformats.org/officeDocument/2006/relationships/hyperlink" Target="https://www.sec.gov/ix?doc=/Archives/edgar/data/1070423/000107042321000008/paa-20201231.htm" TargetMode="External"/><Relationship Id="rId86" Type="http://schemas.openxmlformats.org/officeDocument/2006/relationships/hyperlink" Target="https://www.sec.gov/ix?doc=/Archives/edgar/data/1070423/000107042321000014/paa-20210331.htm" TargetMode="External"/><Relationship Id="rId87" Type="http://schemas.openxmlformats.org/officeDocument/2006/relationships/hyperlink" Target="https://www.sec.gov/ix?doc=/Archives/edgar/data/1070423/000107042321000022/paa-20210630.htm" TargetMode="External"/><Relationship Id="rId88" Type="http://schemas.openxmlformats.org/officeDocument/2006/relationships/hyperlink" Target="https://www.sec.gov/ix?doc=/Archives/edgar/data/1070423/000110465921031455/tm218523d2_8k.htm" TargetMode="External"/><Relationship Id="rId89" Type="http://schemas.openxmlformats.org/officeDocument/2006/relationships/hyperlink" Target="https://www.sec.gov/ix?doc=/Archives/edgar/data/1070423/000110465921071844/tm2117447d1_8k.htm" TargetMode="External"/><Relationship Id="rId90" Type="http://schemas.openxmlformats.org/officeDocument/2006/relationships/hyperlink" Target="https://www.sec.gov/ix?doc=/Archives/edgar/data/1070423/000107042321000017/paa-20210702.htm" TargetMode="External"/><Relationship Id="rId91" Type="http://schemas.openxmlformats.org/officeDocument/2006/relationships/hyperlink" Target="https://www.sec.gov/ix?doc=/Archives/edgar/data/1070423/000110465921091443/tm2121935d1_8k.htm" TargetMode="External"/><Relationship Id="rId92" Type="http://schemas.openxmlformats.org/officeDocument/2006/relationships/hyperlink" Target="https://www.sec.gov/ix?doc=/Archives/edgar/data/1070423/000110465921108999/tm2125729d1_8k.htm" TargetMode="External"/><Relationship Id="rId93" Type="http://schemas.openxmlformats.org/officeDocument/2006/relationships/hyperlink" Target="https://www.sec.gov/ix?doc=/Archives/edgar/data/1070423/000110465921109375/tm2125729d2_8k.htm" TargetMode="External"/><Relationship Id="rId94" Type="http://schemas.openxmlformats.org/officeDocument/2006/relationships/hyperlink" Target="https://www.sec.gov/ix?doc=/Archives/edgar/data/1070423/000110465921109829/tm2125729d3_8k.htm" TargetMode="External"/><Relationship Id="rId95" Type="http://schemas.openxmlformats.org/officeDocument/2006/relationships/hyperlink" Target="https://www.sec.gov/Archives/edgar/data/1070423/000110465916157335/a16-21667_38a12ba.htm" TargetMode="External"/><Relationship Id="rId96" Type="http://schemas.openxmlformats.org/officeDocument/2006/relationships/hyperlink" Target="https://www.sec.gov/Archives/edgar/data/1070423/000110465920134597/tm2037363-3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2024-06-20T15:42:38Z</dcterms:created>
  <dcterms:modified xsi:type="dcterms:W3CDTF">2024-06-20T15:42:38Z</dcterms:modified>
</cp:coreProperties>
</file>