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February 9, 2024</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12"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February 9, 2024, the Registrant issued a press release reporting its fourth-quarter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6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February 9, 2024</w:t>
            </w:r>
          </w:p>
        </w:tc>
        <w:tc>
          <w:tcPr>
            <w:tcW w:w="4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32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764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06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9, 2024</w:t>
            </w: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430530</wp:posOffset>
            </wp:positionV>
            <wp:extent cx="1969135" cy="443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4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Fourth-Quarter and Full-Year 2023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Announces 2024 Guidance</w:t>
      </w:r>
    </w:p>
    <w:p>
      <w:pPr>
        <w:spacing w:after="0" w:line="21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Houston, TX – February 9, 2024 – Plains All American Pipeline, L.P. (Nasdaq: PAA) and Plains GP Holdings (Nasdaq: PAGP) today reported fourth-quarter and full-year 2023 results, announced 2024 guidance and provided the following highlights: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Highlights</w:t>
      </w:r>
    </w:p>
    <w:p>
      <w:pPr>
        <w:spacing w:after="0" w:line="248" w:lineRule="exact"/>
        <w:rPr>
          <w:sz w:val="20"/>
          <w:szCs w:val="20"/>
          <w:color w:val="auto"/>
        </w:rPr>
      </w:pPr>
    </w:p>
    <w:p>
      <w:pPr>
        <w:ind w:left="620" w:righ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Fourth-quarter and full-year 2023 Net income attributable to PAA of $312 million and $1.23 billion, respectively, and 2023 Net cash provided by operating activities of $1.01 billion and $2.73 billion, respectively</w:t>
      </w:r>
    </w:p>
    <w:p>
      <w:pPr>
        <w:spacing w:after="0" w:line="176"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strong fourth-quarter and full-year 2023 Adjusted EBITDA attributable to PAA above the top-end of guidance with $737 million and $2.71 billion, respectively</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full-year 2023 Adjusted Free Cash Flow (excluding changes in Assets &amp; Liabilities) of $1.60 billion and achieved year-end leverage of 3.1x</w:t>
      </w:r>
    </w:p>
    <w:p>
      <w:pPr>
        <w:spacing w:after="0" w:line="243"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on commitment to increase cash return to equity holders by increasing distributions $0.20 per unit annualized in February 2023, representing a 23% aggregate increase in the annualized distribution versus 2022 levels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graded the asset base through continued portfolio optimization including two asset sales and three bolt-on acquisitions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two credit rating agency upgrades demonstrating progress on deleveraging efforts and our target to achieve BBB credit ratings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Outlook</w:t>
      </w:r>
    </w:p>
    <w:p>
      <w:pPr>
        <w:spacing w:after="0" w:line="261"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7"/>
          <w:szCs w:val="17"/>
          <w:color w:val="auto"/>
        </w:rPr>
        <w:t>Expect full-year 2024 Adjusted EBITDA attributable to PAA of $2.625 - $2.725 billion</w:t>
      </w:r>
    </w:p>
    <w:p>
      <w:pPr>
        <w:spacing w:after="0" w:line="233" w:lineRule="exact"/>
        <w:rPr>
          <w:rFonts w:ascii="Arial" w:cs="Arial" w:eastAsia="Arial" w:hAnsi="Arial"/>
          <w:sz w:val="19"/>
          <w:szCs w:val="19"/>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Reaffirming leverage ratio target range of 3.25x - 3.75x reflecting commitment to balance sheet strength and flexibility</w:t>
      </w:r>
    </w:p>
    <w:p>
      <w:pPr>
        <w:spacing w:after="0" w:line="243"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approved increasing the annualized common distribution by $0.20 to $1.27 per unit commencing in February 2024, representing a 19% aggregate increase in the annualized distribution versus 2023 levels</w:t>
      </w:r>
    </w:p>
    <w:p>
      <w:pPr>
        <w:spacing w:after="0" w:line="176"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to generate approximately $1.65 billion of Adjusted Free Cash Flow (excluding changes in Assets &amp; Liabilities) and $500 million of Adjusted Free Cash Flow after Distributions (excluding changes in Assets &amp; Liabilities)</w:t>
      </w:r>
    </w:p>
    <w:p>
      <w:pPr>
        <w:spacing w:after="0" w:line="176" w:lineRule="exact"/>
        <w:rPr>
          <w:rFonts w:ascii="Times New Roman" w:cs="Times New Roman" w:eastAsia="Times New Roman" w:hAnsi="Times New Roman"/>
          <w:sz w:val="17"/>
          <w:szCs w:val="17"/>
          <w:color w:val="auto"/>
        </w:rPr>
      </w:pPr>
    </w:p>
    <w:p>
      <w:pPr>
        <w:ind w:left="620" w:right="3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focused on disciplined capital investments, anticipating full-year 2024 Investment and Maintenance Capital of +/- $375 million and +/- $230 million, net to PAA, respectively</w:t>
      </w:r>
    </w:p>
    <w:p>
      <w:pPr>
        <w:spacing w:after="0" w:line="17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“Strong execution in 2023 drove better-than-expected results and allowed us to accelerate progress on our long-term goals and objectives. This included lowering our leverage ratio target range, increasing capital returns to equity holders through increased distributions, and completing multiple win-win strategic transactions in both our Crude Oil and NGL segments,” said Willie Chiang, Chairman and CEO of Plains. “Looking forward to 2024, Plains remains well-positioned to deliver value to our unitholders through our continued focus on generating strong free cash flow, capital discipline, and increasing returns to unitholders all while maintaining our financial flexibility.”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9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5100" w:type="dxa"/>
            <w:vAlign w:val="bottom"/>
            <w:tcBorders>
              <w:top w:val="single" w:sz="8" w:color="auto"/>
            </w:tcBorders>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0"/>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320" w:right="3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results for the three and twelve months ended December 31, 2022 include a non-cash asset impairment of $330 million related to our California assets and a non-cash gain on investments in unconsolidated entities of approximately $370 million related to our purchase of an additional interest in the Cactus II pipeline.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9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9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8"/>
                <w:szCs w:val="8"/>
                <w:b w:val="1"/>
                <w:bCs w:val="1"/>
                <w:i w:val="1"/>
                <w:iCs w:val="1"/>
                <w:color w:val="auto"/>
              </w:rPr>
              <w:t>(1)</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Free Cash Flow (Excluding Changes in Assets &amp;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77"/>
        </w:trPr>
        <w:tc>
          <w:tcPr>
            <w:tcW w:w="5220" w:type="dxa"/>
            <w:vAlign w:val="bottom"/>
            <w:gridSpan w:val="3"/>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&amp; Liabilities)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7" w:lineRule="exact"/>
        <w:rPr>
          <w:rFonts w:ascii="Times New Roman" w:cs="Times New Roman" w:eastAsia="Times New Roman" w:hAnsi="Times New Roman"/>
          <w:sz w:val="22"/>
          <w:szCs w:val="22"/>
          <w:color w:val="auto"/>
          <w:vertAlign w:val="superscript"/>
        </w:rPr>
      </w:pPr>
    </w:p>
    <w:p>
      <w:pPr>
        <w:ind w:left="320" w:right="40" w:hanging="317"/>
        <w:spacing w:after="0" w:line="23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and Red River Pipeline LLC.</w:t>
      </w:r>
    </w:p>
    <w:p>
      <w:pPr>
        <w:spacing w:after="0" w:line="57"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Fourth-quarter 2022 Adjusted Free Cash Flow is impacted by a $230 million payment related to the settlement of a Line 901 class action lawsuit.</w:t>
      </w:r>
    </w:p>
    <w:p>
      <w:pPr>
        <w:spacing w:after="0" w:line="65"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December 31, 2023</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169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December 31, 2022</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151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2022 period</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12 %</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12 %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Twelve Months Ended December 31, 2023</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522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Twelve Months Ended December 31, 2022</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1,986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518</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2022 period</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1 %</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240" w:firstLine="620"/>
        <w:spacing w:after="0" w:line="270" w:lineRule="auto"/>
        <w:rPr>
          <w:sz w:val="20"/>
          <w:szCs w:val="20"/>
          <w:color w:val="auto"/>
        </w:rPr>
      </w:pPr>
      <w:r>
        <w:rPr>
          <w:rFonts w:ascii="Times New Roman" w:cs="Times New Roman" w:eastAsia="Times New Roman" w:hAnsi="Times New Roman"/>
          <w:sz w:val="17"/>
          <w:szCs w:val="17"/>
          <w:color w:val="auto"/>
        </w:rPr>
        <w:t>Fourth-quarter 2023 Crude Oil Segment Adjusted EBITDA increased 12% versus comparable 2022 results primarily due to higher volumes across our pipeline systems, contributions from acquisitions and the benefit of tariff escalation, partially offset by fewer market-based opportunities for our merchant activities.</w:t>
      </w:r>
    </w:p>
    <w:p>
      <w:pPr>
        <w:spacing w:after="0" w:line="193"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Fourth-quarter 2023 NGL Segment Adjusted EBITDA increased 12% versus comparable 2022 results primarily due to favorable NGL basis differentials and additional market-based opportunities partially offset by the divestiture of our interest in the KFS facility and increased field operating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February 9, 2024 to discuss fourth-quarter performance and related items.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https://edge.media-server.com/mmc/p/ukgq4wwt/.</w:t>
      </w:r>
    </w:p>
    <w:p>
      <w:pPr>
        <w:spacing w:after="0" w:line="244"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Alternatively, the webcast can be accessed on our website (www.plains.com) under Investor Relations (Navigate to: Investor Relations / either “PAA” or “PAGP” / News &amp; Events / Events &amp; Presentations). Following the live webcast, an audio replay will be available on our website and will be accessible for a period of 365 days. Slides will be posted prior to the call at the above referenced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248"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w:t>
      </w:r>
    </w:p>
    <w:p>
      <w:pPr>
        <w:spacing w:after="0" w:line="19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248" w:lineRule="exact"/>
        <w:rPr>
          <w:sz w:val="20"/>
          <w:szCs w:val="20"/>
          <w:color w:val="auto"/>
        </w:rPr>
      </w:pPr>
    </w:p>
    <w:p>
      <w:pPr>
        <w:ind w:right="100" w:firstLine="620"/>
        <w:spacing w:after="0" w:line="260"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w:t>
      </w:r>
    </w:p>
    <w:p>
      <w:pPr>
        <w:spacing w:after="0" w:line="202"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57,342</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53,176</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2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56,050</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Gains/(losses) on investments in unconsolidated entities, net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187"/>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187"/>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r>
      <w:tr>
        <w:trPr>
          <w:trHeight w:val="220"/>
        </w:trPr>
        <w:tc>
          <w:tcPr>
            <w:tcW w:w="6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w:t>
            </w:r>
          </w:p>
        </w:tc>
      </w:tr>
      <w:tr>
        <w:trPr>
          <w:trHeight w:val="22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0"/>
        </w:trPr>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 (including Cash and cash equivalents of $450 and $401, respectively)</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4,913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15,782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27,355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10,422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3,310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13,732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27,355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5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1,159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7,305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7,287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7,751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7,305</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7,287</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10,057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17,727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17,344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rPr>
              <w:t>18,173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rPr>
              <w:t>18,503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126" w:lineRule="exact"/>
        <w:rPr>
          <w:sz w:val="20"/>
          <w:szCs w:val="20"/>
          <w:color w:val="auto"/>
        </w:rPr>
      </w:pPr>
    </w:p>
    <w:p>
      <w:pPr>
        <w:ind w:left="320" w:right="10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30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the three and twelve months ended December 31, 2023 and 2022 as the effect was either antidilutive or did not change net income per common unit.</w:t>
      </w:r>
    </w:p>
    <w:p>
      <w:pPr>
        <w:spacing w:after="0" w:line="35" w:lineRule="exact"/>
        <w:rPr>
          <w:rFonts w:ascii="Times New Roman" w:cs="Times New Roman" w:eastAsia="Times New Roman" w:hAnsi="Times New Roman"/>
          <w:sz w:val="22"/>
          <w:szCs w:val="22"/>
          <w:color w:val="auto"/>
          <w:vertAlign w:val="superscript"/>
        </w:rPr>
      </w:pPr>
    </w:p>
    <w:p>
      <w:pPr>
        <w:ind w:left="320" w:right="2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77"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20" w:type="dxa"/>
            <w:vAlign w:val="bottom"/>
          </w:tcPr>
          <w:p>
            <w:pPr>
              <w:spacing w:after="0"/>
              <w:rPr>
                <w:sz w:val="15"/>
                <w:szCs w:val="15"/>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Twelve Months Ended December 31, 2023</w:t>
            </w:r>
          </w:p>
        </w:tc>
      </w:tr>
      <w:tr>
        <w:trPr>
          <w:trHeight w:val="23"/>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(Gains)/losses on investments in unconsolidated entities,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2,408</w:t>
            </w:r>
          </w:p>
        </w:tc>
      </w:tr>
      <w:tr>
        <w:trPr>
          <w:trHeight w:val="155"/>
        </w:trPr>
        <w:tc>
          <w:tcPr>
            <w:tcW w:w="8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155"/>
        </w:trPr>
        <w:tc>
          <w:tcPr>
            <w:tcW w:w="8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20"/>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155"/>
        </w:trPr>
        <w:tc>
          <w:tcPr>
            <w:tcW w:w="8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55"/>
        </w:trPr>
        <w:tc>
          <w:tcPr>
            <w:tcW w:w="8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155"/>
        </w:trPr>
        <w:tc>
          <w:tcPr>
            <w:tcW w:w="8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124"/>
        </w:trPr>
        <w:tc>
          <w:tcPr>
            <w:tcW w:w="3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6"/>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right"/>
              <w:ind w:right="157"/>
              <w:spacing w:after="0" w:line="124"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64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35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2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2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59"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 millions, except per unit and ratio data)</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ADJUSTED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45"/>
        </w:trPr>
        <w:tc>
          <w:tcPr>
            <w:tcW w:w="3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126" w:lineRule="exact"/>
        <w:rPr>
          <w:sz w:val="20"/>
          <w:szCs w:val="20"/>
          <w:color w:val="auto"/>
        </w:rPr>
      </w:pPr>
    </w:p>
    <w:p>
      <w:pPr>
        <w:ind w:left="320" w:right="40" w:hanging="317"/>
        <w:spacing w:after="0" w:line="241"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320" w:right="200" w:hanging="317"/>
        <w:spacing w:after="0" w:line="220"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adjusted net income per common unit for the three and twelve months ended December 31, 2023 and 2022 as the effect was antidilutive.</w:t>
      </w:r>
    </w:p>
    <w:p>
      <w:pPr>
        <w:spacing w:after="0" w:line="36" w:lineRule="exact"/>
        <w:rPr>
          <w:rFonts w:ascii="Times New Roman" w:cs="Times New Roman" w:eastAsia="Times New Roman" w:hAnsi="Times New Roman"/>
          <w:sz w:val="22"/>
          <w:szCs w:val="22"/>
          <w:color w:val="auto"/>
          <w:vertAlign w:val="superscript"/>
        </w:rPr>
      </w:pPr>
    </w:p>
    <w:p>
      <w:pPr>
        <w:ind w:left="320" w:right="20" w:hanging="317"/>
        <w:spacing w:after="0" w:line="241"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Per Common Unit to Adjusted Net Income Per Common Unit Reconciliation: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13" w:lineRule="exact"/>
        <w:rPr>
          <w:sz w:val="20"/>
          <w:szCs w:val="20"/>
          <w:color w:val="auto"/>
        </w:rPr>
      </w:pPr>
    </w:p>
    <w:p>
      <w:pPr>
        <w:ind w:left="320" w:right="100" w:hanging="317"/>
        <w:spacing w:after="0" w:line="230" w:lineRule="auto"/>
        <w:tabs>
          <w:tab w:leader="none" w:pos="308"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and the “Computation of Basic and Diluted Adjusted Net Income Per Common Unit” tables for additional information.</w:t>
      </w:r>
    </w:p>
    <w:p>
      <w:pPr>
        <w:spacing w:after="0" w:line="24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r>
      <w:tr>
        <w:trPr>
          <w:trHeight w:val="22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r>
      <w:tr>
        <w:trPr>
          <w:trHeight w:val="22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2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(Gains)/losses on investments in unconsolidated entities, net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6280" w:type="dxa"/>
            <w:vAlign w:val="bottom"/>
            <w:tcBorders>
              <w:bottom w:val="single" w:sz="8" w:color="CCEEFF"/>
            </w:tcBorders>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22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8"/>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220"/>
        </w:trPr>
        <w:tc>
          <w:tcPr>
            <w:tcW w:w="6280" w:type="dxa"/>
            <w:vAlign w:val="bottom"/>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items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0"/>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Maintenance 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0"/>
        </w:trPr>
        <w:tc>
          <w:tcPr>
            <w:tcW w:w="6280" w:type="dxa"/>
            <w:vAlign w:val="bottom"/>
          </w:tcPr>
          <w:p>
            <w:pPr>
              <w:ind w:left="16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0"/>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6280" w:type="dxa"/>
            <w:vAlign w:val="bottom"/>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cash distributions </w:t>
            </w:r>
            <w:r>
              <w:rPr>
                <w:rFonts w:ascii="Times New Roman" w:cs="Times New Roman" w:eastAsia="Times New Roman" w:hAnsi="Times New Roman"/>
                <w:sz w:val="21"/>
                <w:szCs w:val="21"/>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6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r>
      <w:tr>
        <w:trPr>
          <w:trHeight w:val="155"/>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(7)</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20"/>
        </w:trPr>
        <w:tc>
          <w:tcPr>
            <w:tcW w:w="628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(8)</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155"/>
        </w:trPr>
        <w:tc>
          <w:tcPr>
            <w:tcW w:w="6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0.2175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0.8325</w:t>
            </w: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(6)</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8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2.55x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2.70x</w:t>
            </w:r>
          </w:p>
        </w:tc>
        <w:tc>
          <w:tcPr>
            <w:tcW w:w="260" w:type="dxa"/>
            <w:vAlign w:val="bottom"/>
          </w:tcPr>
          <w:p>
            <w:pPr>
              <w:spacing w:after="0"/>
              <w:rPr>
                <w:sz w:val="19"/>
                <w:szCs w:val="19"/>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2.31x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2.73x</w:t>
            </w:r>
          </w:p>
        </w:tc>
      </w:tr>
      <w:tr>
        <w:trPr>
          <w:trHeight w:val="155"/>
        </w:trPr>
        <w:tc>
          <w:tcPr>
            <w:tcW w:w="6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24612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38"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Adjustment to exclude our proportionate share of depreciation and amortization expense (including write-downs related to cancelled projects and impairments) of unconsolidated entities.</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2"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certain non-cash items impacting interest expense such as amortization of debt issuance costs and terminated interest rate swaps.</w:t>
      </w:r>
    </w:p>
    <w:p>
      <w:pPr>
        <w:spacing w:after="0" w:line="42"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capital expenditures attributable to noncontrolling interests that reduce Implied DCF available to PAA common unitholders.</w:t>
      </w:r>
    </w:p>
    <w:p>
      <w:pPr>
        <w:spacing w:after="0" w:line="44" w:lineRule="exact"/>
        <w:rPr>
          <w:rFonts w:ascii="Times New Roman" w:cs="Times New Roman" w:eastAsia="Times New Roman" w:hAnsi="Times New Roman"/>
          <w:sz w:val="9"/>
          <w:szCs w:val="9"/>
          <w:color w:val="auto"/>
        </w:rPr>
      </w:pPr>
    </w:p>
    <w:p>
      <w:pPr>
        <w:ind w:left="320" w:right="40" w:hanging="317"/>
        <w:spacing w:after="0" w:line="226" w:lineRule="auto"/>
        <w:tabs>
          <w:tab w:leader="none" w:pos="30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2"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distributions paid during the period presented.</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Implied DCF Available to Common Unitholders for the period divided by the weighted average common units outstanding for the period.</w:t>
      </w:r>
    </w:p>
    <w:p>
      <w:pPr>
        <w:spacing w:after="0" w:line="42" w:lineRule="exact"/>
        <w:rPr>
          <w:rFonts w:ascii="Times New Roman" w:cs="Times New Roman" w:eastAsia="Times New Roman" w:hAnsi="Times New Roman"/>
          <w:sz w:val="18"/>
          <w:szCs w:val="18"/>
          <w:color w:val="auto"/>
          <w:vertAlign w:val="superscript"/>
        </w:rPr>
      </w:pPr>
    </w:p>
    <w:p>
      <w:pPr>
        <w:ind w:left="320" w:right="80" w:hanging="317"/>
        <w:spacing w:after="0" w:line="235" w:lineRule="auto"/>
        <w:tabs>
          <w:tab w:leader="none" w:pos="308"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0.33</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13" w:lineRule="exact"/>
        <w:rPr>
          <w:sz w:val="20"/>
          <w:szCs w:val="20"/>
          <w:color w:val="auto"/>
        </w:rPr>
      </w:pPr>
    </w:p>
    <w:p>
      <w:pPr>
        <w:ind w:left="320" w:hanging="317"/>
        <w:spacing w:after="0" w:line="23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701 million, 698 million, 699 million and 701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2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spacing w:after="0" w:line="24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cash provided by operating activities to free cash flow:</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gridSpan w:val="2"/>
            <w:shd w:val="clear" w:color="auto" w:fill="CCEEFF"/>
          </w:tcPr>
          <w:p>
            <w:pPr>
              <w:ind w:left="120"/>
              <w:spacing w:after="0" w:line="21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(5)</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8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(989)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(782)</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24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220" w:hanging="317"/>
        <w:spacing w:after="0" w:line="219"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Statements of Cash Flows”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22"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80" w:type="dxa"/>
            <w:vAlign w:val="bottom"/>
            <w:gridSpan w:val="4"/>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2"/>
        </w:trPr>
        <w:tc>
          <w:tcPr>
            <w:tcW w:w="664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0"/>
                <w:szCs w:val="20"/>
                <w:b w:val="1"/>
                <w:bCs w:val="1"/>
                <w:color w:val="auto"/>
                <w:vertAlign w:val="superscript"/>
              </w:rPr>
              <w:t>(1)</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0"/>
                <w:szCs w:val="20"/>
                <w:color w:val="auto"/>
                <w:vertAlign w:val="superscript"/>
              </w:rPr>
              <w:t>(2)</w:t>
            </w:r>
          </w:p>
        </w:tc>
        <w:tc>
          <w:tcPr>
            <w:tcW w:w="700" w:type="dxa"/>
            <w:vAlign w:val="bottom"/>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70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0"/>
                <w:szCs w:val="20"/>
                <w:color w:val="auto"/>
                <w:vertAlign w:val="superscript"/>
              </w:rPr>
              <w:t>(3)</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0"/>
                <w:szCs w:val="20"/>
                <w:color w:val="auto"/>
                <w:vertAlign w:val="superscript"/>
              </w:rPr>
              <w:t>(4)</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0"/>
                <w:szCs w:val="20"/>
                <w:color w:val="auto"/>
                <w:vertAlign w:val="superscript"/>
              </w:rPr>
              <w:t>(5)</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0"/>
                <w:szCs w:val="20"/>
                <w:color w:val="auto"/>
                <w:vertAlign w:val="superscript"/>
              </w:rPr>
              <w:t>(6)</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0"/>
                <w:szCs w:val="20"/>
                <w:color w:val="auto"/>
                <w:vertAlign w:val="superscript"/>
              </w:rPr>
              <w:t>(7)</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0"/>
                <w:szCs w:val="20"/>
                <w:color w:val="auto"/>
                <w:vertAlign w:val="superscript"/>
              </w:rPr>
              <w:t>(8)</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66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activities</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Gains/(losses) on investments in unconsolidated entities, net</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and asset impairments, net</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(315)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7"/>
        </w:trPr>
        <w:tc>
          <w:tcPr>
            <w:tcW w:w="6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126" w:lineRule="exact"/>
        <w:rPr>
          <w:sz w:val="20"/>
          <w:szCs w:val="20"/>
          <w:color w:val="auto"/>
        </w:rPr>
      </w:pPr>
    </w:p>
    <w:p>
      <w:pPr>
        <w:ind w:left="320" w:right="220" w:hanging="317"/>
        <w:spacing w:after="0" w:line="227" w:lineRule="auto"/>
        <w:tabs>
          <w:tab w:leader="none" w:pos="316"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35" w:lineRule="exact"/>
        <w:rPr>
          <w:rFonts w:ascii="Times New Roman" w:cs="Times New Roman" w:eastAsia="Times New Roman" w:hAnsi="Times New Roman"/>
          <w:sz w:val="17"/>
          <w:szCs w:val="17"/>
          <w:color w:val="auto"/>
          <w:vertAlign w:val="superscript"/>
        </w:rPr>
      </w:pPr>
    </w:p>
    <w:p>
      <w:pPr>
        <w:ind w:left="320" w:right="60" w:hanging="317"/>
        <w:spacing w:after="0" w:line="249" w:lineRule="auto"/>
        <w:tabs>
          <w:tab w:leader="none" w:pos="31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29" w:lineRule="exact"/>
        <w:rPr>
          <w:rFonts w:ascii="Times New Roman" w:cs="Times New Roman" w:eastAsia="Times New Roman" w:hAnsi="Times New Roman"/>
          <w:sz w:val="17"/>
          <w:szCs w:val="17"/>
          <w:color w:val="auto"/>
          <w:vertAlign w:val="superscript"/>
        </w:rPr>
      </w:pPr>
    </w:p>
    <w:p>
      <w:pPr>
        <w:ind w:left="320" w:right="20" w:hanging="317"/>
        <w:spacing w:after="0" w:line="243" w:lineRule="auto"/>
        <w:tabs>
          <w:tab w:leader="none" w:pos="31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5" w:lineRule="exact"/>
        <w:rPr>
          <w:rFonts w:ascii="Times New Roman" w:cs="Times New Roman" w:eastAsia="Times New Roman" w:hAnsi="Times New Roman"/>
          <w:sz w:val="17"/>
          <w:szCs w:val="17"/>
          <w:color w:val="auto"/>
          <w:vertAlign w:val="superscript"/>
        </w:rPr>
      </w:pPr>
    </w:p>
    <w:p>
      <w:pPr>
        <w:ind w:left="320" w:right="80" w:hanging="317"/>
        <w:spacing w:after="0" w:line="249" w:lineRule="auto"/>
        <w:tabs>
          <w:tab w:leader="none" w:pos="31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9" w:lineRule="exact"/>
        <w:rPr>
          <w:rFonts w:ascii="Times New Roman" w:cs="Times New Roman" w:eastAsia="Times New Roman" w:hAnsi="Times New Roman"/>
          <w:sz w:val="17"/>
          <w:szCs w:val="17"/>
          <w:color w:val="auto"/>
          <w:vertAlign w:val="superscript"/>
        </w:rPr>
      </w:pPr>
    </w:p>
    <w:p>
      <w:pPr>
        <w:jc w:val="both"/>
        <w:ind w:left="320" w:right="380" w:hanging="317"/>
        <w:spacing w:after="0" w:line="243" w:lineRule="auto"/>
        <w:tabs>
          <w:tab w:leader="none" w:pos="31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2" w:lineRule="exact"/>
        <w:rPr>
          <w:rFonts w:ascii="Times New Roman" w:cs="Times New Roman" w:eastAsia="Times New Roman" w:hAnsi="Times New Roman"/>
          <w:sz w:val="17"/>
          <w:szCs w:val="17"/>
          <w:color w:val="auto"/>
          <w:vertAlign w:val="superscript"/>
        </w:rPr>
      </w:pPr>
    </w:p>
    <w:p>
      <w:pPr>
        <w:ind w:left="320" w:right="60" w:hanging="317"/>
        <w:spacing w:after="0"/>
        <w:tabs>
          <w:tab w:leader="none" w:pos="317"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1" w:lineRule="exact"/>
        <w:rPr>
          <w:rFonts w:ascii="Times New Roman" w:cs="Times New Roman" w:eastAsia="Times New Roman" w:hAnsi="Times New Roman"/>
          <w:sz w:val="17"/>
          <w:szCs w:val="17"/>
          <w:color w:val="auto"/>
          <w:vertAlign w:val="superscript"/>
        </w:rPr>
      </w:pPr>
    </w:p>
    <w:p>
      <w:pPr>
        <w:ind w:left="320" w:hanging="317"/>
        <w:spacing w:after="0"/>
        <w:tabs>
          <w:tab w:leader="none" w:pos="32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net of amounts we believe are probable of recovery from insurance.</w:t>
      </w:r>
    </w:p>
    <w:p>
      <w:pPr>
        <w:spacing w:after="0" w:line="61" w:lineRule="exact"/>
        <w:rPr>
          <w:rFonts w:ascii="Times New Roman" w:cs="Times New Roman" w:eastAsia="Times New Roman" w:hAnsi="Times New Roman"/>
          <w:sz w:val="17"/>
          <w:szCs w:val="17"/>
          <w:color w:val="auto"/>
          <w:vertAlign w:val="superscript"/>
        </w:rPr>
      </w:pPr>
    </w:p>
    <w:p>
      <w:pPr>
        <w:ind w:left="320" w:hanging="317"/>
        <w:spacing w:after="0" w:line="192" w:lineRule="auto"/>
        <w:tabs>
          <w:tab w:leader="none" w:pos="320" w:val="left"/>
        </w:tabs>
        <w:numPr>
          <w:ilvl w:val="0"/>
          <w:numId w:val="1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expenses associated with the Rattler Permian Transaction.</w:t>
      </w: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80" w:type="dxa"/>
            <w:vAlign w:val="bottom"/>
          </w:tcPr>
          <w:p>
            <w:pPr>
              <w:spacing w:after="0"/>
              <w:rPr>
                <w:sz w:val="16"/>
                <w:szCs w:val="16"/>
                <w:color w:val="auto"/>
              </w:rPr>
            </w:pPr>
          </w:p>
        </w:tc>
        <w:tc>
          <w:tcPr>
            <w:tcW w:w="22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NGL</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(beginning November 2022) and Red River Pipeline LLC.</w:t>
      </w:r>
    </w:p>
    <w:p>
      <w:pPr>
        <w:spacing w:after="0" w:line="22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180" w:type="dxa"/>
            <w:vAlign w:val="bottom"/>
          </w:tcPr>
          <w:p>
            <w:pPr>
              <w:spacing w:after="0"/>
              <w:rPr>
                <w:sz w:val="13"/>
                <w:szCs w:val="13"/>
                <w:color w:val="auto"/>
              </w:rPr>
            </w:pPr>
          </w:p>
        </w:tc>
        <w:tc>
          <w:tcPr>
            <w:tcW w:w="22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80" w:type="dxa"/>
            <w:vAlign w:val="bottom"/>
          </w:tcPr>
          <w:p>
            <w:pPr>
              <w:spacing w:after="0"/>
              <w:rPr>
                <w:sz w:val="16"/>
                <w:szCs w:val="16"/>
                <w:color w:val="auto"/>
              </w:rPr>
            </w:pPr>
          </w:p>
        </w:tc>
        <w:tc>
          <w:tcPr>
            <w:tcW w:w="22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(beginning November 2022) and Red River Pipeline LLC.</w:t>
      </w:r>
    </w:p>
    <w:p>
      <w:pPr>
        <w:spacing w:after="0" w:line="22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(by region)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20"/>
        </w:trPr>
        <w:tc>
          <w:tcPr>
            <w:tcW w:w="62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0"/>
        </w:trPr>
        <w:tc>
          <w:tcPr>
            <w:tcW w:w="6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13"/>
        </w:trPr>
        <w:tc>
          <w:tcPr>
            <w:tcW w:w="62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(1) (2)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b w:val="1"/>
                <w:bCs w:val="1"/>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0"/>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NGL pipeline tariff</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Average monthly capacity in millions of barrels calculated as total volumes for the period divided by the number of months in the period.</w:t>
      </w: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Adjusted EBITDA attributable to PAA Reconciliation: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r>
      <w:tr>
        <w:trPr>
          <w:trHeight w:val="22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income/(expense), net </w:t>
            </w:r>
            <w:r>
              <w:rPr>
                <w:rFonts w:ascii="Times New Roman" w:cs="Times New Roman" w:eastAsia="Times New Roman" w:hAnsi="Times New Roman"/>
                <w:sz w:val="22"/>
                <w:szCs w:val="22"/>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618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2,711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2,510</w:t>
            </w: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13" w:lineRule="exact"/>
        <w:rPr>
          <w:sz w:val="20"/>
          <w:szCs w:val="20"/>
          <w:color w:val="auto"/>
        </w:rPr>
      </w:pPr>
    </w:p>
    <w:p>
      <w:pPr>
        <w:jc w:val="both"/>
        <w:ind w:left="320" w:right="300" w:hanging="317"/>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income/(expense), net” as reported on our Condensed Consolidated Statements of Operations, excluding other income/(expense),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80"/>
          </w:cols>
          <w:pgMar w:left="320" w:top="356"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r>
      <w:tr>
        <w:trPr>
          <w:trHeight w:val="142"/>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168"/>
        </w:trPr>
        <w:tc>
          <w:tcPr>
            <w:tcW w:w="33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68"/>
        </w:trPr>
        <w:tc>
          <w:tcPr>
            <w:tcW w:w="33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investments in unconsolidated</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entities, net</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0"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48,712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57,342</w:t>
            </w:r>
          </w:p>
        </w:tc>
      </w:tr>
      <w:tr>
        <w:trPr>
          <w:trHeight w:val="142"/>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53,176</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168"/>
        </w:trPr>
        <w:tc>
          <w:tcPr>
            <w:tcW w:w="33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asset sales and asset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impairments, net</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47,202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56,058</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168"/>
        </w:trPr>
        <w:tc>
          <w:tcPr>
            <w:tcW w:w="33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investments in unconsolidated</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entities,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0"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15,253</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14,569</w:t>
            </w: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13,114</w:t>
            </w:r>
          </w:p>
        </w:tc>
      </w:tr>
      <w:tr>
        <w:trPr>
          <w:trHeight w:val="21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14,638</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7"/>
        </w:trPr>
        <w:tc>
          <w:tcPr>
            <w:tcW w:w="5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58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84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0"/>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5"/>
        </w:trPr>
        <w:tc>
          <w:tcPr>
            <w:tcW w:w="5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5"/>
        </w:trPr>
        <w:tc>
          <w:tcPr>
            <w:tcW w:w="5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84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200" w:hanging="307"/>
        <w:spacing w:after="0" w:line="265" w:lineRule="auto"/>
        <w:tabs>
          <w:tab w:leader="none" w:pos="616"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Times New Roman" w:cs="Times New Roman" w:eastAsia="Times New Roman" w:hAnsi="Times New Roman"/>
          <w:sz w:val="17"/>
          <w:szCs w:val="17"/>
          <w:i w:val="1"/>
          <w:iCs w:val="1"/>
          <w:color w:val="auto"/>
        </w:rPr>
      </w:pPr>
    </w:p>
    <w:p>
      <w:pPr>
        <w:ind w:left="620" w:right="20" w:hanging="307"/>
        <w:spacing w:after="0" w:line="26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 crude oil prices (whether due to global public health events, such as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0"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01"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0"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01"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w:t>
      </w:r>
    </w:p>
    <w:p>
      <w:pPr>
        <w:spacing w:after="0" w:line="62" w:lineRule="exact"/>
        <w:rPr>
          <w:rFonts w:ascii="Times New Roman" w:cs="Times New Roman" w:eastAsia="Times New Roman" w:hAnsi="Times New Roman"/>
          <w:sz w:val="17"/>
          <w:szCs w:val="17"/>
          <w:color w:val="auto"/>
        </w:rPr>
      </w:pPr>
    </w:p>
    <w:p>
      <w:pPr>
        <w:ind w:left="5440" w:hanging="93"/>
        <w:spacing w:after="0"/>
        <w:tabs>
          <w:tab w:leader="none" w:pos="54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5" w:lineRule="exact"/>
        <w:rPr>
          <w:sz w:val="20"/>
          <w:szCs w:val="20"/>
          <w:color w:val="auto"/>
        </w:rPr>
      </w:pPr>
    </w:p>
    <w:p>
      <w:pPr>
        <w:ind w:left="620" w:hanging="307"/>
        <w:spacing w:after="0" w:line="26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5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88"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 and ability to receive open credit from our suppliers and trade counterparties;</w:t>
      </w:r>
    </w:p>
    <w:p>
      <w:pPr>
        <w:spacing w:after="0" w:line="101"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w:t>
      </w:r>
    </w:p>
    <w:p>
      <w:pPr>
        <w:spacing w:after="0" w:line="88" w:lineRule="exact"/>
        <w:rPr>
          <w:rFonts w:ascii="Times New Roman" w:cs="Times New Roman" w:eastAsia="Times New Roman" w:hAnsi="Times New Roman"/>
          <w:sz w:val="17"/>
          <w:szCs w:val="17"/>
          <w:color w:val="auto"/>
        </w:rPr>
      </w:pPr>
    </w:p>
    <w:p>
      <w:pPr>
        <w:ind w:left="620" w:right="20" w:hanging="307"/>
        <w:spacing w:after="0" w:line="26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4" w:lineRule="exact"/>
        <w:rPr>
          <w:rFonts w:ascii="Times New Roman" w:cs="Times New Roman" w:eastAsia="Times New Roman" w:hAnsi="Times New Roman"/>
          <w:sz w:val="17"/>
          <w:szCs w:val="17"/>
          <w:color w:val="auto"/>
        </w:rPr>
      </w:pPr>
    </w:p>
    <w:p>
      <w:pPr>
        <w:jc w:val="both"/>
        <w:ind w:left="620" w:right="1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expenditures, third-party claims or other factors;</w:t>
      </w:r>
    </w:p>
    <w:p>
      <w:pPr>
        <w:spacing w:after="0" w:line="88"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34"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financial markets, capital constraints, liquidity concerns and inflation;</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01" w:lineRule="exact"/>
        <w:rPr>
          <w:rFonts w:ascii="Times New Roman" w:cs="Times New Roman" w:eastAsia="Times New Roman" w:hAnsi="Times New Roman"/>
          <w:sz w:val="17"/>
          <w:szCs w:val="17"/>
          <w:color w:val="auto"/>
        </w:rPr>
      </w:pPr>
    </w:p>
    <w:p>
      <w:pPr>
        <w:ind w:left="620" w:right="64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infrastructure and its impact on expected crude oil production growth; and</w:t>
      </w:r>
    </w:p>
    <w:p>
      <w:pPr>
        <w:spacing w:after="0" w:line="88"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lvl w:ilvl="1">
      <w:lvlJc w:val="left"/>
      <w:lvlText w:val="-"/>
      <w:numFmt w:val="bullet"/>
      <w:start w:val="1"/>
    </w:lvl>
  </w:abstractNum>
  <w:abstractNum w:abstractNumId="6">
    <w:nsid w:val="1BEFD79F"/>
    <w:multiLevelType w:val="hybridMultilevel"/>
    <w:lvl w:ilvl="0">
      <w:lvlJc w:val="left"/>
      <w:lvlText w:val="(%1)"/>
      <w:numFmt w:val="decimal"/>
      <w:start w:val="1"/>
    </w:lvl>
    <w:lvl w:ilvl="1">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lvl w:ilvl="1">
      <w:lvlJc w:val="left"/>
      <w:lvlText w:val="-"/>
      <w:numFmt w:val="bullet"/>
      <w:start w:val="1"/>
    </w:lvl>
  </w:abstractNum>
  <w:abstractNum w:abstractNumId="10">
    <w:nsid w:val="25E45D32"/>
    <w:multiLevelType w:val="hybridMultilevel"/>
    <w:lvl w:ilvl="0">
      <w:lvlJc w:val="left"/>
      <w:lvlText w:val="(%1)"/>
      <w:numFmt w:val="decimal"/>
      <w:start w:val="1"/>
    </w:lvl>
    <w:lvl w:ilvl="1">
      <w:lvlJc w:val="left"/>
      <w:lvlText w:val="-"/>
      <w:numFmt w:val="bullet"/>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lvl w:ilvl="1">
      <w:lvlJc w:val="left"/>
      <w:lvlText w:val="-"/>
      <w:numFmt w:val="bullet"/>
      <w:start w:val="1"/>
    </w:lvl>
  </w:abstractNum>
  <w:abstractNum w:abstractNumId="13">
    <w:nsid w:val="3F2DBA31"/>
    <w:multiLevelType w:val="hybridMultilevel"/>
    <w:lvl w:ilvl="0">
      <w:lvlJc w:val="left"/>
      <w:lvlText w:val="(%1)"/>
      <w:numFmt w:val="decimal"/>
      <w:start w:val="1"/>
    </w:lvl>
    <w:lvl w:ilvl="1">
      <w:lvlJc w:val="left"/>
      <w:lvlText w:val="-"/>
      <w:numFmt w:val="bullet"/>
      <w:start w:val="1"/>
    </w:lvl>
  </w:abstractNum>
  <w:abstractNum w:abstractNumId="14">
    <w:nsid w:val="7C83E458"/>
    <w:multiLevelType w:val="hybridMultilevel"/>
    <w:lvl w:ilvl="0">
      <w:lvlJc w:val="left"/>
      <w:lvlText w:val="(%1)"/>
      <w:numFmt w:val="decimal"/>
      <w:start w:val="3"/>
    </w:lvl>
    <w:lvl w:ilvl="1">
      <w:lvlJc w:val="left"/>
      <w:lvlText w:val="-"/>
      <w:numFmt w:val="bullet"/>
      <w:start w:val="1"/>
    </w:lvl>
  </w:abstractNum>
  <w:abstractNum w:abstractNumId="15">
    <w:nsid w:val="257130A3"/>
    <w:multiLevelType w:val="hybridMultilevel"/>
    <w:lvl w:ilvl="0">
      <w:lvlJc w:val="left"/>
      <w:lvlText w:val="(%1)"/>
      <w:numFmt w:val="decimal"/>
      <w:start w:val="3"/>
    </w:lvl>
    <w:lvl w:ilvl="1">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
      <w:numFmt w:val="bullet"/>
      <w:start w:val="1"/>
    </w:lvl>
  </w:abstractNum>
  <w:abstractNum w:abstractNumId="18">
    <w:nsid w:val="628C895D"/>
    <w:multiLevelType w:val="hybridMultilevel"/>
    <w:lvl w:ilvl="0">
      <w:lvlJc w:val="left"/>
      <w:lvlText w:val="(%1)"/>
      <w:numFmt w:val="decimal"/>
      <w:start w:val="1"/>
    </w:lvl>
    <w:lvl w:ilvl="1">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lvl w:ilvl="1">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2024-02-09T07:16:53Z</dcterms:created>
  <dcterms:modified xsi:type="dcterms:W3CDTF">2024-02-09T07:16:53Z</dcterms:modified>
</cp:coreProperties>
</file>