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a2222354zs-3.htm"/>
      <w:bookmarkStart w:id="1" w:name="ksa2222354zs3"/>
      <w:bookmarkStart w:id="2" w:name="a2222354zs-3.htm"/>
      <w:bookmarkStart w:id="3" w:name="ksa2222354zs3"/>
      <w:bookmarkEnd w:id="2"/>
      <w:bookmarkEnd w:id="3"/>
    </w:p>
    <w:p>
      <w:pPr>
        <w:pStyle w:val="TextBody"/>
        <w:rPr/>
      </w:pPr>
      <w:r>
        <w:rPr>
          <w:sz w:val="24"/>
        </w:rPr>
        <w:t>Use these links to rapidly review the document</w:t>
        <w:br/>
      </w:r>
      <w:hyperlink w:anchor="bg44101_table_of_contents">
        <w:r>
          <w:rPr>
            <w:rStyle w:val="InternetLink"/>
            <w:sz w:val="24"/>
          </w:rPr>
          <w:t>TABLE OF CONTENTS</w:t>
        </w:r>
      </w:hyperlink>
    </w:p>
    <w:p>
      <w:pPr>
        <w:pStyle w:val="TextBody"/>
        <w:rPr/>
      </w:pPr>
      <w:hyperlink w:anchor="bg441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14"/>
        </w:rPr>
      </w:pPr>
      <w:r>
        <w:rPr>
          <w:rFonts w:ascii="times" w:hAnsi="times"/>
          <w:b/>
          <w:sz w:val="14"/>
        </w:rPr>
        <w:t xml:space="preserve">As filed with the Securities and Exchange Commission on November 25, 2014 </w:t>
      </w:r>
    </w:p>
    <w:p>
      <w:pPr>
        <w:pStyle w:val="TextBody"/>
        <w:jc w:val="right"/>
        <w:rPr>
          <w:rFonts w:ascii="times" w:hAnsi="times"/>
          <w:b/>
          <w:sz w:val="14"/>
        </w:rPr>
      </w:pPr>
      <w:r>
        <w:rPr>
          <w:rFonts w:ascii="times" w:hAnsi="times"/>
          <w:b/>
          <w:sz w:val="14"/>
        </w:rPr>
        <w:t xml:space="preserve">Registration No. 333-             </w:t>
      </w:r>
    </w:p>
    <w:p>
      <w:pPr>
        <w:pStyle w:val="TextBody"/>
        <w:rPr>
          <w:b/>
          <w:sz w:val="14"/>
        </w:rPr>
      </w:pPr>
      <w:r>
        <w:rPr>
          <w:b/>
          <w:sz w:val="14"/>
        </w:rPr>
      </w:r>
    </w:p>
    <w:p>
      <w:pPr>
        <w:pStyle w:val="TextBody"/>
        <w:jc w:val="center"/>
        <w:rPr>
          <w:rFonts w:ascii="times" w:hAnsi="times"/>
        </w:rPr>
      </w:pPr>
      <w:r>
        <w:rPr>
          <w:rFonts w:ascii="times" w:hAnsi="times"/>
          <w:b/>
          <w:sz w:val="28"/>
        </w:rPr>
        <w:t>UNITED STATES</w:t>
        <w:br/>
        <w:t>SECURITIES AND EXCHANGE COMMISSION</w:t>
        <w:br/>
      </w:r>
      <w:r>
        <w:rPr>
          <w:rFonts w:ascii="times" w:hAnsi="times"/>
          <w:b/>
          <w:sz w:val="14"/>
        </w:rPr>
        <w:t xml:space="preserve">Washington, D.C. 20549 </w:t>
      </w:r>
    </w:p>
    <w:p>
      <w:pPr>
        <w:pStyle w:val="TextBody"/>
        <w:jc w:val="center"/>
        <w:rPr>
          <w:rFonts w:ascii="times" w:hAnsi="times"/>
        </w:rPr>
      </w:pPr>
      <w:r>
        <w:rPr>
          <w:rFonts w:ascii="times" w:hAnsi="times"/>
          <w:b/>
          <w:sz w:val="28"/>
        </w:rPr>
        <w:t>FORM S-3</w:t>
        <w:br/>
      </w:r>
      <w:r>
        <w:rPr>
          <w:rFonts w:ascii="times" w:hAnsi="times"/>
          <w:b/>
          <w:sz w:val="14"/>
        </w:rPr>
        <w:t>REGISTRATION STATEMENT</w:t>
        <w:br/>
        <w:t>UNDER</w:t>
        <w:br/>
        <w:t xml:space="preserve">THE SECURITIES ACT OF 1933 </w:t>
      </w:r>
    </w:p>
    <w:p>
      <w:pPr>
        <w:pStyle w:val="TextBody"/>
        <w:jc w:val="center"/>
        <w:rPr>
          <w:rFonts w:ascii="times" w:hAnsi="times"/>
        </w:rPr>
      </w:pPr>
      <w:r>
        <w:rPr>
          <w:rFonts w:ascii="times" w:hAnsi="times"/>
          <w:b/>
          <w:sz w:val="28"/>
        </w:rPr>
        <w:t>PLAINS GP HOLDINGS, L.P.</w:t>
        <w:br/>
      </w:r>
      <w:r>
        <w:rPr>
          <w:rFonts w:ascii="times" w:hAnsi="times"/>
          <w:sz w:val="14"/>
        </w:rPr>
        <w:t xml:space="preserve">(Exact name of registrant as specified in its charter) </w:t>
      </w:r>
    </w:p>
    <w:tbl>
      <w:tblPr>
        <w:tblW w:w="3734" w:type="dxa"/>
        <w:jc w:val="center"/>
        <w:tblInd w:w="0" w:type="dxa"/>
        <w:tblCellMar>
          <w:top w:w="0" w:type="dxa"/>
          <w:left w:w="0" w:type="dxa"/>
          <w:bottom w:w="0" w:type="dxa"/>
          <w:right w:w="0" w:type="dxa"/>
        </w:tblCellMar>
      </w:tblPr>
      <w:tblGrid>
        <w:gridCol w:w="1777"/>
        <w:gridCol w:w="180"/>
        <w:gridCol w:w="1777"/>
      </w:tblGrid>
      <w:tr>
        <w:trPr/>
        <w:tc>
          <w:tcPr>
            <w:tcW w:w="177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777" w:type="dxa"/>
            <w:tcBorders/>
            <w:shd w:fill="auto" w:val="clear"/>
            <w:vAlign w:val="center"/>
          </w:tcPr>
          <w:p>
            <w:pPr>
              <w:pStyle w:val="TableContents"/>
              <w:spacing w:before="0" w:after="283"/>
              <w:rPr>
                <w:sz w:val="4"/>
                <w:szCs w:val="4"/>
              </w:rPr>
            </w:pPr>
            <w:r>
              <w:rPr>
                <w:sz w:val="4"/>
                <w:szCs w:val="4"/>
              </w:rPr>
            </w:r>
          </w:p>
        </w:tc>
      </w:tr>
      <w:tr>
        <w:trPr/>
        <w:tc>
          <w:tcPr>
            <w:tcW w:w="1777" w:type="dxa"/>
            <w:tcBorders/>
            <w:shd w:fill="auto" w:val="clear"/>
          </w:tcPr>
          <w:p>
            <w:pPr>
              <w:pStyle w:val="TableContents"/>
              <w:spacing w:before="0" w:after="283"/>
              <w:jc w:val="center"/>
              <w:rPr>
                <w:rFonts w:ascii="times" w:hAnsi="times"/>
              </w:rPr>
            </w:pPr>
            <w:r>
              <w:rPr>
                <w:rFonts w:ascii="times" w:hAnsi="times"/>
                <w:b/>
                <w:sz w:val="14"/>
              </w:rPr>
              <w:t>Delaware</w:t>
            </w:r>
            <w:r>
              <w:rPr>
                <w:rFonts w:ascii="times" w:hAnsi="times"/>
                <w:sz w:val="14"/>
              </w:rPr>
              <w:br/>
              <w:t>(State or other jurisdiction of</w:t>
              <w:br/>
              <w:t>incorporation or organization)</w:t>
            </w:r>
          </w:p>
        </w:tc>
        <w:tc>
          <w:tcPr>
            <w:tcW w:w="180" w:type="dxa"/>
            <w:tcBorders/>
            <w:shd w:fill="auto" w:val="clear"/>
          </w:tcPr>
          <w:p>
            <w:pPr>
              <w:pStyle w:val="TableContents"/>
              <w:spacing w:before="0" w:after="283"/>
              <w:rPr/>
            </w:pPr>
            <w:r>
              <w:rPr/>
              <w:t> </w:t>
            </w:r>
          </w:p>
        </w:tc>
        <w:tc>
          <w:tcPr>
            <w:tcW w:w="1777" w:type="dxa"/>
            <w:tcBorders/>
            <w:shd w:fill="auto" w:val="clear"/>
          </w:tcPr>
          <w:p>
            <w:pPr>
              <w:pStyle w:val="TableContents"/>
              <w:spacing w:before="0" w:after="283"/>
              <w:jc w:val="center"/>
              <w:rPr>
                <w:rFonts w:ascii="times" w:hAnsi="times"/>
              </w:rPr>
            </w:pPr>
            <w:r>
              <w:rPr>
                <w:rFonts w:ascii="times" w:hAnsi="times"/>
                <w:b/>
                <w:sz w:val="14"/>
              </w:rPr>
              <w:t>90-1005472</w:t>
            </w:r>
            <w:r>
              <w:rPr>
                <w:rFonts w:ascii="times" w:hAnsi="times"/>
                <w:sz w:val="14"/>
              </w:rPr>
              <w:br/>
              <w:t>(I.R.S. Employer</w:t>
              <w:br/>
              <w:t>Identification Number)</w:t>
            </w:r>
          </w:p>
        </w:tc>
      </w:tr>
    </w:tbl>
    <w:p>
      <w:pPr>
        <w:pStyle w:val="TextBody"/>
        <w:jc w:val="center"/>
        <w:rPr>
          <w:rFonts w:ascii="times" w:hAnsi="times"/>
        </w:rPr>
      </w:pPr>
      <w:r>
        <w:rPr>
          <w:rFonts w:ascii="times" w:hAnsi="times"/>
          <w:b/>
          <w:sz w:val="14"/>
        </w:rPr>
        <w:t>333 Clay Street, Suite 1600</w:t>
        <w:br/>
        <w:t>Houston, Texas 77002</w:t>
        <w:br/>
        <w:t>(713) 646-4100</w:t>
      </w:r>
      <w:r>
        <w:rPr>
          <w:rFonts w:ascii="times" w:hAnsi="times"/>
          <w:sz w:val="14"/>
        </w:rPr>
        <w:br/>
        <w:t xml:space="preserve">(Address, including zip code, and telephone number, including area code, of registrant's principal executive offices) </w:t>
      </w:r>
    </w:p>
    <w:p>
      <w:pPr>
        <w:pStyle w:val="TextBody"/>
        <w:jc w:val="center"/>
        <w:rPr>
          <w:rFonts w:ascii="times" w:hAnsi="times"/>
        </w:rPr>
      </w:pPr>
      <w:r>
        <w:rPr>
          <w:rFonts w:ascii="times" w:hAnsi="times"/>
          <w:b/>
          <w:sz w:val="14"/>
        </w:rPr>
        <w:t>Richard McGee</w:t>
        <w:br/>
        <w:t>Executive Vice President</w:t>
        <w:br/>
        <w:t>333 Clay Street, Suite 1600</w:t>
        <w:br/>
        <w:t>Houston, Texas 77002</w:t>
        <w:br/>
        <w:t>(713) 646-4100</w:t>
        <w:br/>
      </w:r>
      <w:r>
        <w:rPr>
          <w:rFonts w:ascii="times" w:hAnsi="times"/>
          <w:sz w:val="14"/>
        </w:rPr>
        <w:t xml:space="preserve">(Name, address, including zip code, and telephone number, including area code, of agent for service) </w:t>
      </w:r>
    </w:p>
    <w:p>
      <w:pPr>
        <w:pStyle w:val="HorizontalLine"/>
        <w:pBdr>
          <w:bottom w:val="single" w:sz="6" w:space="0" w:color="000000"/>
        </w:pBdr>
        <w:ind w:left="3827" w:right="3827" w:hanging="0"/>
        <w:rPr/>
      </w:pPr>
      <w:r>
        <w:rPr/>
      </w:r>
    </w:p>
    <w:p>
      <w:pPr>
        <w:pStyle w:val="TextBody"/>
        <w:rPr>
          <w:sz w:val="14"/>
        </w:rPr>
      </w:pPr>
      <w:r>
        <w:rPr>
          <w:sz w:val="14"/>
        </w:rPr>
      </w:r>
    </w:p>
    <w:p>
      <w:pPr>
        <w:pStyle w:val="TextBody"/>
        <w:jc w:val="center"/>
        <w:rPr>
          <w:rFonts w:ascii="times" w:hAnsi="times"/>
          <w:b/>
          <w:sz w:val="14"/>
        </w:rPr>
      </w:pPr>
      <w:r>
        <w:rPr>
          <w:rFonts w:ascii="times" w:hAnsi="times"/>
          <w:b/>
          <w:sz w:val="14"/>
        </w:rPr>
        <w:t xml:space="preserve">Copies to: </w:t>
      </w:r>
    </w:p>
    <w:p>
      <w:pPr>
        <w:pStyle w:val="TextBody"/>
        <w:jc w:val="center"/>
        <w:rPr>
          <w:rFonts w:ascii="times" w:hAnsi="times"/>
          <w:b/>
          <w:sz w:val="14"/>
        </w:rPr>
      </w:pPr>
      <w:r>
        <w:rPr>
          <w:rFonts w:ascii="times" w:hAnsi="times"/>
          <w:b/>
          <w:sz w:val="14"/>
        </w:rPr>
        <w:t>David P. Oelman</w:t>
        <w:br/>
        <w:t>Alan Beck</w:t>
        <w:br/>
        <w:t>Vinson &amp; Elkins L.L.P.</w:t>
        <w:br/>
        <w:t>1001 Fannin Street, Suite 2500</w:t>
        <w:br/>
        <w:t>Houston, Texas 77002</w:t>
        <w:br/>
        <w:t>(713) 758-2222</w:t>
      </w:r>
    </w:p>
    <w:p>
      <w:pPr>
        <w:pStyle w:val="HorizontalLine"/>
        <w:pBdr>
          <w:bottom w:val="single" w:sz="6" w:space="0" w:color="000000"/>
        </w:pBdr>
        <w:ind w:left="3827" w:right="3827" w:hanging="0"/>
        <w:rPr/>
      </w:pPr>
      <w:r>
        <w:rPr/>
      </w:r>
    </w:p>
    <w:p>
      <w:pPr>
        <w:pStyle w:val="TextBody"/>
        <w:rPr>
          <w:sz w:val="14"/>
        </w:rPr>
      </w:pPr>
      <w:r>
        <w:rPr>
          <w:sz w:val="14"/>
        </w:rPr>
      </w:r>
    </w:p>
    <w:p>
      <w:pPr>
        <w:pStyle w:val="TextBody"/>
        <w:jc w:val="center"/>
        <w:rPr>
          <w:rFonts w:ascii="times" w:hAnsi="times"/>
          <w:b/>
          <w:sz w:val="14"/>
        </w:rPr>
      </w:pPr>
      <w:r>
        <w:rPr>
          <w:rFonts w:ascii="times" w:hAnsi="times"/>
          <w:b/>
          <w:sz w:val="14"/>
        </w:rPr>
        <w:t>Approximate date of commencement of proposed sale to the public:</w:t>
        <w:br/>
        <w:t xml:space="preserve">From time to time after the effective date of this registration statement. </w:t>
      </w:r>
    </w:p>
    <w:p>
      <w:pPr>
        <w:pStyle w:val="TextBody"/>
        <w:rPr/>
      </w:pPr>
      <w:r>
        <w:rPr/>
        <w:t>          </w:t>
      </w:r>
      <w:r>
        <w:rPr>
          <w:rFonts w:ascii="times" w:hAnsi="times"/>
          <w:sz w:val="14"/>
        </w:rPr>
        <w:t>If the only securities being registered on this Form are being offered pursuant to dividend or interest reinvestment plans, please check the following box:    </w:t>
      </w:r>
      <w:r>
        <w:rPr>
          <w:rFonts w:ascii="WINGDINGS" w:hAnsi="WINGDINGS"/>
          <w:sz w:val="14"/>
        </w:rPr>
        <w:t>o</w:t>
      </w:r>
      <w:r>
        <w:rPr>
          <w:rFonts w:ascii="times" w:hAnsi="times"/>
          <w:sz w:val="14"/>
        </w:rPr>
        <w:t xml:space="preserve"> </w:t>
      </w:r>
    </w:p>
    <w:p>
      <w:pPr>
        <w:pStyle w:val="TextBody"/>
        <w:rPr/>
      </w:pPr>
      <w:r>
        <w:rPr/>
        <w:t>          </w:t>
      </w:r>
      <w:r>
        <w:rPr>
          <w:rFonts w:ascii="times" w:hAnsi="times"/>
          <w:sz w:val="14"/>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rPr/>
      </w:pPr>
      <w:r>
        <w:rPr/>
        <w:t>          </w:t>
      </w:r>
      <w:r>
        <w:rPr>
          <w:rFonts w:ascii="times" w:hAnsi="times"/>
          <w:sz w:val="14"/>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hAnsi="WINGDINGS"/>
          <w:sz w:val="14"/>
        </w:rPr>
        <w:t>o</w:t>
      </w:r>
      <w:r>
        <w:rPr>
          <w:rFonts w:ascii="times" w:hAnsi="times"/>
          <w:sz w:val="14"/>
        </w:rPr>
        <w:t xml:space="preserve"> </w:t>
      </w:r>
    </w:p>
    <w:p>
      <w:pPr>
        <w:pStyle w:val="TextBody"/>
        <w:rPr/>
      </w:pPr>
      <w:r>
        <w:rPr/>
        <w:t>          </w:t>
      </w:r>
      <w:r>
        <w:rPr>
          <w:rFonts w:ascii="times" w:hAnsi="times"/>
          <w:sz w:val="14"/>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hAnsi="WINGDINGS"/>
          <w:sz w:val="14"/>
        </w:rPr>
        <w:t>o</w:t>
      </w:r>
      <w:r>
        <w:rPr>
          <w:rFonts w:ascii="times" w:hAnsi="times"/>
          <w:sz w:val="14"/>
        </w:rPr>
        <w:t xml:space="preserve"> </w:t>
      </w:r>
    </w:p>
    <w:p>
      <w:pPr>
        <w:pStyle w:val="TextBody"/>
        <w:rPr/>
      </w:pPr>
      <w:r>
        <w:rPr/>
        <w:t>          </w:t>
      </w:r>
      <w:r>
        <w:rPr>
          <w:rFonts w:ascii="times" w:hAnsi="times"/>
          <w:sz w:val="14"/>
        </w:rPr>
        <w:t>If this Form is a registration statement pursuant to General Instruction I.D. or a post-effective amendment thereto that shall become effective upon filing with the Commission pursuant to Rule 462(e) under the Securities Act, check the following box.    </w:t>
      </w:r>
      <w:r>
        <w:rPr>
          <w:rFonts w:ascii="WINGDINGS" w:hAnsi="WINGDINGS"/>
          <w:sz w:val="14"/>
        </w:rPr>
        <w:t>o</w:t>
      </w:r>
      <w:r>
        <w:rPr>
          <w:rFonts w:ascii="times" w:hAnsi="times"/>
          <w:sz w:val="14"/>
        </w:rPr>
        <w:t xml:space="preserve"> </w:t>
      </w:r>
    </w:p>
    <w:p>
      <w:pPr>
        <w:pStyle w:val="TextBody"/>
        <w:rPr/>
      </w:pPr>
      <w:r>
        <w:rPr/>
        <w:t>          </w:t>
      </w:r>
      <w:r>
        <w:rPr>
          <w:rFonts w:ascii="times" w:hAnsi="times"/>
          <w:sz w:val="14"/>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WINGDINGS" w:hAnsi="WINGDINGS"/>
          <w:sz w:val="14"/>
        </w:rPr>
        <w:t>o</w:t>
      </w:r>
      <w:r>
        <w:rPr>
          <w:rFonts w:ascii="times" w:hAnsi="times"/>
          <w:sz w:val="14"/>
        </w:rPr>
        <w:t xml:space="preserve"> </w:t>
      </w:r>
    </w:p>
    <w:p>
      <w:pPr>
        <w:pStyle w:val="TextBody"/>
        <w:rPr/>
      </w:pPr>
      <w:r>
        <w:rPr/>
        <w:t>          </w:t>
      </w:r>
      <w:r>
        <w:rPr>
          <w:rFonts w:ascii="times" w:hAnsi="times"/>
          <w:sz w:val="14"/>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tbl>
      <w:tblPr>
        <w:tblW w:w="5000" w:type="pct"/>
        <w:jc w:val="center"/>
        <w:tblInd w:w="0" w:type="dxa"/>
        <w:tblCellMar>
          <w:top w:w="0" w:type="dxa"/>
          <w:left w:w="0" w:type="dxa"/>
          <w:bottom w:w="0" w:type="dxa"/>
          <w:right w:w="0" w:type="dxa"/>
        </w:tblCellMar>
      </w:tblPr>
      <w:tblGrid>
        <w:gridCol w:w="680"/>
        <w:gridCol w:w="2424"/>
        <w:gridCol w:w="680"/>
        <w:gridCol w:w="2425"/>
        <w:gridCol w:w="965"/>
        <w:gridCol w:w="2425"/>
        <w:gridCol w:w="606"/>
      </w:tblGrid>
      <w:tr>
        <w:trPr/>
        <w:tc>
          <w:tcPr>
            <w:tcW w:w="680" w:type="dxa"/>
            <w:tcBorders/>
            <w:shd w:fill="auto" w:val="clear"/>
            <w:vAlign w:val="center"/>
          </w:tcPr>
          <w:p>
            <w:pPr>
              <w:pStyle w:val="TableContents"/>
              <w:spacing w:before="0" w:after="283"/>
              <w:rPr>
                <w:sz w:val="4"/>
                <w:szCs w:val="4"/>
              </w:rPr>
            </w:pPr>
            <w:r>
              <w:rPr>
                <w:sz w:val="4"/>
                <w:szCs w:val="4"/>
              </w:rPr>
            </w:r>
          </w:p>
        </w:tc>
        <w:tc>
          <w:tcPr>
            <w:tcW w:w="2424"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425"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2425"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tcPr>
          <w:p>
            <w:pPr>
              <w:pStyle w:val="TableContents"/>
              <w:spacing w:before="0" w:after="283"/>
              <w:jc w:val="center"/>
              <w:rPr>
                <w:rFonts w:ascii="times" w:hAnsi="times"/>
                <w:sz w:val="14"/>
              </w:rPr>
            </w:pPr>
            <w:r>
              <w:rPr>
                <w:rFonts w:ascii="times" w:hAnsi="times"/>
                <w:sz w:val="14"/>
              </w:rPr>
              <w:t xml:space="preserve">Large Accelerated Filer </w:t>
            </w:r>
            <w:r>
              <w:rPr>
                <w:rFonts w:ascii="WINGDINGS" w:hAnsi="WINGDINGS"/>
                <w:sz w:val="14"/>
              </w:rPr>
              <w:t>o</w:t>
            </w:r>
          </w:p>
        </w:tc>
        <w:tc>
          <w:tcPr>
            <w:tcW w:w="2424" w:type="dxa"/>
            <w:tcBorders/>
            <w:shd w:fill="auto" w:val="clear"/>
          </w:tcPr>
          <w:p>
            <w:pPr>
              <w:pStyle w:val="TableContents"/>
              <w:spacing w:before="0" w:after="283"/>
              <w:rPr/>
            </w:pPr>
            <w:r>
              <w:rPr/>
              <w:t> </w:t>
            </w:r>
          </w:p>
        </w:tc>
        <w:tc>
          <w:tcPr>
            <w:tcW w:w="680" w:type="dxa"/>
            <w:tcBorders/>
            <w:shd w:fill="auto" w:val="clear"/>
          </w:tcPr>
          <w:p>
            <w:pPr>
              <w:pStyle w:val="TableContents"/>
              <w:spacing w:before="0" w:after="283"/>
              <w:jc w:val="center"/>
              <w:rPr>
                <w:rFonts w:ascii="times" w:hAnsi="times"/>
                <w:sz w:val="14"/>
              </w:rPr>
            </w:pPr>
            <w:r>
              <w:rPr>
                <w:rFonts w:ascii="times" w:hAnsi="times"/>
                <w:sz w:val="14"/>
              </w:rPr>
              <w:t xml:space="preserve">Accelerated Filer </w:t>
            </w:r>
            <w:r>
              <w:rPr>
                <w:rFonts w:ascii="WINGDINGS" w:hAnsi="WINGDINGS"/>
                <w:sz w:val="14"/>
              </w:rPr>
              <w:t>o</w:t>
            </w:r>
          </w:p>
        </w:tc>
        <w:tc>
          <w:tcPr>
            <w:tcW w:w="2425" w:type="dxa"/>
            <w:tcBorders/>
            <w:shd w:fill="auto" w:val="clear"/>
          </w:tcPr>
          <w:p>
            <w:pPr>
              <w:pStyle w:val="TableContents"/>
              <w:spacing w:before="0" w:after="283"/>
              <w:rPr/>
            </w:pPr>
            <w:r>
              <w:rPr/>
              <w:t> </w:t>
            </w:r>
          </w:p>
        </w:tc>
        <w:tc>
          <w:tcPr>
            <w:tcW w:w="965" w:type="dxa"/>
            <w:tcBorders/>
            <w:shd w:fill="auto" w:val="clear"/>
          </w:tcPr>
          <w:p>
            <w:pPr>
              <w:pStyle w:val="TableContents"/>
              <w:spacing w:before="0" w:after="283"/>
              <w:jc w:val="center"/>
              <w:rPr>
                <w:rFonts w:ascii="times" w:hAnsi="times"/>
                <w:sz w:val="14"/>
              </w:rPr>
            </w:pPr>
            <w:r>
              <w:rPr>
                <w:rFonts w:ascii="times" w:hAnsi="times"/>
                <w:sz w:val="14"/>
              </w:rPr>
              <w:t>Non-Accelerated Filer ☒</w:t>
              <w:br/>
              <w:t>(Do not check if a</w:t>
              <w:br/>
              <w:t>smaller reporting company)</w:t>
            </w:r>
          </w:p>
        </w:tc>
        <w:tc>
          <w:tcPr>
            <w:tcW w:w="2425" w:type="dxa"/>
            <w:tcBorders/>
            <w:shd w:fill="auto" w:val="clear"/>
          </w:tcPr>
          <w:p>
            <w:pPr>
              <w:pStyle w:val="TableContents"/>
              <w:spacing w:before="0" w:after="283"/>
              <w:rPr/>
            </w:pPr>
            <w:r>
              <w:rPr/>
              <w:t> </w:t>
            </w:r>
          </w:p>
        </w:tc>
        <w:tc>
          <w:tcPr>
            <w:tcW w:w="606" w:type="dxa"/>
            <w:tcBorders/>
            <w:shd w:fill="auto" w:val="clear"/>
          </w:tcPr>
          <w:p>
            <w:pPr>
              <w:pStyle w:val="TableContents"/>
              <w:spacing w:before="0" w:after="283"/>
              <w:jc w:val="center"/>
              <w:rPr>
                <w:rFonts w:ascii="times" w:hAnsi="times"/>
                <w:sz w:val="14"/>
              </w:rPr>
            </w:pPr>
            <w:r>
              <w:rPr>
                <w:rFonts w:ascii="times" w:hAnsi="times"/>
                <w:sz w:val="14"/>
              </w:rPr>
              <w:t xml:space="preserve">Smaller Reporting Company </w:t>
            </w:r>
            <w:r>
              <w:rPr>
                <w:rFonts w:ascii="WINGDINGS" w:hAnsi="WINGDINGS"/>
                <w:sz w:val="14"/>
              </w:rPr>
              <w:t>o</w:t>
            </w:r>
          </w:p>
        </w:tc>
      </w:tr>
    </w:tbl>
    <w:p>
      <w:pPr>
        <w:pStyle w:val="TextBody"/>
        <w:jc w:val="center"/>
        <w:rPr>
          <w:rFonts w:ascii="times" w:hAnsi="times"/>
          <w:b/>
          <w:sz w:val="14"/>
        </w:rPr>
      </w:pPr>
      <w:r>
        <w:rPr>
          <w:rFonts w:ascii="times" w:hAnsi="times"/>
          <w:b/>
          <w:sz w:val="14"/>
        </w:rPr>
        <w:t xml:space="preserve">CALCULATION OF REGISTRATION FEE </w:t>
      </w:r>
    </w:p>
    <w:tbl>
      <w:tblPr>
        <w:tblW w:w="9958" w:type="dxa"/>
        <w:jc w:val="center"/>
        <w:tblInd w:w="0" w:type="dxa"/>
        <w:tblCellMar>
          <w:top w:w="0" w:type="dxa"/>
          <w:left w:w="0" w:type="dxa"/>
          <w:bottom w:w="0" w:type="dxa"/>
          <w:right w:w="0" w:type="dxa"/>
        </w:tblCellMar>
      </w:tblPr>
      <w:tblGrid>
        <w:gridCol w:w="3028"/>
        <w:gridCol w:w="180"/>
        <w:gridCol w:w="1440"/>
        <w:gridCol w:w="180"/>
        <w:gridCol w:w="1440"/>
        <w:gridCol w:w="180"/>
        <w:gridCol w:w="1890"/>
        <w:gridCol w:w="180"/>
        <w:gridCol w:w="1440"/>
      </w:tblGrid>
      <w:tr>
        <w:trPr/>
        <w:tc>
          <w:tcPr>
            <w:tcW w:w="302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r>
      <w:tr>
        <w:trPr/>
        <w:tc>
          <w:tcPr>
            <w:tcW w:w="3028" w:type="dxa"/>
            <w:tcBorders/>
            <w:shd w:fill="auto" w:val="clear"/>
            <w:vAlign w:val="bottom"/>
          </w:tcPr>
          <w:p>
            <w:pPr>
              <w:pStyle w:val="TableContents"/>
              <w:spacing w:before="0" w:after="283"/>
              <w:ind w:left="80" w:right="0" w:hanging="80"/>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9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r>
      <w:tr>
        <w:trPr/>
        <w:tc>
          <w:tcPr>
            <w:tcW w:w="9958" w:type="dxa"/>
            <w:gridSpan w:val="9"/>
            <w:tcBorders>
              <w:bottom w:val="double" w:sz="6" w:space="0" w:color="000000"/>
            </w:tcBorders>
            <w:shd w:fill="auto" w:val="clear"/>
            <w:tcMar>
              <w:bottom w:w="28" w:type="dxa"/>
            </w:tcMar>
            <w:vAlign w:val="bottom"/>
          </w:tcPr>
          <w:p>
            <w:pPr>
              <w:pStyle w:val="TableContents"/>
              <w:spacing w:before="0" w:after="283"/>
              <w:rPr/>
            </w:pPr>
            <w:r>
              <w:rPr/>
              <w:t> </w:t>
            </w:r>
          </w:p>
        </w:tc>
      </w:tr>
      <w:tr>
        <w:trPr/>
        <w:tc>
          <w:tcPr>
            <w:tcW w:w="3028" w:type="dxa"/>
            <w:tcBorders/>
            <w:shd w:fill="auto" w:val="clear"/>
            <w:vAlign w:val="bottom"/>
          </w:tcPr>
          <w:p>
            <w:pPr>
              <w:pStyle w:val="TableHeading"/>
              <w:spacing w:before="0" w:after="283"/>
              <w:jc w:val="center"/>
              <w:rPr>
                <w:rFonts w:ascii="times" w:hAnsi="times"/>
                <w:b/>
                <w:sz w:val="14"/>
              </w:rPr>
            </w:pPr>
            <w:r>
              <w:rPr>
                <w:rFonts w:ascii="times" w:hAnsi="times"/>
                <w:b/>
                <w:sz w:val="14"/>
              </w:rPr>
              <w:t>Title of Securities</w:t>
              <w:br/>
              <w:t>to be Registered</w:t>
            </w:r>
          </w:p>
        </w:tc>
        <w:tc>
          <w:tcPr>
            <w:tcW w:w="180" w:type="dxa"/>
            <w:tcBorders/>
            <w:shd w:fill="auto" w:val="clear"/>
            <w:vAlign w:val="bottom"/>
          </w:tcPr>
          <w:p>
            <w:pPr>
              <w:pStyle w:val="TableHeading"/>
              <w:suppressLineNumbers/>
              <w:spacing w:before="0" w:after="283"/>
              <w:jc w:val="center"/>
              <w:rPr/>
            </w:pPr>
            <w:r>
              <w:rPr/>
              <w:t> </w:t>
            </w:r>
          </w:p>
        </w:tc>
        <w:tc>
          <w:tcPr>
            <w:tcW w:w="1440" w:type="dxa"/>
            <w:tcBorders/>
            <w:shd w:fill="auto" w:val="clear"/>
            <w:vAlign w:val="bottom"/>
          </w:tcPr>
          <w:p>
            <w:pPr>
              <w:pStyle w:val="TableHeading"/>
              <w:spacing w:before="0" w:after="283"/>
              <w:jc w:val="center"/>
              <w:rPr>
                <w:rFonts w:ascii="times" w:hAnsi="times"/>
                <w:b/>
                <w:sz w:val="14"/>
              </w:rPr>
            </w:pPr>
            <w:r>
              <w:rPr>
                <w:rFonts w:ascii="times" w:hAnsi="times"/>
                <w:b/>
                <w:sz w:val="14"/>
              </w:rPr>
              <w:t>Amount to be</w:t>
              <w:br/>
              <w:t>Registered</w:t>
            </w:r>
          </w:p>
        </w:tc>
        <w:tc>
          <w:tcPr>
            <w:tcW w:w="180" w:type="dxa"/>
            <w:tcBorders/>
            <w:shd w:fill="auto" w:val="clear"/>
            <w:vAlign w:val="bottom"/>
          </w:tcPr>
          <w:p>
            <w:pPr>
              <w:pStyle w:val="TableHeading"/>
              <w:suppressLineNumbers/>
              <w:spacing w:before="0" w:after="283"/>
              <w:jc w:val="center"/>
              <w:rPr/>
            </w:pPr>
            <w:r>
              <w:rPr/>
              <w:t> </w:t>
            </w:r>
          </w:p>
        </w:tc>
        <w:tc>
          <w:tcPr>
            <w:tcW w:w="1440" w:type="dxa"/>
            <w:tcBorders/>
            <w:shd w:fill="auto" w:val="clear"/>
            <w:vAlign w:val="bottom"/>
          </w:tcPr>
          <w:p>
            <w:pPr>
              <w:pStyle w:val="TableHeading"/>
              <w:spacing w:before="0" w:after="283"/>
              <w:jc w:val="center"/>
              <w:rPr>
                <w:rFonts w:ascii="times" w:hAnsi="times"/>
                <w:b/>
                <w:sz w:val="14"/>
              </w:rPr>
            </w:pPr>
            <w:r>
              <w:rPr>
                <w:rFonts w:ascii="times" w:hAnsi="times"/>
                <w:b/>
                <w:sz w:val="14"/>
              </w:rPr>
              <w:t>Proposed Maximum</w:t>
              <w:br/>
              <w:t>Offering Price Per</w:t>
              <w:br/>
              <w:t>Share</w:t>
            </w:r>
          </w:p>
        </w:tc>
        <w:tc>
          <w:tcPr>
            <w:tcW w:w="180" w:type="dxa"/>
            <w:tcBorders/>
            <w:shd w:fill="auto" w:val="clear"/>
            <w:vAlign w:val="bottom"/>
          </w:tcPr>
          <w:p>
            <w:pPr>
              <w:pStyle w:val="TableHeading"/>
              <w:suppressLineNumbers/>
              <w:spacing w:before="0" w:after="283"/>
              <w:jc w:val="center"/>
              <w:rPr/>
            </w:pPr>
            <w:r>
              <w:rPr/>
              <w:t> </w:t>
            </w:r>
          </w:p>
        </w:tc>
        <w:tc>
          <w:tcPr>
            <w:tcW w:w="1890" w:type="dxa"/>
            <w:tcBorders/>
            <w:shd w:fill="auto" w:val="clear"/>
            <w:vAlign w:val="bottom"/>
          </w:tcPr>
          <w:p>
            <w:pPr>
              <w:pStyle w:val="TableHeading"/>
              <w:spacing w:before="0" w:after="283"/>
              <w:jc w:val="center"/>
              <w:rPr>
                <w:rFonts w:ascii="times" w:hAnsi="times"/>
                <w:b/>
                <w:sz w:val="14"/>
              </w:rPr>
            </w:pPr>
            <w:r>
              <w:rPr>
                <w:rFonts w:ascii="times" w:hAnsi="times"/>
                <w:b/>
                <w:sz w:val="14"/>
              </w:rPr>
              <w:t>Proposed Maximum</w:t>
              <w:br/>
              <w:t>Aggregate Offering</w:t>
              <w:br/>
              <w:t>Price</w:t>
            </w:r>
          </w:p>
        </w:tc>
        <w:tc>
          <w:tcPr>
            <w:tcW w:w="180" w:type="dxa"/>
            <w:tcBorders/>
            <w:shd w:fill="auto" w:val="clear"/>
            <w:vAlign w:val="bottom"/>
          </w:tcPr>
          <w:p>
            <w:pPr>
              <w:pStyle w:val="TableHeading"/>
              <w:suppressLineNumbers/>
              <w:spacing w:before="0" w:after="283"/>
              <w:jc w:val="center"/>
              <w:rPr/>
            </w:pPr>
            <w:r>
              <w:rPr/>
              <w:t> </w:t>
            </w:r>
          </w:p>
        </w:tc>
        <w:tc>
          <w:tcPr>
            <w:tcW w:w="1440" w:type="dxa"/>
            <w:tcBorders/>
            <w:shd w:fill="auto" w:val="clear"/>
            <w:vAlign w:val="bottom"/>
          </w:tcPr>
          <w:p>
            <w:pPr>
              <w:pStyle w:val="TableHeading"/>
              <w:spacing w:before="0" w:after="283"/>
              <w:jc w:val="center"/>
              <w:rPr>
                <w:rFonts w:ascii="times" w:hAnsi="times"/>
                <w:b/>
                <w:sz w:val="14"/>
              </w:rPr>
            </w:pPr>
            <w:r>
              <w:rPr>
                <w:rFonts w:ascii="times" w:hAnsi="times"/>
                <w:b/>
                <w:sz w:val="14"/>
              </w:rPr>
              <w:t>Amount of</w:t>
              <w:br/>
              <w:t>Registration Fee</w:t>
            </w:r>
          </w:p>
        </w:tc>
      </w:tr>
      <w:tr>
        <w:trPr/>
        <w:tc>
          <w:tcPr>
            <w:tcW w:w="9958" w:type="dxa"/>
            <w:gridSpan w:val="9"/>
            <w:tcBorders>
              <w:bottom w:val="single" w:sz="8" w:space="0" w:color="000000"/>
            </w:tcBorders>
            <w:shd w:fill="auto" w:val="clear"/>
            <w:tcMar>
              <w:bottom w:w="28" w:type="dxa"/>
            </w:tcMar>
            <w:vAlign w:val="bottom"/>
          </w:tcPr>
          <w:p>
            <w:pPr>
              <w:pStyle w:val="TableContents"/>
              <w:spacing w:before="0" w:after="283"/>
              <w:rPr/>
            </w:pPr>
            <w:r>
              <w:rPr/>
              <w:t> </w:t>
            </w:r>
          </w:p>
        </w:tc>
      </w:tr>
      <w:tr>
        <w:trPr/>
        <w:tc>
          <w:tcPr>
            <w:tcW w:w="3028" w:type="dxa"/>
            <w:tcBorders/>
            <w:shd w:fill="auto" w:val="clear"/>
            <w:vAlign w:val="bottom"/>
          </w:tcPr>
          <w:p>
            <w:pPr>
              <w:pStyle w:val="TableContents"/>
              <w:spacing w:before="0" w:after="283"/>
              <w:ind w:left="80" w:right="0" w:hanging="80"/>
              <w:rPr>
                <w:rFonts w:ascii="times" w:hAnsi="times"/>
                <w:sz w:val="14"/>
              </w:rPr>
            </w:pPr>
            <w:r>
              <w:rPr>
                <w:rFonts w:ascii="times" w:hAnsi="times"/>
                <w:sz w:val="14"/>
              </w:rPr>
              <w:t>Class A shares representing limited partner interests</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rFonts w:ascii="times" w:hAnsi="times"/>
                <w:sz w:val="14"/>
              </w:rPr>
            </w:pPr>
            <w:r>
              <w:rPr>
                <w:rFonts w:ascii="times" w:hAnsi="times"/>
                <w:sz w:val="14"/>
              </w:rPr>
              <w:t>402,447,679(1)</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rFonts w:ascii="times" w:hAnsi="times"/>
                <w:sz w:val="14"/>
              </w:rPr>
            </w:pPr>
            <w:r>
              <w:rPr>
                <w:rFonts w:ascii="times" w:hAnsi="times"/>
                <w:sz w:val="14"/>
              </w:rPr>
              <w:t>$26.925(2)</w:t>
            </w:r>
          </w:p>
        </w:tc>
        <w:tc>
          <w:tcPr>
            <w:tcW w:w="180" w:type="dxa"/>
            <w:tcBorders/>
            <w:shd w:fill="auto" w:val="clear"/>
            <w:vAlign w:val="bottom"/>
          </w:tcPr>
          <w:p>
            <w:pPr>
              <w:pStyle w:val="TableContents"/>
              <w:spacing w:before="0" w:after="283"/>
              <w:rPr/>
            </w:pPr>
            <w:r>
              <w:rPr/>
              <w:t> </w:t>
            </w:r>
          </w:p>
        </w:tc>
        <w:tc>
          <w:tcPr>
            <w:tcW w:w="1890" w:type="dxa"/>
            <w:tcBorders/>
            <w:shd w:fill="auto" w:val="clear"/>
            <w:vAlign w:val="bottom"/>
          </w:tcPr>
          <w:p>
            <w:pPr>
              <w:pStyle w:val="TableContents"/>
              <w:spacing w:before="0" w:after="283"/>
              <w:jc w:val="center"/>
              <w:rPr>
                <w:rFonts w:ascii="times" w:hAnsi="times"/>
                <w:sz w:val="14"/>
              </w:rPr>
            </w:pPr>
            <w:r>
              <w:rPr>
                <w:rFonts w:ascii="times" w:hAnsi="times"/>
                <w:sz w:val="14"/>
              </w:rPr>
              <w:t>$10,835,903,757.08(2)</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rFonts w:ascii="times" w:hAnsi="times"/>
                <w:sz w:val="14"/>
              </w:rPr>
            </w:pPr>
            <w:r>
              <w:rPr>
                <w:rFonts w:ascii="times" w:hAnsi="times"/>
                <w:sz w:val="14"/>
              </w:rPr>
              <w:t>$1,259,132.02(2)</w:t>
            </w:r>
          </w:p>
        </w:tc>
      </w:tr>
      <w:tr>
        <w:trPr/>
        <w:tc>
          <w:tcPr>
            <w:tcW w:w="9958" w:type="dxa"/>
            <w:gridSpan w:val="9"/>
            <w:tcBorders>
              <w:bottom w:val="double" w:sz="6" w:space="0" w:color="000000"/>
            </w:tcBorders>
            <w:shd w:fill="auto" w:val="clear"/>
            <w:tcMar>
              <w:bottom w:w="28" w:type="dxa"/>
            </w:tcMar>
            <w:vAlign w:val="bottom"/>
          </w:tcPr>
          <w:p>
            <w:pPr>
              <w:pStyle w:val="TableContents"/>
              <w:spacing w:before="0" w:after="283"/>
              <w:ind w:left="80" w:right="0" w:hanging="80"/>
              <w:rPr/>
            </w:pPr>
            <w:r>
              <w:rPr/>
              <w:t> </w:t>
            </w:r>
          </w:p>
        </w:tc>
      </w:tr>
    </w:tbl>
    <w:p>
      <w:pPr>
        <w:pStyle w:val="ListHeading"/>
        <w:spacing w:before="0" w:after="0"/>
        <w:rPr>
          <w:rFonts w:ascii="times" w:hAnsi="times"/>
          <w:sz w:val="14"/>
        </w:rPr>
      </w:pPr>
      <w:r>
        <w:rPr>
          <w:rFonts w:ascii="times" w:hAnsi="times"/>
          <w:sz w:val="14"/>
        </w:rPr>
        <w:t>(1)</w:t>
      </w:r>
    </w:p>
    <w:p>
      <w:pPr>
        <w:pStyle w:val="ListContents"/>
        <w:spacing w:before="0" w:after="283"/>
        <w:rPr>
          <w:rFonts w:ascii="times" w:hAnsi="times"/>
          <w:sz w:val="14"/>
        </w:rPr>
      </w:pPr>
      <w:r>
        <w:rPr>
          <w:rFonts w:ascii="times" w:hAnsi="times"/>
          <w:sz w:val="14"/>
        </w:rPr>
        <w:t xml:space="preserve">Pursuant to Rule 416(a) under the Securities Act, the number of Class A shares being registered on behalf of the selling shareholders shall be adjusted to include any additional Class A shares that may become issuable as a result of any share distribution, split, combination or similar transaction. </w:t>
      </w:r>
    </w:p>
    <w:p>
      <w:pPr>
        <w:pStyle w:val="ListHeading"/>
        <w:spacing w:before="0" w:after="0"/>
        <w:rPr>
          <w:rFonts w:ascii="times" w:hAnsi="times"/>
          <w:sz w:val="14"/>
        </w:rPr>
      </w:pPr>
      <w:r>
        <w:rPr>
          <w:rFonts w:ascii="times" w:hAnsi="times"/>
          <w:sz w:val="14"/>
        </w:rPr>
        <w:t>(2)</w:t>
      </w:r>
    </w:p>
    <w:p>
      <w:pPr>
        <w:pStyle w:val="ListContents"/>
        <w:spacing w:before="0" w:after="283"/>
        <w:rPr>
          <w:rFonts w:ascii="times" w:hAnsi="times"/>
          <w:sz w:val="14"/>
        </w:rPr>
      </w:pPr>
      <w:r>
        <w:rPr>
          <w:rFonts w:ascii="times" w:hAnsi="times"/>
          <w:sz w:val="14"/>
        </w:rPr>
        <w:t xml:space="preserve">Pursuant to Rule 457(c) of the Securities Act, the registration fee is calculated on the basis of the average of the high and low sale prices of our Class A shares on November 20, 2014, as reported on the New York Stock Exchange. </w:t>
      </w:r>
    </w:p>
    <w:p>
      <w:pPr>
        <w:pStyle w:val="TextBody"/>
        <w:rPr/>
      </w:pPr>
      <w:r>
        <w:rPr/>
        <w:t>          </w:t>
      </w:r>
      <w:r>
        <w:rPr>
          <w:rFonts w:ascii="times" w:hAnsi="times"/>
          <w:b/>
          <w:sz w:val="14"/>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pStyle w:val="TextBody"/>
        <w:spacing w:lineRule="atLeast" w:line="141"/>
        <w:ind w:left="360" w:right="0" w:hanging="0"/>
        <w:rPr/>
      </w:pPr>
      <w:r>
        <w:rPr/>
        <w:t xml:space="preserve">    </w:t>
      </w:r>
    </w:p>
    <w:p>
      <w:pPr>
        <w:pStyle w:val="HorizontalLine"/>
        <w:pBdr>
          <w:bottom w:val="single" w:sz="20" w:space="0" w:color="808080"/>
        </w:pBdr>
        <w:rPr/>
      </w:pPr>
      <w:r>
        <w:rPr/>
      </w:r>
      <w:r>
        <w:br w:type="page"/>
      </w:r>
    </w:p>
    <w:p>
      <w:pPr>
        <w:pStyle w:val="TextBody"/>
        <w:rPr/>
      </w:pPr>
      <w:hyperlink w:anchor="bg44101a_main_toc">
        <w:r>
          <w:rPr>
            <w:rStyle w:val="InternetLink"/>
            <w:rFonts w:ascii="times" w:hAnsi="times"/>
            <w:sz w:val="20"/>
          </w:rPr>
          <w:t>Table of Contents</w:t>
        </w:r>
      </w:hyperlink>
      <w:r>
        <w:rPr>
          <w:rFonts w:ascii="times" w:hAnsi="times"/>
          <w:sz w:val="20"/>
        </w:rPr>
        <w:t xml:space="preserve"> </w:t>
      </w:r>
    </w:p>
    <w:p>
      <w:pPr>
        <w:pStyle w:val="TextBody"/>
        <w:rPr>
          <w:rFonts w:ascii="times" w:hAnsi="times"/>
          <w:b/>
          <w:color w:val="FF4040"/>
          <w:sz w:val="20"/>
        </w:rPr>
      </w:pPr>
      <w:r>
        <w:rPr>
          <w:rFonts w:ascii="times" w:hAnsi="times"/>
          <w:b/>
          <w:color w:val="FF4040"/>
          <w:sz w:val="20"/>
        </w:rPr>
        <w:t>The information in this prospectus is not complete and may be changed. Securities may not be sold pursuant to this prospectus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jc w:val="center"/>
        <w:rPr>
          <w:rFonts w:ascii="times" w:hAnsi="times"/>
          <w:b/>
          <w:color w:val="FF4040"/>
          <w:sz w:val="20"/>
        </w:rPr>
      </w:pPr>
      <w:r>
        <w:rPr>
          <w:rFonts w:ascii="times" w:hAnsi="times"/>
          <w:b/>
          <w:color w:val="FF4040"/>
          <w:sz w:val="20"/>
        </w:rPr>
        <w:t>Subject to completion, dated November 25, 2014</w:t>
      </w:r>
    </w:p>
    <w:p>
      <w:pPr>
        <w:pStyle w:val="TextBody"/>
        <w:rPr>
          <w:rFonts w:ascii="times" w:hAnsi="times"/>
          <w:b/>
          <w:sz w:val="20"/>
        </w:rPr>
      </w:pPr>
      <w:r>
        <w:rPr>
          <w:rFonts w:ascii="times" w:hAnsi="times"/>
          <w:b/>
          <w:sz w:val="20"/>
        </w:rPr>
        <w:t xml:space="preserve">PROSPECTUS </w:t>
      </w:r>
    </w:p>
    <w:p>
      <w:pPr>
        <w:pStyle w:val="TextBody"/>
        <w:jc w:val="center"/>
        <w:rPr/>
      </w:pPr>
      <w:r>
        <w:rPr/>
        <w:drawing>
          <wp:inline distT="0" distB="0" distL="0" distR="0">
            <wp:extent cx="3438525"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38525" cy="752475"/>
                    </a:xfrm>
                    <a:prstGeom prst="rect">
                      <a:avLst/>
                    </a:prstGeom>
                  </pic:spPr>
                </pic:pic>
              </a:graphicData>
            </a:graphic>
          </wp:inline>
        </w:drawing>
      </w:r>
      <w:r>
        <w:rPr/>
        <w:t xml:space="preserve"> </w:t>
      </w:r>
    </w:p>
    <w:p>
      <w:pPr>
        <w:pStyle w:val="TextBody"/>
        <w:jc w:val="center"/>
        <w:rPr>
          <w:rFonts w:ascii="times" w:hAnsi="times"/>
          <w:b/>
          <w:sz w:val="28"/>
        </w:rPr>
      </w:pPr>
      <w:r>
        <w:rPr>
          <w:rFonts w:ascii="times" w:hAnsi="times"/>
          <w:b/>
          <w:sz w:val="28"/>
        </w:rPr>
        <w:t>402,447,679 Class A Shares</w:t>
        <w:br/>
        <w:t xml:space="preserve">Representing Limited Partner Interests </w:t>
      </w:r>
    </w:p>
    <w:p>
      <w:pPr>
        <w:pStyle w:val="TextBody"/>
        <w:rPr/>
      </w:pPr>
      <w:r>
        <w:rPr/>
        <w:t>        </w:t>
      </w:r>
      <w:r>
        <w:rPr>
          <w:rFonts w:ascii="times" w:hAnsi="times"/>
          <w:sz w:val="20"/>
        </w:rPr>
        <w:t xml:space="preserve">This prospectus relates to up to 402,447,679 Class A shares representing limited partner interests in Plains GP Holdings, L.P. that the selling shareholders named in this prospectus may from time to time, in one or more offerings, offer and sell. For a detailed discussion of the selling shareholders, please read "Selling Shareholders." </w:t>
      </w:r>
    </w:p>
    <w:p>
      <w:pPr>
        <w:pStyle w:val="TextBody"/>
        <w:rPr/>
      </w:pPr>
      <w:r>
        <w:rPr/>
        <w:t>        </w:t>
      </w:r>
      <w:r>
        <w:rPr>
          <w:rFonts w:ascii="times" w:hAnsi="times"/>
          <w:sz w:val="20"/>
        </w:rPr>
        <w:t xml:space="preserve">The selling shareholders may offer and sell these Class A shares to or through one or more underwriters, dealers or agents, or directly to investors, in amounts, at prices and on terms to be determined by market conditions and other factors at the time of the offering. This prospectus describes only the general terms of these Class A shares and the general manner of offering these Class A shares by the selling shareholders. We may file one or more prospectus supplements that may describe the specific manner in which the selling shareholders will offer the Class A shares and also may add, update or change information contained in this prospectus. </w:t>
      </w:r>
    </w:p>
    <w:p>
      <w:pPr>
        <w:pStyle w:val="TextBody"/>
        <w:rPr/>
      </w:pPr>
      <w:r>
        <w:rPr/>
        <w:t>        </w:t>
      </w:r>
      <w:r>
        <w:rPr>
          <w:rFonts w:ascii="times" w:hAnsi="times"/>
          <w:sz w:val="20"/>
        </w:rPr>
        <w:t xml:space="preserve">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 </w:t>
      </w:r>
    </w:p>
    <w:p>
      <w:pPr>
        <w:pStyle w:val="TextBody"/>
        <w:rPr/>
      </w:pPr>
      <w:r>
        <w:rPr/>
        <w:t>        </w:t>
      </w:r>
      <w:r>
        <w:rPr>
          <w:rFonts w:ascii="times" w:hAnsi="times"/>
          <w:sz w:val="20"/>
        </w:rPr>
        <w:t xml:space="preserve">Our Class A shares are listed on the New York Stock Exchange ("NYSE") under the symbol "PAGP." </w:t>
      </w:r>
    </w:p>
    <w:p>
      <w:pPr>
        <w:pStyle w:val="TextBody"/>
        <w:rPr/>
      </w:pPr>
      <w:r>
        <w:rPr/>
        <w:t>        </w:t>
      </w:r>
      <w:r>
        <w:rPr>
          <w:rFonts w:ascii="times" w:hAnsi="times"/>
          <w:b/>
          <w:sz w:val="20"/>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this prospectus before you make an investment in our Class A shares.</w:t>
      </w:r>
    </w:p>
    <w:p>
      <w:pPr>
        <w:pStyle w:val="TextBody"/>
        <w:rPr/>
      </w:pPr>
      <w:r>
        <w:rPr/>
        <w:t>        </w:t>
      </w:r>
      <w:r>
        <w:rPr>
          <w:rFonts w:ascii="times" w:hAnsi="times"/>
          <w:b/>
          <w:sz w:val="20"/>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 xml:space="preserve">The date of this prospectus is                    , 2014 </w:t>
      </w:r>
    </w:p>
    <w:p>
      <w:pPr>
        <w:pStyle w:val="HorizontalLine"/>
        <w:pBdr>
          <w:bottom w:val="single" w:sz="20" w:space="0" w:color="808080"/>
        </w:pBdr>
        <w:rPr/>
      </w:pPr>
      <w:r>
        <w:rPr/>
      </w:r>
      <w:r>
        <w:br w:type="page"/>
      </w:r>
    </w:p>
    <w:p>
      <w:pPr>
        <w:pStyle w:val="TextBody"/>
        <w:rPr/>
      </w:pPr>
      <w:hyperlink w:anchor="bg44101a_main_toc">
        <w:bookmarkStart w:id="4" w:name="page_bg44101_1_1"/>
        <w:bookmarkEnd w:id="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 w:name="bg44101_table_of_contents"/>
      <w:bookmarkStart w:id="6" w:name="BG44101A_main_toc"/>
      <w:bookmarkEnd w:id="5"/>
      <w:bookmarkEnd w:id="6"/>
      <w:r>
        <w:rPr>
          <w:rFonts w:ascii="times" w:hAnsi="times"/>
          <w:sz w:val="20"/>
        </w:rPr>
        <w:br/>
      </w:r>
      <w:r>
        <w:rPr>
          <w:rFonts w:ascii="times" w:hAnsi="times"/>
          <w:b/>
          <w:sz w:val="20"/>
        </w:rPr>
        <w:t xml:space="preserve">TABLE OF CONTENTS </w:t>
      </w:r>
    </w:p>
    <w:p>
      <w:pPr>
        <w:pStyle w:val="Normal"/>
        <w:spacing w:before="0" w:after="0"/>
        <w:rPr>
          <w:sz w:val="4"/>
          <w:szCs w:val="4"/>
        </w:rPr>
      </w:pPr>
      <w:r>
        <w:rPr>
          <w:sz w:val="4"/>
          <w:szCs w:val="4"/>
        </w:rPr>
      </w:r>
      <w:bookmarkStart w:id="7" w:name="BG44101_TOC"/>
      <w:bookmarkStart w:id="8" w:name="BG44101_TOC"/>
      <w:bookmarkEnd w:id="8"/>
    </w:p>
    <w:tbl>
      <w:tblPr>
        <w:tblW w:w="5000" w:type="pct"/>
        <w:jc w:val="center"/>
        <w:tblInd w:w="0" w:type="dxa"/>
        <w:tblCellMar>
          <w:top w:w="0" w:type="dxa"/>
          <w:left w:w="0" w:type="dxa"/>
          <w:bottom w:w="0" w:type="dxa"/>
          <w:right w:w="0" w:type="dxa"/>
        </w:tblCellMar>
      </w:tblPr>
      <w:tblGrid>
        <w:gridCol w:w="8832"/>
        <w:gridCol w:w="294"/>
        <w:gridCol w:w="172"/>
        <w:gridCol w:w="612"/>
        <w:gridCol w:w="295"/>
      </w:tblGrid>
      <w:tr>
        <w:trPr/>
        <w:tc>
          <w:tcPr>
            <w:tcW w:w="883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8832" w:type="dxa"/>
            <w:tcBorders/>
            <w:shd w:fill="auto" w:val="clear"/>
            <w:vAlign w:val="bottom"/>
          </w:tcPr>
          <w:p>
            <w:pPr>
              <w:pStyle w:val="TableHeading"/>
              <w:spacing w:before="0" w:after="283"/>
              <w:jc w:val="left"/>
              <w:rPr/>
            </w:pPr>
            <w:r>
              <w:rPr/>
              <w:t> </w:t>
            </w:r>
          </w:p>
        </w:tc>
        <w:tc>
          <w:tcPr>
            <w:tcW w:w="294" w:type="dxa"/>
            <w:tcBorders/>
            <w:shd w:fill="auto" w:val="clear"/>
            <w:vAlign w:val="bottom"/>
          </w:tcPr>
          <w:p>
            <w:pPr>
              <w:pStyle w:val="TableHeading"/>
              <w:suppressLineNumbers/>
              <w:spacing w:before="0" w:after="283"/>
              <w:jc w:val="center"/>
              <w:rPr/>
            </w:pPr>
            <w:r>
              <w:rPr/>
              <w:t> </w:t>
            </w:r>
          </w:p>
        </w:tc>
        <w:tc>
          <w:tcPr>
            <w:tcW w:w="7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Page </w:t>
            </w:r>
          </w:p>
        </w:tc>
        <w:tc>
          <w:tcPr>
            <w:tcW w:w="295" w:type="dxa"/>
            <w:tcBorders/>
            <w:shd w:fill="auto" w:val="clear"/>
            <w:vAlign w:val="bottom"/>
          </w:tcPr>
          <w:p>
            <w:pPr>
              <w:pStyle w:val="TableHeading"/>
              <w:suppressLineNumbers/>
              <w:spacing w:before="0" w:after="283"/>
              <w:jc w:val="center"/>
              <w:rPr/>
            </w:pPr>
            <w:r>
              <w:rPr/>
              <w:t> </w:t>
            </w:r>
          </w:p>
        </w:tc>
      </w:tr>
      <w:tr>
        <w:trPr/>
        <w:tc>
          <w:tcPr>
            <w:tcW w:w="8832" w:type="dxa"/>
            <w:tcBorders/>
            <w:shd w:fill="auto" w:val="clear"/>
          </w:tcPr>
          <w:p>
            <w:pPr>
              <w:pStyle w:val="TableContents"/>
              <w:spacing w:before="0" w:after="283"/>
              <w:ind w:left="200" w:right="0" w:hanging="200"/>
              <w:rPr/>
            </w:pPr>
            <w:hyperlink w:anchor="ca44101_guide_to_reading_this_prospectus">
              <w:r>
                <w:rPr>
                  <w:rStyle w:val="InternetLink"/>
                  <w:rFonts w:ascii="times" w:hAnsi="times"/>
                  <w:sz w:val="20"/>
                </w:rPr>
                <w:t>Guide to Reading This Prospectus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a44101_guide_to_reading_this_prospectus">
              <w:r>
                <w:rPr>
                  <w:rStyle w:val="InternetLink"/>
                  <w:rFonts w:ascii="times" w:hAnsi="times"/>
                  <w:sz w:val="20"/>
                </w:rPr>
                <w:t>ii</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a44101_where_you_can_find_more_information">
              <w:r>
                <w:rPr>
                  <w:rStyle w:val="InternetLink"/>
                  <w:rFonts w:ascii="times" w:hAnsi="times"/>
                  <w:sz w:val="20"/>
                </w:rPr>
                <w:t>Where You Can Find More Information</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a44101_where_you_can_find_more_information">
              <w:r>
                <w:rPr>
                  <w:rStyle w:val="InternetLink"/>
                  <w:rFonts w:ascii="times" w:hAnsi="times"/>
                  <w:sz w:val="20"/>
                </w:rPr>
                <w:t>iii</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a44101_forward-looking_statements">
              <w:r>
                <w:rPr>
                  <w:rStyle w:val="InternetLink"/>
                  <w:rFonts w:ascii="times" w:hAnsi="times"/>
                  <w:sz w:val="20"/>
                </w:rPr>
                <w:t>Forward-Looking Statements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a44101_forward-looking_statements">
              <w:r>
                <w:rPr>
                  <w:rStyle w:val="InternetLink"/>
                  <w:rFonts w:ascii="times" w:hAnsi="times"/>
                  <w:sz w:val="20"/>
                </w:rPr>
                <w:t>iv</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c44101_about_plains_gp_holdings,_l.p.">
              <w:r>
                <w:rPr>
                  <w:rStyle w:val="InternetLink"/>
                  <w:rFonts w:ascii="times" w:hAnsi="times"/>
                  <w:sz w:val="20"/>
                </w:rPr>
                <w:t>About Plains GP Holdings, L.P. </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c44101_about_plains_gp_holdings,_l.p.">
              <w:r>
                <w:rPr>
                  <w:rStyle w:val="InternetLink"/>
                  <w:rFonts w:ascii="times" w:hAnsi="times"/>
                  <w:sz w:val="20"/>
                </w:rPr>
                <w:t>1</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c44101_risk_factors">
              <w:r>
                <w:rPr>
                  <w:rStyle w:val="InternetLink"/>
                  <w:rFonts w:ascii="times" w:hAnsi="times"/>
                  <w:sz w:val="20"/>
                </w:rPr>
                <w:t>Risk Factors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c44101_risk_factors">
              <w:r>
                <w:rPr>
                  <w:rStyle w:val="InternetLink"/>
                  <w:rFonts w:ascii="times" w:hAnsi="times"/>
                  <w:sz w:val="20"/>
                </w:rPr>
                <w:t>2</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c44101_use_of_proceeds">
              <w:r>
                <w:rPr>
                  <w:rStyle w:val="InternetLink"/>
                  <w:rFonts w:ascii="times" w:hAnsi="times"/>
                  <w:sz w:val="20"/>
                </w:rPr>
                <w:t>Use of Proceeds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c44101_use_of_proceeds">
              <w:r>
                <w:rPr>
                  <w:rStyle w:val="InternetLink"/>
                  <w:rFonts w:ascii="times" w:hAnsi="times"/>
                  <w:sz w:val="20"/>
                </w:rPr>
                <w:t>3</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c44101_price_range_of_class_a_shares_and_distributions">
              <w:r>
                <w:rPr>
                  <w:rStyle w:val="InternetLink"/>
                  <w:rFonts w:ascii="times" w:hAnsi="times"/>
                  <w:sz w:val="20"/>
                </w:rPr>
                <w:t>Price Range of Class A Shares and Distributions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c44101_price_range_of_class_a_shares_and_distributions">
              <w:r>
                <w:rPr>
                  <w:rStyle w:val="InternetLink"/>
                  <w:rFonts w:ascii="times" w:hAnsi="times"/>
                  <w:sz w:val="20"/>
                </w:rPr>
                <w:t>4</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e44101_our_cash_distribution_policy">
              <w:r>
                <w:rPr>
                  <w:rStyle w:val="InternetLink"/>
                  <w:rFonts w:ascii="times" w:hAnsi="times"/>
                  <w:sz w:val="20"/>
                </w:rPr>
                <w:t>Our Cash Distribution Policy</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e44101_our_cash_distribution_policy">
              <w:r>
                <w:rPr>
                  <w:rStyle w:val="InternetLink"/>
                  <w:rFonts w:ascii="times" w:hAnsi="times"/>
                  <w:sz w:val="20"/>
                </w:rPr>
                <w:t>5</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e44101_the_partnership_agreement">
              <w:r>
                <w:rPr>
                  <w:rStyle w:val="InternetLink"/>
                  <w:rFonts w:ascii="times" w:hAnsi="times"/>
                  <w:sz w:val="20"/>
                </w:rPr>
                <w:t>The Partnership Agreement</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e44101_the_partnership_agreement">
              <w:r>
                <w:rPr>
                  <w:rStyle w:val="InternetLink"/>
                  <w:rFonts w:ascii="times" w:hAnsi="times"/>
                  <w:sz w:val="20"/>
                </w:rPr>
                <w:t>7</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k44101_description_of_our_shares">
              <w:r>
                <w:rPr>
                  <w:rStyle w:val="InternetLink"/>
                  <w:rFonts w:ascii="times" w:hAnsi="times"/>
                  <w:sz w:val="20"/>
                </w:rPr>
                <w:t>Description of Our Shares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k44101_description_of_our_shares">
              <w:r>
                <w:rPr>
                  <w:rStyle w:val="InternetLink"/>
                  <w:rFonts w:ascii="times" w:hAnsi="times"/>
                  <w:sz w:val="20"/>
                </w:rPr>
                <w:t>20</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k44101_material_u.s._federal_income_tax_consequences">
              <w:r>
                <w:rPr>
                  <w:rStyle w:val="InternetLink"/>
                  <w:rFonts w:ascii="times" w:hAnsi="times"/>
                  <w:sz w:val="20"/>
                </w:rPr>
                <w:t>Material U.S. Federal Income Tax Consequences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k44101_material_u.s._federal_income_tax_consequences">
              <w:r>
                <w:rPr>
                  <w:rStyle w:val="InternetLink"/>
                  <w:rFonts w:ascii="times" w:hAnsi="times"/>
                  <w:sz w:val="20"/>
                </w:rPr>
                <w:t>22</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m44101_investment_in_plains_gp_holdin__inv02443">
              <w:r>
                <w:rPr>
                  <w:rStyle w:val="InternetLink"/>
                  <w:rFonts w:ascii="times" w:hAnsi="times"/>
                  <w:sz w:val="20"/>
                </w:rPr>
                <w:t>Investment in Plains GP Holdings, L.P. by Employee Benefit Plans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m44101_investment_in_plains_gp_holdin__inv02443">
              <w:r>
                <w:rPr>
                  <w:rStyle w:val="InternetLink"/>
                  <w:rFonts w:ascii="times" w:hAnsi="times"/>
                  <w:sz w:val="20"/>
                </w:rPr>
                <w:t>28</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o44101_selling_shareholders">
              <w:r>
                <w:rPr>
                  <w:rStyle w:val="InternetLink"/>
                  <w:rFonts w:ascii="times" w:hAnsi="times"/>
                  <w:sz w:val="20"/>
                </w:rPr>
                <w:t>Selling Shareholders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o44101_selling_shareholders">
              <w:r>
                <w:rPr>
                  <w:rStyle w:val="InternetLink"/>
                  <w:rFonts w:ascii="times" w:hAnsi="times"/>
                  <w:sz w:val="20"/>
                </w:rPr>
                <w:t>30</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o44101_plan_of_distribution">
              <w:r>
                <w:rPr>
                  <w:rStyle w:val="InternetLink"/>
                  <w:rFonts w:ascii="times" w:hAnsi="times"/>
                  <w:sz w:val="20"/>
                </w:rPr>
                <w:t>Plan of Distribution</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o44101_plan_of_distribution">
              <w:r>
                <w:rPr>
                  <w:rStyle w:val="InternetLink"/>
                  <w:rFonts w:ascii="times" w:hAnsi="times"/>
                  <w:sz w:val="20"/>
                </w:rPr>
                <w:t>34</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o44101_legal_matters">
              <w:r>
                <w:rPr>
                  <w:rStyle w:val="InternetLink"/>
                  <w:rFonts w:ascii="times" w:hAnsi="times"/>
                  <w:sz w:val="20"/>
                </w:rPr>
                <w:t>Legal Matters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o44101_legal_matters">
              <w:r>
                <w:rPr>
                  <w:rStyle w:val="InternetLink"/>
                  <w:rFonts w:ascii="times" w:hAnsi="times"/>
                  <w:sz w:val="20"/>
                </w:rPr>
                <w:t>36</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o44101_experts">
              <w:r>
                <w:rPr>
                  <w:rStyle w:val="InternetLink"/>
                  <w:rFonts w:ascii="times" w:hAnsi="times"/>
                  <w:sz w:val="20"/>
                </w:rPr>
                <w:t>Experts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o44101_experts">
              <w:r>
                <w:rPr>
                  <w:rStyle w:val="InternetLink"/>
                  <w:rFonts w:ascii="times" w:hAnsi="times"/>
                  <w:sz w:val="20"/>
                </w:rPr>
                <w:t>36</w:t>
              </w:r>
            </w:hyperlink>
          </w:p>
        </w:tc>
        <w:tc>
          <w:tcPr>
            <w:tcW w:w="295" w:type="dxa"/>
            <w:tcBorders/>
            <w:shd w:fill="auto" w:val="clear"/>
            <w:vAlign w:val="bottom"/>
          </w:tcPr>
          <w:p>
            <w:pPr>
              <w:pStyle w:val="TableContents"/>
              <w:spacing w:before="0" w:after="283"/>
              <w:rPr/>
            </w:pPr>
            <w:r>
              <w:rPr/>
              <w:t> </w:t>
            </w:r>
          </w:p>
        </w:tc>
      </w:tr>
    </w:tbl>
    <w:p>
      <w:pPr>
        <w:pStyle w:val="HorizontalLine"/>
        <w:pBdr>
          <w:bottom w:val="single" w:sz="6" w:space="0" w:color="000000"/>
        </w:pBdr>
        <w:ind w:left="3776" w:right="3776" w:hanging="0"/>
        <w:rPr/>
      </w:pPr>
      <w:r>
        <w:rPr/>
      </w:r>
    </w:p>
    <w:p>
      <w:pPr>
        <w:pStyle w:val="TextBody"/>
        <w:rPr>
          <w:sz w:val="20"/>
        </w:rPr>
      </w:pPr>
      <w:r>
        <w:rPr>
          <w:sz w:val="20"/>
        </w:rPr>
      </w:r>
    </w:p>
    <w:p>
      <w:pPr>
        <w:pStyle w:val="TextBody"/>
        <w:rPr/>
      </w:pPr>
      <w:r>
        <w:rPr/>
        <w:t>        </w:t>
      </w:r>
      <w:r>
        <w:rPr>
          <w:rFonts w:ascii="times" w:hAnsi="times"/>
          <w:b/>
          <w:sz w:val="20"/>
        </w:rPr>
        <w:t>You should rely only on the information contained in or incorporated by reference into this prospectus. Neither we nor the selling shareholders have authorized anyone to provide you with additional or different information. If any other person provides you with additional, different or inconsistent information, you should not rely on it. This prospectus is not an offer to sell or the solicitation of an offer to buy any securities other than the securities to which it relates and is not an offer to sell or the solicitation of an offer to buy securities in any jurisdiction where an offer or sale is not permitted. You should not assume that the information appearing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w:t>
      </w:r>
    </w:p>
    <w:p>
      <w:pPr>
        <w:pStyle w:val="TextBody"/>
        <w:rPr/>
      </w:pPr>
      <w:r>
        <w:rPr/>
        <w:t>        </w:t>
      </w:r>
      <w:r>
        <w:rPr>
          <w:rFonts w:ascii="times" w:hAnsi="times"/>
          <w:sz w:val="20"/>
        </w:rPr>
        <w:t xml:space="preserve">The information in this prospectus is not complete. You should review carefully all of the detailed information appearing in this prospectus, any prospectus supplement, any free writing prospectus relating to this offering and the documents we have incorporated by reference before making any investment decision. </w:t>
      </w:r>
    </w:p>
    <w:p>
      <w:pPr>
        <w:pStyle w:val="TextBody"/>
        <w:jc w:val="center"/>
        <w:rPr>
          <w:rFonts w:ascii="times" w:hAnsi="times"/>
          <w:sz w:val="20"/>
        </w:rPr>
      </w:pPr>
      <w:r>
        <w:rPr>
          <w:rFonts w:ascii="times" w:hAnsi="times"/>
          <w:sz w:val="20"/>
        </w:rPr>
        <w:t>i</w:t>
      </w:r>
    </w:p>
    <w:p>
      <w:pPr>
        <w:pStyle w:val="HorizontalLine"/>
        <w:pBdr>
          <w:bottom w:val="single" w:sz="20" w:space="0" w:color="808080"/>
        </w:pBdr>
        <w:rPr/>
      </w:pPr>
      <w:r>
        <w:rPr/>
      </w:r>
      <w:r>
        <w:br w:type="page"/>
      </w:r>
    </w:p>
    <w:p>
      <w:pPr>
        <w:pStyle w:val="TextBody"/>
        <w:rPr/>
      </w:pPr>
      <w:hyperlink w:anchor="bg44101a_main_toc">
        <w:bookmarkStart w:id="9" w:name="page_ca44101_1_2"/>
        <w:bookmarkEnd w:id="9"/>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0" w:name="toc_ca44101_1"/>
      <w:bookmarkStart w:id="11" w:name="ca44101_guide_to_reading_this_prospectus"/>
      <w:bookmarkEnd w:id="10"/>
      <w:bookmarkEnd w:id="11"/>
      <w:r>
        <w:rPr>
          <w:rFonts w:ascii="times" w:hAnsi="times"/>
          <w:sz w:val="20"/>
        </w:rPr>
        <w:br/>
      </w:r>
      <w:r>
        <w:rPr>
          <w:rFonts w:ascii="times" w:hAnsi="times"/>
          <w:b/>
          <w:sz w:val="20"/>
        </w:rPr>
        <w:t xml:space="preserve">GUIDE TO READING THIS PROSPECTUS </w:t>
      </w:r>
    </w:p>
    <w:p>
      <w:pPr>
        <w:pStyle w:val="TextBody"/>
        <w:rPr/>
      </w:pPr>
      <w:r>
        <w:rPr/>
        <w:t>        </w:t>
      </w:r>
      <w:r>
        <w:rPr>
          <w:rFonts w:ascii="times" w:hAnsi="times"/>
          <w:sz w:val="20"/>
        </w:rPr>
        <w:t xml:space="preserve">This prospectus is part of a registration statement on Form S-3 that we filed with the SEC utilizing a "shelf" registration process. Under this shelf registration process, the selling shareholders may over time, in one or more offerings, offer and sell up to 402,447,679 of our Class A shares. </w:t>
      </w:r>
    </w:p>
    <w:p>
      <w:pPr>
        <w:pStyle w:val="TextBody"/>
        <w:rPr/>
      </w:pPr>
      <w:r>
        <w:rPr/>
        <w:t>        </w:t>
      </w:r>
      <w:r>
        <w:rPr>
          <w:rFonts w:ascii="times" w:hAnsi="times"/>
          <w:sz w:val="20"/>
        </w:rPr>
        <w:t xml:space="preserve">We may file one or more prospectus supplements that may describe the specific manner in which the selling shareholders will offer the Class A shares and may also add, update or change information in this prospectus. If there is any inconsistency between the information in this prospectus and any prospectus supplement, you should rely on the information in such prospectus supplement. </w:t>
      </w:r>
    </w:p>
    <w:p>
      <w:pPr>
        <w:pStyle w:val="TextBody"/>
        <w:rPr/>
      </w:pPr>
      <w:r>
        <w:rPr/>
        <w:t>        </w:t>
      </w:r>
      <w:r>
        <w:rPr>
          <w:rFonts w:ascii="times" w:hAnsi="times"/>
          <w:sz w:val="20"/>
        </w:rPr>
        <w:t>The following information should help you understand some of the conventions used in this prospectus. All references in this prospectus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"we," "us," "the Partnership" or "Plains GP Holdings, L.P." refer to Plains GP Holdings, L.P., the registrant itself, or to Plains GP Holdings, L.P. and our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 or other matters involving PAA's assets and operating activities);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refer to Plains All American Pipeline, L.P. (NYSE: PAA), individually, or to Plains All American Pipeline, L.P. and its operating subsidiaries collectively, as the context requires;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GP" refer to PAA GP LLC, the general partner of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"AAP" refer to Plains AAP, L.P., which owns a 100% membership interest in PAA GP;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"GP LLC" refer to Plains All American GP LLC, the general partner of AAP;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refer to PAA GP Holdings LLC;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"partnership agreement" refer to the Amended and Restated Agreement of Limited Partnership of Plains GP Holdings,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"Registration Rights Agreement" refer to the Shareholder and Registration Rights Agreement entered into with the Legacy Owners in connection with our initial public offering (our "IPO");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"affiliates" of our general partner do not include the Legacy Owners, other than PAA Management, L.P.;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"Legacy Owners" refer to owners of AAP immediately prior to our IPO including, but not limited to: PAA Management, L.P.; and certain entities and individuals affiliated with Occidental Petroleum Corporation ("Occidental"), The Energy &amp; Minerals Group ("EMG"), and Kayne Anderson Investment Management Inc. ("Kayne Anderson"). Unless the context requires otherwise, references to Kayne Anderson include KAFU Holdings, L.P., KAFU Holdings II, L.P., KA First Reserve XII, LLC, Kayne Anderson MLP Investment Company, Kayne Anderson Energy Development Company and Kayne Anderson Midstream/Energy Fund, Inc. </w:t>
      </w:r>
    </w:p>
    <w:p>
      <w:pPr>
        <w:pStyle w:val="TextBody"/>
        <w:jc w:val="center"/>
        <w:rPr>
          <w:rFonts w:ascii="times" w:hAnsi="times"/>
          <w:sz w:val="20"/>
        </w:rPr>
      </w:pPr>
      <w:r>
        <w:rPr>
          <w:rFonts w:ascii="times" w:hAnsi="times"/>
          <w:sz w:val="20"/>
        </w:rPr>
        <w:t>ii</w:t>
      </w:r>
    </w:p>
    <w:p>
      <w:pPr>
        <w:pStyle w:val="HorizontalLine"/>
        <w:pBdr>
          <w:bottom w:val="single" w:sz="20" w:space="0" w:color="808080"/>
        </w:pBdr>
        <w:rPr/>
      </w:pPr>
      <w:r>
        <w:rPr/>
      </w:r>
      <w:r>
        <w:br w:type="page"/>
      </w:r>
    </w:p>
    <w:p>
      <w:pPr>
        <w:pStyle w:val="TextBody"/>
        <w:rPr/>
      </w:pPr>
      <w:hyperlink w:anchor="bg44101a_main_toc">
        <w:bookmarkStart w:id="12" w:name="page_ca44101_1_3"/>
        <w:bookmarkEnd w:id="12"/>
        <w:r>
          <w:rPr>
            <w:rStyle w:val="InternetLink"/>
            <w:rFonts w:ascii="times" w:hAnsi="times"/>
            <w:sz w:val="20"/>
          </w:rPr>
          <w:t>Table of Contents</w:t>
        </w:r>
      </w:hyperlink>
    </w:p>
    <w:p>
      <w:pPr>
        <w:pStyle w:val="TextBody"/>
        <w:jc w:val="center"/>
        <w:rPr>
          <w:rFonts w:ascii="times" w:hAnsi="times"/>
        </w:rPr>
      </w:pPr>
      <w:bookmarkStart w:id="13" w:name="toc_ca44101_2"/>
      <w:bookmarkStart w:id="14" w:name="ca44101_where_you_can_find_more_informat"/>
      <w:bookmarkEnd w:id="13"/>
      <w:bookmarkEnd w:id="14"/>
      <w:r>
        <w:rPr>
          <w:rFonts w:ascii="times" w:hAnsi="times"/>
          <w:sz w:val="20"/>
        </w:rPr>
        <w:br/>
      </w:r>
      <w:r>
        <w:rPr>
          <w:rFonts w:ascii="times" w:hAnsi="times"/>
          <w:b/>
          <w:sz w:val="20"/>
        </w:rPr>
        <w:t xml:space="preserve">WHERE YOU CAN FIND MORE INFORMATION </w:t>
      </w:r>
    </w:p>
    <w:p>
      <w:pPr>
        <w:pStyle w:val="TextBody"/>
        <w:rPr/>
      </w:pPr>
      <w:r>
        <w:rPr/>
        <w:t>        </w:t>
      </w:r>
      <w:r>
        <w:rPr>
          <w:rFonts w:ascii="times" w:hAnsi="times"/>
          <w:sz w:val="20"/>
        </w:rPr>
        <w:t xml:space="preserve">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w:t>
      </w:r>
    </w:p>
    <w:p>
      <w:pPr>
        <w:pStyle w:val="TextBody"/>
        <w:rPr/>
      </w:pPr>
      <w:r>
        <w:rPr/>
        <w:t>        </w:t>
      </w:r>
      <w:r>
        <w:rPr>
          <w:rFonts w:ascii="times" w:hAnsi="times"/>
          <w:sz w:val="20"/>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including all such documents we may file with the SEC after the date of the initial registration statement and prior to the effectiveness of the registration statement, until all offerings under this registration statement are completed:</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Annual Report on Form 10-K for the year ended December 31, 2013;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Quarterly Reports on Form 10-Q for the quarterly periods ended March 31, 2014, June 30, 2014 and September 30, 2014;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Current Reports on Form 8-K filed on January 10, 2014, January 28, 2014, April 29, 2014, September 11, 2014, September 25, 2014, November 6, 2014, November 13, 2014 and November 19, 2014;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description of our Class A shares contained in our Registration Statement on Form 8-A, filed on October 15, 2013, and any subsequent amendment or report filed for the purpose of updating such description. </w:t>
      </w:r>
    </w:p>
    <w:p>
      <w:pPr>
        <w:pStyle w:val="TextBody"/>
        <w:rPr/>
      </w:pPr>
      <w:r>
        <w:rPr/>
        <w:t>        </w:t>
      </w:r>
      <w:r>
        <w:rPr>
          <w:rFonts w:ascii="times" w:hAnsi="times"/>
          <w:sz w:val="20"/>
        </w:rPr>
        <w:t xml:space="preserve">You may request a copy of any document incorporated by reference in this prospectus and any exhibit specifically incorporated by reference in those documents, at no cost, by writing or telephoning us at the following address or phone number: </w:t>
      </w:r>
    </w:p>
    <w:p>
      <w:pPr>
        <w:pStyle w:val="TextBody"/>
        <w:jc w:val="center"/>
        <w:rPr>
          <w:rFonts w:ascii="times" w:hAnsi="times"/>
          <w:sz w:val="20"/>
        </w:rPr>
      </w:pPr>
      <w:r>
        <w:rPr>
          <w:rFonts w:ascii="times" w:hAnsi="times"/>
          <w:sz w:val="20"/>
        </w:rPr>
        <w:t>Plains GP Holdings, L.P.</w:t>
        <w:br/>
        <w:t>Investor Relations</w:t>
        <w:br/>
        <w:t>333 Clay Street, Suite 1600</w:t>
        <w:br/>
        <w:t>Houston, Texas 77002</w:t>
        <w:br/>
        <w:t xml:space="preserve">(713) 646-4100 </w:t>
      </w:r>
    </w:p>
    <w:p>
      <w:pPr>
        <w:pStyle w:val="TextBody"/>
        <w:rPr/>
      </w:pPr>
      <w:r>
        <w:rPr/>
        <w:t>        </w:t>
      </w:r>
      <w:r>
        <w:rPr>
          <w:rFonts w:ascii="times" w:hAnsi="times"/>
          <w:sz w:val="20"/>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times" w:hAnsi="times"/>
          <w:i/>
          <w:sz w:val="20"/>
        </w:rPr>
        <w:t>www.sec.gov</w:t>
      </w:r>
      <w:r>
        <w:rPr>
          <w:rFonts w:ascii="times" w:hAnsi="times"/>
          <w:sz w:val="20"/>
        </w:rPr>
        <w:t xml:space="preserve">. </w:t>
      </w:r>
    </w:p>
    <w:p>
      <w:pPr>
        <w:pStyle w:val="TextBody"/>
        <w:rPr/>
      </w:pPr>
      <w:r>
        <w:rPr/>
        <w:t>        </w:t>
      </w:r>
      <w:r>
        <w:rPr>
          <w:rFonts w:ascii="times" w:hAnsi="times"/>
          <w:sz w:val="20"/>
        </w:rPr>
        <w:t xml:space="preserve">We also make available free of charge on our website at </w:t>
      </w:r>
      <w:r>
        <w:rPr>
          <w:rFonts w:ascii="times" w:hAnsi="times"/>
          <w:i/>
          <w:sz w:val="20"/>
        </w:rPr>
        <w:t>ir.paagp.com</w:t>
      </w:r>
      <w:r>
        <w:rPr>
          <w:rFonts w:ascii="times" w:hAnsi="times"/>
        </w:rPr>
        <w:t xml:space="preserve"> </w:t>
      </w:r>
      <w:r>
        <w:rPr>
          <w:rFonts w:ascii="times" w:hAnsi="times"/>
          <w:sz w:val="20"/>
        </w:rPr>
        <w:t xml:space="preserve">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 </w:t>
      </w:r>
    </w:p>
    <w:p>
      <w:pPr>
        <w:pStyle w:val="TextBody"/>
        <w:jc w:val="center"/>
        <w:rPr>
          <w:rFonts w:ascii="times" w:hAnsi="times"/>
          <w:sz w:val="20"/>
        </w:rPr>
      </w:pPr>
      <w:r>
        <w:rPr>
          <w:rFonts w:ascii="times" w:hAnsi="times"/>
          <w:sz w:val="20"/>
        </w:rPr>
        <w:t>iii</w:t>
      </w:r>
    </w:p>
    <w:p>
      <w:pPr>
        <w:pStyle w:val="HorizontalLine"/>
        <w:pBdr>
          <w:bottom w:val="single" w:sz="20" w:space="0" w:color="808080"/>
        </w:pBdr>
        <w:rPr/>
      </w:pPr>
      <w:r>
        <w:rPr/>
      </w:r>
      <w:r>
        <w:br w:type="page"/>
      </w:r>
    </w:p>
    <w:p>
      <w:pPr>
        <w:pStyle w:val="TextBody"/>
        <w:rPr/>
      </w:pPr>
      <w:hyperlink w:anchor="bg44101a_main_toc">
        <w:bookmarkStart w:id="15" w:name="page_ca44101_1_4"/>
        <w:bookmarkEnd w:id="15"/>
        <w:r>
          <w:rPr>
            <w:rStyle w:val="InternetLink"/>
            <w:rFonts w:ascii="times" w:hAnsi="times"/>
            <w:sz w:val="20"/>
          </w:rPr>
          <w:t>Table of Contents</w:t>
        </w:r>
      </w:hyperlink>
    </w:p>
    <w:p>
      <w:pPr>
        <w:pStyle w:val="TextBody"/>
        <w:jc w:val="center"/>
        <w:rPr>
          <w:rFonts w:ascii="times" w:hAnsi="times"/>
        </w:rPr>
      </w:pPr>
      <w:bookmarkStart w:id="16" w:name="toc_ca44101_3"/>
      <w:bookmarkStart w:id="17" w:name="ca44101_forward-looking_statements"/>
      <w:bookmarkEnd w:id="16"/>
      <w:bookmarkEnd w:id="17"/>
      <w:r>
        <w:rPr>
          <w:rFonts w:ascii="times" w:hAnsi="times"/>
          <w:sz w:val="20"/>
        </w:rPr>
        <w:br/>
      </w:r>
      <w:r>
        <w:rPr>
          <w:rFonts w:ascii="times" w:hAnsi="times"/>
          <w:b/>
          <w:sz w:val="20"/>
        </w:rPr>
        <w:t xml:space="preserve">FORWARD-LOOKING STATEMENTS </w:t>
      </w:r>
    </w:p>
    <w:p>
      <w:pPr>
        <w:pStyle w:val="TextBody"/>
        <w:rPr/>
      </w:pPr>
      <w:r>
        <w:rPr/>
        <w:t>        </w:t>
      </w:r>
      <w:r>
        <w:rPr>
          <w:rFonts w:ascii="times" w:hAnsi="times"/>
          <w:sz w:val="20"/>
        </w:rPr>
        <w:t>All statements included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pay distributions to our Class A shareholders;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expected receipt of, and amounts of, distributions from AAP;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failure to implement or capitalize, or delays in implementing or capitalizing, on planned internal growth projects;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unanticipated changes in crude oil market structure, grade differentials and volatility (or lack thereof);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environmental liabilities or events that are not covered by an indemnity, insurance or existing reserves;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occurrence of a natural disaster, catastrophe, terrorist attack or other event, including attacks on our electronic and computer systems;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weather interference with business operations or project construction, including the impact of extreme weather events or conditions;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tightened capital markets or other factors that increase our cost of capital or limit our access to capital;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maintenance of PAA's credit rating and ability to receive open credit from our suppliers and trade counterparties;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continued creditworthiness of, and performance by, our counterparties, including financial institutions and trading companies with which we do business;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currency exchange rate of the Canadian dollar;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availability of, and our ability to consummate, acquisition or combination opportunities;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successful integration and future performance of acquired assets or businesses and the risks associated with operating in lines of business that are distinct and separate from our historical operations;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shortages or cost increases of supplies, materials or labor;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effectiveness of our risk management activities; </w:t>
      </w:r>
    </w:p>
    <w:p>
      <w:pPr>
        <w:pStyle w:val="TextBody"/>
        <w:jc w:val="center"/>
        <w:rPr>
          <w:rFonts w:ascii="times" w:hAnsi="times"/>
          <w:sz w:val="20"/>
        </w:rPr>
      </w:pPr>
      <w:r>
        <w:rPr>
          <w:rFonts w:ascii="times" w:hAnsi="times"/>
          <w:sz w:val="20"/>
        </w:rPr>
        <w:t>iv</w:t>
      </w:r>
    </w:p>
    <w:p>
      <w:pPr>
        <w:pStyle w:val="HorizontalLine"/>
        <w:pBdr>
          <w:bottom w:val="single" w:sz="20" w:space="0" w:color="808080"/>
        </w:pBdr>
        <w:rPr/>
      </w:pPr>
      <w:r>
        <w:rPr/>
      </w:r>
      <w:r>
        <w:br w:type="page"/>
      </w:r>
    </w:p>
    <w:p>
      <w:pPr>
        <w:pStyle w:val="TextBody"/>
        <w:rPr/>
      </w:pPr>
      <w:hyperlink w:anchor="bg44101a_main_toc">
        <w:bookmarkStart w:id="18" w:name="page_ca44101_1_5"/>
        <w:bookmarkEnd w:id="18"/>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obtain debt or equity financing on satisfactory terms to fund additional acquisitions, expansion projects, working capital requirements and the repayment or refinancing of indebtedness;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impact of current and future laws, rulings, governmental regulations, accounting standards and statements, and related interpretations;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non-utilization of our assets and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effects of competition;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increased costs or lack of availability of insurance;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the debt and equity markets, including the price of PAA's units at the time of vesting under its long-term incentive plans;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risks related to the development and operation of our facilities, including our ability to satisfy our contractual obligations to our customers at our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factors affecting demand for natural gas and natural gas storage services and rates;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economic, market or business conditions and the amplification of other risks caused by volatile financial markets, capital constraints and pervasive liquidity concerns;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p>
      <w:pPr>
        <w:pStyle w:val="TextBody"/>
        <w:rPr/>
      </w:pPr>
      <w:r>
        <w:rPr/>
        <w:t>        </w:t>
      </w:r>
      <w:r>
        <w:rPr>
          <w:rFonts w:ascii="times" w:hAnsi="times"/>
          <w:sz w:val="20"/>
        </w:rPr>
        <w:t xml:space="preserve">Other factors described or incorporated by reference herein, as well as factors that are unknown or unpredictable, could also have a material adverse effect on future results. Please read "Risk Factors" beginning on page 2 of this prospectus and in our Annual Report on Form 10-K for the fiscal year ended December 31, 2013 (File No. 001-36132), which is incorporated in this prospectus by reference, for information regarding risks you should consider before making an investment decision. Except as required by applicable securities laws, we do not intend to update these forward-looking statements and information. </w:t>
      </w:r>
    </w:p>
    <w:p>
      <w:pPr>
        <w:pStyle w:val="TextBody"/>
        <w:jc w:val="center"/>
        <w:rPr>
          <w:rFonts w:ascii="times" w:hAnsi="times"/>
          <w:sz w:val="20"/>
        </w:rPr>
      </w:pPr>
      <w:r>
        <w:rPr>
          <w:rFonts w:ascii="times" w:hAnsi="times"/>
          <w:sz w:val="20"/>
        </w:rPr>
        <w:t>v</w:t>
      </w:r>
    </w:p>
    <w:p>
      <w:pPr>
        <w:pStyle w:val="HorizontalLine"/>
        <w:pBdr>
          <w:bottom w:val="single" w:sz="20" w:space="0" w:color="808080"/>
        </w:pBdr>
        <w:rPr/>
      </w:pPr>
      <w:r>
        <w:rPr/>
      </w:r>
      <w:r>
        <w:br w:type="page"/>
      </w:r>
    </w:p>
    <w:p>
      <w:pPr>
        <w:pStyle w:val="TextBody"/>
        <w:rPr/>
      </w:pPr>
      <w:hyperlink w:anchor="bg44101a_main_toc">
        <w:bookmarkStart w:id="19" w:name="page_cc44101_1_1"/>
        <w:bookmarkEnd w:id="19"/>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0" w:name="toc_cc44101_1"/>
      <w:bookmarkStart w:id="21" w:name="cc44101_about_plains_gp_holdings,_l.p."/>
      <w:bookmarkEnd w:id="20"/>
      <w:bookmarkEnd w:id="21"/>
      <w:r>
        <w:rPr>
          <w:rFonts w:ascii="times" w:hAnsi="times"/>
          <w:sz w:val="20"/>
        </w:rPr>
        <w:br/>
      </w:r>
      <w:r>
        <w:rPr>
          <w:rFonts w:ascii="times" w:hAnsi="times"/>
          <w:b/>
          <w:sz w:val="20"/>
        </w:rPr>
        <w:t xml:space="preserve">ABOUT PLAINS GP HOLDINGS, L.P. </w:t>
      </w:r>
    </w:p>
    <w:p>
      <w:pPr>
        <w:pStyle w:val="TextBody"/>
        <w:rPr>
          <w:rFonts w:ascii="times" w:hAnsi="times"/>
          <w:b/>
          <w:sz w:val="20"/>
        </w:rPr>
      </w:pPr>
      <w:r>
        <w:rPr>
          <w:rFonts w:ascii="times" w:hAnsi="times"/>
          <w:b/>
          <w:sz w:val="20"/>
        </w:rPr>
        <w:t xml:space="preserve">Overview </w:t>
      </w:r>
    </w:p>
    <w:p>
      <w:pPr>
        <w:pStyle w:val="TextBody"/>
        <w:rPr/>
      </w:pPr>
      <w:r>
        <w:rPr/>
        <w:t>        </w:t>
      </w:r>
      <w:r>
        <w:rPr>
          <w:rFonts w:ascii="times" w:hAnsi="times"/>
          <w:sz w:val="20"/>
        </w:rPr>
        <w:t xml:space="preserve">We are a Delaware limited partnership formed in July 2013 that has elected to be treated as a corporation for U.S. federal income tax purposes. As of November 24, 2014, our only cash-generating assets consisted of 205,046,637 Class A Units of AAP, which we refer to as AAP units, which represent a 33.8% limited partner interest in AAP (31.5% economic interest including the dilutive effect of the Class B units of AAP (the "AAP management units")). AAP currently owns all of the incentive distribution rights ("IDRs") and an indirect 2% general partner interest in PAA. </w:t>
      </w:r>
    </w:p>
    <w:p>
      <w:pPr>
        <w:pStyle w:val="TextBody"/>
        <w:rPr/>
      </w:pPr>
      <w:r>
        <w:rPr/>
        <w:t>        </w:t>
      </w:r>
      <w:r>
        <w:rPr>
          <w:rFonts w:ascii="times" w:hAnsi="times"/>
          <w:sz w:val="20"/>
        </w:rPr>
        <w:t xml:space="preserve">PAA is a publicly traded limited partnership engaged in the transportation, storage, terminalling and marketing of crude oil and refined products, as well as in the processing, transportation, fractionation, storage and marketing of natural gas liquids ("NGL"). PAA is one of the largest publicly traded partnerships with an extensive network of pipeline transportation, terminalling, storage and gathering assets in key crude oil and NGL producing basins and transportation corridors and at major market hubs in the United States and Canada. As of September 30, 2014, the market capitalization of PAA's common units totaled approximately $21.9 billion, and on an average daily basis, PAA transported over 3.9 million barrels of crude oil and NGL on its pipelines. </w:t>
      </w:r>
    </w:p>
    <w:p>
      <w:pPr>
        <w:pStyle w:val="TextBody"/>
        <w:rPr/>
      </w:pPr>
      <w:r>
        <w:rPr/>
        <w:t>        </w:t>
      </w:r>
      <w:r>
        <w:rPr>
          <w:rFonts w:ascii="times" w:hAnsi="times"/>
          <w:sz w:val="20"/>
        </w:rPr>
        <w:t xml:space="preserve">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To a lesser extent, PAA also engages in similar activities for natural gas and refined products. </w:t>
      </w:r>
    </w:p>
    <w:p>
      <w:pPr>
        <w:pStyle w:val="TextBody"/>
        <w:rPr>
          <w:rFonts w:ascii="times" w:hAnsi="times"/>
          <w:b/>
          <w:sz w:val="20"/>
        </w:rPr>
      </w:pPr>
      <w:r>
        <w:rPr>
          <w:rFonts w:ascii="times" w:hAnsi="times"/>
          <w:b/>
          <w:sz w:val="20"/>
        </w:rPr>
        <w:t xml:space="preserve">Management of Plains GP Holdings, L.P. </w:t>
      </w:r>
    </w:p>
    <w:p>
      <w:pPr>
        <w:pStyle w:val="TextBody"/>
        <w:rPr/>
      </w:pPr>
      <w:r>
        <w:rPr/>
        <w:t>        </w:t>
      </w:r>
      <w:r>
        <w:rPr>
          <w:rFonts w:ascii="times" w:hAnsi="times"/>
          <w:sz w:val="20"/>
        </w:rPr>
        <w:t xml:space="preserve">Our general partner, PAA GP Holdings LLC, manages our operations and activities and is responsible for exercising on our behalf any rights we have as the managing member of GP LLC, including any rights to appoint members to the board of directors of GP LLC. GP LLC has responsibility for managing the business and affairs of PAA and AAP; however, through our rights as the sole and managing member of GP LLC, we effectively control the business and affairs of PAA and AAP. </w:t>
      </w:r>
    </w:p>
    <w:p>
      <w:pPr>
        <w:pStyle w:val="TextBody"/>
        <w:rPr>
          <w:rFonts w:ascii="times" w:hAnsi="times"/>
          <w:b/>
          <w:sz w:val="20"/>
        </w:rPr>
      </w:pPr>
      <w:r>
        <w:rPr>
          <w:rFonts w:ascii="times" w:hAnsi="times"/>
          <w:b/>
          <w:sz w:val="20"/>
        </w:rPr>
        <w:t xml:space="preserve">Principal Executive Offices and Internet Address </w:t>
      </w:r>
    </w:p>
    <w:p>
      <w:pPr>
        <w:pStyle w:val="TextBody"/>
        <w:rPr/>
      </w:pPr>
      <w:r>
        <w:rPr/>
        <w:t>        </w:t>
      </w:r>
      <w:r>
        <w:rPr>
          <w:rFonts w:ascii="times" w:hAnsi="times"/>
          <w:sz w:val="20"/>
        </w:rPr>
        <w:t xml:space="preserve">Our principal executive offices are located at 333 Clay Street, Suite 1600, Houston, TX 77002 and our telephone number is (713) 646-4100. Our website is located at </w:t>
      </w:r>
      <w:r>
        <w:rPr>
          <w:rFonts w:ascii="times" w:hAnsi="times"/>
          <w:i/>
          <w:sz w:val="20"/>
        </w:rPr>
        <w:t>www.plainsallamerican.com</w:t>
      </w:r>
      <w:r>
        <w:rPr>
          <w:rFonts w:ascii="times" w:hAnsi="times"/>
          <w:sz w:val="20"/>
        </w:rPr>
        <w:t xml:space="preserve">.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 </w:t>
      </w:r>
    </w:p>
    <w:p>
      <w:pPr>
        <w:pStyle w:val="TextBody"/>
        <w:jc w:val="center"/>
        <w:rPr>
          <w:rFonts w:ascii="times" w:hAnsi="times"/>
          <w:sz w:val="20"/>
        </w:rPr>
      </w:pPr>
      <w:r>
        <w:rPr>
          <w:rFonts w:ascii="times" w:hAnsi="times"/>
          <w:sz w:val="20"/>
        </w:rPr>
        <w:t>1</w:t>
      </w:r>
    </w:p>
    <w:p>
      <w:pPr>
        <w:pStyle w:val="HorizontalLine"/>
        <w:pBdr>
          <w:bottom w:val="single" w:sz="20" w:space="0" w:color="808080"/>
        </w:pBdr>
        <w:rPr/>
      </w:pPr>
      <w:r>
        <w:rPr/>
      </w:r>
      <w:r>
        <w:br w:type="page"/>
      </w:r>
    </w:p>
    <w:p>
      <w:pPr>
        <w:pStyle w:val="TextBody"/>
        <w:rPr/>
      </w:pPr>
      <w:hyperlink w:anchor="bg44101a_main_toc">
        <w:bookmarkStart w:id="22" w:name="page_cc44101_1_2"/>
        <w:bookmarkEnd w:id="22"/>
        <w:r>
          <w:rPr>
            <w:rStyle w:val="InternetLink"/>
            <w:rFonts w:ascii="times" w:hAnsi="times"/>
            <w:sz w:val="20"/>
          </w:rPr>
          <w:t>Table of Contents</w:t>
        </w:r>
      </w:hyperlink>
    </w:p>
    <w:p>
      <w:pPr>
        <w:pStyle w:val="TextBody"/>
        <w:jc w:val="center"/>
        <w:rPr>
          <w:rFonts w:ascii="times" w:hAnsi="times"/>
        </w:rPr>
      </w:pPr>
      <w:bookmarkStart w:id="23" w:name="toc_cc44101_2"/>
      <w:bookmarkStart w:id="24" w:name="cc44101_risk_factors"/>
      <w:bookmarkEnd w:id="23"/>
      <w:bookmarkEnd w:id="24"/>
      <w:r>
        <w:rPr>
          <w:rFonts w:ascii="times" w:hAnsi="times"/>
          <w:sz w:val="20"/>
        </w:rPr>
        <w:br/>
      </w:r>
      <w:r>
        <w:rPr>
          <w:rFonts w:ascii="times" w:hAnsi="times"/>
          <w:b/>
          <w:sz w:val="20"/>
        </w:rPr>
        <w:t xml:space="preserve">RISK FACTORS </w:t>
      </w:r>
    </w:p>
    <w:p>
      <w:pPr>
        <w:pStyle w:val="TextBody"/>
        <w:rPr/>
      </w:pPr>
      <w:r>
        <w:rPr/>
        <w:t>        </w:t>
      </w:r>
      <w:r>
        <w:rPr>
          <w:rFonts w:ascii="times" w:hAnsi="times"/>
          <w:sz w:val="20"/>
        </w:rPr>
        <w:t xml:space="preserve">An investment in our Class A shares involves a high degree of risk. Before you invest in our Class A shares, you should carefully consider those risks described in our Annual Report on Form 10-K for the year ended December 31, 2013 (File No. 001-36132), which is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 </w:t>
      </w:r>
    </w:p>
    <w:p>
      <w:pPr>
        <w:pStyle w:val="TextBody"/>
        <w:jc w:val="center"/>
        <w:rPr>
          <w:rFonts w:ascii="times" w:hAnsi="times"/>
          <w:sz w:val="20"/>
        </w:rPr>
      </w:pPr>
      <w:r>
        <w:rPr>
          <w:rFonts w:ascii="times" w:hAnsi="times"/>
          <w:sz w:val="20"/>
        </w:rPr>
        <w:t>2</w:t>
      </w:r>
    </w:p>
    <w:p>
      <w:pPr>
        <w:pStyle w:val="HorizontalLine"/>
        <w:pBdr>
          <w:bottom w:val="single" w:sz="20" w:space="0" w:color="808080"/>
        </w:pBdr>
        <w:rPr/>
      </w:pPr>
      <w:r>
        <w:rPr/>
      </w:r>
      <w:r>
        <w:br w:type="page"/>
      </w:r>
    </w:p>
    <w:p>
      <w:pPr>
        <w:pStyle w:val="TextBody"/>
        <w:rPr/>
      </w:pPr>
      <w:hyperlink w:anchor="bg44101a_main_toc">
        <w:bookmarkStart w:id="25" w:name="page_cc44101_1_3"/>
        <w:bookmarkEnd w:id="25"/>
        <w:r>
          <w:rPr>
            <w:rStyle w:val="InternetLink"/>
            <w:rFonts w:ascii="times" w:hAnsi="times"/>
            <w:sz w:val="20"/>
          </w:rPr>
          <w:t>Table of Contents</w:t>
        </w:r>
      </w:hyperlink>
    </w:p>
    <w:p>
      <w:pPr>
        <w:pStyle w:val="TextBody"/>
        <w:jc w:val="center"/>
        <w:rPr>
          <w:rFonts w:ascii="times" w:hAnsi="times"/>
        </w:rPr>
      </w:pPr>
      <w:bookmarkStart w:id="26" w:name="toc_cc44101_3"/>
      <w:bookmarkStart w:id="27" w:name="cc44101_use_of_proceeds"/>
      <w:bookmarkEnd w:id="26"/>
      <w:bookmarkEnd w:id="27"/>
      <w:r>
        <w:rPr>
          <w:rFonts w:ascii="times" w:hAnsi="times"/>
          <w:sz w:val="20"/>
        </w:rPr>
        <w:br/>
      </w:r>
      <w:r>
        <w:rPr>
          <w:rFonts w:ascii="times" w:hAnsi="times"/>
          <w:b/>
          <w:sz w:val="20"/>
        </w:rPr>
        <w:t xml:space="preserve">USE OF PROCEEDS </w:t>
      </w:r>
    </w:p>
    <w:p>
      <w:pPr>
        <w:pStyle w:val="TextBody"/>
        <w:rPr/>
      </w:pPr>
      <w:r>
        <w:rPr/>
        <w:t>        </w:t>
      </w:r>
      <w:r>
        <w:rPr>
          <w:rFonts w:ascii="times" w:hAnsi="times"/>
          <w:sz w:val="20"/>
        </w:rPr>
        <w:t xml:space="preserve">We will not receive any of the proceeds from the sale of Class A shares by the selling shareholders in any offering. We will cause AAP to pay certain expenses, other than underwriting discounts and commissions, associated with the sale of Class A shares by the selling shareholders. </w:t>
      </w:r>
    </w:p>
    <w:p>
      <w:pPr>
        <w:pStyle w:val="TextBody"/>
        <w:jc w:val="center"/>
        <w:rPr>
          <w:rFonts w:ascii="times" w:hAnsi="times"/>
          <w:sz w:val="20"/>
        </w:rPr>
      </w:pPr>
      <w:r>
        <w:rPr>
          <w:rFonts w:ascii="times" w:hAnsi="times"/>
          <w:sz w:val="20"/>
        </w:rPr>
        <w:t>3</w:t>
      </w:r>
    </w:p>
    <w:p>
      <w:pPr>
        <w:pStyle w:val="HorizontalLine"/>
        <w:pBdr>
          <w:bottom w:val="single" w:sz="20" w:space="0" w:color="808080"/>
        </w:pBdr>
        <w:rPr/>
      </w:pPr>
      <w:r>
        <w:rPr/>
      </w:r>
      <w:r>
        <w:br w:type="page"/>
      </w:r>
    </w:p>
    <w:p>
      <w:pPr>
        <w:pStyle w:val="TextBody"/>
        <w:rPr/>
      </w:pPr>
      <w:hyperlink w:anchor="bg44101a_main_toc">
        <w:bookmarkStart w:id="28" w:name="page_cc44101_1_4"/>
        <w:bookmarkEnd w:id="28"/>
        <w:r>
          <w:rPr>
            <w:rStyle w:val="InternetLink"/>
            <w:rFonts w:ascii="times" w:hAnsi="times"/>
            <w:sz w:val="20"/>
          </w:rPr>
          <w:t>Table of Contents</w:t>
        </w:r>
      </w:hyperlink>
    </w:p>
    <w:p>
      <w:pPr>
        <w:pStyle w:val="TextBody"/>
        <w:jc w:val="center"/>
        <w:rPr>
          <w:rFonts w:ascii="times" w:hAnsi="times"/>
        </w:rPr>
      </w:pPr>
      <w:bookmarkStart w:id="29" w:name="toc_cc44101_4"/>
      <w:bookmarkStart w:id="30" w:name="cc44101_price_range_of_class_a_shares_an"/>
      <w:bookmarkEnd w:id="29"/>
      <w:bookmarkEnd w:id="30"/>
      <w:r>
        <w:rPr>
          <w:rFonts w:ascii="times" w:hAnsi="times"/>
          <w:sz w:val="20"/>
        </w:rPr>
        <w:br/>
      </w:r>
      <w:r>
        <w:rPr>
          <w:rFonts w:ascii="times" w:hAnsi="times"/>
          <w:b/>
          <w:sz w:val="20"/>
        </w:rPr>
        <w:t xml:space="preserve">PRICE RANGE OF CLASS A SHARES AND DISTRIBUTIONS </w:t>
      </w:r>
    </w:p>
    <w:p>
      <w:pPr>
        <w:pStyle w:val="TextBody"/>
        <w:rPr/>
      </w:pPr>
      <w:r>
        <w:rPr/>
        <w:t>        </w:t>
      </w:r>
      <w:r>
        <w:rPr>
          <w:rFonts w:ascii="times" w:hAnsi="times"/>
          <w:sz w:val="20"/>
        </w:rPr>
        <w:t xml:space="preserve">As of November 24, 2014, we had 205,046,637 Class A shares outstanding, held by approximately 32,000 shareholders, including Class A shares held in street name. Our Class A shares are traded on the NYSE under the symbol "PAGP." </w:t>
      </w:r>
    </w:p>
    <w:p>
      <w:pPr>
        <w:pStyle w:val="TextBody"/>
        <w:rPr/>
      </w:pPr>
      <w:r>
        <w:rPr/>
        <w:t>        </w:t>
      </w:r>
      <w:r>
        <w:rPr>
          <w:rFonts w:ascii="times" w:hAnsi="times"/>
          <w:sz w:val="20"/>
        </w:rPr>
        <w:t xml:space="preserve">The following table sets forth, for the periods indicated, the high and low sales prices for the Class A shares, as reported on the NYSE Composite Transactions Tape, and quarterly cash distributions declared per Class A share. The last reported sale price of Class A shares on the NYSE on November 24, 2014 was $27.47 per Class A share. </w:t>
      </w:r>
    </w:p>
    <w:tbl>
      <w:tblPr>
        <w:tblW w:w="5000" w:type="pct"/>
        <w:jc w:val="center"/>
        <w:tblInd w:w="0" w:type="dxa"/>
        <w:tblCellMar>
          <w:top w:w="0" w:type="dxa"/>
          <w:left w:w="0" w:type="dxa"/>
          <w:bottom w:w="0" w:type="dxa"/>
          <w:right w:w="0" w:type="dxa"/>
        </w:tblCellMar>
      </w:tblPr>
      <w:tblGrid>
        <w:gridCol w:w="5231"/>
        <w:gridCol w:w="257"/>
        <w:gridCol w:w="178"/>
        <w:gridCol w:w="835"/>
        <w:gridCol w:w="257"/>
        <w:gridCol w:w="178"/>
        <w:gridCol w:w="835"/>
        <w:gridCol w:w="257"/>
        <w:gridCol w:w="178"/>
        <w:gridCol w:w="1735"/>
        <w:gridCol w:w="264"/>
      </w:tblGrid>
      <w:tr>
        <w:trPr/>
        <w:tc>
          <w:tcPr>
            <w:tcW w:w="5231"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3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r>
      <w:tr>
        <w:trPr/>
        <w:tc>
          <w:tcPr>
            <w:tcW w:w="5231" w:type="dxa"/>
            <w:tcBorders/>
            <w:shd w:fill="auto" w:val="clear"/>
            <w:vAlign w:val="bottom"/>
          </w:tcPr>
          <w:p>
            <w:pPr>
              <w:pStyle w:val="TableHeading"/>
              <w:spacing w:before="0" w:after="283"/>
              <w:jc w:val="left"/>
              <w:rPr/>
            </w:pPr>
            <w:r>
              <w:rPr/>
              <w:t> </w:t>
            </w:r>
          </w:p>
        </w:tc>
        <w:tc>
          <w:tcPr>
            <w:tcW w:w="257" w:type="dxa"/>
            <w:vMerge w:val="restart"/>
            <w:tcBorders/>
            <w:shd w:fill="auto" w:val="clear"/>
            <w:vAlign w:val="bottom"/>
          </w:tcPr>
          <w:p>
            <w:pPr>
              <w:pStyle w:val="TableHeading"/>
              <w:suppressLineNumbers/>
              <w:spacing w:before="0" w:after="283"/>
              <w:jc w:val="center"/>
              <w:rPr/>
            </w:pPr>
            <w:r>
              <w:rPr/>
              <w:t> </w:t>
            </w:r>
          </w:p>
        </w:tc>
        <w:tc>
          <w:tcPr>
            <w:tcW w:w="2283"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A Share</w:t>
              <w:br/>
              <w:t xml:space="preserve">Price Range </w:t>
            </w:r>
          </w:p>
        </w:tc>
        <w:tc>
          <w:tcPr>
            <w:tcW w:w="257" w:type="dxa"/>
            <w:tcBorders/>
            <w:shd w:fill="auto" w:val="clear"/>
            <w:vAlign w:val="bottom"/>
          </w:tcPr>
          <w:p>
            <w:pPr>
              <w:pStyle w:val="TableHeading"/>
              <w:suppressLineNumbers/>
              <w:spacing w:before="0" w:after="283"/>
              <w:jc w:val="center"/>
              <w:rPr/>
            </w:pPr>
            <w:r>
              <w:rPr/>
              <w:t> </w:t>
            </w:r>
          </w:p>
        </w:tc>
        <w:tc>
          <w:tcPr>
            <w:tcW w:w="1913" w:type="dxa"/>
            <w:gridSpan w:val="2"/>
            <w:tcBorders/>
            <w:shd w:fill="auto" w:val="clear"/>
            <w:vAlign w:val="bottom"/>
          </w:tcPr>
          <w:p>
            <w:pPr>
              <w:pStyle w:val="TableHeading"/>
              <w:spacing w:before="0" w:after="283"/>
              <w:jc w:val="left"/>
              <w:rPr/>
            </w:pPr>
            <w:r>
              <w:rPr/>
              <w:t> </w:t>
            </w:r>
          </w:p>
        </w:tc>
        <w:tc>
          <w:tcPr>
            <w:tcW w:w="264" w:type="dxa"/>
            <w:tcBorders/>
            <w:shd w:fill="auto" w:val="clear"/>
            <w:vAlign w:val="bottom"/>
          </w:tcPr>
          <w:p>
            <w:pPr>
              <w:pStyle w:val="TableHeading"/>
              <w:suppressLineNumbers/>
              <w:spacing w:before="0" w:after="283"/>
              <w:jc w:val="center"/>
              <w:rPr/>
            </w:pPr>
            <w:r>
              <w:rPr/>
              <w:t> </w:t>
            </w:r>
          </w:p>
        </w:tc>
      </w:tr>
      <w:tr>
        <w:trPr/>
        <w:tc>
          <w:tcPr>
            <w:tcW w:w="5231" w:type="dxa"/>
            <w:tcBorders/>
            <w:shd w:fill="auto" w:val="clear"/>
            <w:vAlign w:val="bottom"/>
          </w:tcPr>
          <w:p>
            <w:pPr>
              <w:pStyle w:val="TableHeading"/>
              <w:spacing w:before="0" w:after="283"/>
              <w:jc w:val="left"/>
              <w:rPr/>
            </w:pPr>
            <w:r>
              <w:rPr/>
              <w:t> </w:t>
            </w:r>
          </w:p>
        </w:tc>
        <w:tc>
          <w:tcPr>
            <w:tcW w:w="257" w:type="dxa"/>
            <w:vMerge w:val="continue"/>
            <w:tcBorders/>
            <w:shd w:fill="auto" w:val="clear"/>
            <w:vAlign w:val="bottom"/>
          </w:tcPr>
          <w:p>
            <w:pPr>
              <w:pStyle w:val="Normal"/>
              <w:rPr/>
            </w:pPr>
            <w:r>
              <w:rPr/>
            </w:r>
          </w:p>
        </w:tc>
        <w:tc>
          <w:tcPr>
            <w:tcW w:w="2283" w:type="dxa"/>
            <w:gridSpan w:val="5"/>
            <w:vMerge w:val="continue"/>
            <w:tcBorders>
              <w:bottom w:val="single" w:sz="8" w:space="0" w:color="000000"/>
            </w:tcBorders>
            <w:shd w:fill="auto" w:val="clear"/>
            <w:tcMar>
              <w:bottom w:w="28" w:type="dxa"/>
            </w:tcMar>
            <w:vAlign w:val="bottom"/>
          </w:tcPr>
          <w:p>
            <w:pPr>
              <w:pStyle w:val="Normal"/>
              <w:rPr/>
            </w:pPr>
            <w:r>
              <w:rPr/>
            </w:r>
          </w:p>
        </w:tc>
        <w:tc>
          <w:tcPr>
            <w:tcW w:w="257" w:type="dxa"/>
            <w:vMerge w:val="restart"/>
            <w:tcBorders/>
            <w:shd w:fill="auto" w:val="clear"/>
            <w:vAlign w:val="bottom"/>
          </w:tcPr>
          <w:p>
            <w:pPr>
              <w:pStyle w:val="TableHeading"/>
              <w:suppressLineNumbers/>
              <w:spacing w:before="0" w:after="283"/>
              <w:jc w:val="center"/>
              <w:rPr/>
            </w:pPr>
            <w:r>
              <w:rPr/>
              <w:t> </w:t>
            </w:r>
          </w:p>
        </w:tc>
        <w:tc>
          <w:tcPr>
            <w:tcW w:w="1913"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Cash</w:t>
              <w:br/>
              <w:t>Distributions per</w:t>
              <w:br/>
              <w:t xml:space="preserve">Class A Share(1) </w:t>
            </w:r>
          </w:p>
        </w:tc>
        <w:tc>
          <w:tcPr>
            <w:tcW w:w="264" w:type="dxa"/>
            <w:tcBorders/>
            <w:shd w:fill="auto" w:val="clear"/>
            <w:vAlign w:val="bottom"/>
          </w:tcPr>
          <w:p>
            <w:pPr>
              <w:pStyle w:val="TableHeading"/>
              <w:suppressLineNumbers/>
              <w:spacing w:before="0" w:after="283"/>
              <w:jc w:val="center"/>
              <w:rPr/>
            </w:pPr>
            <w:r>
              <w:rPr/>
              <w:t> </w:t>
            </w:r>
          </w:p>
        </w:tc>
      </w:tr>
      <w:tr>
        <w:trPr/>
        <w:tc>
          <w:tcPr>
            <w:tcW w:w="5231" w:type="dxa"/>
            <w:tcBorders/>
            <w:shd w:fill="auto" w:val="clear"/>
            <w:vAlign w:val="bottom"/>
          </w:tcPr>
          <w:p>
            <w:pPr>
              <w:pStyle w:val="TableHeading"/>
              <w:spacing w:before="0" w:after="283"/>
              <w:jc w:val="left"/>
              <w:rPr/>
            </w:pPr>
            <w:r>
              <w:rPr/>
              <w:t> </w:t>
            </w:r>
          </w:p>
        </w:tc>
        <w:tc>
          <w:tcPr>
            <w:tcW w:w="257" w:type="dxa"/>
            <w:tcBorders/>
            <w:shd w:fill="auto" w:val="clear"/>
            <w:vAlign w:val="bottom"/>
          </w:tcPr>
          <w:p>
            <w:pPr>
              <w:pStyle w:val="TableHeading"/>
              <w:suppressLineNumbers/>
              <w:spacing w:before="0" w:after="283"/>
              <w:jc w:val="center"/>
              <w:rPr/>
            </w:pPr>
            <w:r>
              <w:rPr/>
              <w:t> </w:t>
            </w:r>
          </w:p>
        </w:tc>
        <w:tc>
          <w:tcPr>
            <w:tcW w:w="101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 </w:t>
            </w:r>
          </w:p>
        </w:tc>
        <w:tc>
          <w:tcPr>
            <w:tcW w:w="257" w:type="dxa"/>
            <w:tcBorders/>
            <w:shd w:fill="auto" w:val="clear"/>
            <w:vAlign w:val="bottom"/>
          </w:tcPr>
          <w:p>
            <w:pPr>
              <w:pStyle w:val="TableHeading"/>
              <w:suppressLineNumbers/>
              <w:spacing w:before="0" w:after="283"/>
              <w:jc w:val="center"/>
              <w:rPr/>
            </w:pPr>
            <w:r>
              <w:rPr/>
              <w:t> </w:t>
            </w:r>
          </w:p>
        </w:tc>
        <w:tc>
          <w:tcPr>
            <w:tcW w:w="101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 </w:t>
            </w:r>
          </w:p>
        </w:tc>
        <w:tc>
          <w:tcPr>
            <w:tcW w:w="257" w:type="dxa"/>
            <w:vMerge w:val="continue"/>
            <w:tcBorders/>
            <w:shd w:fill="auto" w:val="clear"/>
            <w:vAlign w:val="bottom"/>
          </w:tcPr>
          <w:p>
            <w:pPr>
              <w:pStyle w:val="Normal"/>
              <w:rPr/>
            </w:pPr>
            <w:r>
              <w:rPr/>
            </w:r>
          </w:p>
        </w:tc>
        <w:tc>
          <w:tcPr>
            <w:tcW w:w="1913" w:type="dxa"/>
            <w:gridSpan w:val="2"/>
            <w:vMerge w:val="continue"/>
            <w:tcBorders>
              <w:bottom w:val="single" w:sz="8" w:space="0" w:color="000000"/>
            </w:tcBorders>
            <w:shd w:fill="auto" w:val="clear"/>
            <w:tcMar>
              <w:bottom w:w="28" w:type="dxa"/>
            </w:tcMar>
            <w:vAlign w:val="bottom"/>
          </w:tcPr>
          <w:p>
            <w:pPr>
              <w:pStyle w:val="Normal"/>
              <w:rPr/>
            </w:pPr>
            <w:r>
              <w:rPr/>
            </w:r>
          </w:p>
        </w:tc>
        <w:tc>
          <w:tcPr>
            <w:tcW w:w="264" w:type="dxa"/>
            <w:tcBorders/>
            <w:shd w:fill="auto" w:val="clear"/>
            <w:vAlign w:val="bottom"/>
          </w:tcPr>
          <w:p>
            <w:pPr>
              <w:pStyle w:val="TableHeading"/>
              <w:suppressLineNumbers/>
              <w:spacing w:before="0" w:after="283"/>
              <w:jc w:val="center"/>
              <w:rPr/>
            </w:pPr>
            <w:r>
              <w:rPr/>
              <w:t> </w:t>
            </w:r>
          </w:p>
        </w:tc>
      </w:tr>
      <w:tr>
        <w:trPr/>
        <w:tc>
          <w:tcPr>
            <w:tcW w:w="5231"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2013</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 </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 </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735" w:type="dxa"/>
            <w:tcBorders/>
            <w:shd w:fill="CCEEFF" w:val="clear"/>
            <w:vAlign w:val="bottom"/>
          </w:tcPr>
          <w:p>
            <w:pPr>
              <w:pStyle w:val="TableContents"/>
              <w:spacing w:before="0" w:after="283"/>
              <w:jc w:val="right"/>
              <w:rPr/>
            </w:pPr>
            <w:r>
              <w:rPr/>
              <w:t> </w:t>
            </w:r>
          </w:p>
        </w:tc>
        <w:tc>
          <w:tcPr>
            <w:tcW w:w="264" w:type="dxa"/>
            <w:tcBorders/>
            <w:shd w:fill="CCEEFF" w:val="clear"/>
            <w:vAlign w:val="bottom"/>
          </w:tcPr>
          <w:p>
            <w:pPr>
              <w:pStyle w:val="TableContents"/>
              <w:spacing w:before="0" w:after="283"/>
              <w:rPr/>
            </w:pPr>
            <w:r>
              <w:rPr/>
              <w:t> </w:t>
            </w:r>
          </w:p>
        </w:tc>
      </w:tr>
      <w:tr>
        <w:trPr/>
        <w:tc>
          <w:tcPr>
            <w:tcW w:w="5231"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Fourth Quarter(2)</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35" w:type="dxa"/>
            <w:tcBorders/>
            <w:shd w:fill="FFFFFF" w:val="clear"/>
            <w:vAlign w:val="bottom"/>
          </w:tcPr>
          <w:p>
            <w:pPr>
              <w:pStyle w:val="TableContents"/>
              <w:spacing w:before="0" w:after="283"/>
              <w:jc w:val="right"/>
              <w:rPr>
                <w:rFonts w:ascii="times" w:hAnsi="times"/>
                <w:sz w:val="20"/>
              </w:rPr>
            </w:pPr>
            <w:r>
              <w:rPr>
                <w:rFonts w:ascii="times" w:hAnsi="times"/>
                <w:sz w:val="20"/>
              </w:rPr>
              <w:t>27.04</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35" w:type="dxa"/>
            <w:tcBorders/>
            <w:shd w:fill="FFFFFF" w:val="clear"/>
            <w:vAlign w:val="bottom"/>
          </w:tcPr>
          <w:p>
            <w:pPr>
              <w:pStyle w:val="TableContents"/>
              <w:spacing w:before="0" w:after="283"/>
              <w:jc w:val="right"/>
              <w:rPr>
                <w:rFonts w:ascii="times" w:hAnsi="times"/>
                <w:sz w:val="20"/>
              </w:rPr>
            </w:pPr>
            <w:r>
              <w:rPr>
                <w:rFonts w:ascii="times" w:hAnsi="times"/>
                <w:sz w:val="20"/>
              </w:rPr>
              <w:t>21.50</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735" w:type="dxa"/>
            <w:tcBorders/>
            <w:shd w:fill="FFFFFF" w:val="clear"/>
            <w:vAlign w:val="bottom"/>
          </w:tcPr>
          <w:p>
            <w:pPr>
              <w:pStyle w:val="TableContents"/>
              <w:spacing w:before="0" w:after="283"/>
              <w:jc w:val="right"/>
              <w:rPr>
                <w:rFonts w:ascii="times" w:hAnsi="times"/>
                <w:sz w:val="20"/>
              </w:rPr>
            </w:pPr>
            <w:r>
              <w:rPr>
                <w:rFonts w:ascii="times" w:hAnsi="times"/>
                <w:sz w:val="20"/>
              </w:rPr>
              <w:t>0.12505</w:t>
            </w:r>
          </w:p>
        </w:tc>
        <w:tc>
          <w:tcPr>
            <w:tcW w:w="264" w:type="dxa"/>
            <w:tcBorders/>
            <w:shd w:fill="FFFFFF" w:val="clear"/>
            <w:vAlign w:val="bottom"/>
          </w:tcPr>
          <w:p>
            <w:pPr>
              <w:pStyle w:val="TableContents"/>
              <w:spacing w:before="0" w:after="283"/>
              <w:rPr/>
            </w:pPr>
            <w:r>
              <w:rPr/>
              <w:t> </w:t>
            </w:r>
          </w:p>
        </w:tc>
      </w:tr>
      <w:tr>
        <w:trPr/>
        <w:tc>
          <w:tcPr>
            <w:tcW w:w="5231"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2014</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 </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 </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735" w:type="dxa"/>
            <w:tcBorders/>
            <w:shd w:fill="CCEEFF" w:val="clear"/>
            <w:vAlign w:val="bottom"/>
          </w:tcPr>
          <w:p>
            <w:pPr>
              <w:pStyle w:val="TableContents"/>
              <w:spacing w:before="0" w:after="283"/>
              <w:jc w:val="right"/>
              <w:rPr/>
            </w:pPr>
            <w:r>
              <w:rPr/>
              <w:t> </w:t>
            </w:r>
          </w:p>
        </w:tc>
        <w:tc>
          <w:tcPr>
            <w:tcW w:w="264" w:type="dxa"/>
            <w:tcBorders/>
            <w:shd w:fill="CCEEFF" w:val="clear"/>
            <w:vAlign w:val="bottom"/>
          </w:tcPr>
          <w:p>
            <w:pPr>
              <w:pStyle w:val="TableContents"/>
              <w:spacing w:before="0" w:after="283"/>
              <w:rPr/>
            </w:pPr>
            <w:r>
              <w:rPr/>
              <w:t> </w:t>
            </w:r>
          </w:p>
        </w:tc>
      </w:tr>
      <w:tr>
        <w:trPr/>
        <w:tc>
          <w:tcPr>
            <w:tcW w:w="5231"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First Quarter</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35" w:type="dxa"/>
            <w:tcBorders/>
            <w:shd w:fill="FFFFFF" w:val="clear"/>
            <w:vAlign w:val="bottom"/>
          </w:tcPr>
          <w:p>
            <w:pPr>
              <w:pStyle w:val="TableContents"/>
              <w:spacing w:before="0" w:after="283"/>
              <w:jc w:val="right"/>
              <w:rPr>
                <w:rFonts w:ascii="times" w:hAnsi="times"/>
                <w:sz w:val="20"/>
              </w:rPr>
            </w:pPr>
            <w:r>
              <w:rPr>
                <w:rFonts w:ascii="times" w:hAnsi="times"/>
                <w:sz w:val="20"/>
              </w:rPr>
              <w:t>29.00</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35" w:type="dxa"/>
            <w:tcBorders/>
            <w:shd w:fill="FFFFFF" w:val="clear"/>
            <w:vAlign w:val="bottom"/>
          </w:tcPr>
          <w:p>
            <w:pPr>
              <w:pStyle w:val="TableContents"/>
              <w:spacing w:before="0" w:after="283"/>
              <w:jc w:val="right"/>
              <w:rPr>
                <w:rFonts w:ascii="times" w:hAnsi="times"/>
                <w:sz w:val="20"/>
              </w:rPr>
            </w:pPr>
            <w:r>
              <w:rPr>
                <w:rFonts w:ascii="times" w:hAnsi="times"/>
                <w:sz w:val="20"/>
              </w:rPr>
              <w:t>24.38</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735" w:type="dxa"/>
            <w:tcBorders/>
            <w:shd w:fill="FFFFFF" w:val="clear"/>
            <w:vAlign w:val="bottom"/>
          </w:tcPr>
          <w:p>
            <w:pPr>
              <w:pStyle w:val="TableContents"/>
              <w:spacing w:before="0" w:after="283"/>
              <w:jc w:val="right"/>
              <w:rPr>
                <w:rFonts w:ascii="times" w:hAnsi="times"/>
                <w:sz w:val="20"/>
              </w:rPr>
            </w:pPr>
            <w:r>
              <w:rPr>
                <w:rFonts w:ascii="times" w:hAnsi="times"/>
                <w:sz w:val="20"/>
              </w:rPr>
              <w:t>0.17055</w:t>
            </w:r>
          </w:p>
        </w:tc>
        <w:tc>
          <w:tcPr>
            <w:tcW w:w="264" w:type="dxa"/>
            <w:tcBorders/>
            <w:shd w:fill="FFFFFF" w:val="clear"/>
            <w:vAlign w:val="bottom"/>
          </w:tcPr>
          <w:p>
            <w:pPr>
              <w:pStyle w:val="TableContents"/>
              <w:spacing w:before="0" w:after="283"/>
              <w:rPr/>
            </w:pPr>
            <w:r>
              <w:rPr/>
              <w:t> </w:t>
            </w:r>
          </w:p>
        </w:tc>
      </w:tr>
      <w:tr>
        <w:trPr/>
        <w:tc>
          <w:tcPr>
            <w:tcW w:w="5231"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Second Quarter</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w:hAnsi="times"/>
                <w:sz w:val="20"/>
              </w:rPr>
            </w:pPr>
            <w:r>
              <w:rPr>
                <w:rFonts w:ascii="times" w:hAnsi="times"/>
                <w:sz w:val="20"/>
              </w:rPr>
              <w:t>32.58</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w:hAnsi="times"/>
                <w:sz w:val="20"/>
              </w:rPr>
            </w:pPr>
            <w:r>
              <w:rPr>
                <w:rFonts w:ascii="times" w:hAnsi="times"/>
                <w:sz w:val="20"/>
              </w:rPr>
              <w:t>27.00</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735" w:type="dxa"/>
            <w:tcBorders/>
            <w:shd w:fill="CCEEFF" w:val="clear"/>
            <w:vAlign w:val="bottom"/>
          </w:tcPr>
          <w:p>
            <w:pPr>
              <w:pStyle w:val="TableContents"/>
              <w:spacing w:before="0" w:after="283"/>
              <w:jc w:val="right"/>
              <w:rPr>
                <w:rFonts w:ascii="times" w:hAnsi="times"/>
                <w:sz w:val="20"/>
              </w:rPr>
            </w:pPr>
            <w:r>
              <w:rPr>
                <w:rFonts w:ascii="times" w:hAnsi="times"/>
                <w:sz w:val="20"/>
              </w:rPr>
              <w:t>0.18340</w:t>
            </w:r>
          </w:p>
        </w:tc>
        <w:tc>
          <w:tcPr>
            <w:tcW w:w="264" w:type="dxa"/>
            <w:tcBorders/>
            <w:shd w:fill="CCEEFF" w:val="clear"/>
            <w:vAlign w:val="bottom"/>
          </w:tcPr>
          <w:p>
            <w:pPr>
              <w:pStyle w:val="TableContents"/>
              <w:spacing w:before="0" w:after="283"/>
              <w:rPr/>
            </w:pPr>
            <w:r>
              <w:rPr/>
              <w:t> </w:t>
            </w:r>
          </w:p>
        </w:tc>
      </w:tr>
      <w:tr>
        <w:trPr/>
        <w:tc>
          <w:tcPr>
            <w:tcW w:w="5231"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Third Quarter</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835" w:type="dxa"/>
            <w:tcBorders/>
            <w:shd w:fill="FFFFFF" w:val="clear"/>
            <w:vAlign w:val="bottom"/>
          </w:tcPr>
          <w:p>
            <w:pPr>
              <w:pStyle w:val="TableContents"/>
              <w:spacing w:before="0" w:after="283"/>
              <w:jc w:val="right"/>
              <w:rPr>
                <w:rFonts w:ascii="times" w:hAnsi="times"/>
                <w:sz w:val="20"/>
              </w:rPr>
            </w:pPr>
            <w:r>
              <w:rPr>
                <w:rFonts w:ascii="times" w:hAnsi="times"/>
                <w:sz w:val="20"/>
              </w:rPr>
              <w:t>32.26</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835" w:type="dxa"/>
            <w:tcBorders/>
            <w:shd w:fill="FFFFFF" w:val="clear"/>
            <w:vAlign w:val="bottom"/>
          </w:tcPr>
          <w:p>
            <w:pPr>
              <w:pStyle w:val="TableContents"/>
              <w:spacing w:before="0" w:after="283"/>
              <w:jc w:val="right"/>
              <w:rPr>
                <w:rFonts w:ascii="times" w:hAnsi="times"/>
                <w:sz w:val="20"/>
              </w:rPr>
            </w:pPr>
            <w:r>
              <w:rPr>
                <w:rFonts w:ascii="times" w:hAnsi="times"/>
                <w:sz w:val="20"/>
              </w:rPr>
              <w:t>28.48</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1735" w:type="dxa"/>
            <w:tcBorders/>
            <w:shd w:fill="FFFFFF" w:val="clear"/>
            <w:vAlign w:val="bottom"/>
          </w:tcPr>
          <w:p>
            <w:pPr>
              <w:pStyle w:val="TableContents"/>
              <w:spacing w:before="0" w:after="283"/>
              <w:jc w:val="right"/>
              <w:rPr>
                <w:rFonts w:ascii="times" w:hAnsi="times"/>
                <w:sz w:val="20"/>
              </w:rPr>
            </w:pPr>
            <w:r>
              <w:rPr>
                <w:rFonts w:ascii="times" w:hAnsi="times"/>
                <w:sz w:val="20"/>
              </w:rPr>
              <w:t>0.19075</w:t>
            </w:r>
          </w:p>
        </w:tc>
        <w:tc>
          <w:tcPr>
            <w:tcW w:w="264" w:type="dxa"/>
            <w:tcBorders/>
            <w:shd w:fill="FFFFFF" w:val="clear"/>
            <w:vAlign w:val="bottom"/>
          </w:tcPr>
          <w:p>
            <w:pPr>
              <w:pStyle w:val="TableContents"/>
              <w:spacing w:before="0" w:after="283"/>
              <w:rPr/>
            </w:pPr>
            <w:r>
              <w:rPr/>
              <w:t> </w:t>
            </w:r>
          </w:p>
        </w:tc>
      </w:tr>
      <w:tr>
        <w:trPr/>
        <w:tc>
          <w:tcPr>
            <w:tcW w:w="5231"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Fourth Quarter (through November 24, 2014)</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w:hAnsi="times"/>
                <w:sz w:val="20"/>
              </w:rPr>
            </w:pPr>
            <w:r>
              <w:rPr>
                <w:rFonts w:ascii="times" w:hAnsi="times"/>
                <w:sz w:val="20"/>
              </w:rPr>
              <w:t>30.75</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w:hAnsi="times"/>
                <w:sz w:val="20"/>
              </w:rPr>
            </w:pPr>
            <w:r>
              <w:rPr>
                <w:rFonts w:ascii="times" w:hAnsi="times"/>
                <w:sz w:val="20"/>
              </w:rPr>
              <w:t>23.53</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735" w:type="dxa"/>
            <w:tcBorders/>
            <w:shd w:fill="CCEEFF" w:val="clear"/>
            <w:vAlign w:val="bottom"/>
          </w:tcPr>
          <w:p>
            <w:pPr>
              <w:pStyle w:val="TableContents"/>
              <w:spacing w:before="0" w:after="283"/>
              <w:jc w:val="right"/>
              <w:rPr/>
            </w:pPr>
            <w:r>
              <w:rPr/>
              <w:t> </w:t>
            </w:r>
          </w:p>
        </w:tc>
        <w:tc>
          <w:tcPr>
            <w:tcW w:w="264" w:type="dxa"/>
            <w:tcBorders/>
            <w:shd w:fill="CCEEFF" w:val="clear"/>
            <w:vAlign w:val="bottom"/>
          </w:tcPr>
          <w:p>
            <w:pPr>
              <w:pStyle w:val="TableContents"/>
              <w:spacing w:before="0" w:after="283"/>
              <w:rPr>
                <w:rFonts w:ascii="times" w:hAnsi="times"/>
                <w:sz w:val="20"/>
              </w:rPr>
            </w:pPr>
            <w:r>
              <w:rPr>
                <w:rFonts w:ascii="times" w:hAnsi="times"/>
                <w:sz w:val="20"/>
              </w:rPr>
              <w:t>(3)</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Represents cash distributions attributable to the quarter and paid within 55 days after the quarter end.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Represents the trading period from October 16, 2013, the day our common units began trading on the NYSE, through December 31, 2013. We closed our initial public offering on October 21, 2013 and, therefore, made a prorated cash distribution for the fourth quarter of 2013.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Cash distributions in respect of the fourth quarter of 2014 have not been declared or paid. </w:t>
      </w:r>
    </w:p>
    <w:p>
      <w:pPr>
        <w:pStyle w:val="TextBody"/>
        <w:jc w:val="center"/>
        <w:rPr>
          <w:rFonts w:ascii="times" w:hAnsi="times"/>
          <w:sz w:val="20"/>
        </w:rPr>
      </w:pPr>
      <w:r>
        <w:rPr>
          <w:rFonts w:ascii="times" w:hAnsi="times"/>
          <w:sz w:val="20"/>
        </w:rPr>
        <w:t>4</w:t>
      </w:r>
    </w:p>
    <w:p>
      <w:pPr>
        <w:pStyle w:val="HorizontalLine"/>
        <w:pBdr>
          <w:bottom w:val="single" w:sz="20" w:space="0" w:color="808080"/>
        </w:pBdr>
        <w:rPr/>
      </w:pPr>
      <w:r>
        <w:rPr/>
      </w:r>
      <w:r>
        <w:br w:type="page"/>
      </w:r>
    </w:p>
    <w:p>
      <w:pPr>
        <w:pStyle w:val="TextBody"/>
        <w:rPr/>
      </w:pPr>
      <w:hyperlink w:anchor="bg44101a_main_toc">
        <w:bookmarkStart w:id="31" w:name="page_ce44101_1_5"/>
        <w:bookmarkEnd w:id="3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32" w:name="toc_ce44101_1"/>
      <w:bookmarkStart w:id="33" w:name="ce44101_our_cash_distribution_policy"/>
      <w:bookmarkEnd w:id="32"/>
      <w:bookmarkEnd w:id="33"/>
      <w:r>
        <w:rPr>
          <w:rFonts w:ascii="times" w:hAnsi="times"/>
          <w:sz w:val="20"/>
        </w:rPr>
        <w:br/>
      </w:r>
      <w:r>
        <w:rPr>
          <w:rFonts w:ascii="times" w:hAnsi="times"/>
          <w:b/>
          <w:sz w:val="20"/>
        </w:rPr>
        <w:t xml:space="preserve">OUR CASH DISTRIBUTION POLICY </w:t>
      </w:r>
    </w:p>
    <w:p>
      <w:pPr>
        <w:pStyle w:val="TextBody"/>
        <w:rPr>
          <w:rFonts w:ascii="times" w:hAnsi="times"/>
          <w:b/>
          <w:sz w:val="20"/>
        </w:rPr>
      </w:pPr>
      <w:r>
        <w:rPr>
          <w:rFonts w:ascii="times" w:hAnsi="times"/>
          <w:b/>
          <w:sz w:val="20"/>
        </w:rPr>
        <w:t xml:space="preserve">Our Cash Distribution Policy </w:t>
      </w:r>
    </w:p>
    <w:p>
      <w:pPr>
        <w:pStyle w:val="TextBody"/>
        <w:rPr/>
      </w:pPr>
      <w:r>
        <w:rPr/>
        <w:t>        </w:t>
      </w:r>
      <w:r>
        <w:rPr>
          <w:rFonts w:ascii="times" w:hAnsi="times"/>
          <w:sz w:val="20"/>
        </w:rPr>
        <w:t xml:space="preserve">Our partnership agreement requires that, within 55 days after the end of each quarter, we distribute all of our available cash to Class A shareholders of record on the applicable record date. </w:t>
      </w:r>
    </w:p>
    <w:p>
      <w:pPr>
        <w:pStyle w:val="TextBody"/>
        <w:rPr/>
      </w:pPr>
      <w:r>
        <w:rPr/>
        <w:t>        </w:t>
      </w:r>
      <w:r>
        <w:rPr>
          <w:rFonts w:ascii="times" w:hAnsi="times"/>
          <w:sz w:val="20"/>
        </w:rPr>
        <w:t>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comply with applicable law or any agreement binding upon us or our subsidiaries (exclusive of PAA and its subsidiaries);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funds for future distributions to shareholders;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for future capital expenditures, debt service and other credit needs as well as any federal, state, provincial or other income tax that may affect us in the future;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permit us to pay a ratable amount to AAP as necessary to permit AAP to make required capital contributions to PAA to maintain PAA GP's 2% general partner interest upon the issuance of additional partnership securities by PAA;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for the proper conduct of our business, including with respect to the matters described under "The Partnership Agreement." </w:t>
      </w:r>
    </w:p>
    <w:p>
      <w:pPr>
        <w:pStyle w:val="TextBody"/>
        <w:rPr/>
      </w:pPr>
      <w:r>
        <w:rPr/>
        <w:t>        </w:t>
      </w:r>
      <w:r>
        <w:rPr>
          <w:rFonts w:ascii="times" w:hAnsi="times"/>
          <w:sz w:val="20"/>
        </w:rPr>
        <w:t xml:space="preserve">Our available cash also includes cash on hand resulting from borrowings made after the end of the quarter. </w:t>
      </w:r>
    </w:p>
    <w:p>
      <w:pPr>
        <w:pStyle w:val="TextBody"/>
        <w:rPr>
          <w:rFonts w:ascii="times" w:hAnsi="times"/>
          <w:b/>
          <w:sz w:val="20"/>
        </w:rPr>
      </w:pPr>
      <w:r>
        <w:rPr>
          <w:rFonts w:ascii="times" w:hAnsi="times"/>
          <w:b/>
          <w:sz w:val="20"/>
        </w:rPr>
        <w:t xml:space="preserve">Our Sources of Available Cash </w:t>
      </w:r>
    </w:p>
    <w:p>
      <w:pPr>
        <w:pStyle w:val="TextBody"/>
        <w:rPr/>
      </w:pPr>
      <w:r>
        <w:rPr/>
        <w:t>        </w:t>
      </w:r>
      <w:r>
        <w:rPr>
          <w:rFonts w:ascii="times" w:hAnsi="times"/>
          <w:sz w:val="20"/>
        </w:rPr>
        <w:t xml:space="preserve">As of November 24, 2014, our only cash-generating assets consisted of our indirect partnership interests in PAA through our 33.8% limited partnership interest in AAP. AAP currently receives all of its cash flows from its direct ownership of all of PAA's IDRs and its indirect ownership of the 2% general partner interest in PAA. Therefore, our cash flow and resulting ability to make distributions will be completely dependent upon the ability of PAA to make distributions to AAP in respect of those partnership interests. The actual amount of cash that PAA, and correspondingly AAP, will have available for distribution will primarily depend on the amount of cash PAA generates from its operations. Also, under the terms of the agreements governing AAP and PAA's debt, they are prohibited from declaring or paying any distribution to unitholders if a default or event of default (as defined in such agreements) exists. </w:t>
      </w:r>
    </w:p>
    <w:p>
      <w:pPr>
        <w:pStyle w:val="TextBody"/>
        <w:rPr/>
      </w:pPr>
      <w:r>
        <w:rPr/>
        <w:t>        </w:t>
      </w:r>
      <w:r>
        <w:rPr>
          <w:rFonts w:ascii="times" w:hAnsi="times"/>
          <w:sz w:val="20"/>
        </w:rPr>
        <w:t>In addition, the actual amount of cash that PAA and AAP will have available for distribution will depend on other factors, some of which are beyond PAA's or our control, including: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revenue PAA and AAP are able to generate from their respective businesses;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capital expenditures PAA or AAP makes;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PAA's and AAP's operating, maintenance and general and administrative expenses or related obligations;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cost of acquisitions, if any;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and AAP's debt service requirements and other liabilities;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and AAP's working capital needs; </w:t>
      </w:r>
    </w:p>
    <w:p>
      <w:pPr>
        <w:pStyle w:val="TextBody"/>
        <w:jc w:val="center"/>
        <w:rPr>
          <w:rFonts w:ascii="times" w:hAnsi="times"/>
          <w:sz w:val="20"/>
        </w:rPr>
      </w:pPr>
      <w:r>
        <w:rPr>
          <w:rFonts w:ascii="times" w:hAnsi="times"/>
          <w:sz w:val="20"/>
        </w:rPr>
        <w:t>5</w:t>
      </w:r>
    </w:p>
    <w:p>
      <w:pPr>
        <w:pStyle w:val="HorizontalLine"/>
        <w:pBdr>
          <w:bottom w:val="single" w:sz="20" w:space="0" w:color="808080"/>
        </w:pBdr>
        <w:rPr/>
      </w:pPr>
      <w:r>
        <w:rPr/>
      </w:r>
      <w:r>
        <w:br w:type="page"/>
      </w:r>
    </w:p>
    <w:p>
      <w:pPr>
        <w:pStyle w:val="TextBody"/>
        <w:rPr/>
      </w:pPr>
      <w:hyperlink w:anchor="bg44101a_main_toc">
        <w:bookmarkStart w:id="34" w:name="page_ce44101_1_6"/>
        <w:bookmarkEnd w:id="34"/>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restrictions on distributions contained in PAA's or AAP's debt agreements and any future debt agreements;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and AAP's ability to borrow under their respective revolving credit agreements to make distributions;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amount, if any, of cash reserves established by each of PAA GP and our general partner, in their sole discretion, for the proper conduct of PAA's and our business. </w:t>
      </w:r>
    </w:p>
    <w:p>
      <w:pPr>
        <w:pStyle w:val="TextBody"/>
        <w:rPr>
          <w:rFonts w:ascii="times" w:hAnsi="times"/>
          <w:b/>
          <w:sz w:val="20"/>
        </w:rPr>
      </w:pPr>
      <w:r>
        <w:rPr>
          <w:rFonts w:ascii="times" w:hAnsi="times"/>
          <w:b/>
          <w:sz w:val="20"/>
        </w:rPr>
        <w:t xml:space="preserve">General Partner Interest </w:t>
      </w:r>
    </w:p>
    <w:p>
      <w:pPr>
        <w:pStyle w:val="TextBody"/>
        <w:rPr/>
      </w:pPr>
      <w:r>
        <w:rPr/>
        <w:t>        </w:t>
      </w:r>
      <w:r>
        <w:rPr>
          <w:rFonts w:ascii="times" w:hAnsi="times"/>
          <w:sz w:val="20"/>
        </w:rPr>
        <w:t xml:space="preserve">Our general partner owns a non-economic general partner interest in us, which does not entitle it to receive cash distributions. </w:t>
      </w:r>
    </w:p>
    <w:p>
      <w:pPr>
        <w:pStyle w:val="TextBody"/>
        <w:rPr>
          <w:rFonts w:ascii="times" w:hAnsi="times"/>
          <w:b/>
          <w:sz w:val="20"/>
        </w:rPr>
      </w:pPr>
      <w:r>
        <w:rPr>
          <w:rFonts w:ascii="times" w:hAnsi="times"/>
          <w:b/>
          <w:sz w:val="20"/>
        </w:rPr>
        <w:t xml:space="preserve">Distributions of Cash Upon Liquidation </w:t>
      </w:r>
    </w:p>
    <w:p>
      <w:pPr>
        <w:pStyle w:val="TextBody"/>
        <w:rPr/>
      </w:pPr>
      <w:r>
        <w:rPr/>
        <w:t>        </w:t>
      </w:r>
      <w:r>
        <w:rPr>
          <w:rFonts w:ascii="times" w:hAnsi="times"/>
          <w:sz w:val="20"/>
        </w:rPr>
        <w:t xml:space="preserve">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 </w:t>
      </w:r>
    </w:p>
    <w:p>
      <w:pPr>
        <w:pStyle w:val="TextBody"/>
        <w:jc w:val="center"/>
        <w:rPr>
          <w:rFonts w:ascii="times" w:hAnsi="times"/>
          <w:sz w:val="20"/>
        </w:rPr>
      </w:pPr>
      <w:r>
        <w:rPr>
          <w:rFonts w:ascii="times" w:hAnsi="times"/>
          <w:sz w:val="20"/>
        </w:rPr>
        <w:t>6</w:t>
      </w:r>
    </w:p>
    <w:p>
      <w:pPr>
        <w:pStyle w:val="HorizontalLine"/>
        <w:pBdr>
          <w:bottom w:val="single" w:sz="20" w:space="0" w:color="808080"/>
        </w:pBdr>
        <w:rPr/>
      </w:pPr>
      <w:r>
        <w:rPr/>
      </w:r>
      <w:r>
        <w:br w:type="page"/>
      </w:r>
    </w:p>
    <w:p>
      <w:pPr>
        <w:pStyle w:val="TextBody"/>
        <w:rPr/>
      </w:pPr>
      <w:hyperlink w:anchor="bg44101a_main_toc">
        <w:bookmarkStart w:id="35" w:name="page_ce44101_1_7"/>
        <w:bookmarkEnd w:id="35"/>
        <w:r>
          <w:rPr>
            <w:rStyle w:val="InternetLink"/>
            <w:rFonts w:ascii="times" w:hAnsi="times"/>
            <w:sz w:val="20"/>
          </w:rPr>
          <w:t>Table of Contents</w:t>
        </w:r>
      </w:hyperlink>
    </w:p>
    <w:p>
      <w:pPr>
        <w:pStyle w:val="TextBody"/>
        <w:jc w:val="center"/>
        <w:rPr>
          <w:rFonts w:ascii="times" w:hAnsi="times"/>
        </w:rPr>
      </w:pPr>
      <w:bookmarkStart w:id="36" w:name="toc_ce44101_2"/>
      <w:bookmarkStart w:id="37" w:name="ce44101_the_partnership_agreement"/>
      <w:bookmarkEnd w:id="36"/>
      <w:bookmarkEnd w:id="37"/>
      <w:r>
        <w:rPr>
          <w:rFonts w:ascii="times" w:hAnsi="times"/>
          <w:sz w:val="20"/>
        </w:rPr>
        <w:br/>
      </w:r>
      <w:r>
        <w:rPr>
          <w:rFonts w:ascii="times" w:hAnsi="times"/>
          <w:b/>
          <w:sz w:val="20"/>
        </w:rPr>
        <w:t xml:space="preserve">THE PARTNERSHIP AGREEMENT </w:t>
      </w:r>
    </w:p>
    <w:p>
      <w:pPr>
        <w:pStyle w:val="TextBody"/>
        <w:rPr/>
      </w:pPr>
      <w:r>
        <w:rPr/>
        <w:t>        </w:t>
      </w:r>
      <w:r>
        <w:rPr>
          <w:rFonts w:ascii="times" w:hAnsi="times"/>
          <w:sz w:val="20"/>
        </w:rPr>
        <w:t>The following is a summary of the material provisions of our partnership agreement. We summarize the following provisions of our partnership agreement elsewhere in this prospectus: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distributions of available cash, please read "Our Cash Distribution Policy";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the rights of holders of Class A shares, please read "Description of Our Shares";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allocations of taxable income and taxable loss, please read "Material U.S. Federal Income Tax Consequences." </w:t>
      </w:r>
    </w:p>
    <w:p>
      <w:pPr>
        <w:pStyle w:val="TextBody"/>
        <w:rPr>
          <w:rFonts w:ascii="times" w:hAnsi="times"/>
          <w:b/>
          <w:sz w:val="20"/>
        </w:rPr>
      </w:pPr>
      <w:r>
        <w:rPr>
          <w:rFonts w:ascii="times" w:hAnsi="times"/>
          <w:b/>
          <w:sz w:val="20"/>
        </w:rPr>
        <w:t xml:space="preserve">Organization and Duration </w:t>
      </w:r>
    </w:p>
    <w:p>
      <w:pPr>
        <w:pStyle w:val="TextBody"/>
        <w:rPr/>
      </w:pPr>
      <w:r>
        <w:rPr/>
        <w:t>        </w:t>
      </w:r>
      <w:r>
        <w:rPr>
          <w:rFonts w:ascii="times" w:hAnsi="times"/>
          <w:sz w:val="20"/>
        </w:rPr>
        <w:t xml:space="preserve">We were formed in July 2013 and have a perpetual existence. </w:t>
      </w:r>
    </w:p>
    <w:p>
      <w:pPr>
        <w:pStyle w:val="TextBody"/>
        <w:rPr>
          <w:rFonts w:ascii="times" w:hAnsi="times"/>
          <w:b/>
          <w:sz w:val="20"/>
        </w:rPr>
      </w:pPr>
      <w:r>
        <w:rPr>
          <w:rFonts w:ascii="times" w:hAnsi="times"/>
          <w:b/>
          <w:sz w:val="20"/>
        </w:rPr>
        <w:t xml:space="preserve">Purpose </w:t>
      </w:r>
    </w:p>
    <w:p>
      <w:pPr>
        <w:pStyle w:val="TextBody"/>
        <w:rPr/>
      </w:pPr>
      <w:r>
        <w:rPr/>
        <w:t>        </w:t>
      </w:r>
      <w:r>
        <w:rPr>
          <w:rFonts w:ascii="times" w:hAnsi="times"/>
          <w:sz w:val="20"/>
        </w:rPr>
        <w:t xml:space="preserve">Under our partnership agreement, we are permitted to engage, directly or indirectly, in any business activity that is approved by our general partner and that lawfully may be conducted by a limited partnership organized under Delaware law. </w:t>
      </w:r>
    </w:p>
    <w:p>
      <w:pPr>
        <w:pStyle w:val="TextBody"/>
        <w:rPr/>
      </w:pPr>
      <w:r>
        <w:rPr/>
        <w:t>        </w:t>
      </w:r>
      <w:r>
        <w:rPr>
          <w:rFonts w:ascii="times" w:hAnsi="times"/>
          <w:sz w:val="20"/>
        </w:rPr>
        <w:t>Although our general partner has the ability to cause us, our affiliates and our subsidiaries to engage in activities other than the indirect ownership of partnership interests (including IDRs)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making of expenditures and the incurrence of debt and other obligations;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acquisition, disposition, mortgage, pledge, encumbrance, hypothecation or exchange of any or all of our assets or the merger or other combination of us with or into another person;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negotiation, execution and performance of contracts;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distribution of our cash;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purchase, sale or other acquisition or disposition of our partnership securities or the issuance of partnership securities or options or other rights relating thereto;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action in connection with our participation and management of PAA;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action to waive, reduce, limit or modify PAA's IDRs. </w:t>
      </w:r>
    </w:p>
    <w:p>
      <w:pPr>
        <w:pStyle w:val="TextBody"/>
        <w:rPr>
          <w:rFonts w:ascii="times" w:hAnsi="times"/>
          <w:b/>
          <w:sz w:val="20"/>
        </w:rPr>
      </w:pPr>
      <w:r>
        <w:rPr>
          <w:rFonts w:ascii="times" w:hAnsi="times"/>
          <w:b/>
          <w:sz w:val="20"/>
        </w:rPr>
        <w:t xml:space="preserve">Capital Contributions </w:t>
      </w:r>
    </w:p>
    <w:p>
      <w:pPr>
        <w:pStyle w:val="TextBody"/>
        <w:rPr/>
      </w:pPr>
      <w:r>
        <w:rPr/>
        <w:t>        </w:t>
      </w:r>
      <w:r>
        <w:rPr>
          <w:rFonts w:ascii="times" w:hAnsi="times"/>
          <w:sz w:val="20"/>
        </w:rPr>
        <w:t xml:space="preserve">Our shareholders are not obligated to make additional capital contributions, except as described below under "Limited Liability." </w:t>
      </w:r>
    </w:p>
    <w:p>
      <w:pPr>
        <w:pStyle w:val="TextBody"/>
        <w:rPr>
          <w:rFonts w:ascii="times" w:hAnsi="times"/>
          <w:b/>
          <w:sz w:val="20"/>
        </w:rPr>
      </w:pPr>
      <w:r>
        <w:rPr>
          <w:rFonts w:ascii="times" w:hAnsi="times"/>
          <w:b/>
          <w:sz w:val="20"/>
        </w:rPr>
        <w:t xml:space="preserve">Applicable Law; Forum, Venue and Jurisdiction </w:t>
      </w:r>
    </w:p>
    <w:p>
      <w:pPr>
        <w:pStyle w:val="TextBody"/>
        <w:rPr/>
      </w:pPr>
      <w:r>
        <w:rPr/>
        <w:t>        </w:t>
      </w:r>
      <w:r>
        <w:rPr>
          <w:rFonts w:ascii="times" w:hAnsi="times"/>
          <w:sz w:val="20"/>
        </w:rPr>
        <w:t>Our partnership agreement is governed by Delaware law. Our partnership agreement requires that any claims, suits, actions or proceedings: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 </w:t>
      </w:r>
    </w:p>
    <w:p>
      <w:pPr>
        <w:pStyle w:val="TextBody"/>
        <w:jc w:val="center"/>
        <w:rPr>
          <w:rFonts w:ascii="times" w:hAnsi="times"/>
          <w:sz w:val="20"/>
        </w:rPr>
      </w:pPr>
      <w:r>
        <w:rPr>
          <w:rFonts w:ascii="times" w:hAnsi="times"/>
          <w:sz w:val="20"/>
        </w:rPr>
        <w:t>7</w:t>
      </w:r>
    </w:p>
    <w:p>
      <w:pPr>
        <w:pStyle w:val="HorizontalLine"/>
        <w:pBdr>
          <w:bottom w:val="single" w:sz="20" w:space="0" w:color="808080"/>
        </w:pBdr>
        <w:rPr/>
      </w:pPr>
      <w:r>
        <w:rPr/>
      </w:r>
      <w:r>
        <w:br w:type="page"/>
      </w:r>
    </w:p>
    <w:p>
      <w:pPr>
        <w:pStyle w:val="TextBody"/>
        <w:rPr/>
      </w:pPr>
      <w:hyperlink w:anchor="bg44101a_main_toc">
        <w:bookmarkStart w:id="38" w:name="page_ce44101_1_8"/>
        <w:bookmarkEnd w:id="38"/>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brought in a derivative manner on our behalf;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of breach of a fiduciary duty owed by any director, officer or other employee of us or our general partner, or owed by our general partner to us or the shareholders;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arising pursuant to any provision of the Delaware Revised Uniform Limited Partnership Act (the "Delaware Act");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governed by the internal affairs doctrine, </w:t>
      </w:r>
    </w:p>
    <w:p>
      <w:pPr>
        <w:pStyle w:val="TextBody"/>
        <w:rPr>
          <w:rFonts w:ascii="times" w:hAnsi="times"/>
          <w:sz w:val="20"/>
        </w:rPr>
      </w:pPr>
      <w:r>
        <w:rPr>
          <w:rFonts w:ascii="times" w:hAnsi="times"/>
          <w:sz w:val="20"/>
        </w:rPr>
        <w:t xml:space="preserve">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w:t>
      </w:r>
    </w:p>
    <w:p>
      <w:pPr>
        <w:pStyle w:val="TextBody"/>
        <w:rPr>
          <w:rFonts w:ascii="times" w:hAnsi="times"/>
          <w:b/>
          <w:sz w:val="20"/>
        </w:rPr>
      </w:pPr>
      <w:r>
        <w:rPr>
          <w:rFonts w:ascii="times" w:hAnsi="times"/>
          <w:b/>
          <w:sz w:val="20"/>
        </w:rPr>
        <w:t xml:space="preserve">Limited Liability </w:t>
      </w:r>
    </w:p>
    <w:p>
      <w:pPr>
        <w:pStyle w:val="TextBody"/>
        <w:rPr/>
      </w:pPr>
      <w:r>
        <w:rPr/>
        <w:t>        </w:t>
      </w:r>
      <w:r>
        <w:rPr>
          <w:rFonts w:ascii="times" w:hAnsi="times"/>
          <w:sz w:val="20"/>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remove or replace our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approve some amendments to our partnership agreement,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take other action under our partnership agreement, </w:t>
      </w:r>
    </w:p>
    <w:p>
      <w:pPr>
        <w:pStyle w:val="TextBody"/>
        <w:rPr>
          <w:rFonts w:ascii="times" w:hAnsi="times"/>
          <w:sz w:val="20"/>
        </w:rPr>
      </w:pPr>
      <w:r>
        <w:rPr>
          <w:rFonts w:ascii="times" w:hAnsi="times"/>
          <w:sz w:val="20"/>
        </w:rPr>
        <w:t xml:space="preserve">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 </w:t>
      </w:r>
    </w:p>
    <w:p>
      <w:pPr>
        <w:pStyle w:val="TextBody"/>
        <w:rPr/>
      </w:pPr>
      <w:r>
        <w:rPr/>
        <w:t>        </w:t>
      </w:r>
      <w:r>
        <w:rPr>
          <w:rFonts w:ascii="times" w:hAnsi="times"/>
          <w:sz w:val="20"/>
        </w:rPr>
        <w:t xml:space="preserve">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 </w:t>
      </w:r>
    </w:p>
    <w:p>
      <w:pPr>
        <w:pStyle w:val="TextBody"/>
        <w:jc w:val="center"/>
        <w:rPr>
          <w:rFonts w:ascii="times" w:hAnsi="times"/>
          <w:sz w:val="20"/>
        </w:rPr>
      </w:pPr>
      <w:r>
        <w:rPr>
          <w:rFonts w:ascii="times" w:hAnsi="times"/>
          <w:sz w:val="20"/>
        </w:rPr>
        <w:t>8</w:t>
      </w:r>
    </w:p>
    <w:p>
      <w:pPr>
        <w:pStyle w:val="HorizontalLine"/>
        <w:pBdr>
          <w:bottom w:val="single" w:sz="20" w:space="0" w:color="808080"/>
        </w:pBdr>
        <w:rPr/>
      </w:pPr>
      <w:r>
        <w:rPr/>
      </w:r>
      <w:r>
        <w:br w:type="page"/>
      </w:r>
    </w:p>
    <w:p>
      <w:pPr>
        <w:pStyle w:val="TextBody"/>
        <w:rPr/>
      </w:pPr>
      <w:hyperlink w:anchor="bg44101a_main_toc">
        <w:bookmarkStart w:id="39" w:name="page_cg44101_1_9"/>
        <w:bookmarkEnd w:id="39"/>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 </w:t>
      </w:r>
    </w:p>
    <w:p>
      <w:pPr>
        <w:pStyle w:val="TextBody"/>
        <w:rPr>
          <w:rFonts w:ascii="times" w:hAnsi="times"/>
          <w:b/>
          <w:sz w:val="20"/>
        </w:rPr>
      </w:pPr>
      <w:r>
        <w:rPr>
          <w:rFonts w:ascii="times" w:hAnsi="times"/>
          <w:b/>
          <w:sz w:val="20"/>
        </w:rPr>
        <w:t xml:space="preserve">Limited Voting Rights </w:t>
      </w:r>
    </w:p>
    <w:p>
      <w:pPr>
        <w:pStyle w:val="TextBody"/>
        <w:rPr/>
      </w:pPr>
      <w:r>
        <w:rPr/>
        <w:t>        </w:t>
      </w:r>
      <w:r>
        <w:rPr>
          <w:rFonts w:ascii="times" w:hAnsi="times"/>
          <w:sz w:val="20"/>
        </w:rPr>
        <w:t xml:space="preserve">Our general partner manages us and our operations. You will have only limited voting rights on matters affecting our business. You will not have the right to elect our general partner or, except as described below under "Public Election of Directors Following Trigger Date," its directors on an annual or other continuing basis. </w:t>
      </w:r>
    </w:p>
    <w:p>
      <w:pPr>
        <w:pStyle w:val="TextBody"/>
        <w:rPr/>
      </w:pPr>
      <w:r>
        <w:rPr/>
        <w:t>        </w:t>
      </w:r>
      <w:r>
        <w:rPr>
          <w:rFonts w:ascii="times" w:hAnsi="times"/>
          <w:sz w:val="20"/>
        </w:rPr>
        <w:t xml:space="preserve">The following is a summary of the shareholder vote required for the matters specified below. On all matters where our shareholders are entitled to vote,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their shares, our general partner will have no fiduciary </w:t>
      </w:r>
    </w:p>
    <w:p>
      <w:pPr>
        <w:pStyle w:val="TextBody"/>
        <w:jc w:val="center"/>
        <w:rPr>
          <w:rFonts w:ascii="times" w:hAnsi="times"/>
          <w:sz w:val="20"/>
        </w:rPr>
      </w:pPr>
      <w:r>
        <w:rPr>
          <w:rFonts w:ascii="times" w:hAnsi="times"/>
          <w:sz w:val="20"/>
        </w:rPr>
        <w:t>9</w:t>
      </w:r>
    </w:p>
    <w:p>
      <w:pPr>
        <w:pStyle w:val="HorizontalLine"/>
        <w:pBdr>
          <w:bottom w:val="single" w:sz="20" w:space="0" w:color="808080"/>
        </w:pBdr>
        <w:rPr/>
      </w:pPr>
      <w:r>
        <w:rPr/>
      </w:r>
      <w:r>
        <w:br w:type="page"/>
      </w:r>
    </w:p>
    <w:p>
      <w:pPr>
        <w:pStyle w:val="TextBody"/>
        <w:rPr/>
      </w:pPr>
      <w:hyperlink w:anchor="bg44101a_main_toc">
        <w:bookmarkStart w:id="40" w:name="page_cg44101_1_10"/>
        <w:bookmarkEnd w:id="4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duty or obligation whatsoever to us or the shareholders, including any duty to act in good faith or in the best interests of us or the shareholders. </w:t>
      </w:r>
    </w:p>
    <w:tbl>
      <w:tblPr>
        <w:tblW w:w="5000" w:type="pct"/>
        <w:jc w:val="center"/>
        <w:tblInd w:w="0" w:type="dxa"/>
        <w:tblCellMar>
          <w:top w:w="0" w:type="dxa"/>
          <w:left w:w="0" w:type="dxa"/>
          <w:bottom w:w="0" w:type="dxa"/>
          <w:right w:w="0" w:type="dxa"/>
        </w:tblCellMar>
      </w:tblPr>
      <w:tblGrid>
        <w:gridCol w:w="1665"/>
        <w:gridCol w:w="90"/>
        <w:gridCol w:w="8450"/>
      </w:tblGrid>
      <w:tr>
        <w:trPr/>
        <w:tc>
          <w:tcPr>
            <w:tcW w:w="166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450" w:type="dxa"/>
            <w:tcBorders/>
            <w:shd w:fill="auto" w:val="clear"/>
            <w:vAlign w:val="center"/>
          </w:tcPr>
          <w:p>
            <w:pPr>
              <w:pStyle w:val="TableContents"/>
              <w:spacing w:before="0" w:after="283"/>
              <w:rPr>
                <w:sz w:val="4"/>
                <w:szCs w:val="4"/>
              </w:rPr>
            </w:pPr>
            <w:r>
              <w:rPr>
                <w:sz w:val="4"/>
                <w:szCs w:val="4"/>
              </w:rPr>
            </w:r>
          </w:p>
        </w:tc>
      </w:tr>
      <w:tr>
        <w:trPr/>
        <w:tc>
          <w:tcPr>
            <w:tcW w:w="1665" w:type="dxa"/>
            <w:tcBorders/>
            <w:shd w:fill="auto" w:val="clear"/>
          </w:tcPr>
          <w:p>
            <w:pPr>
              <w:pStyle w:val="TableContents"/>
              <w:spacing w:before="0" w:after="283"/>
              <w:ind w:left="200" w:right="0" w:hanging="200"/>
              <w:rPr>
                <w:rFonts w:ascii="times" w:hAnsi="times"/>
                <w:sz w:val="20"/>
              </w:rPr>
            </w:pPr>
            <w:r>
              <w:rPr>
                <w:rFonts w:ascii="times" w:hAnsi="times"/>
                <w:sz w:val="20"/>
              </w:rPr>
              <w:t>Issuance of additional shares (or other partnership securities)</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0" w:after="283"/>
              <w:rPr>
                <w:rFonts w:ascii="times" w:hAnsi="times"/>
                <w:sz w:val="20"/>
              </w:rPr>
            </w:pPr>
            <w:r>
              <w:rPr>
                <w:rFonts w:ascii="times" w:hAnsi="times"/>
                <w:sz w:val="20"/>
              </w:rPr>
              <w:t>No approval right.</w:t>
            </w:r>
          </w:p>
        </w:tc>
      </w:tr>
      <w:tr>
        <w:trPr/>
        <w:tc>
          <w:tcPr>
            <w:tcW w:w="1665" w:type="dxa"/>
            <w:tcBorders/>
            <w:shd w:fill="auto" w:val="clear"/>
          </w:tcPr>
          <w:p>
            <w:pPr>
              <w:pStyle w:val="TableContents"/>
              <w:spacing w:before="240" w:after="283"/>
              <w:ind w:left="200" w:right="0" w:hanging="200"/>
              <w:rPr>
                <w:rFonts w:ascii="times" w:hAnsi="times"/>
                <w:sz w:val="20"/>
              </w:rPr>
            </w:pPr>
            <w:r>
              <w:rPr>
                <w:rFonts w:ascii="times" w:hAnsi="times"/>
                <w:sz w:val="20"/>
              </w:rPr>
              <w:t>Amendment of our partnership agreement</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Amendments to our partnership agreement may be proposed only by or with the consent of our general partner. Certain amendments may be made by our general partner without the approval of our shareholders. Other amendments generally require the approval of a majority of our outstanding shares. Please read "Amendments to Our Partnership Agreement."</w:t>
            </w:r>
          </w:p>
        </w:tc>
      </w:tr>
      <w:tr>
        <w:trPr/>
        <w:tc>
          <w:tcPr>
            <w:tcW w:w="1665" w:type="dxa"/>
            <w:tcBorders/>
            <w:shd w:fill="auto" w:val="clear"/>
          </w:tcPr>
          <w:p>
            <w:pPr>
              <w:pStyle w:val="TableContents"/>
              <w:spacing w:before="240" w:after="283"/>
              <w:ind w:left="200" w:right="0" w:hanging="200"/>
              <w:rPr>
                <w:rFonts w:ascii="times" w:hAnsi="times"/>
                <w:sz w:val="20"/>
              </w:rPr>
            </w:pPr>
            <w:r>
              <w:rPr>
                <w:rFonts w:ascii="times" w:hAnsi="times"/>
                <w:sz w:val="20"/>
              </w:rPr>
              <w:t>Merger of our partnership or the sale of all or substantially all of our assets</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 majority of our outstanding shares in certain circumstances. Please read "Merger, Sale or Other Disposition of Assets."</w:t>
            </w:r>
          </w:p>
        </w:tc>
      </w:tr>
      <w:tr>
        <w:trPr/>
        <w:tc>
          <w:tcPr>
            <w:tcW w:w="1665" w:type="dxa"/>
            <w:tcBorders/>
            <w:shd w:fill="auto" w:val="clear"/>
          </w:tcPr>
          <w:p>
            <w:pPr>
              <w:pStyle w:val="TableContents"/>
              <w:spacing w:before="240" w:after="283"/>
              <w:ind w:left="200" w:right="0" w:hanging="200"/>
              <w:rPr>
                <w:rFonts w:ascii="times" w:hAnsi="times"/>
                <w:sz w:val="20"/>
              </w:rPr>
            </w:pPr>
            <w:r>
              <w:rPr>
                <w:rFonts w:ascii="times" w:hAnsi="times"/>
                <w:sz w:val="20"/>
              </w:rPr>
              <w:t>Dissolution</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 majority of our outstanding shares. Please read "Termination or Dissolution."</w:t>
            </w:r>
          </w:p>
        </w:tc>
      </w:tr>
      <w:tr>
        <w:trPr/>
        <w:tc>
          <w:tcPr>
            <w:tcW w:w="1665" w:type="dxa"/>
            <w:tcBorders/>
            <w:shd w:fill="auto" w:val="clear"/>
          </w:tcPr>
          <w:p>
            <w:pPr>
              <w:pStyle w:val="TableContents"/>
              <w:spacing w:before="240" w:after="283"/>
              <w:ind w:left="200" w:right="0" w:hanging="200"/>
              <w:rPr>
                <w:rFonts w:ascii="times" w:hAnsi="times"/>
                <w:sz w:val="20"/>
              </w:rPr>
            </w:pPr>
            <w:r>
              <w:rPr>
                <w:rFonts w:ascii="times" w:hAnsi="times"/>
                <w:sz w:val="20"/>
              </w:rPr>
              <w:t>Reconstitution upon dissolution</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 majority of our outstanding shares. Please read "Termination or Dissolution."</w:t>
            </w:r>
          </w:p>
        </w:tc>
      </w:tr>
      <w:tr>
        <w:trPr/>
        <w:tc>
          <w:tcPr>
            <w:tcW w:w="1665" w:type="dxa"/>
            <w:tcBorders/>
            <w:shd w:fill="auto" w:val="clear"/>
          </w:tcPr>
          <w:p>
            <w:pPr>
              <w:pStyle w:val="TableContents"/>
              <w:spacing w:before="240" w:after="283"/>
              <w:ind w:left="200" w:right="0" w:hanging="200"/>
              <w:rPr>
                <w:rFonts w:ascii="times" w:hAnsi="times"/>
                <w:sz w:val="20"/>
              </w:rPr>
            </w:pPr>
            <w:r>
              <w:rPr>
                <w:rFonts w:ascii="times" w:hAnsi="times"/>
                <w:sz w:val="20"/>
              </w:rPr>
              <w:t>Withdrawal of our general partner</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No approval right. Please read "Withdrawal or Removal of the General Partner."</w:t>
            </w:r>
          </w:p>
        </w:tc>
      </w:tr>
      <w:tr>
        <w:trPr/>
        <w:tc>
          <w:tcPr>
            <w:tcW w:w="1665" w:type="dxa"/>
            <w:tcBorders/>
            <w:shd w:fill="auto" w:val="clear"/>
          </w:tcPr>
          <w:p>
            <w:pPr>
              <w:pStyle w:val="TableContents"/>
              <w:spacing w:before="240" w:after="283"/>
              <w:ind w:left="200" w:right="0" w:hanging="200"/>
              <w:rPr>
                <w:rFonts w:ascii="times" w:hAnsi="times"/>
                <w:sz w:val="20"/>
              </w:rPr>
            </w:pPr>
            <w:r>
              <w:rPr>
                <w:rFonts w:ascii="times" w:hAnsi="times"/>
                <w:sz w:val="20"/>
              </w:rPr>
              <w:t>Removal of our general partner</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Not less than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our outstanding shares, including shares held by our general partner, the Legacy Owners and their respective affiliates. Please read "Withdrawal or Removal of the General Partner."</w:t>
            </w:r>
          </w:p>
        </w:tc>
      </w:tr>
      <w:tr>
        <w:trPr/>
        <w:tc>
          <w:tcPr>
            <w:tcW w:w="1665" w:type="dxa"/>
            <w:tcBorders/>
            <w:shd w:fill="auto" w:val="clear"/>
          </w:tcPr>
          <w:p>
            <w:pPr>
              <w:pStyle w:val="TableContents"/>
              <w:spacing w:before="240" w:after="283"/>
              <w:ind w:left="200" w:right="0" w:hanging="200"/>
              <w:rPr>
                <w:rFonts w:ascii="times" w:hAnsi="times"/>
                <w:sz w:val="20"/>
              </w:rPr>
            </w:pPr>
            <w:r>
              <w:rPr>
                <w:rFonts w:ascii="times" w:hAnsi="times"/>
                <w:sz w:val="20"/>
              </w:rPr>
              <w:t>Transfer of the general partner interest</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No approval right. Please read "Transfer of General Partner Interest."</w:t>
            </w:r>
          </w:p>
        </w:tc>
      </w:tr>
    </w:tbl>
    <w:p>
      <w:pPr>
        <w:pStyle w:val="TextBody"/>
        <w:rPr>
          <w:rFonts w:ascii="times" w:hAnsi="times"/>
          <w:b/>
          <w:sz w:val="20"/>
        </w:rPr>
      </w:pPr>
      <w:r>
        <w:rPr>
          <w:rFonts w:ascii="times" w:hAnsi="times"/>
          <w:b/>
          <w:sz w:val="20"/>
        </w:rPr>
        <w:t xml:space="preserve">Transfer of Ownership Interests in Our General Partner </w:t>
      </w:r>
    </w:p>
    <w:p>
      <w:pPr>
        <w:pStyle w:val="TextBody"/>
        <w:rPr/>
      </w:pPr>
      <w:r>
        <w:rPr/>
        <w:t>        </w:t>
      </w:r>
      <w:r>
        <w:rPr>
          <w:rFonts w:ascii="times" w:hAnsi="times"/>
          <w:sz w:val="20"/>
        </w:rPr>
        <w:t xml:space="preserve">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 </w:t>
      </w:r>
    </w:p>
    <w:p>
      <w:pPr>
        <w:pStyle w:val="TextBody"/>
        <w:rPr/>
      </w:pPr>
      <w:r>
        <w:rPr/>
        <w:t>        </w:t>
      </w:r>
      <w:r>
        <w:rPr>
          <w:rFonts w:ascii="times" w:hAnsi="times"/>
          <w:sz w:val="20"/>
        </w:rPr>
        <w:t xml:space="preserve">Our general partner's limited liability company agreement includes provisions linking the ownership of the membership interests in our general partner to the ownership of the outstanding AAP units. Membership interests in our general partner are not allowed to be transferred without transferring the same number of AAP units and vice versa. </w:t>
      </w:r>
    </w:p>
    <w:p>
      <w:pPr>
        <w:pStyle w:val="TextBody"/>
        <w:rPr>
          <w:rFonts w:ascii="times" w:hAnsi="times"/>
          <w:b/>
          <w:sz w:val="20"/>
        </w:rPr>
      </w:pPr>
      <w:r>
        <w:rPr>
          <w:rFonts w:ascii="times" w:hAnsi="times"/>
          <w:b/>
          <w:sz w:val="20"/>
        </w:rPr>
        <w:t xml:space="preserve">Issuance of Additional Securities </w:t>
      </w:r>
    </w:p>
    <w:p>
      <w:pPr>
        <w:pStyle w:val="TextBody"/>
        <w:rPr/>
      </w:pPr>
      <w:r>
        <w:rPr/>
        <w:t>        </w:t>
      </w:r>
      <w:r>
        <w:rPr>
          <w:rFonts w:ascii="times" w:hAnsi="times"/>
          <w:sz w:val="20"/>
        </w:rPr>
        <w:t xml:space="preserve">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 </w:t>
      </w:r>
    </w:p>
    <w:p>
      <w:pPr>
        <w:pStyle w:val="TextBody"/>
        <w:rPr/>
      </w:pPr>
      <w:r>
        <w:rPr/>
        <w:t>        </w:t>
      </w:r>
      <w:r>
        <w:rPr>
          <w:rFonts w:ascii="times" w:hAnsi="times"/>
          <w:sz w:val="20"/>
        </w:rPr>
        <w:t xml:space="preserve">It is possible that we will fund acquisitions through the issuance of additional shares or other equity securities. Holders of any additional shares we issue will be entitled to share equally with the </w:t>
      </w:r>
    </w:p>
    <w:p>
      <w:pPr>
        <w:pStyle w:val="TextBody"/>
        <w:jc w:val="center"/>
        <w:rPr>
          <w:rFonts w:ascii="times" w:hAnsi="times"/>
          <w:sz w:val="20"/>
        </w:rPr>
      </w:pPr>
      <w:r>
        <w:rPr>
          <w:rFonts w:ascii="times" w:hAnsi="times"/>
          <w:sz w:val="20"/>
        </w:rPr>
        <w:t>10</w:t>
      </w:r>
    </w:p>
    <w:p>
      <w:pPr>
        <w:pStyle w:val="HorizontalLine"/>
        <w:pBdr>
          <w:bottom w:val="single" w:sz="20" w:space="0" w:color="808080"/>
        </w:pBdr>
        <w:rPr/>
      </w:pPr>
      <w:r>
        <w:rPr/>
      </w:r>
      <w:r>
        <w:br w:type="page"/>
      </w:r>
    </w:p>
    <w:p>
      <w:pPr>
        <w:pStyle w:val="TextBody"/>
        <w:rPr/>
      </w:pPr>
      <w:hyperlink w:anchor="bg44101a_main_toc">
        <w:bookmarkStart w:id="41" w:name="page_cg44101_1_11"/>
        <w:bookmarkEnd w:id="4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then-existing shareholders in our cash distributions. In addition, the issuance of additional partnership interests may dilute the value of the interests of the then-existing holders of shares in our net assets. </w:t>
      </w:r>
    </w:p>
    <w:p>
      <w:pPr>
        <w:pStyle w:val="TextBody"/>
        <w:rPr/>
      </w:pPr>
      <w:r>
        <w:rPr/>
        <w:t>        </w:t>
      </w:r>
      <w:r>
        <w:rPr>
          <w:rFonts w:ascii="times" w:hAnsi="times"/>
          <w:sz w:val="20"/>
        </w:rPr>
        <w:t xml:space="preserve">In accordance with Delaware law and the provisions of our partnership agreement, we may also issue additional partnership interests that have special voting rights to which the Class A shares and Class B shares are not entitled. </w:t>
      </w:r>
    </w:p>
    <w:p>
      <w:pPr>
        <w:pStyle w:val="TextBody"/>
        <w:rPr>
          <w:rFonts w:ascii="times" w:hAnsi="times"/>
          <w:b/>
          <w:sz w:val="20"/>
        </w:rPr>
      </w:pPr>
      <w:r>
        <w:rPr>
          <w:rFonts w:ascii="times" w:hAnsi="times"/>
          <w:b/>
          <w:sz w:val="20"/>
        </w:rPr>
        <w:t xml:space="preserve">Amendments to Our Partnership Agreement </w:t>
      </w:r>
    </w:p>
    <w:p>
      <w:pPr>
        <w:pStyle w:val="TextBody"/>
        <w:numPr>
          <w:ilvl w:val="0"/>
          <w:numId w:val="0"/>
        </w:numPr>
        <w:ind w:left="707" w:hanging="0"/>
        <w:rPr>
          <w:rFonts w:ascii="times" w:hAnsi="times"/>
          <w:i/>
          <w:sz w:val="20"/>
        </w:rPr>
      </w:pPr>
      <w:r>
        <w:rPr>
          <w:rFonts w:ascii="times" w:hAnsi="times"/>
          <w:i/>
          <w:sz w:val="20"/>
        </w:rPr>
        <w:t xml:space="preserve">General </w:t>
      </w:r>
    </w:p>
    <w:p>
      <w:pPr>
        <w:pStyle w:val="TextBody"/>
        <w:rPr/>
      </w:pPr>
      <w:r>
        <w:rPr/>
        <w:t>        </w:t>
      </w:r>
      <w:r>
        <w:rPr>
          <w:rFonts w:ascii="times" w:hAnsi="times"/>
          <w:sz w:val="20"/>
        </w:rPr>
        <w:t xml:space="preserve">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 </w:t>
      </w:r>
    </w:p>
    <w:p>
      <w:pPr>
        <w:pStyle w:val="TextBody"/>
        <w:numPr>
          <w:ilvl w:val="0"/>
          <w:numId w:val="0"/>
        </w:numPr>
        <w:ind w:left="707" w:hanging="0"/>
        <w:rPr>
          <w:rFonts w:ascii="times" w:hAnsi="times"/>
          <w:i/>
          <w:sz w:val="20"/>
        </w:rPr>
      </w:pPr>
      <w:r>
        <w:rPr>
          <w:rFonts w:ascii="times" w:hAnsi="times"/>
          <w:i/>
          <w:sz w:val="20"/>
        </w:rPr>
        <w:t xml:space="preserve">Prohibited Amendments </w:t>
      </w:r>
    </w:p>
    <w:p>
      <w:pPr>
        <w:pStyle w:val="TextBody"/>
        <w:rPr/>
      </w:pPr>
      <w:r>
        <w:rPr/>
        <w:t>        </w:t>
      </w:r>
      <w:r>
        <w:rPr>
          <w:rFonts w:ascii="times" w:hAnsi="times"/>
          <w:sz w:val="20"/>
        </w:rPr>
        <w:t xml:space="preserve">No amendment may be made that would: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enlarge the obligations of any shareholder without its consent, unless approved by at least a majority of the type or class of shareholder interests so affected; or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 </w:t>
      </w:r>
    </w:p>
    <w:p>
      <w:pPr>
        <w:pStyle w:val="TextBody"/>
        <w:rPr/>
      </w:pPr>
      <w:r>
        <w:rPr/>
        <w:t>        </w:t>
      </w:r>
      <w:r>
        <w:rPr>
          <w:rFonts w:ascii="times" w:hAnsi="times"/>
          <w:sz w:val="20"/>
        </w:rPr>
        <w:t xml:space="preserve">The provision of our partnership agreement preventing amendments having the effects described in clauses (1) or (2) above can be amended upon the approval of the holders of at least 90% of the outstanding shares. </w:t>
      </w:r>
    </w:p>
    <w:p>
      <w:pPr>
        <w:pStyle w:val="TextBody"/>
        <w:numPr>
          <w:ilvl w:val="0"/>
          <w:numId w:val="0"/>
        </w:numPr>
        <w:ind w:left="707" w:hanging="0"/>
        <w:rPr>
          <w:rFonts w:ascii="times" w:hAnsi="times"/>
          <w:i/>
          <w:sz w:val="20"/>
        </w:rPr>
      </w:pPr>
      <w:r>
        <w:rPr>
          <w:rFonts w:ascii="times" w:hAnsi="times"/>
          <w:i/>
          <w:sz w:val="20"/>
        </w:rPr>
        <w:t xml:space="preserve">No Shareholder Approval </w:t>
      </w:r>
    </w:p>
    <w:p>
      <w:pPr>
        <w:pStyle w:val="TextBody"/>
        <w:rPr/>
      </w:pPr>
      <w:r>
        <w:rPr/>
        <w:t>        </w:t>
      </w:r>
      <w:r>
        <w:rPr>
          <w:rFonts w:ascii="times" w:hAnsi="times"/>
          <w:sz w:val="20"/>
        </w:rPr>
        <w:t xml:space="preserve">Our general partner may generally make amendments to our partnership agreement without the approval of any shareholder or assignee to reflect: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any change in our name, the location of our principal place of business, our registered agent or its registered office;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admission, substitution, withdrawal or removal of partners in accordance with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a change that our general partner determines to be necessary or appropriate to qualify or continue the qualification of our partnership as a limited partnership or a partnership in which the limited partners have limited liability under the laws of any state;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 </w:t>
      </w:r>
    </w:p>
    <w:p>
      <w:pPr>
        <w:pStyle w:val="TextBody"/>
        <w:jc w:val="center"/>
        <w:rPr>
          <w:rFonts w:ascii="times" w:hAnsi="times"/>
          <w:sz w:val="20"/>
        </w:rPr>
      </w:pPr>
      <w:r>
        <w:rPr>
          <w:rFonts w:ascii="times" w:hAnsi="times"/>
          <w:sz w:val="20"/>
        </w:rPr>
        <w:t>11</w:t>
      </w:r>
    </w:p>
    <w:p>
      <w:pPr>
        <w:pStyle w:val="HorizontalLine"/>
        <w:pBdr>
          <w:bottom w:val="single" w:sz="20" w:space="0" w:color="808080"/>
        </w:pBdr>
        <w:rPr/>
      </w:pPr>
      <w:r>
        <w:rPr/>
      </w:r>
      <w:r>
        <w:br w:type="page"/>
      </w:r>
    </w:p>
    <w:p>
      <w:pPr>
        <w:pStyle w:val="TextBody"/>
        <w:rPr/>
      </w:pPr>
      <w:hyperlink w:anchor="bg44101a_main_toc">
        <w:bookmarkStart w:id="42" w:name="page_cg44101_1_12"/>
        <w:bookmarkEnd w:id="42"/>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our general partner determines to be necessary or appropriate for the authorization of additional partnership securities or rights to acquire partnership securities; </w:t>
      </w:r>
    </w:p>
    <w:p>
      <w:pPr>
        <w:pStyle w:val="ListHeading"/>
        <w:numPr>
          <w:ilvl w:val="0"/>
          <w:numId w:val="0"/>
        </w:numPr>
        <w:spacing w:before="0" w:after="0"/>
        <w:ind w:left="707" w:right="0" w:hanging="0"/>
        <w:rPr>
          <w:rFonts w:ascii="times" w:hAnsi="times"/>
          <w:sz w:val="20"/>
        </w:rPr>
      </w:pPr>
      <w:r>
        <w:rPr>
          <w:rFonts w:ascii="times" w:hAnsi="times"/>
          <w:sz w:val="20"/>
        </w:rPr>
        <w:t>(6)</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amendment expressly permitted in our partnership agreement to be made by our general partner acting alone; </w:t>
      </w:r>
    </w:p>
    <w:p>
      <w:pPr>
        <w:pStyle w:val="ListHeading"/>
        <w:numPr>
          <w:ilvl w:val="0"/>
          <w:numId w:val="0"/>
        </w:numPr>
        <w:spacing w:before="0" w:after="0"/>
        <w:ind w:left="707" w:right="0" w:hanging="0"/>
        <w:rPr>
          <w:rFonts w:ascii="times" w:hAnsi="times"/>
          <w:sz w:val="20"/>
        </w:rPr>
      </w:pPr>
      <w:r>
        <w:rPr>
          <w:rFonts w:ascii="times" w:hAnsi="times"/>
          <w:sz w:val="20"/>
        </w:rPr>
        <w:t>(7)</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effected, necessitated or contemplated by a merger agreement that has been approved under the terms of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(8)</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our general partner determines to be necessary or appropriate for the formation by us, or our investment in, any corporation, partnership or other entity, as otherwise permitted by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(9)</w:t>
      </w:r>
    </w:p>
    <w:p>
      <w:pPr>
        <w:pStyle w:val="ListContents"/>
        <w:numPr>
          <w:ilvl w:val="0"/>
          <w:numId w:val="0"/>
        </w:numPr>
        <w:spacing w:before="0" w:after="283"/>
        <w:ind w:left="1274" w:right="0" w:hanging="0"/>
        <w:rPr>
          <w:rFonts w:ascii="times" w:hAnsi="times"/>
          <w:sz w:val="20"/>
        </w:rPr>
      </w:pPr>
      <w:r>
        <w:rPr>
          <w:rFonts w:ascii="times" w:hAnsi="times"/>
          <w:sz w:val="20"/>
        </w:rPr>
        <w:t xml:space="preserve">a change in our fiscal year or taxable year and related changes; </w:t>
      </w:r>
    </w:p>
    <w:p>
      <w:pPr>
        <w:pStyle w:val="ListHeading"/>
        <w:numPr>
          <w:ilvl w:val="0"/>
          <w:numId w:val="0"/>
        </w:numPr>
        <w:spacing w:before="0" w:after="0"/>
        <w:ind w:left="707" w:right="0" w:hanging="0"/>
        <w:rPr>
          <w:rFonts w:ascii="times" w:hAnsi="times"/>
          <w:sz w:val="20"/>
        </w:rPr>
      </w:pPr>
      <w:r>
        <w:rPr>
          <w:rFonts w:ascii="times" w:hAnsi="times"/>
          <w:sz w:val="20"/>
        </w:rPr>
        <w:t>(10)</w:t>
      </w:r>
    </w:p>
    <w:p>
      <w:pPr>
        <w:pStyle w:val="ListContents"/>
        <w:numPr>
          <w:ilvl w:val="0"/>
          <w:numId w:val="0"/>
        </w:numPr>
        <w:spacing w:before="0" w:after="283"/>
        <w:ind w:left="1274" w:right="0" w:hanging="0"/>
        <w:rPr>
          <w:rFonts w:ascii="times" w:hAnsi="times"/>
          <w:sz w:val="20"/>
        </w:rPr>
      </w:pPr>
      <w:r>
        <w:rPr>
          <w:rFonts w:ascii="times" w:hAnsi="times"/>
          <w:sz w:val="20"/>
        </w:rPr>
        <w:t xml:space="preserve">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 </w:t>
      </w:r>
    </w:p>
    <w:p>
      <w:pPr>
        <w:pStyle w:val="ListHeading"/>
        <w:numPr>
          <w:ilvl w:val="0"/>
          <w:numId w:val="0"/>
        </w:numPr>
        <w:spacing w:before="0" w:after="0"/>
        <w:ind w:left="707" w:right="0" w:hanging="0"/>
        <w:rPr>
          <w:rFonts w:ascii="times" w:hAnsi="times"/>
          <w:sz w:val="20"/>
        </w:rPr>
      </w:pPr>
      <w:r>
        <w:rPr>
          <w:rFonts w:ascii="times" w:hAnsi="times"/>
          <w:sz w:val="20"/>
        </w:rPr>
        <w:t>(11)</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 </w:t>
      </w:r>
    </w:p>
    <w:p>
      <w:pPr>
        <w:pStyle w:val="ListHeading"/>
        <w:numPr>
          <w:ilvl w:val="0"/>
          <w:numId w:val="0"/>
        </w:numPr>
        <w:spacing w:before="0" w:after="0"/>
        <w:ind w:left="707" w:right="0" w:hanging="0"/>
        <w:rPr>
          <w:rFonts w:ascii="times" w:hAnsi="times"/>
          <w:sz w:val="20"/>
        </w:rPr>
      </w:pPr>
      <w:r>
        <w:rPr>
          <w:rFonts w:ascii="times" w:hAnsi="times"/>
          <w:sz w:val="20"/>
        </w:rPr>
        <w:t>(12)</w:t>
      </w:r>
    </w:p>
    <w:p>
      <w:pPr>
        <w:pStyle w:val="ListContents"/>
        <w:numPr>
          <w:ilvl w:val="0"/>
          <w:numId w:val="0"/>
        </w:numPr>
        <w:spacing w:before="0" w:after="283"/>
        <w:ind w:left="1274" w:right="0" w:hanging="0"/>
        <w:rPr>
          <w:rFonts w:ascii="times" w:hAnsi="times"/>
          <w:sz w:val="20"/>
        </w:rPr>
      </w:pPr>
      <w:r>
        <w:rPr>
          <w:rFonts w:ascii="times" w:hAnsi="times"/>
          <w:sz w:val="20"/>
        </w:rPr>
        <w:t xml:space="preserve">any other amendments substantially similar to any of the matters described in (1) through (11) above. </w:t>
      </w:r>
    </w:p>
    <w:p>
      <w:pPr>
        <w:pStyle w:val="TextBody"/>
        <w:rPr/>
      </w:pPr>
      <w:r>
        <w:rPr/>
        <w:t>        </w:t>
      </w:r>
      <w:r>
        <w:rPr>
          <w:rFonts w:ascii="times" w:hAnsi="times"/>
          <w:sz w:val="20"/>
        </w:rPr>
        <w:t xml:space="preserve">In addition, our general partner may make amendments to our partnership agreement without the approval of any shareholder or assignee if those amendments, in the discretion of our general partner: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do not adversely affect our shareholders (or any particular class of holders of partnership interests) in any material respect;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satisfy any requirements, conditions or guidelines contained in any opinion, directive, order, ruling or regulation of any federal or state agency or judicial authority or contained in any federal or state statute;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facilitate the trading of our shares or to comply with any rule, regulation, guideline or requirement of any securities exchange on which our shares are or will be listed for trading;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for any action taken by our general partner relating to splits or combinations of shares under the provisions of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implement certain governance procedures following the trigger date, including the staggering of our board of directors and the public election of directors; or </w:t>
      </w:r>
    </w:p>
    <w:p>
      <w:pPr>
        <w:pStyle w:val="ListHeading"/>
        <w:numPr>
          <w:ilvl w:val="0"/>
          <w:numId w:val="0"/>
        </w:numPr>
        <w:spacing w:before="0" w:after="0"/>
        <w:ind w:left="707" w:right="0" w:hanging="0"/>
        <w:rPr>
          <w:rFonts w:ascii="times" w:hAnsi="times"/>
          <w:sz w:val="20"/>
        </w:rPr>
      </w:pPr>
      <w:r>
        <w:rPr>
          <w:rFonts w:ascii="times" w:hAnsi="times"/>
          <w:sz w:val="20"/>
        </w:rPr>
        <w:t>(6)</w:t>
      </w:r>
    </w:p>
    <w:p>
      <w:pPr>
        <w:pStyle w:val="ListContents"/>
        <w:numPr>
          <w:ilvl w:val="0"/>
          <w:numId w:val="0"/>
        </w:numPr>
        <w:spacing w:before="0" w:after="283"/>
        <w:ind w:left="1274" w:right="0" w:hanging="0"/>
        <w:rPr>
          <w:rFonts w:ascii="times" w:hAnsi="times"/>
          <w:sz w:val="20"/>
        </w:rPr>
      </w:pPr>
      <w:r>
        <w:rPr>
          <w:rFonts w:ascii="times" w:hAnsi="times"/>
          <w:sz w:val="20"/>
        </w:rPr>
        <w:t xml:space="preserve">are required to effect the intent of the statements contained in this prospectus and in the provisions of our partnership agreement or as are otherwise contemplated by our partnership agreement. </w:t>
      </w:r>
    </w:p>
    <w:p>
      <w:pPr>
        <w:pStyle w:val="TextBody"/>
        <w:numPr>
          <w:ilvl w:val="0"/>
          <w:numId w:val="0"/>
        </w:numPr>
        <w:ind w:left="707" w:hanging="0"/>
        <w:rPr>
          <w:rFonts w:ascii="times" w:hAnsi="times"/>
          <w:i/>
          <w:sz w:val="20"/>
        </w:rPr>
      </w:pPr>
      <w:r>
        <w:rPr>
          <w:rFonts w:ascii="times" w:hAnsi="times"/>
          <w:i/>
          <w:sz w:val="20"/>
        </w:rPr>
        <w:t xml:space="preserve">Opinion of Counsel and Shareholder Approval </w:t>
      </w:r>
    </w:p>
    <w:p>
      <w:pPr>
        <w:pStyle w:val="TextBody"/>
        <w:rPr/>
      </w:pPr>
      <w:r>
        <w:rPr/>
        <w:t>        </w:t>
      </w:r>
      <w:r>
        <w:rPr>
          <w:rFonts w:ascii="times" w:hAnsi="times"/>
          <w:sz w:val="20"/>
        </w:rPr>
        <w:t xml:space="preserve">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w:t>
      </w:r>
    </w:p>
    <w:p>
      <w:pPr>
        <w:pStyle w:val="TextBody"/>
        <w:jc w:val="center"/>
        <w:rPr>
          <w:rFonts w:ascii="times" w:hAnsi="times"/>
          <w:sz w:val="20"/>
        </w:rPr>
      </w:pPr>
      <w:r>
        <w:rPr>
          <w:rFonts w:ascii="times" w:hAnsi="times"/>
          <w:sz w:val="20"/>
        </w:rPr>
        <w:t>12</w:t>
      </w:r>
    </w:p>
    <w:p>
      <w:pPr>
        <w:pStyle w:val="HorizontalLine"/>
        <w:pBdr>
          <w:bottom w:val="single" w:sz="20" w:space="0" w:color="808080"/>
        </w:pBdr>
        <w:rPr/>
      </w:pPr>
      <w:r>
        <w:rPr/>
      </w:r>
      <w:r>
        <w:br w:type="page"/>
      </w:r>
    </w:p>
    <w:p>
      <w:pPr>
        <w:pStyle w:val="TextBody"/>
        <w:rPr/>
      </w:pPr>
      <w:hyperlink w:anchor="bg44101a_main_toc">
        <w:bookmarkStart w:id="43" w:name="page_cg44101_1_13"/>
        <w:bookmarkEnd w:id="4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opinion where required, the approval of 90% of the outstanding shares is required for an amendment to become effective. </w:t>
      </w:r>
    </w:p>
    <w:p>
      <w:pPr>
        <w:pStyle w:val="TextBody"/>
        <w:rPr/>
      </w:pPr>
      <w:r>
        <w:rPr/>
        <w:t>        </w:t>
      </w:r>
      <w:r>
        <w:rPr>
          <w:rFonts w:ascii="times" w:hAnsi="times"/>
          <w:sz w:val="20"/>
        </w:rPr>
        <w:t xml:space="preserve">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 </w:t>
      </w:r>
    </w:p>
    <w:p>
      <w:pPr>
        <w:pStyle w:val="TextBody"/>
        <w:rPr>
          <w:rFonts w:ascii="times" w:hAnsi="times"/>
          <w:b/>
          <w:sz w:val="20"/>
        </w:rPr>
      </w:pPr>
      <w:r>
        <w:rPr>
          <w:rFonts w:ascii="times" w:hAnsi="times"/>
          <w:b/>
          <w:sz w:val="20"/>
        </w:rPr>
        <w:t xml:space="preserve">Merger, Sale or Other Disposition of Assets </w:t>
      </w:r>
    </w:p>
    <w:p>
      <w:pPr>
        <w:pStyle w:val="TextBody"/>
        <w:rPr/>
      </w:pPr>
      <w:r>
        <w:rPr/>
        <w:t>        </w:t>
      </w:r>
      <w:r>
        <w:rPr>
          <w:rFonts w:ascii="times" w:hAnsi="times"/>
          <w:sz w:val="20"/>
        </w:rPr>
        <w:t xml:space="preserve">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 </w:t>
      </w:r>
    </w:p>
    <w:p>
      <w:pPr>
        <w:pStyle w:val="TextBody"/>
        <w:rPr/>
      </w:pPr>
      <w:r>
        <w:rPr/>
        <w:t>        </w:t>
      </w:r>
      <w:r>
        <w:rPr>
          <w:rFonts w:ascii="times" w:hAnsi="times"/>
          <w:sz w:val="20"/>
        </w:rPr>
        <w:t xml:space="preserve">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 </w:t>
      </w:r>
    </w:p>
    <w:p>
      <w:pPr>
        <w:pStyle w:val="TextBody"/>
        <w:rPr/>
      </w:pPr>
      <w:r>
        <w:rPr/>
        <w:t>        </w:t>
      </w:r>
      <w:r>
        <w:rPr>
          <w:rFonts w:ascii="times" w:hAnsi="times"/>
          <w:sz w:val="20"/>
        </w:rPr>
        <w:t xml:space="preserve">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 </w:t>
      </w:r>
    </w:p>
    <w:p>
      <w:pPr>
        <w:pStyle w:val="TextBody"/>
        <w:rPr>
          <w:rFonts w:ascii="times" w:hAnsi="times"/>
          <w:b/>
          <w:sz w:val="20"/>
        </w:rPr>
      </w:pPr>
      <w:r>
        <w:rPr>
          <w:rFonts w:ascii="times" w:hAnsi="times"/>
          <w:b/>
          <w:sz w:val="20"/>
        </w:rPr>
        <w:t xml:space="preserve">Termination or Dissolution </w:t>
      </w:r>
    </w:p>
    <w:p>
      <w:pPr>
        <w:pStyle w:val="TextBody"/>
        <w:rPr/>
      </w:pPr>
      <w:r>
        <w:rPr/>
        <w:t>        </w:t>
      </w:r>
      <w:r>
        <w:rPr>
          <w:rFonts w:ascii="times" w:hAnsi="times"/>
          <w:sz w:val="20"/>
        </w:rPr>
        <w:t xml:space="preserve">We will continue as a limited partnership until terminated under our partnership agreement. We will dissolve upon: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election of our general partner to dissolve us, if approved by a majority of our outstanding shares;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being no holders of partnership interests, unless we are continued without dissolution in accordance with applicable Delaware law;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entry of a decree of judicial dissolution of us; or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 </w:t>
      </w:r>
    </w:p>
    <w:p>
      <w:pPr>
        <w:pStyle w:val="TextBody"/>
        <w:jc w:val="center"/>
        <w:rPr>
          <w:rFonts w:ascii="times" w:hAnsi="times"/>
          <w:sz w:val="20"/>
        </w:rPr>
      </w:pPr>
      <w:r>
        <w:rPr>
          <w:rFonts w:ascii="times" w:hAnsi="times"/>
          <w:sz w:val="20"/>
        </w:rPr>
        <w:t>13</w:t>
      </w:r>
    </w:p>
    <w:p>
      <w:pPr>
        <w:pStyle w:val="HorizontalLine"/>
        <w:pBdr>
          <w:bottom w:val="single" w:sz="20" w:space="0" w:color="808080"/>
        </w:pBdr>
        <w:rPr/>
      </w:pPr>
      <w:r>
        <w:rPr/>
      </w:r>
      <w:r>
        <w:br w:type="page"/>
      </w:r>
    </w:p>
    <w:p>
      <w:pPr>
        <w:pStyle w:val="TextBody"/>
        <w:rPr/>
      </w:pPr>
      <w:hyperlink w:anchor="bg44101a_main_toc">
        <w:bookmarkStart w:id="44" w:name="page_cg44101_1_14"/>
        <w:bookmarkEnd w:id="44"/>
        <w:r>
          <w:rPr>
            <w:rStyle w:val="InternetLink"/>
            <w:rFonts w:ascii="times" w:hAnsi="times"/>
            <w:sz w:val="20"/>
          </w:rPr>
          <w:t>Table of Contents</w:t>
        </w:r>
      </w:hyperlink>
    </w:p>
    <w:p>
      <w:pPr>
        <w:pStyle w:val="TextBody"/>
        <w:rPr/>
      </w:pPr>
      <w:r>
        <w:rPr/>
        <w:t>        </w:t>
      </w:r>
      <w:r>
        <w:rPr>
          <w:rFonts w:ascii="times" w:hAnsi="times"/>
          <w:sz w:val="20"/>
        </w:rPr>
        <w:t xml:space="preserve">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 </w:t>
      </w:r>
    </w:p>
    <w:p>
      <w:pPr>
        <w:pStyle w:val="TextBody"/>
        <w:rPr>
          <w:rFonts w:ascii="times" w:hAnsi="times"/>
          <w:b/>
          <w:sz w:val="20"/>
        </w:rPr>
      </w:pPr>
      <w:r>
        <w:rPr>
          <w:rFonts w:ascii="times" w:hAnsi="times"/>
          <w:b/>
          <w:sz w:val="20"/>
        </w:rPr>
        <w:t xml:space="preserve">Liquidation and Distribution of Proceeds </w:t>
      </w:r>
    </w:p>
    <w:p>
      <w:pPr>
        <w:pStyle w:val="TextBody"/>
        <w:rPr/>
      </w:pPr>
      <w:r>
        <w:rPr/>
        <w:t>        </w:t>
      </w:r>
      <w:r>
        <w:rPr>
          <w:rFonts w:ascii="times" w:hAnsi="times"/>
          <w:sz w:val="20"/>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first</w:t>
      </w:r>
      <w:r>
        <w:rPr>
          <w:rFonts w:ascii="times" w:hAnsi="times"/>
          <w:sz w:val="20"/>
        </w:rPr>
        <w:t xml:space="preserve">, towards the payment of all of our creditors and the settlement of or creation of a reserve for contingent liabilities;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then</w:t>
      </w:r>
      <w:r>
        <w:rPr>
          <w:rFonts w:ascii="times" w:hAnsi="times"/>
          <w:sz w:val="20"/>
        </w:rPr>
        <w:t xml:space="preserve">, to all partners in accordance with the positive balance in the respective capital accounts. </w:t>
      </w:r>
    </w:p>
    <w:p>
      <w:pPr>
        <w:pStyle w:val="TextBody"/>
        <w:rPr/>
      </w:pPr>
      <w:r>
        <w:rPr/>
        <w:t>        </w:t>
      </w:r>
      <w:r>
        <w:rPr>
          <w:rFonts w:ascii="times" w:hAnsi="times"/>
          <w:sz w:val="20"/>
        </w:rPr>
        <w:t xml:space="preserve">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 </w:t>
      </w:r>
    </w:p>
    <w:p>
      <w:pPr>
        <w:pStyle w:val="TextBody"/>
        <w:rPr>
          <w:rFonts w:ascii="times" w:hAnsi="times"/>
          <w:b/>
          <w:sz w:val="20"/>
        </w:rPr>
      </w:pPr>
      <w:r>
        <w:rPr>
          <w:rFonts w:ascii="times" w:hAnsi="times"/>
          <w:b/>
          <w:sz w:val="20"/>
        </w:rPr>
        <w:t xml:space="preserve">Withdrawal or Removal of the General Partner </w:t>
      </w:r>
    </w:p>
    <w:p>
      <w:pPr>
        <w:pStyle w:val="TextBody"/>
        <w:rPr/>
      </w:pPr>
      <w:r>
        <w:rPr/>
        <w:t>        </w:t>
      </w:r>
      <w:r>
        <w:rPr>
          <w:rFonts w:ascii="times" w:hAnsi="times"/>
          <w:sz w:val="20"/>
        </w:rPr>
        <w:t xml:space="preserve">Our general partner may withdraw as general partner in compliance with our partnership agreement after giving 90 days' written notice to our shareholders, and that withdrawal will not constitute a violation of our partnership agreement. </w:t>
      </w:r>
    </w:p>
    <w:p>
      <w:pPr>
        <w:pStyle w:val="TextBody"/>
        <w:rPr/>
      </w:pPr>
      <w:r>
        <w:rPr/>
        <w:t>        </w:t>
      </w:r>
      <w:r>
        <w:rPr>
          <w:rFonts w:ascii="times" w:hAnsi="times"/>
          <w:sz w:val="20"/>
        </w:rPr>
        <w:t xml:space="preserve">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 </w:t>
      </w:r>
    </w:p>
    <w:p>
      <w:pPr>
        <w:pStyle w:val="TextBody"/>
        <w:rPr/>
      </w:pPr>
      <w:r>
        <w:rPr/>
        <w:t>        </w:t>
      </w:r>
      <w:r>
        <w:rPr>
          <w:rFonts w:ascii="times" w:hAnsi="times"/>
          <w:sz w:val="20"/>
        </w:rPr>
        <w:t>Our general partner may not be removed unless that removal is approved by the vote of the holders of not less than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our outstanding shares, including shares held by our general partner, the Legacy Owners and their respective affiliates, and we receive an opinion of counsel regarding limited liability. Any removal of our general partner is also subject to the approval of a successor general partner by the vote of the holders of a majority of the outstanding shares. The ownership of more than 33</w:t>
      </w:r>
      <w:r>
        <w:rPr>
          <w:rFonts w:ascii="times" w:hAnsi="times"/>
          <w:position w:val="7"/>
          <w:sz w:val="16"/>
          <w:sz w:val="20"/>
        </w:rPr>
        <w:t>1</w:t>
      </w:r>
      <w:r>
        <w:rPr>
          <w:rFonts w:ascii="times" w:hAnsi="times"/>
          <w:sz w:val="20"/>
        </w:rPr>
        <w:t>/</w:t>
      </w:r>
      <w:r>
        <w:rPr>
          <w:rFonts w:ascii="times" w:hAnsi="times"/>
          <w:sz w:val="14"/>
        </w:rPr>
        <w:t>3</w:t>
      </w:r>
      <w:r>
        <w:rPr>
          <w:rFonts w:ascii="times" w:hAnsi="times"/>
          <w:sz w:val="20"/>
        </w:rPr>
        <w:t>% of our outstanding shares by any person or group would give such persons the practical ability to prevent our general partner's removal. The Legacy Owners currently own substantially more than 33</w:t>
      </w:r>
      <w:r>
        <w:rPr>
          <w:rFonts w:ascii="times" w:hAnsi="times"/>
          <w:position w:val="7"/>
          <w:sz w:val="16"/>
          <w:sz w:val="20"/>
        </w:rPr>
        <w:t>1</w:t>
      </w:r>
      <w:r>
        <w:rPr>
          <w:rFonts w:ascii="times" w:hAnsi="times"/>
          <w:sz w:val="20"/>
        </w:rPr>
        <w:t>/</w:t>
      </w:r>
      <w:r>
        <w:rPr>
          <w:rFonts w:ascii="times" w:hAnsi="times"/>
          <w:sz w:val="14"/>
        </w:rPr>
        <w:t>3</w:t>
      </w:r>
      <w:r>
        <w:rPr>
          <w:rFonts w:ascii="times" w:hAnsi="times"/>
          <w:sz w:val="20"/>
        </w:rPr>
        <w:t xml:space="preserve">% of our outstanding shares. </w:t>
      </w:r>
    </w:p>
    <w:p>
      <w:pPr>
        <w:pStyle w:val="TextBody"/>
        <w:rPr/>
      </w:pPr>
      <w:r>
        <w:rPr/>
        <w:t>        </w:t>
      </w:r>
      <w:r>
        <w:rPr>
          <w:rFonts w:ascii="times" w:hAnsi="times"/>
          <w:sz w:val="20"/>
        </w:rPr>
        <w:t xml:space="preserve">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 </w:t>
      </w:r>
    </w:p>
    <w:p>
      <w:pPr>
        <w:pStyle w:val="TextBody"/>
        <w:rPr>
          <w:rFonts w:ascii="times" w:hAnsi="times"/>
          <w:b/>
          <w:sz w:val="20"/>
        </w:rPr>
      </w:pPr>
      <w:r>
        <w:rPr>
          <w:rFonts w:ascii="times" w:hAnsi="times"/>
          <w:b/>
          <w:sz w:val="20"/>
        </w:rPr>
        <w:t xml:space="preserve">Transfer of General Partner Interest </w:t>
      </w:r>
    </w:p>
    <w:p>
      <w:pPr>
        <w:pStyle w:val="TextBody"/>
        <w:rPr/>
      </w:pPr>
      <w:r>
        <w:rPr/>
        <w:t>        </w:t>
      </w:r>
      <w:r>
        <w:rPr>
          <w:rFonts w:ascii="times" w:hAnsi="times"/>
          <w:sz w:val="20"/>
        </w:rPr>
        <w:t xml:space="preserve">Our general partner may transfer all or any of its general partner interest in us without obtaining approval of any shareholder. As a condition of this transfer, the transferee must assume the rights and duties of the general partner to whose interest that transferee has succeeded, agree to be bound by the provisions of our partnership agreement and furnish an opinion of counsel regarding limited liability. </w:t>
      </w:r>
    </w:p>
    <w:p>
      <w:pPr>
        <w:pStyle w:val="TextBody"/>
        <w:jc w:val="center"/>
        <w:rPr>
          <w:rFonts w:ascii="times" w:hAnsi="times"/>
          <w:sz w:val="20"/>
        </w:rPr>
      </w:pPr>
      <w:r>
        <w:rPr>
          <w:rFonts w:ascii="times" w:hAnsi="times"/>
          <w:sz w:val="20"/>
        </w:rPr>
        <w:t>14</w:t>
      </w:r>
    </w:p>
    <w:p>
      <w:pPr>
        <w:pStyle w:val="HorizontalLine"/>
        <w:pBdr>
          <w:bottom w:val="single" w:sz="20" w:space="0" w:color="808080"/>
        </w:pBdr>
        <w:rPr/>
      </w:pPr>
      <w:r>
        <w:rPr/>
      </w:r>
      <w:r>
        <w:br w:type="page"/>
      </w:r>
    </w:p>
    <w:p>
      <w:pPr>
        <w:pStyle w:val="TextBody"/>
        <w:rPr/>
      </w:pPr>
      <w:hyperlink w:anchor="bg44101a_main_toc">
        <w:bookmarkStart w:id="45" w:name="page_ci44101_1_15"/>
        <w:bookmarkEnd w:id="45"/>
        <w:r>
          <w:rPr>
            <w:rStyle w:val="InternetLink"/>
            <w:rFonts w:ascii="times" w:hAnsi="times"/>
            <w:sz w:val="20"/>
          </w:rPr>
          <w:t>Table of Contents</w:t>
        </w:r>
      </w:hyperlink>
      <w:r>
        <w:rPr>
          <w:rFonts w:ascii="times" w:hAnsi="times"/>
          <w:sz w:val="20"/>
        </w:rPr>
        <w:t xml:space="preserve"> </w:t>
      </w:r>
    </w:p>
    <w:p>
      <w:pPr>
        <w:pStyle w:val="TextBody"/>
        <w:rPr>
          <w:rFonts w:ascii="times" w:hAnsi="times"/>
          <w:b/>
          <w:sz w:val="20"/>
        </w:rPr>
      </w:pPr>
      <w:r>
        <w:rPr>
          <w:rFonts w:ascii="times" w:hAnsi="times"/>
          <w:b/>
          <w:sz w:val="20"/>
        </w:rPr>
        <w:t xml:space="preserve">Change of Management Provision </w:t>
      </w:r>
    </w:p>
    <w:p>
      <w:pPr>
        <w:pStyle w:val="TextBody"/>
        <w:rPr/>
      </w:pPr>
      <w:r>
        <w:rPr/>
        <w:t>        </w:t>
      </w:r>
      <w:r>
        <w:rPr>
          <w:rFonts w:ascii="times" w:hAnsi="times"/>
          <w:sz w:val="20"/>
        </w:rPr>
        <w:t xml:space="preserve">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 </w:t>
      </w:r>
    </w:p>
    <w:p>
      <w:pPr>
        <w:pStyle w:val="TextBody"/>
        <w:rPr>
          <w:rFonts w:ascii="times" w:hAnsi="times"/>
          <w:b/>
          <w:sz w:val="20"/>
        </w:rPr>
      </w:pPr>
      <w:r>
        <w:rPr>
          <w:rFonts w:ascii="times" w:hAnsi="times"/>
          <w:b/>
          <w:sz w:val="20"/>
        </w:rPr>
        <w:t xml:space="preserve">Limited Call Right </w:t>
      </w:r>
    </w:p>
    <w:p>
      <w:pPr>
        <w:pStyle w:val="TextBody"/>
        <w:rPr/>
      </w:pPr>
      <w:r>
        <w:rPr/>
        <w:t>        </w:t>
      </w:r>
      <w:r>
        <w:rPr>
          <w:rFonts w:ascii="times" w:hAnsi="times"/>
          <w:sz w:val="20"/>
        </w:rPr>
        <w:t xml:space="preserve">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 </w:t>
      </w:r>
    </w:p>
    <w:p>
      <w:pPr>
        <w:pStyle w:val="TextBody"/>
        <w:rPr/>
      </w:pPr>
      <w:r>
        <w:rPr/>
        <w:t>        </w:t>
      </w:r>
      <w:r>
        <w:rPr>
          <w:rFonts w:ascii="times" w:hAnsi="times"/>
          <w:sz w:val="20"/>
        </w:rPr>
        <w:t xml:space="preserve">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 </w:t>
      </w:r>
    </w:p>
    <w:p>
      <w:pPr>
        <w:pStyle w:val="TextBody"/>
        <w:rPr>
          <w:rFonts w:ascii="times" w:hAnsi="times"/>
          <w:b/>
          <w:sz w:val="20"/>
        </w:rPr>
      </w:pPr>
      <w:r>
        <w:rPr>
          <w:rFonts w:ascii="times" w:hAnsi="times"/>
          <w:b/>
          <w:sz w:val="20"/>
        </w:rPr>
        <w:t xml:space="preserve">Meetings; Voting </w:t>
      </w:r>
    </w:p>
    <w:p>
      <w:pPr>
        <w:pStyle w:val="TextBody"/>
        <w:rPr/>
      </w:pPr>
      <w:r>
        <w:rPr/>
        <w:t>        </w:t>
      </w:r>
      <w:r>
        <w:rPr>
          <w:rFonts w:ascii="times" w:hAnsi="times"/>
          <w:sz w:val="20"/>
        </w:rPr>
        <w:t xml:space="preserve">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 </w:t>
      </w:r>
    </w:p>
    <w:p>
      <w:pPr>
        <w:pStyle w:val="TextBody"/>
        <w:rPr/>
      </w:pPr>
      <w:r>
        <w:rPr/>
        <w:t>        </w:t>
      </w:r>
      <w:r>
        <w:rPr>
          <w:rFonts w:ascii="times" w:hAnsi="times"/>
          <w:sz w:val="20"/>
        </w:rPr>
        <w:t xml:space="preserve">Our general partner does not anticipate that any meeting of shareholders will be called in the foreseeable future. Our shareholders will not be entitled to act by written consent. 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unless any action by the shareholders requires approval by holders of a greater percentage of the shares, in which case the quorum will be the greater percentage. </w:t>
      </w:r>
    </w:p>
    <w:p>
      <w:pPr>
        <w:pStyle w:val="TextBody"/>
        <w:rPr/>
      </w:pPr>
      <w:r>
        <w:rPr/>
        <w:t>        </w:t>
      </w:r>
      <w:r>
        <w:rPr>
          <w:rFonts w:ascii="times" w:hAnsi="times"/>
          <w:sz w:val="20"/>
        </w:rPr>
        <w:t xml:space="preserve">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 </w:t>
      </w:r>
    </w:p>
    <w:p>
      <w:pPr>
        <w:pStyle w:val="TextBody"/>
        <w:jc w:val="center"/>
        <w:rPr>
          <w:rFonts w:ascii="times" w:hAnsi="times"/>
          <w:sz w:val="20"/>
        </w:rPr>
      </w:pPr>
      <w:r>
        <w:rPr>
          <w:rFonts w:ascii="times" w:hAnsi="times"/>
          <w:sz w:val="20"/>
        </w:rPr>
        <w:t>15</w:t>
      </w:r>
    </w:p>
    <w:p>
      <w:pPr>
        <w:pStyle w:val="HorizontalLine"/>
        <w:pBdr>
          <w:bottom w:val="single" w:sz="20" w:space="0" w:color="808080"/>
        </w:pBdr>
        <w:rPr/>
      </w:pPr>
      <w:r>
        <w:rPr/>
      </w:r>
      <w:r>
        <w:br w:type="page"/>
      </w:r>
    </w:p>
    <w:p>
      <w:pPr>
        <w:pStyle w:val="TextBody"/>
        <w:rPr/>
      </w:pPr>
      <w:hyperlink w:anchor="bg44101a_main_toc">
        <w:bookmarkStart w:id="46" w:name="page_ci44101_1_16"/>
        <w:bookmarkEnd w:id="4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 </w:t>
      </w:r>
    </w:p>
    <w:p>
      <w:pPr>
        <w:pStyle w:val="TextBody"/>
        <w:rPr/>
      </w:pPr>
      <w:r>
        <w:rPr/>
        <w:t>        </w:t>
      </w:r>
      <w:r>
        <w:rPr>
          <w:rFonts w:ascii="times" w:hAnsi="times"/>
          <w:sz w:val="20"/>
        </w:rPr>
        <w:t xml:space="preserve">Any notice, demand, request, report or proxy material required or permitted to be given or made to record holders of shares under our partnership agreement will be delivered to the record holder by us or by the transfer agent. </w:t>
      </w:r>
    </w:p>
    <w:p>
      <w:pPr>
        <w:pStyle w:val="TextBody"/>
        <w:rPr>
          <w:rFonts w:ascii="times" w:hAnsi="times"/>
          <w:b/>
          <w:sz w:val="20"/>
        </w:rPr>
      </w:pPr>
      <w:r>
        <w:rPr>
          <w:rFonts w:ascii="times" w:hAnsi="times"/>
          <w:b/>
          <w:sz w:val="20"/>
        </w:rPr>
        <w:t xml:space="preserve">Public Election of Directors Following Trigger Date </w:t>
      </w:r>
    </w:p>
    <w:p>
      <w:pPr>
        <w:pStyle w:val="TextBody"/>
        <w:rPr/>
      </w:pPr>
      <w:r>
        <w:rPr/>
        <w:t>        </w:t>
      </w:r>
      <w:r>
        <w:rPr>
          <w:rFonts w:ascii="times" w:hAnsi="times"/>
          <w:sz w:val="20"/>
        </w:rPr>
        <w:t xml:space="preserve">Commencing no sooner than 180 days after and no later than the end of the calendar year (as determined by our general partner's board of directors) following the calendar year in which the date that overall direct and indirect economic interest of the Legacy Owners and their permitted transferees in AAP falls below 40% (calculated as described below), which we refer to as the "trigger date," our general partner's board of directors will be divided into three classes of directors such that each class will be comprised of one designated director and one independent director. The 40% threshold referred to above will be calculated on a fully diluted basis that takes into account any Class A shares owned by the Legacy Owners and their affiliates and permitted transferees, assumes the exchange of all AAP management units for AAP units based on the applicable conversion factor and attributes the ownership of such AAP units to the Legacy Owners. As provided in our general partner's limited liability company agreement, the CEO of our general partner is an automatic member (and Chairman) of our general partner's board of directors and therefore will not be included in a class. Each class of directors will serve a three year term. </w:t>
      </w:r>
    </w:p>
    <w:p>
      <w:pPr>
        <w:pStyle w:val="TextBody"/>
        <w:rPr/>
      </w:pPr>
      <w:r>
        <w:rPr/>
        <w:t>        </w:t>
      </w:r>
      <w:r>
        <w:rPr>
          <w:rFonts w:ascii="times" w:hAnsi="times"/>
          <w:sz w:val="20"/>
        </w:rPr>
        <w:t xml:space="preserve">After the trigger date and once our general partner's board of directors has been divided into classes and staggered as described above, our amended and restated partnership agreement provides that, prior to the expiration of the term of each class of directors (at such time as is determined by our general partner),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and Class B shares, together as a single class, will constitute a quorum. </w:t>
      </w:r>
    </w:p>
    <w:p>
      <w:pPr>
        <w:pStyle w:val="TextBody"/>
        <w:rPr/>
      </w:pPr>
      <w:r>
        <w:rPr/>
        <w:t>        </w:t>
      </w:r>
      <w:r>
        <w:rPr>
          <w:rFonts w:ascii="times" w:hAnsi="times"/>
          <w:sz w:val="20"/>
        </w:rPr>
        <w:t xml:space="preserve">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that owns of record at least 10% of the combined Class A and Class B shares following the trigger date,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the case of our first annual meeting, such date as shall be set by our general partner) and comply with certain other requirements set forth in our amended and restated partnership agreement. </w:t>
      </w:r>
    </w:p>
    <w:p>
      <w:pPr>
        <w:pStyle w:val="TextBody"/>
        <w:jc w:val="center"/>
        <w:rPr>
          <w:rFonts w:ascii="times" w:hAnsi="times"/>
          <w:sz w:val="20"/>
        </w:rPr>
      </w:pPr>
      <w:r>
        <w:rPr>
          <w:rFonts w:ascii="times" w:hAnsi="times"/>
          <w:sz w:val="20"/>
        </w:rPr>
        <w:t>16</w:t>
      </w:r>
    </w:p>
    <w:p>
      <w:pPr>
        <w:pStyle w:val="HorizontalLine"/>
        <w:pBdr>
          <w:bottom w:val="single" w:sz="20" w:space="0" w:color="808080"/>
        </w:pBdr>
        <w:rPr/>
      </w:pPr>
      <w:r>
        <w:rPr/>
      </w:r>
      <w:r>
        <w:br w:type="page"/>
      </w:r>
    </w:p>
    <w:p>
      <w:pPr>
        <w:pStyle w:val="TextBody"/>
        <w:rPr/>
      </w:pPr>
      <w:hyperlink w:anchor="bg44101a_main_toc">
        <w:bookmarkStart w:id="47" w:name="page_ci44101_1_17"/>
        <w:bookmarkEnd w:id="47"/>
        <w:r>
          <w:rPr>
            <w:rStyle w:val="InternetLink"/>
            <w:rFonts w:ascii="times" w:hAnsi="times"/>
            <w:sz w:val="20"/>
          </w:rPr>
          <w:t>Table of Contents</w:t>
        </w:r>
      </w:hyperlink>
    </w:p>
    <w:p>
      <w:pPr>
        <w:pStyle w:val="TextBody"/>
        <w:rPr/>
      </w:pPr>
      <w:r>
        <w:rPr/>
        <w:t>        </w:t>
      </w:r>
      <w:r>
        <w:rPr>
          <w:rFonts w:ascii="times" w:hAnsi="times"/>
          <w:sz w:val="20"/>
        </w:rPr>
        <w:t xml:space="preserve">In addition to the provisions described above and in our amended and restated partnership agreement, a shareholder must also comply with all applicable requirements of the Exchange Act and the rules and regulations thereunder; provided, however, that any references in our amended and restated partnership agreement to the Exchange Act or the rules promulgated thereunder are not intended to and do not limit any requirements applicable to nominations pursuant to our amended and restated partnership agreement, and compliance with our amended and restated partnership agreement is the exclusive means for a shareholder to make nominations. </w:t>
      </w:r>
    </w:p>
    <w:p>
      <w:pPr>
        <w:pStyle w:val="TextBody"/>
        <w:rPr/>
      </w:pPr>
      <w:r>
        <w:rPr/>
        <w:t>        </w:t>
      </w:r>
      <w:r>
        <w:rPr>
          <w:rFonts w:ascii="times" w:hAnsi="times"/>
          <w:sz w:val="20"/>
        </w:rPr>
        <w:t xml:space="preserve">The elected directors will be elected by a plurality of the votes cast, and the designating parties will be entitled to vote in any election of elected directors. </w:t>
      </w:r>
    </w:p>
    <w:p>
      <w:pPr>
        <w:pStyle w:val="TextBody"/>
        <w:rPr/>
      </w:pPr>
      <w:r>
        <w:rPr/>
        <w:t>        </w:t>
      </w:r>
      <w:r>
        <w:rPr>
          <w:rFonts w:ascii="times" w:hAnsi="times"/>
          <w:sz w:val="20"/>
        </w:rPr>
        <w:t xml:space="preserve">No more than one director subject to designation by the designating parties would be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 </w:t>
      </w:r>
    </w:p>
    <w:p>
      <w:pPr>
        <w:pStyle w:val="TextBody"/>
        <w:rPr/>
      </w:pPr>
      <w:r>
        <w:rPr/>
        <w:t>        </w:t>
      </w:r>
      <w:r>
        <w:rPr>
          <w:rFonts w:ascii="times" w:hAnsi="times"/>
          <w:sz w:val="20"/>
        </w:rPr>
        <w:t xml:space="preserve">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will become subject to election by our shareholders. </w:t>
      </w:r>
    </w:p>
    <w:p>
      <w:pPr>
        <w:pStyle w:val="TextBody"/>
        <w:rPr/>
      </w:pPr>
      <w:r>
        <w:rPr/>
        <w:t>        </w:t>
      </w:r>
      <w:r>
        <w:rPr>
          <w:rFonts w:ascii="times" w:hAnsi="times"/>
          <w:sz w:val="20"/>
        </w:rPr>
        <w:t xml:space="preserve">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 Any vacancies in designated directors may be filled by the applicable designating party in its sole discretion. </w:t>
      </w:r>
    </w:p>
    <w:p>
      <w:pPr>
        <w:pStyle w:val="TextBody"/>
        <w:rPr>
          <w:rFonts w:ascii="times" w:hAnsi="times"/>
          <w:b/>
          <w:sz w:val="20"/>
        </w:rPr>
      </w:pPr>
      <w:r>
        <w:rPr>
          <w:rFonts w:ascii="times" w:hAnsi="times"/>
          <w:b/>
          <w:sz w:val="20"/>
        </w:rPr>
        <w:t xml:space="preserve">Status as Limited Partner </w:t>
      </w:r>
    </w:p>
    <w:p>
      <w:pPr>
        <w:pStyle w:val="TextBody"/>
        <w:rPr/>
      </w:pPr>
      <w:r>
        <w:rPr/>
        <w:t>        </w:t>
      </w:r>
      <w:r>
        <w:rPr>
          <w:rFonts w:ascii="times" w:hAnsi="times"/>
          <w:sz w:val="20"/>
        </w:rPr>
        <w:t xml:space="preserve">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 </w:t>
      </w:r>
    </w:p>
    <w:p>
      <w:pPr>
        <w:pStyle w:val="TextBody"/>
        <w:rPr>
          <w:rFonts w:ascii="times" w:hAnsi="times"/>
          <w:b/>
          <w:sz w:val="20"/>
        </w:rPr>
      </w:pPr>
      <w:r>
        <w:rPr>
          <w:rFonts w:ascii="times" w:hAnsi="times"/>
          <w:b/>
          <w:sz w:val="20"/>
        </w:rPr>
        <w:t xml:space="preserve">Non-Citizen Assignees; Redemption </w:t>
      </w:r>
    </w:p>
    <w:p>
      <w:pPr>
        <w:pStyle w:val="TextBody"/>
        <w:rPr/>
      </w:pPr>
      <w:r>
        <w:rPr/>
        <w:t>        </w:t>
      </w:r>
      <w:r>
        <w:rPr>
          <w:rFonts w:ascii="times" w:hAnsi="times"/>
          <w:sz w:val="20"/>
        </w:rPr>
        <w:t xml:space="preserve">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w:t>
      </w:r>
    </w:p>
    <w:p>
      <w:pPr>
        <w:pStyle w:val="TextBody"/>
        <w:jc w:val="center"/>
        <w:rPr>
          <w:rFonts w:ascii="times" w:hAnsi="times"/>
          <w:sz w:val="20"/>
        </w:rPr>
      </w:pPr>
      <w:r>
        <w:rPr>
          <w:rFonts w:ascii="times" w:hAnsi="times"/>
          <w:sz w:val="20"/>
        </w:rPr>
        <w:t>17</w:t>
      </w:r>
    </w:p>
    <w:p>
      <w:pPr>
        <w:pStyle w:val="HorizontalLine"/>
        <w:pBdr>
          <w:bottom w:val="single" w:sz="20" w:space="0" w:color="808080"/>
        </w:pBdr>
        <w:rPr/>
      </w:pPr>
      <w:r>
        <w:rPr/>
      </w:r>
      <w:r>
        <w:br w:type="page"/>
      </w:r>
    </w:p>
    <w:p>
      <w:pPr>
        <w:pStyle w:val="TextBody"/>
        <w:rPr/>
      </w:pPr>
      <w:hyperlink w:anchor="bg44101a_main_toc">
        <w:bookmarkStart w:id="48" w:name="page_ci44101_1_18"/>
        <w:bookmarkEnd w:id="4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that is not a substituted limited partner, a non-citizen assignee does not have the right to direct the voting of his shares and may not receive distributions in kind upon our liquidation. </w:t>
      </w:r>
    </w:p>
    <w:p>
      <w:pPr>
        <w:pStyle w:val="TextBody"/>
        <w:rPr>
          <w:rFonts w:ascii="times" w:hAnsi="times"/>
          <w:b/>
          <w:sz w:val="20"/>
        </w:rPr>
      </w:pPr>
      <w:r>
        <w:rPr>
          <w:rFonts w:ascii="times" w:hAnsi="times"/>
          <w:b/>
          <w:sz w:val="20"/>
        </w:rPr>
        <w:t xml:space="preserve">Indemnification </w:t>
      </w:r>
    </w:p>
    <w:p>
      <w:pPr>
        <w:pStyle w:val="TextBody"/>
        <w:rPr/>
      </w:pPr>
      <w:r>
        <w:rPr/>
        <w:t>        </w:t>
      </w:r>
      <w:r>
        <w:rPr>
          <w:rFonts w:ascii="times" w:hAnsi="times"/>
          <w:sz w:val="20"/>
        </w:rPr>
        <w:t>Under our partnership agreement, in most circumstances, we will indemnify the following persons, to the fullest extent permitted by law, from and against all losses, claims, damages or similar events: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departing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Legacy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Qualifying Interest Holders (as defined in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an affiliate of our general partner, any departing general partner, the Legacy Owners or any Qualifying Interest Holder;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 managing member, manager, general partner, director, officer, fiduciary, agent or trustee of our general partner or any departing general partner or any affiliate of our general partner, any departing general partner or the Legacy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designated by our general partner. </w:t>
      </w:r>
    </w:p>
    <w:p>
      <w:pPr>
        <w:pStyle w:val="TextBody"/>
        <w:rPr/>
      </w:pPr>
      <w:r>
        <w:rPr/>
        <w:t>        </w:t>
      </w:r>
      <w:r>
        <w:rPr>
          <w:rFonts w:ascii="times" w:hAnsi="times"/>
          <w:sz w:val="20"/>
        </w:rPr>
        <w:t xml:space="preserve">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 whether we would have the power to indemnify the person against liabilities under our partnership agreement. </w:t>
      </w:r>
    </w:p>
    <w:p>
      <w:pPr>
        <w:pStyle w:val="TextBody"/>
        <w:rPr>
          <w:rFonts w:ascii="times" w:hAnsi="times"/>
          <w:b/>
          <w:sz w:val="20"/>
        </w:rPr>
      </w:pPr>
      <w:r>
        <w:rPr>
          <w:rFonts w:ascii="times" w:hAnsi="times"/>
          <w:b/>
          <w:sz w:val="20"/>
        </w:rPr>
        <w:t xml:space="preserve">Reimbursement of Expenses </w:t>
      </w:r>
    </w:p>
    <w:p>
      <w:pPr>
        <w:pStyle w:val="TextBody"/>
        <w:rPr/>
      </w:pPr>
      <w:r>
        <w:rPr/>
        <w:t>        </w:t>
      </w:r>
      <w:r>
        <w:rPr>
          <w:rFonts w:ascii="times" w:hAnsi="times"/>
          <w:sz w:val="20"/>
        </w:rPr>
        <w:t xml:space="preserve">In connection with our IPO, we entered into an administrative agreement with our general partner, AAP, PAA, PAA GP and GP LLC, which requires AAP to reimburse our general partner for all direct and indirect expenses it incurs or payments it makes on our behalf and all other expenses allocable to us or otherwise incurred by our general partner in connection with operating our or its business. These expenses include any amounts paid to persons who perform services for us or on our behalf and expenses allocated to our general partner by its affiliates. Our general partner is entitled to determine the expenses that are allocable to us. In any event, these expenses will include any costs to the general partner of maintaining its existence and good standing in whatever jurisdiction it deems advisable. There is no limit on the amount of fees and expenses AAP may be required to pay to affiliates of our general partner on our behalf pursuant to the administrative agreement. </w:t>
      </w:r>
    </w:p>
    <w:p>
      <w:pPr>
        <w:pStyle w:val="TextBody"/>
        <w:rPr>
          <w:rFonts w:ascii="times" w:hAnsi="times"/>
          <w:b/>
          <w:sz w:val="20"/>
        </w:rPr>
      </w:pPr>
      <w:r>
        <w:rPr>
          <w:rFonts w:ascii="times" w:hAnsi="times"/>
          <w:b/>
          <w:sz w:val="20"/>
        </w:rPr>
        <w:t xml:space="preserve">Books and Reports </w:t>
      </w:r>
    </w:p>
    <w:p>
      <w:pPr>
        <w:pStyle w:val="TextBody"/>
        <w:rPr/>
      </w:pPr>
      <w:r>
        <w:rPr/>
        <w:t>        </w:t>
      </w:r>
      <w:r>
        <w:rPr>
          <w:rFonts w:ascii="times" w:hAnsi="times"/>
          <w:sz w:val="20"/>
        </w:rPr>
        <w:t xml:space="preserve">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 </w:t>
      </w:r>
    </w:p>
    <w:p>
      <w:pPr>
        <w:pStyle w:val="TextBody"/>
        <w:jc w:val="center"/>
        <w:rPr>
          <w:rFonts w:ascii="times" w:hAnsi="times"/>
          <w:sz w:val="20"/>
        </w:rPr>
      </w:pPr>
      <w:r>
        <w:rPr>
          <w:rFonts w:ascii="times" w:hAnsi="times"/>
          <w:sz w:val="20"/>
        </w:rPr>
        <w:t>18</w:t>
      </w:r>
    </w:p>
    <w:p>
      <w:pPr>
        <w:pStyle w:val="HorizontalLine"/>
        <w:pBdr>
          <w:bottom w:val="single" w:sz="20" w:space="0" w:color="808080"/>
        </w:pBdr>
        <w:rPr/>
      </w:pPr>
      <w:r>
        <w:rPr/>
      </w:r>
      <w:r>
        <w:br w:type="page"/>
      </w:r>
    </w:p>
    <w:p>
      <w:pPr>
        <w:pStyle w:val="TextBody"/>
        <w:rPr/>
      </w:pPr>
      <w:hyperlink w:anchor="bg44101a_main_toc">
        <w:bookmarkStart w:id="49" w:name="page_ci44101_1_19"/>
        <w:bookmarkEnd w:id="49"/>
        <w:r>
          <w:rPr>
            <w:rStyle w:val="InternetLink"/>
            <w:rFonts w:ascii="times" w:hAnsi="times"/>
            <w:sz w:val="20"/>
          </w:rPr>
          <w:t>Table of Contents</w:t>
        </w:r>
      </w:hyperlink>
    </w:p>
    <w:p>
      <w:pPr>
        <w:pStyle w:val="TextBody"/>
        <w:rPr/>
      </w:pPr>
      <w:r>
        <w:rPr/>
        <w:t>        </w:t>
      </w:r>
      <w:r>
        <w:rPr>
          <w:rFonts w:ascii="times" w:hAnsi="times"/>
          <w:sz w:val="20"/>
        </w:rPr>
        <w:t xml:space="preserve">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 </w:t>
      </w:r>
    </w:p>
    <w:p>
      <w:pPr>
        <w:pStyle w:val="TextBody"/>
        <w:rPr>
          <w:rFonts w:ascii="times" w:hAnsi="times"/>
          <w:b/>
          <w:sz w:val="20"/>
        </w:rPr>
      </w:pPr>
      <w:r>
        <w:rPr>
          <w:rFonts w:ascii="times" w:hAnsi="times"/>
          <w:b/>
          <w:sz w:val="20"/>
        </w:rPr>
        <w:t xml:space="preserve">Right to Inspect Our Books and Records </w:t>
      </w:r>
    </w:p>
    <w:p>
      <w:pPr>
        <w:pStyle w:val="TextBody"/>
        <w:rPr/>
      </w:pPr>
      <w:r>
        <w:rPr/>
        <w:t>        </w:t>
      </w:r>
      <w:r>
        <w:rPr>
          <w:rFonts w:ascii="times" w:hAnsi="times"/>
          <w:sz w:val="20"/>
        </w:rPr>
        <w:t>Our partnership agreement provides that a limited partner can, for a purpose reasonably related to his interest as a limited partner, upon reasonable written demand and at his own expense, have furnished to him:</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current list of the name and last known address of each record holder;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copies of our partnership agreement, our certificate of limited partnership of the partnership, related amendments and powers of attorney under which they have been executed. </w:t>
      </w:r>
    </w:p>
    <w:p>
      <w:pPr>
        <w:pStyle w:val="TextBody"/>
        <w:rPr/>
      </w:pPr>
      <w:r>
        <w:rPr/>
        <w:t>        </w:t>
      </w:r>
      <w:r>
        <w:rPr>
          <w:rFonts w:ascii="times" w:hAnsi="times"/>
          <w:sz w:val="20"/>
        </w:rPr>
        <w:t xml:space="preserve">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 </w:t>
      </w:r>
    </w:p>
    <w:p>
      <w:pPr>
        <w:pStyle w:val="TextBody"/>
        <w:rPr/>
      </w:pPr>
      <w:r>
        <w:rPr/>
        <w:t>        </w:t>
      </w:r>
      <w:r>
        <w:rPr>
          <w:rFonts w:ascii="times" w:hAnsi="times"/>
          <w:sz w:val="20"/>
        </w:rPr>
        <w:t xml:space="preserve">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 </w:t>
      </w:r>
    </w:p>
    <w:p>
      <w:pPr>
        <w:pStyle w:val="TextBody"/>
        <w:jc w:val="center"/>
        <w:rPr>
          <w:rFonts w:ascii="times" w:hAnsi="times"/>
          <w:sz w:val="20"/>
        </w:rPr>
      </w:pPr>
      <w:r>
        <w:rPr>
          <w:rFonts w:ascii="times" w:hAnsi="times"/>
          <w:sz w:val="20"/>
        </w:rPr>
        <w:t>19</w:t>
      </w:r>
    </w:p>
    <w:p>
      <w:pPr>
        <w:pStyle w:val="HorizontalLine"/>
        <w:pBdr>
          <w:bottom w:val="single" w:sz="20" w:space="0" w:color="808080"/>
        </w:pBdr>
        <w:rPr/>
      </w:pPr>
      <w:r>
        <w:rPr/>
      </w:r>
      <w:r>
        <w:br w:type="page"/>
      </w:r>
    </w:p>
    <w:p>
      <w:pPr>
        <w:pStyle w:val="TextBody"/>
        <w:rPr/>
      </w:pPr>
      <w:hyperlink w:anchor="bg44101a_main_toc">
        <w:bookmarkStart w:id="50" w:name="page_ck44101_1_20"/>
        <w:bookmarkEnd w:id="50"/>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1" w:name="toc_ck44101_1"/>
      <w:bookmarkStart w:id="52" w:name="ck44101_description_of_our_shares"/>
      <w:bookmarkEnd w:id="51"/>
      <w:bookmarkEnd w:id="52"/>
      <w:r>
        <w:rPr>
          <w:rFonts w:ascii="times" w:hAnsi="times"/>
          <w:sz w:val="20"/>
        </w:rPr>
        <w:br/>
      </w:r>
      <w:r>
        <w:rPr>
          <w:rFonts w:ascii="times" w:hAnsi="times"/>
          <w:b/>
          <w:sz w:val="20"/>
        </w:rPr>
        <w:t xml:space="preserve">DESCRIPTION OF OUR SHARES </w:t>
      </w:r>
    </w:p>
    <w:p>
      <w:pPr>
        <w:pStyle w:val="TextBody"/>
        <w:rPr>
          <w:rFonts w:ascii="times" w:hAnsi="times"/>
          <w:b/>
          <w:sz w:val="20"/>
        </w:rPr>
      </w:pPr>
      <w:r>
        <w:rPr>
          <w:rFonts w:ascii="times" w:hAnsi="times"/>
          <w:b/>
          <w:sz w:val="20"/>
        </w:rPr>
        <w:t xml:space="preserve">Our Share Structure </w:t>
      </w:r>
    </w:p>
    <w:p>
      <w:pPr>
        <w:pStyle w:val="TextBody"/>
        <w:rPr/>
      </w:pPr>
      <w:r>
        <w:rPr/>
        <w:t>        </w:t>
      </w:r>
      <w:r>
        <w:rPr>
          <w:rFonts w:ascii="times" w:hAnsi="times"/>
          <w:sz w:val="20"/>
        </w:rPr>
        <w:t xml:space="preserve">Our partnership agreement provides for two classes of shares, Class A shares and Class B shares, both representing limited partner interests in us. The holders of our Class A and Class B shares are entitled to exercise the rights or privileges available to limited partners under our partnership agreement, but only holders of our Class A shares are entitled to participate in our distributions.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 </w:t>
      </w:r>
    </w:p>
    <w:p>
      <w:pPr>
        <w:pStyle w:val="TextBody"/>
        <w:rPr/>
      </w:pPr>
      <w:r>
        <w:rPr/>
        <w:t>        </w:t>
      </w:r>
      <w:r>
        <w:rPr>
          <w:rFonts w:ascii="times" w:hAnsi="times"/>
          <w:sz w:val="20"/>
        </w:rPr>
        <w:t xml:space="preserve">Our Class A shares are listed on the NYSE under the symbol "PAGP"; we do not intend to list the Class B shares on any stock exchange. All of our Class B shares are owned by the Legacy Owners or their permitted transferees. </w:t>
      </w:r>
    </w:p>
    <w:p>
      <w:pPr>
        <w:pStyle w:val="TextBody"/>
        <w:rPr>
          <w:rFonts w:ascii="times" w:hAnsi="times"/>
          <w:b/>
          <w:sz w:val="20"/>
        </w:rPr>
      </w:pPr>
      <w:r>
        <w:rPr>
          <w:rFonts w:ascii="times" w:hAnsi="times"/>
          <w:b/>
          <w:sz w:val="20"/>
        </w:rPr>
        <w:t xml:space="preserve">Exchange Right </w:t>
      </w:r>
    </w:p>
    <w:p>
      <w:pPr>
        <w:pStyle w:val="TextBody"/>
        <w:rPr/>
      </w:pPr>
      <w:r>
        <w:rPr/>
        <w:t>        </w:t>
      </w:r>
      <w:r>
        <w:rPr>
          <w:rFonts w:ascii="times" w:hAnsi="times"/>
          <w:sz w:val="20"/>
        </w:rPr>
        <w:t xml:space="preserve">The Legacy Owners and any permitted transferees of their AAP units each have the right to exchange (the "Exchange Right") all or a portion of their AAP units into Class A shares at an exchange ratio of one Class A share for each AAP unit exchanged. The above exchange right may be exercised only if, simultaneously therewith, an equal number of our Class B shares and general partner units are transferred by the exercising party to us. </w:t>
      </w:r>
    </w:p>
    <w:p>
      <w:pPr>
        <w:pStyle w:val="TextBody"/>
        <w:rPr/>
      </w:pPr>
      <w:r>
        <w:rPr/>
        <w:t>        </w:t>
      </w:r>
      <w:r>
        <w:rPr>
          <w:rFonts w:ascii="times" w:hAnsi="times"/>
          <w:sz w:val="20"/>
        </w:rPr>
        <w:t xml:space="preserve">For purposes of any transfer or exchange of AAP units owned by the Legacy Owners, the AAP partnership agreement, our general partner's limited liability company agreement and our partnership agreement contain provisions linking each such AAP unit with one of our Class B shares and a general partner unit. Our Class B shares and general partner units cannot be transferred without transferring an equal number of AAP units and vice versa. </w:t>
      </w:r>
    </w:p>
    <w:p>
      <w:pPr>
        <w:pStyle w:val="TextBody"/>
        <w:rPr/>
      </w:pPr>
      <w:r>
        <w:rPr/>
        <w:t>        </w:t>
      </w:r>
      <w:r>
        <w:rPr>
          <w:rFonts w:ascii="times" w:hAnsi="times"/>
          <w:sz w:val="20"/>
        </w:rPr>
        <w:t xml:space="preserve">Additionally, if the Class A shares are publicly traded at any time after December 31, 2015, a holder of vested AAP management units will be entitled to convert his or her AAP management units into AAP units and a like number of Class B shares based on a conversion ratio calculated in accordance with the AAP limited partnership agreement (which conversion ratio will not be more than one-to-one and was approximately 0.925 AAP units for each AAP management unit as of the date of the distribution that was paid with respect to the third quarter of 2014). Following any such conversion, the holder will have the Exchange Right for our Class A shares. Holders of AAP management units who convert such units into AAP units and Class B shares will not receive general partner units and thus will not need to include any general partner units in a transfer or the exercise of their Exchange Right. </w:t>
      </w:r>
    </w:p>
    <w:p>
      <w:pPr>
        <w:pStyle w:val="TextBody"/>
        <w:rPr/>
      </w:pPr>
      <w:r>
        <w:rPr/>
        <w:t>        </w:t>
      </w:r>
      <w:r>
        <w:rPr>
          <w:rFonts w:ascii="times" w:hAnsi="times"/>
          <w:sz w:val="20"/>
        </w:rPr>
        <w:t xml:space="preserve">The above mechanisms are subject to customary conversion rate adjustments for equity splits, equity dividends and reclassifications. </w:t>
      </w:r>
    </w:p>
    <w:p>
      <w:pPr>
        <w:pStyle w:val="TextBody"/>
        <w:rPr>
          <w:rFonts w:ascii="times" w:hAnsi="times"/>
          <w:b/>
          <w:sz w:val="20"/>
        </w:rPr>
      </w:pPr>
      <w:r>
        <w:rPr>
          <w:rFonts w:ascii="times" w:hAnsi="times"/>
          <w:b/>
          <w:sz w:val="20"/>
        </w:rPr>
        <w:t xml:space="preserve">Transfer of Class A Shares and Class B Shares </w:t>
      </w:r>
    </w:p>
    <w:p>
      <w:pPr>
        <w:pStyle w:val="TextBody"/>
        <w:rPr/>
      </w:pPr>
      <w:r>
        <w:rPr/>
        <w:t>        </w:t>
      </w:r>
      <w:r>
        <w:rPr>
          <w:rFonts w:ascii="times" w:hAnsi="times"/>
          <w:sz w:val="20"/>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represents that the transferee has the capacity, power and authority to become bound by our partnership agreement; </w:t>
      </w:r>
    </w:p>
    <w:p>
      <w:pPr>
        <w:pStyle w:val="TextBody"/>
        <w:jc w:val="center"/>
        <w:rPr>
          <w:rFonts w:ascii="times" w:hAnsi="times"/>
          <w:sz w:val="20"/>
        </w:rPr>
      </w:pPr>
      <w:r>
        <w:rPr>
          <w:rFonts w:ascii="times" w:hAnsi="times"/>
          <w:sz w:val="20"/>
        </w:rPr>
        <w:t>20</w:t>
      </w:r>
    </w:p>
    <w:p>
      <w:pPr>
        <w:pStyle w:val="HorizontalLine"/>
        <w:pBdr>
          <w:bottom w:val="single" w:sz="20" w:space="0" w:color="808080"/>
        </w:pBdr>
        <w:rPr/>
      </w:pPr>
      <w:r>
        <w:rPr/>
      </w:r>
      <w:r>
        <w:br w:type="page"/>
      </w:r>
    </w:p>
    <w:p>
      <w:pPr>
        <w:pStyle w:val="TextBody"/>
        <w:rPr/>
      </w:pPr>
      <w:hyperlink w:anchor="bg44101a_main_toc">
        <w:bookmarkStart w:id="53" w:name="page_ck44101_1_21"/>
        <w:bookmarkEnd w:id="53"/>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automatically agrees to be bound by the terms and conditions of, and is deemed to have executed, our partnership agreement;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gives the consents and approvals contained in our partnership agreement. </w:t>
      </w:r>
    </w:p>
    <w:p>
      <w:pPr>
        <w:pStyle w:val="TextBody"/>
        <w:rPr/>
      </w:pPr>
      <w:r>
        <w:rPr/>
        <w:t>        </w:t>
      </w:r>
      <w:r>
        <w:rPr>
          <w:rFonts w:ascii="times" w:hAnsi="times"/>
          <w:sz w:val="20"/>
        </w:rPr>
        <w:t xml:space="preserve">A transferee will become a substituted limited partner for the transferred shares automatically upon the recording of the transfer on our books and records. Our general partner will cause any transfers to be recorded on our books and records no less frequently than quarterly. </w:t>
      </w:r>
    </w:p>
    <w:p>
      <w:pPr>
        <w:pStyle w:val="TextBody"/>
        <w:rPr/>
      </w:pPr>
      <w:r>
        <w:rPr/>
        <w:t>        </w:t>
      </w:r>
      <w:r>
        <w:rPr>
          <w:rFonts w:ascii="times" w:hAnsi="times"/>
          <w:sz w:val="20"/>
        </w:rPr>
        <w:t xml:space="preserve">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 </w:t>
      </w:r>
    </w:p>
    <w:p>
      <w:pPr>
        <w:pStyle w:val="TextBody"/>
        <w:rPr/>
      </w:pPr>
      <w:r>
        <w:rPr/>
        <w:t>        </w:t>
      </w:r>
      <w:r>
        <w:rPr>
          <w:rFonts w:ascii="times" w:hAnsi="times"/>
          <w:sz w:val="20"/>
        </w:rPr>
        <w:t xml:space="preserve">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 </w:t>
      </w:r>
    </w:p>
    <w:p>
      <w:pPr>
        <w:pStyle w:val="TextBody"/>
        <w:rPr/>
      </w:pPr>
      <w:r>
        <w:rPr/>
        <w:t>        </w:t>
      </w:r>
      <w:r>
        <w:rPr>
          <w:rFonts w:ascii="times" w:hAnsi="times"/>
          <w:sz w:val="20"/>
        </w:rPr>
        <w:t xml:space="preserve">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 </w:t>
      </w:r>
    </w:p>
    <w:p>
      <w:pPr>
        <w:pStyle w:val="TextBody"/>
        <w:rPr/>
      </w:pPr>
      <w:r>
        <w:rPr/>
        <w:t>        </w:t>
      </w:r>
      <w:r>
        <w:rPr>
          <w:rFonts w:ascii="times" w:hAnsi="times"/>
          <w:sz w:val="20"/>
        </w:rPr>
        <w:t xml:space="preserve">For purposes of any transfer or exchange of AAP units and our Class B shares, the AAP partnership agreement, our general partner's limited liability company agreement and our partnership agreement contain provisions linking each AAP unit with one of our Class B shares and a general partner unit. Please read "Exchange Right" above. </w:t>
      </w:r>
    </w:p>
    <w:p>
      <w:pPr>
        <w:pStyle w:val="TextBody"/>
        <w:rPr>
          <w:rFonts w:ascii="times" w:hAnsi="times"/>
          <w:b/>
          <w:sz w:val="20"/>
        </w:rPr>
      </w:pPr>
      <w:r>
        <w:rPr>
          <w:rFonts w:ascii="times" w:hAnsi="times"/>
          <w:b/>
          <w:sz w:val="20"/>
        </w:rPr>
        <w:t xml:space="preserve">Transfer Agent and Registrar </w:t>
      </w:r>
    </w:p>
    <w:p>
      <w:pPr>
        <w:pStyle w:val="TextBody"/>
        <w:numPr>
          <w:ilvl w:val="0"/>
          <w:numId w:val="0"/>
        </w:numPr>
        <w:ind w:left="707" w:hanging="0"/>
        <w:rPr>
          <w:rFonts w:ascii="times" w:hAnsi="times"/>
          <w:i/>
          <w:sz w:val="20"/>
        </w:rPr>
      </w:pPr>
      <w:r>
        <w:rPr>
          <w:rFonts w:ascii="times" w:hAnsi="times"/>
          <w:i/>
          <w:sz w:val="20"/>
        </w:rPr>
        <w:t xml:space="preserve">Duties </w:t>
      </w:r>
    </w:p>
    <w:p>
      <w:pPr>
        <w:pStyle w:val="TextBody"/>
        <w:rPr/>
      </w:pPr>
      <w:r>
        <w:rPr/>
        <w:t>        </w:t>
      </w:r>
      <w:r>
        <w:rPr>
          <w:rFonts w:ascii="times" w:hAnsi="times"/>
          <w:sz w:val="20"/>
        </w:rPr>
        <w:t>American Stock Transfer and Trust Company serves as registrar and transfer agent for our Class A shares. We will pay all fees charged by the transfer agent for transfers of our shares except the following fees that will be paid by shareholders: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surety bond premiums to replace lost or stolen certificates, taxes and other governmental charges;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special charges for services requested by a holder of a share;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similar fees or charges. </w:t>
      </w:r>
    </w:p>
    <w:p>
      <w:pPr>
        <w:pStyle w:val="TextBody"/>
        <w:rPr/>
      </w:pPr>
      <w:r>
        <w:rPr/>
        <w:t>        </w:t>
      </w:r>
      <w:r>
        <w:rPr>
          <w:rFonts w:ascii="times" w:hAnsi="times"/>
          <w:sz w:val="20"/>
        </w:rPr>
        <w:t xml:space="preserve">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 </w:t>
      </w:r>
    </w:p>
    <w:p>
      <w:pPr>
        <w:pStyle w:val="TextBody"/>
        <w:numPr>
          <w:ilvl w:val="0"/>
          <w:numId w:val="0"/>
        </w:numPr>
        <w:ind w:left="707" w:hanging="0"/>
        <w:rPr>
          <w:rFonts w:ascii="times" w:hAnsi="times"/>
          <w:i/>
          <w:sz w:val="20"/>
        </w:rPr>
      </w:pPr>
      <w:r>
        <w:rPr>
          <w:rFonts w:ascii="times" w:hAnsi="times"/>
          <w:i/>
          <w:sz w:val="20"/>
        </w:rPr>
        <w:t xml:space="preserve">Resignation or Removal </w:t>
      </w:r>
    </w:p>
    <w:p>
      <w:pPr>
        <w:pStyle w:val="TextBody"/>
        <w:rPr/>
      </w:pPr>
      <w:r>
        <w:rPr/>
        <w:t>        </w:t>
      </w:r>
      <w:r>
        <w:rPr>
          <w:rFonts w:ascii="times" w:hAnsi="times"/>
          <w:sz w:val="20"/>
        </w:rPr>
        <w:t xml:space="preserve">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 </w:t>
      </w:r>
    </w:p>
    <w:p>
      <w:pPr>
        <w:pStyle w:val="TextBody"/>
        <w:jc w:val="center"/>
        <w:rPr>
          <w:rFonts w:ascii="times" w:hAnsi="times"/>
          <w:sz w:val="20"/>
        </w:rPr>
      </w:pPr>
      <w:r>
        <w:rPr>
          <w:rFonts w:ascii="times" w:hAnsi="times"/>
          <w:sz w:val="20"/>
        </w:rPr>
        <w:t>21</w:t>
      </w:r>
    </w:p>
    <w:p>
      <w:pPr>
        <w:pStyle w:val="HorizontalLine"/>
        <w:pBdr>
          <w:bottom w:val="single" w:sz="20" w:space="0" w:color="808080"/>
        </w:pBdr>
        <w:rPr/>
      </w:pPr>
      <w:r>
        <w:rPr/>
      </w:r>
      <w:r>
        <w:br w:type="page"/>
      </w:r>
    </w:p>
    <w:p>
      <w:pPr>
        <w:pStyle w:val="TextBody"/>
        <w:rPr/>
      </w:pPr>
      <w:hyperlink w:anchor="bg44101a_main_toc">
        <w:bookmarkStart w:id="54" w:name="page_ck44101_1_22"/>
        <w:bookmarkEnd w:id="54"/>
        <w:r>
          <w:rPr>
            <w:rStyle w:val="InternetLink"/>
            <w:rFonts w:ascii="times" w:hAnsi="times"/>
            <w:sz w:val="20"/>
          </w:rPr>
          <w:t>Table of Contents</w:t>
        </w:r>
      </w:hyperlink>
    </w:p>
    <w:p>
      <w:pPr>
        <w:pStyle w:val="TextBody"/>
        <w:jc w:val="center"/>
        <w:rPr>
          <w:rFonts w:ascii="times" w:hAnsi="times"/>
        </w:rPr>
      </w:pPr>
      <w:bookmarkStart w:id="55" w:name="toc_ck44101_2"/>
      <w:bookmarkStart w:id="56" w:name="ck44101_material_u.s._federal_income_tax"/>
      <w:bookmarkEnd w:id="55"/>
      <w:bookmarkEnd w:id="56"/>
      <w:r>
        <w:rPr>
          <w:rFonts w:ascii="times" w:hAnsi="times"/>
          <w:sz w:val="20"/>
        </w:rPr>
        <w:br/>
      </w:r>
      <w:r>
        <w:rPr>
          <w:rFonts w:ascii="times" w:hAnsi="times"/>
          <w:b/>
          <w:sz w:val="20"/>
        </w:rPr>
        <w:t xml:space="preserve">MATERIAL U.S. FEDERAL INCOME TAX CONSEQUENCES </w:t>
      </w:r>
    </w:p>
    <w:p>
      <w:pPr>
        <w:pStyle w:val="TextBody"/>
        <w:rPr/>
      </w:pPr>
      <w:r>
        <w:rPr/>
        <w:t>        </w:t>
      </w:r>
      <w:r>
        <w:rPr>
          <w:rFonts w:ascii="times" w:hAnsi="times"/>
          <w:sz w:val="20"/>
        </w:rPr>
        <w:t xml:space="preserve">The following is a summary of the material U.S. federal income tax consequences, and, in the case of a non-U.S. holder, estate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and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will agree with such statements and conclusions. </w:t>
      </w:r>
    </w:p>
    <w:p>
      <w:pPr>
        <w:pStyle w:val="TextBody"/>
        <w:rPr/>
      </w:pPr>
      <w:r>
        <w:rPr/>
        <w:t>        </w:t>
      </w:r>
      <w:r>
        <w:rPr>
          <w:rFonts w:ascii="times" w:hAnsi="times"/>
          <w:sz w:val="20"/>
        </w:rPr>
        <w:t>Legal conclusions contained in this section, unless otherwise noted, are the opinion of Vinson &amp; Elkins L.L.P. This summary does not address all aspects of U.S. federal income and estate taxation or the tax considerations arising under the laws of any non-U.S., state, or local jurisdiction, or under U.S. federal gift tax laws. In addition, this summary does not address tax considerations applicable to investors that may be subject to special treatment under the U.S. federal income tax laws, such as (without limitation):</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banks, insurance companies or other financial institutions;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tax-exempt or governmental organizations;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dealers in securities or foreign currencies;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traders in securities that use the mark-to-market method of accounting for U.S. federal income tax purposes;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"controlled foreign corporations," "passive foreign investment companies" and corporations that accumulate earnings to avoid U.S. federal income tax;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subject to the alternative minimum tax;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partnerships or other pass-through entities for U.S. federal income tax purposes or holders of interests therein;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hold or are deemed to sell our Class A shares under the constructive sale provisions of the Code;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acquired our Class A shares through the exercise of employee stock options or otherwise as compensation or through a tax-qualified retirement plan;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certain former citizens or long-term residents of the United States;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real estate investment trusts or regulated investment companies;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hold our Class A shares as part of a straddle, appreciated financial position, synthetic security, hedge, conversion transaction or other integrated investment or risk reduction transaction;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hold in excess of 5% of our Class A shares. </w:t>
      </w:r>
    </w:p>
    <w:p>
      <w:pPr>
        <w:pStyle w:val="TextBody"/>
        <w:rPr/>
      </w:pPr>
      <w:r>
        <w:rPr/>
        <w:t>        </w:t>
      </w:r>
      <w:r>
        <w:rPr>
          <w:rFonts w:ascii="times" w:hAnsi="times"/>
          <w:sz w:val="20"/>
        </w:rPr>
        <w:t xml:space="preserve">If a partnership (or an entity treated as a partnership for U.S. federal income tax purposes) holds our Class A shares, the tax treatment of a partner in the partnership generally will depend upon the status of the partner and upon the activities of the partnership. Accordingly, we urge partners of a partnership (including an entity treated as a partnership for U.S. federal income tax purposes) investing in our Class A shares to consult their tax advisors regarding the U.S. federal income tax considerations of the purchase, ownership and disposition of our Class A shares by such partnership. </w:t>
      </w:r>
    </w:p>
    <w:p>
      <w:pPr>
        <w:pStyle w:val="TextBody"/>
        <w:jc w:val="center"/>
        <w:rPr>
          <w:rFonts w:ascii="times" w:hAnsi="times"/>
          <w:sz w:val="20"/>
        </w:rPr>
      </w:pPr>
      <w:r>
        <w:rPr>
          <w:rFonts w:ascii="times" w:hAnsi="times"/>
          <w:sz w:val="20"/>
        </w:rPr>
        <w:t>22</w:t>
      </w:r>
    </w:p>
    <w:p>
      <w:pPr>
        <w:pStyle w:val="HorizontalLine"/>
        <w:pBdr>
          <w:bottom w:val="single" w:sz="20" w:space="0" w:color="808080"/>
        </w:pBdr>
        <w:rPr/>
      </w:pPr>
      <w:r>
        <w:rPr/>
      </w:r>
      <w:r>
        <w:br w:type="page"/>
      </w:r>
    </w:p>
    <w:p>
      <w:pPr>
        <w:pStyle w:val="TextBody"/>
        <w:rPr/>
      </w:pPr>
      <w:hyperlink w:anchor="bg44101a_main_toc">
        <w:bookmarkStart w:id="57" w:name="page_ck44101_1_23"/>
        <w:bookmarkEnd w:id="57"/>
        <w:r>
          <w:rPr>
            <w:rStyle w:val="InternetLink"/>
            <w:rFonts w:ascii="times" w:hAnsi="times"/>
            <w:sz w:val="20"/>
          </w:rPr>
          <w:t>Table of Contents</w:t>
        </w:r>
      </w:hyperlink>
    </w:p>
    <w:p>
      <w:pPr>
        <w:pStyle w:val="TextBody"/>
        <w:rPr/>
      </w:pPr>
      <w:r>
        <w:rPr/>
        <w:t>        </w:t>
      </w:r>
      <w:r>
        <w:rPr>
          <w:rFonts w:ascii="times" w:hAnsi="times"/>
          <w:b/>
          <w:sz w:val="20"/>
        </w:rPr>
        <w:t>YOU ARE ENCOURAGED TO CONSULT YOUR TAX ADVISOR WITH RESPECT TO THE APPLICATION OF THE U.S. FEDERAL INCOME AND ESTATE TAX LAWS TO YOUR PARTICULAR SITUATION, AS WELL AS ANY TAX CONSEQUENCES OF THE PURCHASE, OWNERSHIP AND DISPOSITION OF OUR CLASS A SHARES ARISING UNDER THE U.S. FEDERAL GIFT TAX LAWS OR UNDER THE LAWS OF ANY STATE, LOCAL, NON-U.S. OR OTHER TAXING JURISDICTION OR UNDER ANY APPLICABLE TAX TREATY.</w:t>
      </w:r>
    </w:p>
    <w:p>
      <w:pPr>
        <w:pStyle w:val="TextBody"/>
        <w:rPr>
          <w:rFonts w:ascii="times" w:hAnsi="times"/>
          <w:b/>
          <w:sz w:val="20"/>
        </w:rPr>
      </w:pPr>
      <w:r>
        <w:rPr>
          <w:rFonts w:ascii="times" w:hAnsi="times"/>
          <w:b/>
          <w:sz w:val="20"/>
        </w:rPr>
        <w:t xml:space="preserve">Corporate Status </w:t>
      </w:r>
    </w:p>
    <w:p>
      <w:pPr>
        <w:pStyle w:val="TextBody"/>
        <w:rPr/>
      </w:pPr>
      <w:r>
        <w:rPr/>
        <w:t>        </w:t>
      </w:r>
      <w:r>
        <w:rPr>
          <w:rFonts w:ascii="times" w:hAnsi="times"/>
          <w:sz w:val="20"/>
        </w:rPr>
        <w:t xml:space="preserve">Although we are a Delaware limited partnership, we have elected to be treated as a corporation for U.S. federal income tax purposes. As a result, we are subject to tax as a corporation and distributions on the Class A shares will be treated as distributions on corporate stock for federal income tax purposes. No Schedule K-1 will be issued with respect to the Class A shares, but instead holders of Class A shares will receive a Form 1099 from us with respect to distributions received on the Class A shares. </w:t>
      </w:r>
    </w:p>
    <w:p>
      <w:pPr>
        <w:pStyle w:val="TextBody"/>
        <w:rPr>
          <w:rFonts w:ascii="times" w:hAnsi="times"/>
          <w:b/>
          <w:sz w:val="20"/>
        </w:rPr>
      </w:pPr>
      <w:r>
        <w:rPr>
          <w:rFonts w:ascii="times" w:hAnsi="times"/>
          <w:b/>
          <w:sz w:val="20"/>
        </w:rPr>
        <w:t xml:space="preserve">Consequences to U.S. Holders </w:t>
      </w:r>
    </w:p>
    <w:p>
      <w:pPr>
        <w:pStyle w:val="TextBody"/>
        <w:rPr/>
      </w:pPr>
      <w:r>
        <w:rPr/>
        <w:t>        </w:t>
      </w:r>
      <w:r>
        <w:rPr>
          <w:rFonts w:ascii="times" w:hAnsi="times"/>
          <w:sz w:val="20"/>
        </w:rPr>
        <w:t>The discussion in this section is addressed to holders of our Class A shares who are U.S. holders for U.S. federal income tax purposes. A U.S. holder for purposes of this discussion is a beneficial owner of our Class A shares and who is, for U.S. federal income tax purposes: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individual citizen or resident of the United States;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corporation, or other entity taxable as a corporation for U.S. federal income tax purposes, that was created or organized in or under the laws of the United States, any state thereof or the District of Columbia;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estate whose income is subject to U.S. federal income tax regardless of its source;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trust if (i) a U.S. court can exercise primary supervision over the trust's administration and one or more United States persons are authorized to control all substantial decisions of the trust or (ii) certain circumstances apply and the trust has validly elected to be treated as a United States person. </w:t>
      </w:r>
    </w:p>
    <w:p>
      <w:pPr>
        <w:pStyle w:val="TextBody"/>
        <w:numPr>
          <w:ilvl w:val="0"/>
          <w:numId w:val="0"/>
        </w:numPr>
        <w:ind w:left="707" w:hanging="0"/>
        <w:rPr>
          <w:rFonts w:ascii="times" w:hAnsi="times"/>
          <w:i/>
          <w:sz w:val="20"/>
        </w:rPr>
      </w:pPr>
      <w:r>
        <w:rPr>
          <w:rFonts w:ascii="times" w:hAnsi="times"/>
          <w:i/>
          <w:sz w:val="20"/>
        </w:rPr>
        <w:t xml:space="preserve">Distributions </w:t>
      </w:r>
    </w:p>
    <w:p>
      <w:pPr>
        <w:pStyle w:val="TextBody"/>
        <w:rPr/>
      </w:pPr>
      <w:r>
        <w:rPr/>
        <w:t>        </w:t>
      </w:r>
      <w:r>
        <w:rPr>
          <w:rFonts w:ascii="times" w:hAnsi="times"/>
          <w:sz w:val="20"/>
        </w:rPr>
        <w:t xml:space="preserve">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Such gain will be long-term capital gain provided that the U.S. holder has held such Class A shares for more than one year as of the time of the distribution. Non-corporate holders that receive distributions on our Class A shares that are treated as dividends for U.S. federal income tax purposes generally will be subject to U.S. federal income tax at a maximum tax rate of 20% on such dividends provided certain holding period requirements are met. </w:t>
      </w:r>
    </w:p>
    <w:p>
      <w:pPr>
        <w:pStyle w:val="TextBody"/>
        <w:rPr/>
      </w:pPr>
      <w:r>
        <w:rPr/>
        <w:t>        </w:t>
      </w:r>
      <w:r>
        <w:rPr>
          <w:rFonts w:ascii="times" w:hAnsi="times"/>
          <w:sz w:val="20"/>
        </w:rPr>
        <w:t xml:space="preserve">Both AAP and PAA have made elections permitted by Section 754 of the Code. As a result, our acquisition of AAP units in connection with our IPO and in connection with exchanges by the Legacy Owners and their permitted transferees of their AAP units and Class B shares for Class A shares since the IPO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w:t>
      </w:r>
    </w:p>
    <w:p>
      <w:pPr>
        <w:pStyle w:val="TextBody"/>
        <w:jc w:val="center"/>
        <w:rPr>
          <w:rFonts w:ascii="times" w:hAnsi="times"/>
          <w:sz w:val="20"/>
        </w:rPr>
      </w:pPr>
      <w:r>
        <w:rPr>
          <w:rFonts w:ascii="times" w:hAnsi="times"/>
          <w:sz w:val="20"/>
        </w:rPr>
        <w:t>23</w:t>
      </w:r>
    </w:p>
    <w:p>
      <w:pPr>
        <w:pStyle w:val="HorizontalLine"/>
        <w:pBdr>
          <w:bottom w:val="single" w:sz="20" w:space="0" w:color="808080"/>
        </w:pBdr>
        <w:rPr/>
      </w:pPr>
      <w:r>
        <w:rPr/>
      </w:r>
      <w:r>
        <w:br w:type="page"/>
      </w:r>
    </w:p>
    <w:p>
      <w:pPr>
        <w:pStyle w:val="TextBody"/>
        <w:rPr/>
      </w:pPr>
      <w:hyperlink w:anchor="bg44101a_main_toc">
        <w:bookmarkStart w:id="58" w:name="page_ck44101_1_24"/>
        <w:bookmarkEnd w:id="5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addition, future exchanges of AAP units and Class B shares in us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 </w:t>
      </w:r>
    </w:p>
    <w:p>
      <w:pPr>
        <w:pStyle w:val="TextBody"/>
        <w:rPr/>
      </w:pPr>
      <w:r>
        <w:rPr/>
        <w:t>        </w:t>
      </w:r>
      <w:r>
        <w:rPr>
          <w:rFonts w:ascii="times" w:hAnsi="times"/>
          <w:sz w:val="20"/>
        </w:rPr>
        <w:t xml:space="preserve">We do not expect to have any earnings and profits for an extended period of time, which we estimate will include, at a minimum, each of the periods ending December 31, 2014, 2015, 2016 and 2017,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 </w:t>
      </w:r>
    </w:p>
    <w:p>
      <w:pPr>
        <w:pStyle w:val="TextBody"/>
        <w:rPr/>
      </w:pPr>
      <w:r>
        <w:rPr/>
        <w:t>        </w:t>
      </w:r>
      <w:r>
        <w:rPr>
          <w:rFonts w:ascii="times" w:hAnsi="times"/>
          <w:sz w:val="20"/>
        </w:rPr>
        <w:t xml:space="preserve">Prospective investors in our Class A shares are encouraged to consult their tax advisors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 </w:t>
      </w:r>
    </w:p>
    <w:p>
      <w:pPr>
        <w:pStyle w:val="TextBody"/>
        <w:numPr>
          <w:ilvl w:val="0"/>
          <w:numId w:val="0"/>
        </w:numPr>
        <w:ind w:left="707" w:hanging="0"/>
        <w:rPr>
          <w:rFonts w:ascii="times" w:hAnsi="times"/>
          <w:i/>
          <w:sz w:val="20"/>
        </w:rPr>
      </w:pPr>
      <w:r>
        <w:rPr>
          <w:rFonts w:ascii="times" w:hAnsi="times"/>
          <w:i/>
          <w:sz w:val="20"/>
        </w:rPr>
        <w:t xml:space="preserve">Gain on Disposition of Class A Shares </w:t>
      </w:r>
    </w:p>
    <w:p>
      <w:pPr>
        <w:pStyle w:val="TextBody"/>
        <w:rPr/>
      </w:pPr>
      <w:r>
        <w:rPr/>
        <w:t>        </w:t>
      </w:r>
      <w:r>
        <w:rPr>
          <w:rFonts w:ascii="times" w:hAnsi="times"/>
          <w:sz w:val="20"/>
        </w:rPr>
        <w:t xml:space="preserve">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a reduced maximum U.S. federal income tax rate of 20%. The deductibility of net capital losses is subject to limitations. </w:t>
      </w:r>
    </w:p>
    <w:p>
      <w:pPr>
        <w:pStyle w:val="TextBody"/>
        <w:numPr>
          <w:ilvl w:val="0"/>
          <w:numId w:val="0"/>
        </w:numPr>
        <w:ind w:left="707" w:hanging="0"/>
        <w:rPr>
          <w:rFonts w:ascii="times" w:hAnsi="times"/>
          <w:i/>
          <w:sz w:val="20"/>
        </w:rPr>
      </w:pPr>
      <w:r>
        <w:rPr>
          <w:rFonts w:ascii="times" w:hAnsi="times"/>
          <w:i/>
          <w:sz w:val="20"/>
        </w:rPr>
        <w:t xml:space="preserve">Backup Withholding and Information Reporting </w:t>
      </w:r>
    </w:p>
    <w:p>
      <w:pPr>
        <w:pStyle w:val="TextBody"/>
        <w:rPr/>
      </w:pPr>
      <w:r>
        <w:rPr/>
        <w:t>        </w:t>
      </w:r>
      <w:r>
        <w:rPr>
          <w:rFonts w:ascii="times" w:hAnsi="times"/>
          <w:sz w:val="20"/>
        </w:rPr>
        <w:t xml:space="preserve">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 </w:t>
      </w:r>
    </w:p>
    <w:p>
      <w:pPr>
        <w:pStyle w:val="TextBody"/>
        <w:rPr/>
      </w:pPr>
      <w:r>
        <w:rPr/>
        <w:t>        </w:t>
      </w:r>
      <w:r>
        <w:rPr>
          <w:rFonts w:ascii="times" w:hAnsi="times"/>
          <w:sz w:val="20"/>
        </w:rPr>
        <w:t xml:space="preserve">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 </w:t>
      </w:r>
    </w:p>
    <w:p>
      <w:pPr>
        <w:pStyle w:val="TextBody"/>
        <w:numPr>
          <w:ilvl w:val="0"/>
          <w:numId w:val="0"/>
        </w:numPr>
        <w:ind w:left="707" w:hanging="0"/>
        <w:rPr>
          <w:rFonts w:ascii="times" w:hAnsi="times"/>
          <w:i/>
          <w:sz w:val="20"/>
        </w:rPr>
      </w:pPr>
      <w:r>
        <w:rPr>
          <w:rFonts w:ascii="times" w:hAnsi="times"/>
          <w:i/>
          <w:sz w:val="20"/>
        </w:rPr>
        <w:t xml:space="preserve">3.8% Tax On Unearned Income </w:t>
      </w:r>
    </w:p>
    <w:p>
      <w:pPr>
        <w:pStyle w:val="TextBody"/>
        <w:rPr/>
      </w:pPr>
      <w:r>
        <w:rPr/>
        <w:t>        </w:t>
      </w:r>
      <w:r>
        <w:rPr>
          <w:rFonts w:ascii="times" w:hAnsi="times"/>
          <w:sz w:val="20"/>
        </w:rPr>
        <w:t xml:space="preserve">Certain U.S. holders that are individuals, trusts or estates will be subject to an additional 3.8% Medicare tax on unearned income, which generally will include dividends received and gain recognized with respect to our Class A shares. For individual U.S. holders, the additional Medicare tax applies to the lesser of (i) "net investment income," or (ii) the excess of "modified adjusted gross income" over </w:t>
      </w:r>
    </w:p>
    <w:p>
      <w:pPr>
        <w:pStyle w:val="TextBody"/>
        <w:jc w:val="center"/>
        <w:rPr>
          <w:rFonts w:ascii="times" w:hAnsi="times"/>
          <w:sz w:val="20"/>
        </w:rPr>
      </w:pPr>
      <w:r>
        <w:rPr>
          <w:rFonts w:ascii="times" w:hAnsi="times"/>
          <w:sz w:val="20"/>
        </w:rPr>
        <w:t>24</w:t>
      </w:r>
    </w:p>
    <w:p>
      <w:pPr>
        <w:pStyle w:val="HorizontalLine"/>
        <w:pBdr>
          <w:bottom w:val="single" w:sz="20" w:space="0" w:color="808080"/>
        </w:pBdr>
        <w:rPr/>
      </w:pPr>
      <w:r>
        <w:rPr/>
      </w:r>
      <w:r>
        <w:br w:type="page"/>
      </w:r>
    </w:p>
    <w:p>
      <w:pPr>
        <w:pStyle w:val="TextBody"/>
        <w:rPr/>
      </w:pPr>
      <w:hyperlink w:anchor="bg44101a_main_toc">
        <w:bookmarkStart w:id="59" w:name="page_ck44101_1_25"/>
        <w:bookmarkEnd w:id="5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$200,000 ($250,000 if married and filing jointly or $125,000 if married and filing separately). "Net investment income" generally equals a U.S. holder's gross investment income reduced by the deductions that are allocable to such income. Investment income generally includes passive income such as interest, dividends, annuities, royalties, rents and capital gains. U.S. holders are urged to consult their own tax advisors regarding the application of this additional Medicare tax to their particular circumstances. </w:t>
      </w:r>
    </w:p>
    <w:p>
      <w:pPr>
        <w:pStyle w:val="TextBody"/>
        <w:rPr>
          <w:rFonts w:ascii="times" w:hAnsi="times"/>
          <w:b/>
          <w:sz w:val="20"/>
        </w:rPr>
      </w:pPr>
      <w:r>
        <w:rPr>
          <w:rFonts w:ascii="times" w:hAnsi="times"/>
          <w:b/>
          <w:sz w:val="20"/>
        </w:rPr>
        <w:t xml:space="preserve">Consequences to Non-U.S. Holders </w:t>
      </w:r>
    </w:p>
    <w:p>
      <w:pPr>
        <w:pStyle w:val="TextBody"/>
        <w:rPr/>
      </w:pPr>
      <w:r>
        <w:rPr/>
        <w:t>        </w:t>
      </w:r>
      <w:r>
        <w:rPr>
          <w:rFonts w:ascii="times" w:hAnsi="times"/>
          <w:sz w:val="20"/>
        </w:rPr>
        <w:t xml:space="preserve">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 </w:t>
      </w:r>
    </w:p>
    <w:p>
      <w:pPr>
        <w:pStyle w:val="TextBody"/>
        <w:numPr>
          <w:ilvl w:val="0"/>
          <w:numId w:val="0"/>
        </w:numPr>
        <w:ind w:left="707" w:hanging="0"/>
        <w:rPr>
          <w:rFonts w:ascii="times" w:hAnsi="times"/>
          <w:i/>
          <w:sz w:val="20"/>
        </w:rPr>
      </w:pPr>
      <w:r>
        <w:rPr>
          <w:rFonts w:ascii="times" w:hAnsi="times"/>
          <w:i/>
          <w:sz w:val="20"/>
        </w:rPr>
        <w:t xml:space="preserve">Distributions </w:t>
      </w:r>
    </w:p>
    <w:p>
      <w:pPr>
        <w:pStyle w:val="TextBody"/>
        <w:rPr/>
      </w:pPr>
      <w:r>
        <w:rPr/>
        <w:t>        </w:t>
      </w:r>
      <w:r>
        <w:rPr>
          <w:rFonts w:ascii="times" w:hAnsi="times"/>
          <w:sz w:val="20"/>
        </w:rPr>
        <w:t xml:space="preserve">Generally, a distribution treated as a dividend paid to a non-U.S. holder on our Class A shares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10%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withholding agent with an IRS Form W-8BEN or an IRS Form W-8BEN-E, as applicable, (or other appropriate form) certifying qualification for the reduced rate. </w:t>
      </w:r>
    </w:p>
    <w:p>
      <w:pPr>
        <w:pStyle w:val="TextBody"/>
        <w:rPr/>
      </w:pPr>
      <w:r>
        <w:rPr/>
        <w:t>        </w:t>
      </w:r>
      <w:r>
        <w:rPr>
          <w:rFonts w:ascii="times" w:hAnsi="times"/>
          <w:sz w:val="20"/>
        </w:rPr>
        <w:t xml:space="preserve">Non-U.S. holders are encouraged to consult their tax advisors regarding the withholding rules applicable to distributions on our Class A shares, the requirement for claiming treaty benefits, and any procedures required to obtain a refund of any overwithheld amounts. </w:t>
      </w:r>
    </w:p>
    <w:p>
      <w:pPr>
        <w:pStyle w:val="TextBody"/>
        <w:rPr/>
      </w:pPr>
      <w:r>
        <w:rPr/>
        <w:t>        </w:t>
      </w:r>
      <w:r>
        <w:rPr>
          <w:rFonts w:ascii="times" w:hAnsi="times"/>
          <w:sz w:val="20"/>
        </w:rPr>
        <w:t xml:space="preserve">Distributions treated as dividends that are paid to a non-U.S. holder and are effectively connected with a trade or business conducted by the non-U.S. holder in the United States (and, if required by an applicable tax treaty, are attributable to a permanent establishment maintained by the non-U.S. holder in the United States) generally will be taxed on a net income basis at the rates and in the manner generally applicable to U.S. persons (as defined under the Code). Effectively connected dividend income will not be subject to U.S. withholding tax if the non-U.S. holder satisfies certain certification requirements by providing to the withholding agent a properly executed IRS Form W-8ECI (or successor form) certifying eligibility for the exemption. If the non-U.S. holder is a corporation, that portion of the corporation's earnings and profits for the taxable year, as adjusted for certain items, that is effectively connected with its U.S. trade or business (and, if required by applicable income tax treaty, is attributable to a permanent establishment maintained by the corporate non-U.S. holder in the United States) may also be subject to a "branch profits tax" at a 30% rate or such lower rate as may be specified by an applicable tax treaty. </w:t>
      </w:r>
    </w:p>
    <w:p>
      <w:pPr>
        <w:pStyle w:val="TextBody"/>
        <w:jc w:val="center"/>
        <w:rPr>
          <w:rFonts w:ascii="times" w:hAnsi="times"/>
          <w:sz w:val="20"/>
        </w:rPr>
      </w:pPr>
      <w:r>
        <w:rPr>
          <w:rFonts w:ascii="times" w:hAnsi="times"/>
          <w:sz w:val="20"/>
        </w:rPr>
        <w:t>25</w:t>
      </w:r>
    </w:p>
    <w:p>
      <w:pPr>
        <w:pStyle w:val="HorizontalLine"/>
        <w:pBdr>
          <w:bottom w:val="single" w:sz="20" w:space="0" w:color="808080"/>
        </w:pBdr>
        <w:rPr/>
      </w:pPr>
      <w:r>
        <w:rPr/>
      </w:r>
      <w:r>
        <w:br w:type="page"/>
      </w:r>
    </w:p>
    <w:p>
      <w:pPr>
        <w:pStyle w:val="TextBody"/>
        <w:rPr/>
      </w:pPr>
      <w:hyperlink w:anchor="bg44101a_main_toc">
        <w:bookmarkStart w:id="60" w:name="page_cm44101_1_26"/>
        <w:bookmarkEnd w:id="60"/>
        <w:r>
          <w:rPr>
            <w:rStyle w:val="InternetLink"/>
            <w:rFonts w:ascii="times" w:hAnsi="times"/>
            <w:sz w:val="20"/>
          </w:rPr>
          <w:t>Table of Contents</w:t>
        </w:r>
      </w:hyperlink>
      <w:r>
        <w:rPr>
          <w:rFonts w:ascii="times" w:hAnsi="times"/>
          <w:sz w:val="20"/>
        </w:rPr>
        <w:t xml:space="preserve"> </w:t>
      </w:r>
    </w:p>
    <w:p>
      <w:pPr>
        <w:pStyle w:val="TextBody"/>
        <w:numPr>
          <w:ilvl w:val="0"/>
          <w:numId w:val="0"/>
        </w:numPr>
        <w:ind w:left="707" w:hanging="0"/>
        <w:rPr>
          <w:rFonts w:ascii="times" w:hAnsi="times"/>
          <w:i/>
          <w:sz w:val="20"/>
        </w:rPr>
      </w:pPr>
      <w:r>
        <w:rPr>
          <w:rFonts w:ascii="times" w:hAnsi="times"/>
          <w:i/>
          <w:sz w:val="20"/>
        </w:rPr>
        <w:t xml:space="preserve">Gain on Disposition of Class A Shares </w:t>
      </w:r>
    </w:p>
    <w:p>
      <w:pPr>
        <w:pStyle w:val="TextBody"/>
        <w:rPr/>
      </w:pPr>
      <w:r>
        <w:rPr/>
        <w:t>        </w:t>
      </w:r>
      <w:r>
        <w:rPr>
          <w:rFonts w:ascii="times" w:hAnsi="times"/>
          <w:sz w:val="20"/>
        </w:rPr>
        <w:t>A non-U.S. holder generally will not be subject to U.S. federal income tax on any gain realized upon the sale or other disposition of our Class A shares unless: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non-U.S. holder is an individual who is present in the United States for a period or periods aggregating 183 days or more during the calendar year in which the sale or disposition occurs and certain other conditions are met;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gain is effectively connected with a trade or business conducted by the non-U.S. holder in the United States (and, if required by an applicable tax treaty, is attributable to a permanent establishment maintained by the non-U.S. holder in the United States);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Class A shares constitute a U.S. real property interest by reason of our status as a USRPHC for U.S. federal income tax purposes. </w:t>
      </w:r>
    </w:p>
    <w:p>
      <w:pPr>
        <w:pStyle w:val="TextBody"/>
        <w:rPr/>
      </w:pPr>
      <w:r>
        <w:rPr/>
        <w:t>        </w:t>
      </w:r>
      <w:r>
        <w:rPr>
          <w:rFonts w:ascii="times" w:hAnsi="times"/>
          <w:sz w:val="20"/>
        </w:rPr>
        <w:t xml:space="preserve">A non-U.S. holder described in the first bullet point above will be subject to tax at a rate of 30% (or such lower rate as may be specified by an applicable tax treaty) on the amount of such gain (which may be offset by U.S. source capital losses). </w:t>
      </w:r>
    </w:p>
    <w:p>
      <w:pPr>
        <w:pStyle w:val="TextBody"/>
        <w:rPr/>
      </w:pPr>
      <w:r>
        <w:rPr/>
        <w:t>        </w:t>
      </w:r>
      <w:r>
        <w:rPr>
          <w:rFonts w:ascii="times" w:hAnsi="times"/>
          <w:sz w:val="20"/>
        </w:rPr>
        <w:t xml:space="preserve">A non-U.S. holder whose gain is described in the second bullet point above will be subject to U.S. federal income tax on any gain recognized on a net income basis at the same graduated rates generally applicable to U.S. persons unless an applicable tax treaty provides otherwise. Corporate non-U.S. holders may also be subject to a branch profits tax equal to 30% (or such lower rate as may be specified by an applicable tax treaty) of their effectively connected earnings and profits attributable to such gain, as adjusted for certain items. </w:t>
      </w:r>
    </w:p>
    <w:p>
      <w:pPr>
        <w:pStyle w:val="TextBody"/>
        <w:rPr/>
      </w:pPr>
      <w:r>
        <w:rPr/>
        <w:t>        </w:t>
      </w:r>
      <w:r>
        <w:rPr>
          <w:rFonts w:ascii="times" w:hAnsi="times"/>
          <w:sz w:val="20"/>
        </w:rPr>
        <w:t xml:space="preserve">Generally, a corporation is a USRPHC if the fair market value of its U.S.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are "regularly traded on an established securities market," a non-U.S. holder will be taxable on gain recognized on the disposition of our Class A shares as a result of our status as a USRPHC only if the non-U.S. holder actually or constructively owns, or owned at any time during the five-year period ending on the date of the disposition or, if shorter, the non-U.S. holder's holding period for the Class A shares, more than 5% of our Class A shares. If our Class A shares were not considered to be regularly traded on an established securities market, all non-U.S. holders would be subject to U.S. federal income tax on a disposition of our Class A shares, and a 10% withholding tax would apply to the gross proceeds from the sale of our Class A shares by such non-U.S. holder. Non-U.S. holders should consult their tax advisors with respect to the application of the foregoing rules to their ownership and disposition of our Class A shares. </w:t>
      </w:r>
    </w:p>
    <w:p>
      <w:pPr>
        <w:pStyle w:val="TextBody"/>
        <w:numPr>
          <w:ilvl w:val="0"/>
          <w:numId w:val="0"/>
        </w:numPr>
        <w:ind w:left="707" w:hanging="0"/>
        <w:rPr>
          <w:rFonts w:ascii="times" w:hAnsi="times"/>
          <w:i/>
          <w:sz w:val="20"/>
        </w:rPr>
      </w:pPr>
      <w:r>
        <w:rPr>
          <w:rFonts w:ascii="times" w:hAnsi="times"/>
          <w:i/>
          <w:sz w:val="20"/>
        </w:rPr>
        <w:t xml:space="preserve">U.S. Federal Estate Tax </w:t>
      </w:r>
    </w:p>
    <w:p>
      <w:pPr>
        <w:pStyle w:val="TextBody"/>
        <w:rPr/>
      </w:pPr>
      <w:r>
        <w:rPr/>
        <w:t>        </w:t>
      </w:r>
      <w:r>
        <w:rPr>
          <w:rFonts w:ascii="times" w:hAnsi="times"/>
          <w:sz w:val="20"/>
        </w:rPr>
        <w:t xml:space="preserve">Our Class A shares beneficially owned or treated as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 and therefore may be subject to U.S. federal estate tax. </w:t>
      </w:r>
    </w:p>
    <w:p>
      <w:pPr>
        <w:pStyle w:val="TextBody"/>
        <w:numPr>
          <w:ilvl w:val="0"/>
          <w:numId w:val="0"/>
        </w:numPr>
        <w:ind w:left="707" w:hanging="0"/>
        <w:rPr>
          <w:rFonts w:ascii="times" w:hAnsi="times"/>
          <w:i/>
          <w:sz w:val="20"/>
        </w:rPr>
      </w:pPr>
      <w:r>
        <w:rPr>
          <w:rFonts w:ascii="times" w:hAnsi="times"/>
          <w:i/>
          <w:sz w:val="20"/>
        </w:rPr>
        <w:t xml:space="preserve">Backup Withholding and Information Reporting </w:t>
      </w:r>
    </w:p>
    <w:p>
      <w:pPr>
        <w:pStyle w:val="TextBody"/>
        <w:rPr/>
      </w:pPr>
      <w:r>
        <w:rPr/>
        <w:t>        </w:t>
      </w:r>
      <w:r>
        <w:rPr>
          <w:rFonts w:ascii="times" w:hAnsi="times"/>
          <w:sz w:val="20"/>
        </w:rPr>
        <w:t xml:space="preserve">Generally, we must report annually to the IRS and to each non-U.S. holder the amount of dividends paid to such holder, the name and address of the recipient, and the amount, if any, of tax withheld with respect to those dividends. These information reporting requirements apply even if </w:t>
      </w:r>
    </w:p>
    <w:p>
      <w:pPr>
        <w:pStyle w:val="TextBody"/>
        <w:jc w:val="center"/>
        <w:rPr>
          <w:rFonts w:ascii="times" w:hAnsi="times"/>
          <w:sz w:val="20"/>
        </w:rPr>
      </w:pPr>
      <w:r>
        <w:rPr>
          <w:rFonts w:ascii="times" w:hAnsi="times"/>
          <w:sz w:val="20"/>
        </w:rPr>
        <w:t>26</w:t>
      </w:r>
    </w:p>
    <w:p>
      <w:pPr>
        <w:pStyle w:val="HorizontalLine"/>
        <w:pBdr>
          <w:bottom w:val="single" w:sz="20" w:space="0" w:color="808080"/>
        </w:pBdr>
        <w:rPr/>
      </w:pPr>
      <w:r>
        <w:rPr/>
      </w:r>
      <w:r>
        <w:br w:type="page"/>
      </w:r>
    </w:p>
    <w:p>
      <w:pPr>
        <w:pStyle w:val="TextBody"/>
        <w:rPr/>
      </w:pPr>
      <w:hyperlink w:anchor="bg44101a_main_toc">
        <w:bookmarkStart w:id="61" w:name="page_cm44101_1_27"/>
        <w:bookmarkEnd w:id="6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withholding was not required. Pursuant to tax treaties or other agreements, the IRS may make such reports available to tax authorities in the recipient's country of residence. </w:t>
      </w:r>
    </w:p>
    <w:p>
      <w:pPr>
        <w:pStyle w:val="TextBody"/>
        <w:rPr/>
      </w:pPr>
      <w:r>
        <w:rPr/>
        <w:t>        </w:t>
      </w:r>
      <w:r>
        <w:rPr>
          <w:rFonts w:ascii="times" w:hAnsi="times"/>
          <w:sz w:val="20"/>
        </w:rPr>
        <w:t xml:space="preserve">Payments of dividends to a non-U.S. holder generally will not be subject to backup withholding if the non-U.S. holder establishes an exemption by properly certifying its non-U.S. status on an IRS Form W-8BEN, IRS Form W-8BEN-E or another appropriate version of IRS Form W-8, provided that the withholding agent does not have actual knowledge, or reason to know, that the beneficial owner is a U.S. person that is not an exempt recipient. </w:t>
      </w:r>
    </w:p>
    <w:p>
      <w:pPr>
        <w:pStyle w:val="TextBody"/>
        <w:rPr/>
      </w:pPr>
      <w:r>
        <w:rPr/>
        <w:t>        </w:t>
      </w:r>
      <w:r>
        <w:rPr>
          <w:rFonts w:ascii="times" w:hAnsi="times"/>
          <w:sz w:val="20"/>
        </w:rPr>
        <w:t xml:space="preserve">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another appropriate version of IRS Form W-8 and certain other conditions are met or the non-U.S. holder otherwise establishes an exemption. Information reporting and backup withholding generally will not apply to any payment of the proceeds from a sale or other disposition of our Class A shares effected outside the United States by a foreign office of a broker. However, unless such broker has documentary evidence in its records that the holder is a non-U.S. holder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 </w:t>
      </w:r>
    </w:p>
    <w:p>
      <w:pPr>
        <w:pStyle w:val="TextBody"/>
        <w:rPr/>
      </w:pPr>
      <w:r>
        <w:rPr/>
        <w:t>        </w:t>
      </w:r>
      <w:r>
        <w:rPr>
          <w:rFonts w:ascii="times" w:hAnsi="times"/>
          <w:sz w:val="20"/>
        </w:rPr>
        <w:t xml:space="preserve">Backup withholding is not an additional tax. Rather, the U.S. income tax liability (if any) of persons subject to backup withholding will be reduced by the amount of tax withheld. If withholding results in an overpayment of taxes, a refund may be obtained, provided that certain required information is timely furnished to the IRS. </w:t>
      </w:r>
    </w:p>
    <w:p>
      <w:pPr>
        <w:pStyle w:val="TextBody"/>
        <w:rPr>
          <w:rFonts w:ascii="times" w:hAnsi="times"/>
          <w:b/>
          <w:sz w:val="20"/>
        </w:rPr>
      </w:pPr>
      <w:r>
        <w:rPr>
          <w:rFonts w:ascii="times" w:hAnsi="times"/>
          <w:b/>
          <w:sz w:val="20"/>
        </w:rPr>
        <w:t xml:space="preserve">Additional Withholding Requirements </w:t>
      </w:r>
    </w:p>
    <w:p>
      <w:pPr>
        <w:pStyle w:val="TextBody"/>
        <w:rPr/>
      </w:pPr>
      <w:r>
        <w:rPr/>
        <w:t>        </w:t>
      </w:r>
      <w:r>
        <w:rPr>
          <w:rFonts w:ascii="times" w:hAnsi="times"/>
          <w:sz w:val="20"/>
        </w:rPr>
        <w:t xml:space="preserve">Sections 1471 through 1474 of the Code and the Treasury regulations and administrative guidance issued thereunder impose a 30% withholding tax on any dividends paid on our Class A shares and on the gross proceeds from a disposition of our Class A shares (if such disposition occurs after December 31, 2016),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furnishes the applicable withholding agent with a certification (generally on an IRS Form W-8BEN-E) identifying each direct and indirect substantial United States owner of the entity;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t>
      </w:r>
    </w:p>
    <w:p>
      <w:pPr>
        <w:pStyle w:val="TextBody"/>
        <w:rPr/>
      </w:pPr>
      <w:r>
        <w:rPr/>
        <w:t>        </w:t>
      </w:r>
      <w:r>
        <w:rPr>
          <w:rFonts w:ascii="times" w:hAnsi="times"/>
          <w:sz w:val="20"/>
        </w:rPr>
        <w:t xml:space="preserve">Prospective purchasers of our Class A shares are urged to consult their own tax advisors with respect to the tax consequences of these withholding provisions. </w:t>
      </w:r>
    </w:p>
    <w:p>
      <w:pPr>
        <w:pStyle w:val="TextBody"/>
        <w:rPr/>
      </w:pPr>
      <w:r>
        <w:rPr/>
        <w:t>        </w:t>
      </w:r>
      <w:r>
        <w:rPr>
          <w:rFonts w:ascii="times" w:hAnsi="times"/>
          <w:sz w:val="20"/>
        </w:rPr>
        <w:t xml:space="preserve">INVESTORS CONSIDERING THE PURCHASE OF OUR CLASS A SHARES ARE URGED TO CONSULT THEIR OWN TAX ADVISORS REGARDING THE APPLICATION OF THE U.S. FEDERAL INCOME AND ESTATE TAX LAWS TO THEIR PARTICULAR SITUATIONS AND THE APPLICABILITY AND EFFECT OF STATE, LOCAL OR FOREIGN TAX LAWS AND TREATIES. </w:t>
      </w:r>
    </w:p>
    <w:p>
      <w:pPr>
        <w:pStyle w:val="TextBody"/>
        <w:jc w:val="center"/>
        <w:rPr>
          <w:rFonts w:ascii="times" w:hAnsi="times"/>
          <w:sz w:val="20"/>
        </w:rPr>
      </w:pPr>
      <w:r>
        <w:rPr>
          <w:rFonts w:ascii="times" w:hAnsi="times"/>
          <w:sz w:val="20"/>
        </w:rPr>
        <w:t>27</w:t>
      </w:r>
    </w:p>
    <w:p>
      <w:pPr>
        <w:pStyle w:val="HorizontalLine"/>
        <w:pBdr>
          <w:bottom w:val="single" w:sz="20" w:space="0" w:color="808080"/>
        </w:pBdr>
        <w:rPr/>
      </w:pPr>
      <w:r>
        <w:rPr/>
      </w:r>
      <w:r>
        <w:br w:type="page"/>
      </w:r>
    </w:p>
    <w:p>
      <w:pPr>
        <w:pStyle w:val="TextBody"/>
        <w:rPr/>
      </w:pPr>
      <w:hyperlink w:anchor="bg44101a_main_toc">
        <w:bookmarkStart w:id="62" w:name="page_cm44101_1_28"/>
        <w:bookmarkEnd w:id="62"/>
        <w:r>
          <w:rPr>
            <w:rStyle w:val="InternetLink"/>
            <w:rFonts w:ascii="times" w:hAnsi="times"/>
            <w:sz w:val="20"/>
          </w:rPr>
          <w:t>Table of Contents</w:t>
        </w:r>
      </w:hyperlink>
    </w:p>
    <w:p>
      <w:pPr>
        <w:pStyle w:val="TextBody"/>
        <w:jc w:val="center"/>
        <w:rPr>
          <w:rFonts w:ascii="times" w:hAnsi="times"/>
        </w:rPr>
      </w:pPr>
      <w:bookmarkStart w:id="63" w:name="toc_cm44101_1"/>
      <w:bookmarkStart w:id="64" w:name="cm44101_investment_in_plains_gp_holdin__"/>
      <w:bookmarkEnd w:id="63"/>
      <w:bookmarkEnd w:id="64"/>
      <w:r>
        <w:rPr>
          <w:rFonts w:ascii="times" w:hAnsi="times"/>
          <w:sz w:val="20"/>
        </w:rPr>
        <w:br/>
      </w:r>
      <w:r>
        <w:rPr>
          <w:rFonts w:ascii="times" w:hAnsi="times"/>
          <w:b/>
          <w:sz w:val="20"/>
        </w:rPr>
        <w:t xml:space="preserve">INVESTMENT IN PLAINS GP HOLDINGS, L.P. BY EMPLOYEE BENEFIT PLANS </w:t>
      </w:r>
    </w:p>
    <w:p>
      <w:pPr>
        <w:pStyle w:val="TextBody"/>
        <w:rPr/>
      </w:pPr>
      <w:r>
        <w:rPr/>
        <w:t>        </w:t>
      </w:r>
      <w:r>
        <w:rPr>
          <w:rFonts w:ascii="times" w:hAnsi="times"/>
          <w:sz w:val="20"/>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 Among other things, consideration should be given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 investment is prudent under Section 404(a)(1)(B) of ERISA and any applicable Similar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in making the investment, the plan will satisfy the diversification requirements of Section 404(a)(1)(C) of ERISA and any applicable Similar Law;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 investment will result in recognition of unrelated business taxable income by the plan and, if so, the potential after-tax investment return. </w:t>
      </w:r>
    </w:p>
    <w:p>
      <w:pPr>
        <w:pStyle w:val="TextBody"/>
        <w:rPr/>
      </w:pPr>
      <w:r>
        <w:rPr/>
        <w:t>        </w:t>
      </w:r>
      <w:r>
        <w:rPr>
          <w:rFonts w:ascii="times" w:hAnsi="times"/>
          <w:sz w:val="20"/>
        </w:rPr>
        <w:t xml:space="preserve">In addition, the person with investment discretion with respect to the assets of an employee benefit plan, often called a fiduciary, should determine whether an investment in our Class A shares is authorized by the appropriate governing instrument and is a proper investment for the plan. </w:t>
      </w:r>
    </w:p>
    <w:p>
      <w:pPr>
        <w:pStyle w:val="TextBody"/>
        <w:rPr/>
      </w:pPr>
      <w:r>
        <w:rPr/>
        <w:t>        </w:t>
      </w:r>
      <w:r>
        <w:rPr>
          <w:rFonts w:ascii="times" w:hAnsi="times"/>
          <w:sz w:val="20"/>
        </w:rPr>
        <w:t xml:space="preserve">Section 406 of ERISA and Section 4975 of the Code prohibit employee benefit plans, and IRAs that are not considered part of an employee benefit plan, from engaging in specified transactions involving "plan assets" with parties that are "parties in interest" under ERISA or "disqualified persons" under the Code with respect to the plan. Therefore, a fiduciary of an employee benefit plan or an IRA accountholder that is considering an investment in our Class A shares should consider whether the entity's purchase or ownership of such Class A shares would or could result in the occurrence of such a prohibited transaction. </w:t>
      </w:r>
    </w:p>
    <w:p>
      <w:pPr>
        <w:pStyle w:val="TextBody"/>
        <w:rPr/>
      </w:pPr>
      <w:r>
        <w:rPr/>
        <w:t>        </w:t>
      </w:r>
      <w:r>
        <w:rPr>
          <w:rFonts w:ascii="times" w:hAnsi="times"/>
          <w:sz w:val="20"/>
        </w:rPr>
        <w:t xml:space="preserve">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 </w:t>
      </w:r>
    </w:p>
    <w:p>
      <w:pPr>
        <w:pStyle w:val="TextBody"/>
        <w:rPr/>
      </w:pPr>
      <w:r>
        <w:rPr/>
        <w:t>        </w:t>
      </w:r>
      <w:r>
        <w:rPr>
          <w:rFonts w:ascii="times" w:hAnsi="times"/>
          <w:sz w:val="20"/>
        </w:rPr>
        <w:t>ERISA and the Department of Labor regulations provide guidance with respect to whether the assets of an entity in which employee benefit plans acquire equity interests would be deemed "plan assets" under some circumstances. Under these rules, an entity's assets would not be considered to be "plan assets" if,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equity interests acquired by employee benefit plans are publicly offered securities; i.e., the equity interests are widely held by 100 or more investors independent of the issuer and each other, freely transferable and registered under some provisions of the federal securities laws;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entity is an "operating company"; i.e., it is primarily engaged in the production or sale of a product or service other than the investment of capital either directly or through a majority owned subsidiary or subsidiaries;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is no significant investment by benefit plan investors, which is defined to mean that less than 25% of the value of each class of equity interest, disregarding some interests held by our </w:t>
      </w:r>
    </w:p>
    <w:p>
      <w:pPr>
        <w:pStyle w:val="TextBody"/>
        <w:jc w:val="center"/>
        <w:rPr>
          <w:rFonts w:ascii="times" w:hAnsi="times"/>
          <w:sz w:val="20"/>
        </w:rPr>
      </w:pPr>
      <w:r>
        <w:rPr>
          <w:rFonts w:ascii="times" w:hAnsi="times"/>
          <w:sz w:val="20"/>
        </w:rPr>
        <w:t>28</w:t>
      </w:r>
    </w:p>
    <w:p>
      <w:pPr>
        <w:pStyle w:val="HorizontalLine"/>
        <w:pBdr>
          <w:bottom w:val="single" w:sz="20" w:space="0" w:color="808080"/>
        </w:pBdr>
        <w:rPr/>
      </w:pPr>
      <w:r>
        <w:rPr/>
      </w:r>
      <w:r>
        <w:br w:type="page"/>
      </w:r>
    </w:p>
    <w:p>
      <w:pPr>
        <w:pStyle w:val="TextBody"/>
        <w:rPr/>
      </w:pPr>
      <w:hyperlink w:anchor="bg44101a_main_toc">
        <w:bookmarkStart w:id="65" w:name="page_cm44101_1_29"/>
        <w:bookmarkEnd w:id="65"/>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general partner, its affiliates,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 </w:t>
      </w:r>
    </w:p>
    <w:p>
      <w:pPr>
        <w:pStyle w:val="TextBody"/>
        <w:rPr/>
      </w:pPr>
      <w:r>
        <w:rPr/>
        <w:t>        </w:t>
      </w:r>
      <w:r>
        <w:rPr>
          <w:rFonts w:ascii="times" w:hAnsi="times"/>
          <w:sz w:val="20"/>
        </w:rPr>
        <w:t xml:space="preserve">Plan fiduciaries contemplating a purchase of Class A shares should consult with their own counsel regarding the consequences under ERISA, the Code and other Similar Laws in light of the serious penalties imposed on persons who engage in prohibited transactions or other violations. </w:t>
      </w:r>
    </w:p>
    <w:p>
      <w:pPr>
        <w:pStyle w:val="TextBody"/>
        <w:jc w:val="center"/>
        <w:rPr>
          <w:rFonts w:ascii="times" w:hAnsi="times"/>
          <w:sz w:val="20"/>
        </w:rPr>
      </w:pPr>
      <w:r>
        <w:rPr>
          <w:rFonts w:ascii="times" w:hAnsi="times"/>
          <w:sz w:val="20"/>
        </w:rPr>
        <w:t>29</w:t>
      </w:r>
    </w:p>
    <w:p>
      <w:pPr>
        <w:pStyle w:val="HorizontalLine"/>
        <w:pBdr>
          <w:bottom w:val="single" w:sz="20" w:space="0" w:color="808080"/>
        </w:pBdr>
        <w:rPr/>
      </w:pPr>
      <w:r>
        <w:rPr/>
      </w:r>
      <w:r>
        <w:br w:type="page"/>
      </w:r>
    </w:p>
    <w:p>
      <w:pPr>
        <w:pStyle w:val="TextBody"/>
        <w:rPr/>
      </w:pPr>
      <w:hyperlink w:anchor="bg44101a_main_toc">
        <w:bookmarkStart w:id="66" w:name="page_co44101_1_30"/>
        <w:bookmarkEnd w:id="6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67" w:name="toc_co44101_1"/>
      <w:bookmarkStart w:id="68" w:name="co44101_selling_shareholders"/>
      <w:bookmarkEnd w:id="67"/>
      <w:bookmarkEnd w:id="68"/>
      <w:r>
        <w:rPr>
          <w:rFonts w:ascii="times" w:hAnsi="times"/>
          <w:sz w:val="20"/>
        </w:rPr>
        <w:br/>
      </w:r>
      <w:r>
        <w:rPr>
          <w:rFonts w:ascii="times" w:hAnsi="times"/>
          <w:b/>
          <w:sz w:val="20"/>
        </w:rPr>
        <w:t xml:space="preserve">SELLING SHAREHOLDERS </w:t>
      </w:r>
    </w:p>
    <w:p>
      <w:pPr>
        <w:pStyle w:val="TextBody"/>
        <w:rPr/>
      </w:pPr>
      <w:r>
        <w:rPr/>
        <w:t>        </w:t>
      </w:r>
      <w:r>
        <w:rPr>
          <w:rFonts w:ascii="times" w:hAnsi="times"/>
          <w:sz w:val="20"/>
        </w:rPr>
        <w:t xml:space="preserve">This prospectus covers the offering for resale from time to time, in one or more offerings, of up to 402,447,679 Class A shares by the selling shareholders. These Class A shares have been or will be issued to the selling shareholders upon exercise by the selling shareholders of the Exchange Right for an equivalent number of Class B shares, AAP units and general partner units, which were acquired by the selling shareholders in connection with our IPO in October 2013 or subsequent transfers in connection with charitable donations. Any issuance of the Class A shares to the selling shareholders in connection with exercise of the Exchange Right will be, and the initial issuance of the Class B shares (and related AAP units and general partner units) was, exempt from the registration requirements of the Securities Act of 1933, as amended (the "Securities Act"). We are registering the offering by the selling shareholders of the Class A shares described below pursuant to the provisions of the Registration Rights Agreement. </w:t>
      </w:r>
    </w:p>
    <w:p>
      <w:pPr>
        <w:pStyle w:val="TextBody"/>
        <w:rPr/>
      </w:pPr>
      <w:r>
        <w:rPr/>
        <w:t>        </w:t>
      </w:r>
      <w:r>
        <w:rPr>
          <w:rFonts w:ascii="times" w:hAnsi="times"/>
          <w:sz w:val="20"/>
        </w:rPr>
        <w:t xml:space="preserve">No offer or sale may occur unless the registration statement that includes this prospectus has been declared effective by the SEC and remains effective at the time such selling shareholder offers or sells Class A shares. We are required, under certain circumstances, to update, supplement or amend this prospectus to reflect material developments in our business, financial position and results of operations and may do so by an amendment to this prospectus, a prospectus supplement or a future filing with the SEC incorporated by reference in this prospectus. </w:t>
      </w:r>
    </w:p>
    <w:p>
      <w:pPr>
        <w:pStyle w:val="TextBody"/>
        <w:rPr/>
      </w:pPr>
      <w:r>
        <w:rPr/>
        <w:t>        </w:t>
      </w:r>
      <w:r>
        <w:rPr>
          <w:rFonts w:ascii="times" w:hAnsi="times"/>
          <w:sz w:val="20"/>
        </w:rPr>
        <w:t xml:space="preserve">Oxy, EMG and Kayne Anderson own a significant equity position in us. Further, each of Oxy, EMG and Kayne Anderson are entitled to appoint one member of the board of directors of our general partner pursuant to our general partner's limited liability company agreement. PAA Management, L.P. is owned by certain current and former members of PAA senior management, including Greg L. Armstrong who serves as Chairman of the Board and Chief Executive Officer of our general partner. </w:t>
      </w:r>
    </w:p>
    <w:p>
      <w:pPr>
        <w:pStyle w:val="TextBody"/>
        <w:rPr/>
      </w:pPr>
      <w:r>
        <w:rPr/>
        <w:t>        </w:t>
      </w:r>
      <w:r>
        <w:rPr>
          <w:rFonts w:ascii="times" w:hAnsi="times"/>
          <w:sz w:val="20"/>
        </w:rPr>
        <w:t xml:space="preserve">The following table sets forth information relating to the selling shareholders as of November 24, 2014 based on information supplied to us by the selling shareholders on or prior to that date. We have not sought to verify such information. Information concerning the selling shareholders may change over time and selling shareholders may be added; if necessary, we will supplement this prospectus accordingly. Except as set forth below, none of the selling shareholders is a broker-dealer registered under Section 15 of the Exchange Act or an affiliate of a broker-dealer registered under Section 15 of the Exchange Act. Each of Oxy, EMG, PAA Management L.P. and Kayne Anderson may be deemed under federal securities laws to be an underwriter with respect to the Class A shares it may sell in connection with these offerings. The selling shareholders may hold or acquire at any time Class A shares in addition to those offered by this prospectus and may have acquired additional Class A shares since the date on which the information reflected herein was provided to us. In addition, the selling shareholders may have sold, transferred or otherwise disposed of some or all of their Class A shares since the date on which the information reflected herein was provided to us and may in the future sell, transfer or otherwise dispose of some or all of their Class A shares in private placement transactions exempt from or not subject to the registration requirements of the Securities Act. </w:t>
      </w:r>
    </w:p>
    <w:p>
      <w:pPr>
        <w:pStyle w:val="TextBody"/>
        <w:rPr/>
      </w:pPr>
      <w:r>
        <w:rPr/>
        <w:t>        </w:t>
      </w:r>
      <w:r>
        <w:rPr>
          <w:rFonts w:ascii="times" w:hAnsi="times"/>
          <w:sz w:val="20"/>
        </w:rPr>
        <w:t xml:space="preserve">As of November 24, 2014, there were an aggregate of 205,046,637 Class A shares and 400,983,136 Class B shares outstanding. The beneficial ownership information presented below assumes that all 400,983,136 Class B shares (and related AAP units and general partner units) have been exchanged </w:t>
      </w:r>
    </w:p>
    <w:p>
      <w:pPr>
        <w:pStyle w:val="TextBody"/>
        <w:jc w:val="center"/>
        <w:rPr>
          <w:rFonts w:ascii="times" w:hAnsi="times"/>
          <w:sz w:val="20"/>
        </w:rPr>
      </w:pPr>
      <w:r>
        <w:rPr>
          <w:rFonts w:ascii="times" w:hAnsi="times"/>
          <w:sz w:val="20"/>
        </w:rPr>
        <w:t>30</w:t>
      </w:r>
    </w:p>
    <w:p>
      <w:pPr>
        <w:pStyle w:val="HorizontalLine"/>
        <w:pBdr>
          <w:bottom w:val="single" w:sz="20" w:space="0" w:color="808080"/>
        </w:pBdr>
        <w:rPr/>
      </w:pPr>
      <w:r>
        <w:rPr/>
      </w:r>
      <w:r>
        <w:br w:type="page"/>
      </w:r>
    </w:p>
    <w:p>
      <w:pPr>
        <w:pStyle w:val="TextBody"/>
        <w:rPr/>
      </w:pPr>
      <w:hyperlink w:anchor="bg44101a_main_toc">
        <w:bookmarkStart w:id="69" w:name="page_co44101_1_31"/>
        <w:bookmarkEnd w:id="6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pursuant to the Exchange Right for an equivalent number of Class A shares and such Class A shares are held by the selling shareholders. </w:t>
      </w:r>
    </w:p>
    <w:tbl>
      <w:tblPr>
        <w:tblW w:w="5000" w:type="pct"/>
        <w:jc w:val="center"/>
        <w:tblInd w:w="0" w:type="dxa"/>
        <w:tblCellMar>
          <w:top w:w="0" w:type="dxa"/>
          <w:left w:w="0" w:type="dxa"/>
          <w:bottom w:w="0" w:type="dxa"/>
          <w:right w:w="0" w:type="dxa"/>
        </w:tblCellMar>
      </w:tblPr>
      <w:tblGrid>
        <w:gridCol w:w="4040"/>
        <w:gridCol w:w="159"/>
        <w:gridCol w:w="84"/>
        <w:gridCol w:w="1055"/>
        <w:gridCol w:w="159"/>
        <w:gridCol w:w="90"/>
        <w:gridCol w:w="894"/>
        <w:gridCol w:w="185"/>
        <w:gridCol w:w="84"/>
        <w:gridCol w:w="1075"/>
        <w:gridCol w:w="159"/>
        <w:gridCol w:w="84"/>
        <w:gridCol w:w="864"/>
        <w:gridCol w:w="159"/>
        <w:gridCol w:w="90"/>
        <w:gridCol w:w="857"/>
        <w:gridCol w:w="167"/>
      </w:tblGrid>
      <w:tr>
        <w:trPr/>
        <w:tc>
          <w:tcPr>
            <w:tcW w:w="404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404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Selling Shareholders </w:t>
            </w:r>
          </w:p>
        </w:tc>
        <w:tc>
          <w:tcPr>
            <w:tcW w:w="159" w:type="dxa"/>
            <w:tcBorders/>
            <w:shd w:fill="auto" w:val="clear"/>
            <w:vAlign w:val="bottom"/>
          </w:tcPr>
          <w:p>
            <w:pPr>
              <w:pStyle w:val="TableHeading"/>
              <w:suppressLineNumbers/>
              <w:spacing w:before="0" w:after="283"/>
              <w:jc w:val="center"/>
              <w:rPr/>
            </w:pPr>
            <w:r>
              <w:rPr/>
              <w:t> </w:t>
            </w:r>
          </w:p>
        </w:tc>
        <w:tc>
          <w:tcPr>
            <w:tcW w:w="11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A</w:t>
              <w:br/>
              <w:t>Shares</w:t>
              <w:br/>
              <w:t>Beneficially</w:t>
              <w:br/>
              <w:t>Owned</w:t>
              <w:br/>
              <w:t>Prior to the</w:t>
              <w:br/>
              <w:t xml:space="preserve">Offering </w:t>
            </w:r>
          </w:p>
        </w:tc>
        <w:tc>
          <w:tcPr>
            <w:tcW w:w="159" w:type="dxa"/>
            <w:tcBorders/>
            <w:shd w:fill="auto" w:val="clear"/>
            <w:vAlign w:val="bottom"/>
          </w:tcPr>
          <w:p>
            <w:pPr>
              <w:pStyle w:val="TableHeading"/>
              <w:suppressLineNumbers/>
              <w:spacing w:before="0" w:after="283"/>
              <w:jc w:val="center"/>
              <w:rPr/>
            </w:pPr>
            <w:r>
              <w:rPr/>
              <w:t> </w:t>
            </w:r>
          </w:p>
        </w:tc>
        <w:tc>
          <w:tcPr>
            <w:tcW w:w="9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Percentage of</w:t>
              <w:br/>
              <w:t>Class A</w:t>
              <w:br/>
              <w:t>Shares</w:t>
              <w:br/>
              <w:t>Beneficially</w:t>
              <w:br/>
              <w:t>Owned</w:t>
              <w:br/>
              <w:t>Prior to</w:t>
              <w:br/>
              <w:t xml:space="preserve">the Offering </w:t>
            </w:r>
          </w:p>
        </w:tc>
        <w:tc>
          <w:tcPr>
            <w:tcW w:w="185" w:type="dxa"/>
            <w:tcBorders/>
            <w:shd w:fill="auto" w:val="clear"/>
            <w:vAlign w:val="bottom"/>
          </w:tcPr>
          <w:p>
            <w:pPr>
              <w:pStyle w:val="TableHeading"/>
              <w:suppressLineNumbers/>
              <w:spacing w:before="0" w:after="283"/>
              <w:jc w:val="center"/>
              <w:rPr/>
            </w:pPr>
            <w:r>
              <w:rPr/>
              <w:t> </w:t>
            </w:r>
          </w:p>
        </w:tc>
        <w:tc>
          <w:tcPr>
            <w:tcW w:w="115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A Shares</w:t>
              <w:br/>
              <w:t xml:space="preserve">Offered Hereby </w:t>
            </w:r>
          </w:p>
        </w:tc>
        <w:tc>
          <w:tcPr>
            <w:tcW w:w="159" w:type="dxa"/>
            <w:tcBorders/>
            <w:shd w:fill="auto" w:val="clear"/>
            <w:vAlign w:val="bottom"/>
          </w:tcPr>
          <w:p>
            <w:pPr>
              <w:pStyle w:val="TableHeading"/>
              <w:suppressLineNumbers/>
              <w:spacing w:before="0" w:after="283"/>
              <w:jc w:val="center"/>
              <w:rPr/>
            </w:pPr>
            <w:r>
              <w:rPr/>
              <w:t> </w:t>
            </w:r>
          </w:p>
        </w:tc>
        <w:tc>
          <w:tcPr>
            <w:tcW w:w="94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A</w:t>
              <w:br/>
              <w:t>Shares to be</w:t>
              <w:br/>
              <w:t>Beneficially</w:t>
              <w:br/>
              <w:t>Owned After</w:t>
              <w:br/>
              <w:t xml:space="preserve">Offering </w:t>
            </w:r>
          </w:p>
        </w:tc>
        <w:tc>
          <w:tcPr>
            <w:tcW w:w="159" w:type="dxa"/>
            <w:tcBorders/>
            <w:shd w:fill="auto" w:val="clear"/>
            <w:vAlign w:val="bottom"/>
          </w:tcPr>
          <w:p>
            <w:pPr>
              <w:pStyle w:val="TableHeading"/>
              <w:suppressLineNumbers/>
              <w:spacing w:before="0" w:after="283"/>
              <w:jc w:val="center"/>
              <w:rPr/>
            </w:pPr>
            <w:r>
              <w:rPr/>
              <w:t> </w:t>
            </w:r>
          </w:p>
        </w:tc>
        <w:tc>
          <w:tcPr>
            <w:tcW w:w="94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Percentage</w:t>
              <w:br/>
              <w:t>of Class A</w:t>
              <w:br/>
              <w:t>Shares to be</w:t>
              <w:br/>
              <w:t>Beneficially</w:t>
              <w:br/>
              <w:t>Owned After</w:t>
              <w:br/>
              <w:t xml:space="preserve">Offering </w:t>
            </w:r>
          </w:p>
        </w:tc>
        <w:tc>
          <w:tcPr>
            <w:tcW w:w="167" w:type="dxa"/>
            <w:tcBorders/>
            <w:shd w:fill="auto" w:val="clear"/>
            <w:vAlign w:val="bottom"/>
          </w:tcPr>
          <w:p>
            <w:pPr>
              <w:pStyle w:val="TableHeading"/>
              <w:suppressLineNumbers/>
              <w:spacing w:before="0" w:after="283"/>
              <w:jc w:val="center"/>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EMG Investment, LLC(1)</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121,516,879</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20.1</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121,516,879</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KAFU Holdings, L.P.(2)</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96,407,031</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15.9</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96,407,031</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Oxy Holding Company (Pipeline), Inc.(3)</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79,830,161</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13.2</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79,830,161</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PAA Management, L.P.(4)</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21,835,922</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3.6</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21,835,922</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Windy, L.L.C.(5)</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18,180,893</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3.0</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18,180,893</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KA First Reserve XII, LLC(6)</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15,057,415</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2.5</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15,057,415</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Mark E. Strome Living Trust(7)</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12,377,714</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2.0</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12,377,714</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Strome PAA, L.P.(8)</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8,109,344</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1.3</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8,109,344</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Lynx Holdings I, LLC(9)</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8,476,802</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1.4</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8,476,802</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KAFU Holdings II, L.P.(2)</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6,795,545</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1.1</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6,795,545</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Kayne Anderson MLP Investment Company(10)</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6,402,046</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1.1</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6,402,046</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Kayne Anderson Midstream/Energy Fund, Inc.(10)</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2,247,670</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1,836,270</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411,400</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Kayne Anderson Energy Development Company(10)</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918,003</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918,003</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Jewish Community Foundation of Los Angeles(11)</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947,060</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947,060</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Michael B. Targoff CRUT(12)</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583,691</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492,791</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90,900</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Johns Hopkins University(13)</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13,000</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13,000</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Hebrew Union CollegeJewish Institute of Religion(14)</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11,692</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11,692</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Other Legacy Shareholders(15)</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3,239,111</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3,239,111</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Less than one percent. </w:t>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John T. Raymond and John G. Calvert, the Chief Executive Officer and Chief Operating Officer, respectively, of the manager of the selling shareholder, exercise shared voting and dispositive power over the Class A shares held by the selling shareholder. Each of Messrs. Raymond and Calvert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 </w:t>
      </w:r>
    </w:p>
    <w:p>
      <w:pPr>
        <w:pStyle w:val="ListContents"/>
        <w:spacing w:before="0" w:after="283"/>
        <w:jc w:val="left"/>
        <w:rPr>
          <w:rFonts w:ascii="times" w:hAnsi="times"/>
          <w:sz w:val="20"/>
        </w:rPr>
      </w:pPr>
      <w:r>
        <w:rPr>
          <w:rFonts w:ascii="times" w:hAnsi="times"/>
          <w:sz w:val="20"/>
        </w:rPr>
        <w:t xml:space="preserve">Kayne Anderson Capital Advisors, L.P. ("KACALP") serves as the manager of the selling shareholder. Richard A. Kayne is the controlling owner of KACALP, and Robert Sinnott is the portfolio manager of the selling shareholder. Therefore each of Messrs. Kayne and Sinnott may be deemed to exercise shared voting and dispositive power over the Class A shares held by the selling shareholder. Each of Messrs. Kayne and Sinnott disclaims beneficial ownership of any of our Class A shares held by the selling shareholder except to the extent of his pecuniary interest therein. </w:t>
      </w:r>
    </w:p>
    <w:p>
      <w:pPr>
        <w:pStyle w:val="TextBody"/>
        <w:jc w:val="center"/>
        <w:rPr>
          <w:rFonts w:ascii="times" w:hAnsi="times"/>
          <w:sz w:val="20"/>
        </w:rPr>
      </w:pPr>
      <w:r>
        <w:rPr>
          <w:rFonts w:ascii="times" w:hAnsi="times"/>
          <w:sz w:val="20"/>
        </w:rPr>
        <w:t>31</w:t>
      </w:r>
    </w:p>
    <w:p>
      <w:pPr>
        <w:pStyle w:val="HorizontalLine"/>
        <w:pBdr>
          <w:bottom w:val="single" w:sz="20" w:space="0" w:color="808080"/>
        </w:pBdr>
        <w:rPr/>
      </w:pPr>
      <w:r>
        <w:rPr/>
      </w:r>
      <w:r>
        <w:br w:type="page"/>
      </w:r>
    </w:p>
    <w:p>
      <w:pPr>
        <w:pStyle w:val="TextBody"/>
        <w:rPr/>
      </w:pPr>
      <w:hyperlink w:anchor="bg44101a_main_toc">
        <w:bookmarkStart w:id="70" w:name="page_co44101_1_32"/>
        <w:bookmarkEnd w:id="70"/>
        <w:r>
          <w:rPr>
            <w:rStyle w:val="InternetLink"/>
            <w:rFonts w:ascii="times" w:hAnsi="times"/>
            <w:sz w:val="20"/>
          </w:rPr>
          <w:t>Table of Contents</w:t>
        </w:r>
      </w:hyperlink>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Oxy Holding Company (Pipeline), Inc. is an indirect wholly owned subsidiary of Occidental. The voting and disposition of any Class A shares held by Oxy Holding Company (Pipeline), Inc. is controlled by the board of directors of Occidental. The board of directors of Occidental, which acts by majority approval, consists of Spencer Abraham, Howard I. Atkins, Eugene L. Batchelder, Stephen I. Chazen, Edward P. Djerejian, John E. Feick, Margaret M. Foran, Carlos M. Gutierrez, William R. Klesse, Avedick B. Poladian and Elisse B. Walter. Each of the members of Occidental's board of directors disclaims beneficial ownership of any of our Class A shares held by Oxy Holding Company (Pipeline), Inc.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The board of directors of the general partner of the selling shareholder, which acts by majority approval, exercises voting and dispositive power over the Class A shares held by the selling shareholder, subject to approval by a majority in interest of the members of selling shareholder's general partner. The members of the board of directors are Greg L. Armstrong, Harry N. Pefanis and Phil D. Kramer; these individuals own or have voting rights with respect to over 50% of the member interest in selling shareholder's general partner. Each of the members of the board of directors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sz w:val="20"/>
        </w:rPr>
      </w:pPr>
      <w:r>
        <w:rPr>
          <w:rFonts w:ascii="times" w:hAnsi="times"/>
          <w:sz w:val="20"/>
        </w:rPr>
        <w:t xml:space="preserve">W. David Scott, the President of Tetrad Corporation, which is the sole manager of the selling shareholder, exercises sole voting and dispositive power over the Class A shares held by the selling shareholder. Mr. Scott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(6)</w:t>
      </w:r>
    </w:p>
    <w:p>
      <w:pPr>
        <w:pStyle w:val="ListContents"/>
        <w:spacing w:before="0" w:after="283"/>
        <w:jc w:val="left"/>
        <w:rPr>
          <w:rFonts w:ascii="times" w:hAnsi="times"/>
          <w:sz w:val="20"/>
        </w:rPr>
      </w:pPr>
      <w:r>
        <w:rPr>
          <w:rFonts w:ascii="times" w:hAnsi="times"/>
          <w:sz w:val="20"/>
        </w:rPr>
        <w:t xml:space="preserve">Representatives of the selling shareholder have advised us that the selling shareholder is an affiliate of a U.S. registered broker-dealer; however, the selling shareholder acquired the common units in the ordinary course of business and, at the time of the acquisition, had no agreements or understandings, directly or indirectly, with any party to distribute the common units held by the selling shareholder. </w:t>
      </w:r>
    </w:p>
    <w:p>
      <w:pPr>
        <w:pStyle w:val="ListContents"/>
        <w:spacing w:before="0" w:after="283"/>
        <w:jc w:val="left"/>
        <w:rPr>
          <w:rFonts w:ascii="times" w:hAnsi="times"/>
          <w:sz w:val="20"/>
        </w:rPr>
      </w:pPr>
      <w:r>
        <w:rPr>
          <w:rFonts w:ascii="times" w:hAnsi="times"/>
          <w:sz w:val="20"/>
        </w:rPr>
        <w:t xml:space="preserve">The board of managers of the selling shareholder, which acts by majority approval, exercises voting and dispositive power over the Class A shares held by the selling shareholder. The members of the board of managers are Kevin McCarthy, James Baker, Timothy Day, Kenneth Moore, Gary Reaves II and Michael France. Each of the members of the board of managers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(7)</w:t>
      </w:r>
    </w:p>
    <w:p>
      <w:pPr>
        <w:pStyle w:val="ListContents"/>
        <w:spacing w:before="0" w:after="283"/>
        <w:jc w:val="left"/>
        <w:rPr>
          <w:rFonts w:ascii="times" w:hAnsi="times"/>
          <w:sz w:val="20"/>
        </w:rPr>
      </w:pPr>
      <w:r>
        <w:rPr>
          <w:rFonts w:ascii="times" w:hAnsi="times"/>
          <w:sz w:val="20"/>
        </w:rPr>
        <w:t xml:space="preserve">Mark E. Strome, the trustee of the selling shareholder, exercises sole voting and dispositive power over the Class A shares held by the selling shareholder. Mr. Strome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(8)</w:t>
      </w:r>
    </w:p>
    <w:p>
      <w:pPr>
        <w:pStyle w:val="ListContents"/>
        <w:spacing w:before="0" w:after="283"/>
        <w:jc w:val="left"/>
        <w:rPr>
          <w:rFonts w:ascii="times" w:hAnsi="times"/>
          <w:sz w:val="20"/>
        </w:rPr>
      </w:pPr>
      <w:r>
        <w:rPr>
          <w:rFonts w:ascii="times" w:hAnsi="times"/>
          <w:sz w:val="20"/>
        </w:rPr>
        <w:t xml:space="preserve">Mark E. Strome, the President and CEO of Strome Investment Management, LP, the selling shareholder's general partner, exercises sole voting and dispositive power over the Class A shares held by the selling shareholder. Mr. Strome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(9)</w:t>
      </w:r>
    </w:p>
    <w:p>
      <w:pPr>
        <w:pStyle w:val="ListContents"/>
        <w:spacing w:before="0" w:after="283"/>
        <w:jc w:val="left"/>
        <w:rPr>
          <w:rFonts w:ascii="times" w:hAnsi="times"/>
          <w:sz w:val="20"/>
        </w:rPr>
      </w:pPr>
      <w:r>
        <w:rPr>
          <w:rFonts w:ascii="times" w:hAnsi="times"/>
          <w:sz w:val="20"/>
        </w:rPr>
        <w:t xml:space="preserve">John T. Raymond, the sole member of the selling shareholder, exercises sole voting and dispositive power over the Class A shares held by the selling shareholder. </w:t>
      </w:r>
    </w:p>
    <w:p>
      <w:pPr>
        <w:pStyle w:val="ListHeading"/>
        <w:spacing w:before="0" w:after="0"/>
        <w:jc w:val="left"/>
        <w:rPr>
          <w:rFonts w:ascii="times" w:hAnsi="times"/>
          <w:sz w:val="20"/>
        </w:rPr>
      </w:pPr>
      <w:r>
        <w:rPr>
          <w:rFonts w:ascii="times" w:hAnsi="times"/>
          <w:sz w:val="20"/>
        </w:rPr>
        <w:t>(10)</w:t>
      </w:r>
    </w:p>
    <w:p>
      <w:pPr>
        <w:pStyle w:val="ListContents"/>
        <w:spacing w:before="0" w:after="283"/>
        <w:jc w:val="left"/>
        <w:rPr>
          <w:rFonts w:ascii="times" w:hAnsi="times"/>
          <w:sz w:val="20"/>
        </w:rPr>
      </w:pPr>
      <w:r>
        <w:rPr>
          <w:rFonts w:ascii="times" w:hAnsi="times"/>
          <w:sz w:val="20"/>
        </w:rPr>
        <w:t xml:space="preserve">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 </w:t>
      </w:r>
    </w:p>
    <w:p>
      <w:pPr>
        <w:pStyle w:val="TextBody"/>
        <w:jc w:val="center"/>
        <w:rPr>
          <w:rFonts w:ascii="times" w:hAnsi="times"/>
          <w:sz w:val="20"/>
        </w:rPr>
      </w:pPr>
      <w:r>
        <w:rPr>
          <w:rFonts w:ascii="times" w:hAnsi="times"/>
          <w:sz w:val="20"/>
        </w:rPr>
        <w:t>32</w:t>
      </w:r>
    </w:p>
    <w:p>
      <w:pPr>
        <w:pStyle w:val="HorizontalLine"/>
        <w:pBdr>
          <w:bottom w:val="single" w:sz="20" w:space="0" w:color="808080"/>
        </w:pBdr>
        <w:rPr/>
      </w:pPr>
      <w:r>
        <w:rPr/>
      </w:r>
      <w:r>
        <w:br w:type="page"/>
      </w:r>
    </w:p>
    <w:p>
      <w:pPr>
        <w:pStyle w:val="TextBody"/>
        <w:rPr/>
      </w:pPr>
      <w:hyperlink w:anchor="bg44101a_main_toc">
        <w:bookmarkStart w:id="71" w:name="page_co44101_1_33"/>
        <w:bookmarkEnd w:id="71"/>
        <w:r>
          <w:rPr>
            <w:rStyle w:val="InternetLink"/>
            <w:rFonts w:ascii="times" w:hAnsi="times"/>
            <w:sz w:val="20"/>
          </w:rPr>
          <w:t>Table of Contents</w:t>
        </w:r>
      </w:hyperlink>
    </w:p>
    <w:p>
      <w:pPr>
        <w:pStyle w:val="TextBody"/>
        <w:numPr>
          <w:ilvl w:val="0"/>
          <w:numId w:val="0"/>
        </w:numPr>
        <w:ind w:left="707" w:hanging="0"/>
        <w:jc w:val="left"/>
        <w:rPr>
          <w:rFonts w:ascii="times" w:hAnsi="times"/>
          <w:sz w:val="20"/>
        </w:rPr>
      </w:pPr>
      <w:r>
        <w:rPr>
          <w:rFonts w:ascii="times" w:hAnsi="times"/>
          <w:sz w:val="20"/>
        </w:rPr>
        <w:t xml:space="preserve">KA Fund Advisors, LLC ("KAFA") serves as the manager of the selling shareholder. KACALP is the sole managing member of KAFA. Richard A. Kayne is the controlling owner of KACALP; and Kevin McCarthy is the chairman and chief executive officer of the selling shareholder and John C. Frey is an executive vice president and co-portfolio manager of the selling shareholder. Therefore, each of Messrs. Kayne, McCarthy and Frey may be deemed to exercise shared voting and dispositive power over the Class A shares held by the selling shareholder. Each of Messrs. Kayne, McCarthy and Frey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(11)</w:t>
      </w:r>
    </w:p>
    <w:p>
      <w:pPr>
        <w:pStyle w:val="ListContents"/>
        <w:spacing w:before="0" w:after="283"/>
        <w:jc w:val="left"/>
        <w:rPr>
          <w:rFonts w:ascii="times" w:hAnsi="times"/>
          <w:sz w:val="20"/>
        </w:rPr>
      </w:pPr>
      <w:r>
        <w:rPr>
          <w:rFonts w:ascii="times" w:hAnsi="times"/>
          <w:sz w:val="20"/>
        </w:rPr>
        <w:t xml:space="preserve">Each of Michael J. Januzik, Chief Financial Officer, Marvin I. Schotland, Chief Executive Officer, Lawrence Rauch, Chairman of the Board, Anthony Chanin, Vice President, William R. Feiler, Vice President, Abby Feinman, Vice President, Harold J. Masor, Vice President, Evan Schlessinger, Vice President, Michael Smooke, Vice President, Adlai Wertman, Vice President, Scott Richland, Treasurer, and Selwyn Gerber, Secretary,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or her pecuniary interest therein. </w:t>
      </w:r>
    </w:p>
    <w:p>
      <w:pPr>
        <w:pStyle w:val="ListHeading"/>
        <w:spacing w:before="0" w:after="0"/>
        <w:jc w:val="left"/>
        <w:rPr>
          <w:rFonts w:ascii="times" w:hAnsi="times"/>
          <w:sz w:val="20"/>
        </w:rPr>
      </w:pPr>
      <w:r>
        <w:rPr>
          <w:rFonts w:ascii="times" w:hAnsi="times"/>
          <w:sz w:val="20"/>
        </w:rPr>
        <w:t>(12)</w:t>
      </w:r>
    </w:p>
    <w:p>
      <w:pPr>
        <w:pStyle w:val="ListContents"/>
        <w:spacing w:before="0" w:after="283"/>
        <w:jc w:val="left"/>
        <w:rPr>
          <w:rFonts w:ascii="times" w:hAnsi="times"/>
          <w:sz w:val="20"/>
        </w:rPr>
      </w:pPr>
      <w:r>
        <w:rPr>
          <w:rFonts w:ascii="times" w:hAnsi="times"/>
          <w:sz w:val="20"/>
        </w:rPr>
        <w:t xml:space="preserve">Michael Targoff, the trustee of the selling shareholder, exercises sole voting and dispositive power over the Class A shares held by the selling shareholder. Mr. Targoff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(13)</w:t>
      </w:r>
    </w:p>
    <w:p>
      <w:pPr>
        <w:pStyle w:val="ListContents"/>
        <w:spacing w:before="0" w:after="283"/>
        <w:jc w:val="left"/>
        <w:rPr>
          <w:rFonts w:ascii="times" w:hAnsi="times"/>
          <w:sz w:val="20"/>
        </w:rPr>
      </w:pPr>
      <w:r>
        <w:rPr>
          <w:rFonts w:ascii="times" w:hAnsi="times"/>
          <w:sz w:val="20"/>
        </w:rPr>
        <w:t xml:space="preserve">Each of Daniel G. Ennis, Senior Vice President for Finance and Administration and Treasurer, Ronald J. Daniels, President, Robert C. Lieberman, Provost and Senior Vice President for Academic Affairs and Kathryn J. Crecelius, Chief Investment Officer, of the selling shareholder, exercises sole voting and dispositive power over the Class A shares held by the selling shareholder. Each of the foregoing individuals disclaims beneficial ownership of any of the Class A shares held by the selling shareholder, except to the extent of his or her pecuniary interest therein. </w:t>
      </w:r>
    </w:p>
    <w:p>
      <w:pPr>
        <w:pStyle w:val="ListHeading"/>
        <w:spacing w:before="0" w:after="0"/>
        <w:jc w:val="left"/>
        <w:rPr>
          <w:rFonts w:ascii="times" w:hAnsi="times"/>
          <w:sz w:val="20"/>
        </w:rPr>
      </w:pPr>
      <w:r>
        <w:rPr>
          <w:rFonts w:ascii="times" w:hAnsi="times"/>
          <w:sz w:val="20"/>
        </w:rPr>
        <w:t>(14)</w:t>
      </w:r>
    </w:p>
    <w:p>
      <w:pPr>
        <w:pStyle w:val="ListContents"/>
        <w:spacing w:before="0" w:after="283"/>
        <w:jc w:val="left"/>
        <w:rPr>
          <w:rFonts w:ascii="times" w:hAnsi="times"/>
          <w:sz w:val="20"/>
        </w:rPr>
      </w:pPr>
      <w:r>
        <w:rPr>
          <w:rFonts w:ascii="times" w:hAnsi="times"/>
          <w:sz w:val="20"/>
        </w:rPr>
        <w:t xml:space="preserve">Sandra M. Mills, the Chief Financial Officer of the selling shareholder, exercises sole voting and dispositive power over the Class A shares held by the selling shareholder. Ms. Mills disclaims beneficial ownership of any of our Class A shares held by the selling shareholder except to the extent of her pecuniary interest therein. </w:t>
      </w:r>
    </w:p>
    <w:p>
      <w:pPr>
        <w:pStyle w:val="ListHeading"/>
        <w:spacing w:before="0" w:after="0"/>
        <w:jc w:val="left"/>
        <w:rPr>
          <w:rFonts w:ascii="times" w:hAnsi="times"/>
          <w:sz w:val="20"/>
        </w:rPr>
      </w:pPr>
      <w:r>
        <w:rPr>
          <w:rFonts w:ascii="times" w:hAnsi="times"/>
          <w:sz w:val="20"/>
        </w:rPr>
        <w:t>(15)</w:t>
      </w:r>
    </w:p>
    <w:p>
      <w:pPr>
        <w:pStyle w:val="ListContents"/>
        <w:spacing w:before="0" w:after="283"/>
        <w:jc w:val="left"/>
        <w:rPr>
          <w:rFonts w:ascii="times" w:hAnsi="times"/>
          <w:sz w:val="20"/>
        </w:rPr>
      </w:pPr>
      <w:r>
        <w:rPr>
          <w:rFonts w:ascii="times" w:hAnsi="times"/>
          <w:sz w:val="20"/>
        </w:rPr>
        <w:t xml:space="preserve">Includes six persons not otherwise listed above, none of which currently owns more than 0.15% of the Class A shares. Collectively, these shareholders own approximately 0.53% of the Class A shares. The selling shareholders comprise long-term legacy investors, none of whom are our employees. </w:t>
      </w:r>
    </w:p>
    <w:p>
      <w:pPr>
        <w:pStyle w:val="TextBody"/>
        <w:jc w:val="center"/>
        <w:rPr>
          <w:rFonts w:ascii="times" w:hAnsi="times"/>
          <w:sz w:val="20"/>
        </w:rPr>
      </w:pPr>
      <w:r>
        <w:rPr>
          <w:rFonts w:ascii="times" w:hAnsi="times"/>
          <w:sz w:val="20"/>
        </w:rPr>
        <w:t>33</w:t>
      </w:r>
    </w:p>
    <w:p>
      <w:pPr>
        <w:pStyle w:val="HorizontalLine"/>
        <w:pBdr>
          <w:bottom w:val="single" w:sz="20" w:space="0" w:color="808080"/>
        </w:pBdr>
        <w:rPr/>
      </w:pPr>
      <w:r>
        <w:rPr/>
      </w:r>
      <w:r>
        <w:br w:type="page"/>
      </w:r>
    </w:p>
    <w:p>
      <w:pPr>
        <w:pStyle w:val="TextBody"/>
        <w:rPr/>
      </w:pPr>
      <w:hyperlink w:anchor="bg44101a_main_toc">
        <w:bookmarkStart w:id="72" w:name="page_co44101_1_34"/>
        <w:bookmarkEnd w:id="72"/>
        <w:r>
          <w:rPr>
            <w:rStyle w:val="InternetLink"/>
            <w:rFonts w:ascii="times" w:hAnsi="times"/>
            <w:sz w:val="20"/>
          </w:rPr>
          <w:t>Table of Contents</w:t>
        </w:r>
      </w:hyperlink>
    </w:p>
    <w:p>
      <w:pPr>
        <w:pStyle w:val="TextBody"/>
        <w:jc w:val="center"/>
        <w:rPr>
          <w:rFonts w:ascii="times" w:hAnsi="times"/>
        </w:rPr>
      </w:pPr>
      <w:bookmarkStart w:id="73" w:name="toc_co44101_2"/>
      <w:bookmarkStart w:id="74" w:name="co44101_plan_of_distribution"/>
      <w:bookmarkEnd w:id="73"/>
      <w:bookmarkEnd w:id="74"/>
      <w:r>
        <w:rPr>
          <w:rFonts w:ascii="times" w:hAnsi="times"/>
          <w:sz w:val="20"/>
        </w:rPr>
        <w:br/>
      </w:r>
      <w:r>
        <w:rPr>
          <w:rFonts w:ascii="times" w:hAnsi="times"/>
          <w:b/>
          <w:sz w:val="20"/>
        </w:rPr>
        <w:t xml:space="preserve">PLAN OF DISTRIBUTION </w:t>
      </w:r>
    </w:p>
    <w:p>
      <w:pPr>
        <w:pStyle w:val="TextBody"/>
        <w:rPr/>
      </w:pPr>
      <w:r>
        <w:rPr/>
        <w:t>        </w:t>
      </w:r>
      <w:r>
        <w:rPr>
          <w:rFonts w:ascii="times" w:hAnsi="times"/>
          <w:sz w:val="20"/>
        </w:rPr>
        <w:t xml:space="preserve">We are registering the Class A shares offered by this prospectus on behalf of the selling shareholders. As used in this prospectus, "selling shareholders" includes partners, pledgees, donees (including charitable organizations), transferees or other successors-in-interest selling Class A shares received from any selling shareholder identified in this prospectus after the date of this prospectus. </w:t>
      </w:r>
    </w:p>
    <w:p>
      <w:pPr>
        <w:pStyle w:val="TextBody"/>
        <w:rPr/>
      </w:pPr>
      <w:r>
        <w:rPr/>
        <w:t>        </w:t>
      </w:r>
      <w:r>
        <w:rPr>
          <w:rFonts w:ascii="times" w:hAnsi="times"/>
          <w:sz w:val="20"/>
        </w:rPr>
        <w:t>Subject to certain restrictions on transfer that may be applicable to the selling shareholders, the selling shareholders intend to offer and sell the Class A shares offered by this prospectus by one or more of, or a combination of, the following methods: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through one or more underwriters for public offering and sale;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through one or more broker-dealers who may act as agent or may purchase Class A shares as principal and thereafter resell the Class A shares from time to time: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in or through one or more transactions (which may involve crosses and block transactions) or distributions;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on the NYSE;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in the over-the-counter market; or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in private transactions;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investors directly. </w:t>
      </w:r>
    </w:p>
    <w:p>
      <w:pPr>
        <w:pStyle w:val="TextBody"/>
        <w:rPr/>
      </w:pPr>
      <w:r>
        <w:rPr/>
        <w:t>        </w:t>
      </w:r>
      <w:r>
        <w:rPr>
          <w:rFonts w:ascii="times" w:hAnsi="times"/>
          <w:sz w:val="20"/>
        </w:rPr>
        <w:t>The offering price per Class A share will be determined from time to time by the selling shareholders in connection with, and at the time of, the sale by such selling shareholders. The selling shareholders may price the Class A shares at:</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market prices prevailing at the time of any sale under this registration statement;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prices related to the then-current market prices;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fixed price;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negotiated prices. </w:t>
      </w:r>
    </w:p>
    <w:p>
      <w:pPr>
        <w:pStyle w:val="TextBody"/>
        <w:rPr/>
      </w:pPr>
      <w:r>
        <w:rPr/>
        <w:t>        </w:t>
      </w:r>
      <w:r>
        <w:rPr>
          <w:rFonts w:ascii="times" w:hAnsi="times"/>
          <w:sz w:val="20"/>
        </w:rPr>
        <w:t xml:space="preserve">In addition, the selling shareholders may from time to time sell Class A shares in compliance with Rule 144 under the Securities Act, if available, or pursuant to other available exemptions from the registration requirements under the Securities Act, rather than pursuant to this prospectus. The selling shareholders may be required by the securities laws of certain states to offer and sell the Class A shares only through registered or licensed brokers or dealers. </w:t>
      </w:r>
    </w:p>
    <w:p>
      <w:pPr>
        <w:pStyle w:val="TextBody"/>
        <w:rPr/>
      </w:pPr>
      <w:r>
        <w:rPr/>
        <w:t>        </w:t>
      </w:r>
      <w:r>
        <w:rPr>
          <w:rFonts w:ascii="times" w:hAnsi="times"/>
          <w:sz w:val="20"/>
        </w:rPr>
        <w:t xml:space="preserve">The selling shareholders may act independently of us in making decisions with respect to the timing, manner and size of each of their sales. </w:t>
      </w:r>
    </w:p>
    <w:p>
      <w:pPr>
        <w:pStyle w:val="TextBody"/>
        <w:rPr/>
      </w:pPr>
      <w:r>
        <w:rPr/>
        <w:t>        </w:t>
      </w:r>
      <w:r>
        <w:rPr>
          <w:rFonts w:ascii="times" w:hAnsi="times"/>
          <w:sz w:val="20"/>
        </w:rPr>
        <w:t xml:space="preserve">The selling shareholders may authorize underwriters acting as their agent to offer and sell Class A shares upon the terms and conditions as are set forth in an applicable prospectus supplement. In connection with the sale of these Class A shares, underwriters may be deemed to have received compensation from the selling shareholders in the form of underwriting discounts or commissions and may also receive commissions from purchasers of Class A shares for whom they may act as agent or to whom they sell as principals, or both. Underwriters may sell Class A shares to or through dealers. Dealers may receive compensation in the form of discounts, concessions or commissions from the underwriters and/or commissions from the purchasers for whom they may act as agent or to whom they sell as principals, or both. A member firm of the NYSE may be engaged to act as the agent of the selling shareholders in the sale of Class A shares. </w:t>
      </w:r>
    </w:p>
    <w:p>
      <w:pPr>
        <w:pStyle w:val="TextBody"/>
        <w:jc w:val="center"/>
        <w:rPr>
          <w:rFonts w:ascii="times" w:hAnsi="times"/>
          <w:sz w:val="20"/>
        </w:rPr>
      </w:pPr>
      <w:r>
        <w:rPr>
          <w:rFonts w:ascii="times" w:hAnsi="times"/>
          <w:sz w:val="20"/>
        </w:rPr>
        <w:t>34</w:t>
      </w:r>
    </w:p>
    <w:p>
      <w:pPr>
        <w:pStyle w:val="HorizontalLine"/>
        <w:pBdr>
          <w:bottom w:val="single" w:sz="20" w:space="0" w:color="808080"/>
        </w:pBdr>
        <w:rPr/>
      </w:pPr>
      <w:r>
        <w:rPr/>
      </w:r>
      <w:r>
        <w:br w:type="page"/>
      </w:r>
    </w:p>
    <w:p>
      <w:pPr>
        <w:pStyle w:val="TextBody"/>
        <w:rPr/>
      </w:pPr>
      <w:hyperlink w:anchor="bg44101a_main_toc">
        <w:bookmarkStart w:id="75" w:name="page_co44101_1_35"/>
        <w:bookmarkEnd w:id="75"/>
        <w:r>
          <w:rPr>
            <w:rStyle w:val="InternetLink"/>
            <w:rFonts w:ascii="times" w:hAnsi="times"/>
            <w:sz w:val="20"/>
          </w:rPr>
          <w:t>Table of Contents</w:t>
        </w:r>
      </w:hyperlink>
    </w:p>
    <w:p>
      <w:pPr>
        <w:pStyle w:val="TextBody"/>
        <w:rPr/>
      </w:pPr>
      <w:r>
        <w:rPr/>
        <w:t>        </w:t>
      </w:r>
      <w:r>
        <w:rPr>
          <w:rFonts w:ascii="times" w:hAnsi="times"/>
          <w:sz w:val="20"/>
        </w:rPr>
        <w:t xml:space="preserve">As of the date of this prospectus, the selling shareholders have not engaged any underwriter, broker, dealer or agent in connection with the offer and sale of Class A shares pursuant to this prospectus by the selling shareholders. To the extent required, the names of the specific managing underwriter or underwriters, if any, as well as other important information, will be set forth in an applicable prospectus supplement. In that event, any underwriting compensation paid by the selling shareholders to underwriters or agents in connection with the offering of these Class A shares, and any discounts, concessions or commissions allowed by underwriters to participating dealers, will be set forth in the applicable prospectus supplement. </w:t>
      </w:r>
    </w:p>
    <w:p>
      <w:pPr>
        <w:pStyle w:val="TextBody"/>
        <w:rPr/>
      </w:pPr>
      <w:r>
        <w:rPr/>
        <w:t>        </w:t>
      </w:r>
      <w:r>
        <w:rPr>
          <w:rFonts w:ascii="times" w:hAnsi="times"/>
          <w:sz w:val="20"/>
        </w:rPr>
        <w:t xml:space="preserve">Broker-dealers may also receive compensation in the form of underwriting discounts or commissions and may receive commissions from purchasers of the Class A shares for whom they may act as agents. If any broker-dealer purchases the Class A shares as principal, it may effect resales of the Class A shares from time to time to or through other broker-dealers, and other broker-dealers may receive compensation in the form of concessions or commissions from the purchasers of Class A shares for whom they may act as agents. </w:t>
      </w:r>
    </w:p>
    <w:p>
      <w:pPr>
        <w:pStyle w:val="TextBody"/>
        <w:rPr/>
      </w:pPr>
      <w:r>
        <w:rPr/>
        <w:t>        </w:t>
      </w:r>
      <w:r>
        <w:rPr>
          <w:rFonts w:ascii="times" w:hAnsi="times"/>
          <w:sz w:val="20"/>
        </w:rPr>
        <w:t xml:space="preserve">We will pay the costs and expenses related to the registration and offering of the Class A shares offered hereby. We will not pay any underwriting fees, discounts and selling commissions (and similar fees or arrangements associated therewith) allocable to each selling shareholder's sale of its respective Class A shares; these expenses will be paid by the selling shareholders. </w:t>
      </w:r>
    </w:p>
    <w:p>
      <w:pPr>
        <w:pStyle w:val="TextBody"/>
        <w:rPr/>
      </w:pPr>
      <w:r>
        <w:rPr/>
        <w:t>        </w:t>
      </w:r>
      <w:r>
        <w:rPr>
          <w:rFonts w:ascii="times" w:hAnsi="times"/>
          <w:sz w:val="20"/>
        </w:rPr>
        <w:t xml:space="preserve">We have agreed to indemnify the selling shareholders against certain liabilities to which they may become subject in connection with the sale of the Class A shares owned by the selling shareholders and registered under this prospectus, including liabilities arising under the Securities Act. We may indemnify underwriters, brokers, dealers and agents against specific liabilities to which they may become subject in connection with the sale of the Class A shares owned by the selling shareholders and registered under this prospectus, including liabilities under the Securities Act. </w:t>
      </w:r>
    </w:p>
    <w:p>
      <w:pPr>
        <w:pStyle w:val="TextBody"/>
        <w:rPr/>
      </w:pPr>
      <w:r>
        <w:rPr/>
        <w:t>        </w:t>
      </w:r>
      <w:r>
        <w:rPr>
          <w:rFonts w:ascii="times" w:hAnsi="times"/>
          <w:sz w:val="20"/>
        </w:rPr>
        <w:t xml:space="preserve">Any underwriters, brokers, dealers and agents who participate in any sale of the Class A shares may also engage in transactions with, or perform services for, us or our affiliates in the ordinary course of their businesses. </w:t>
      </w:r>
    </w:p>
    <w:p>
      <w:pPr>
        <w:pStyle w:val="TextBody"/>
        <w:rPr/>
      </w:pPr>
      <w:r>
        <w:rPr/>
        <w:t>        </w:t>
      </w:r>
      <w:r>
        <w:rPr>
          <w:rFonts w:ascii="times" w:hAnsi="times"/>
          <w:sz w:val="20"/>
        </w:rPr>
        <w:t xml:space="preserve">Because FINRA views our Class A shares as interests in a direct participation program, any offering of Class A shares under the registration statement of which this prospectus forms a part will be made in compliance with Rule 2310 of the FINRA Rules. </w:t>
      </w:r>
    </w:p>
    <w:p>
      <w:pPr>
        <w:pStyle w:val="TextBody"/>
        <w:rPr/>
      </w:pPr>
      <w:r>
        <w:rPr/>
        <w:t>        </w:t>
      </w:r>
      <w:r>
        <w:rPr>
          <w:rFonts w:ascii="times" w:hAnsi="times"/>
          <w:sz w:val="20"/>
        </w:rPr>
        <w:t xml:space="preserve">In connection with offerings under this shelf registration statement and in compliance with applicable law, underwriters, brokers or dealers may engage in transactions which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 </w:t>
      </w:r>
    </w:p>
    <w:p>
      <w:pPr>
        <w:pStyle w:val="TextBody"/>
        <w:rPr/>
      </w:pPr>
      <w:r>
        <w:rPr/>
        <w:t>        </w:t>
      </w:r>
      <w:r>
        <w:rPr>
          <w:rFonts w:ascii="times" w:hAnsi="times"/>
          <w:sz w:val="20"/>
        </w:rPr>
        <w:t xml:space="preserve">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 </w:t>
      </w:r>
    </w:p>
    <w:p>
      <w:pPr>
        <w:pStyle w:val="TextBody"/>
        <w:jc w:val="center"/>
        <w:rPr>
          <w:rFonts w:ascii="times" w:hAnsi="times"/>
          <w:sz w:val="20"/>
        </w:rPr>
      </w:pPr>
      <w:r>
        <w:rPr>
          <w:rFonts w:ascii="times" w:hAnsi="times"/>
          <w:sz w:val="20"/>
        </w:rPr>
        <w:t>35</w:t>
      </w:r>
    </w:p>
    <w:p>
      <w:pPr>
        <w:pStyle w:val="HorizontalLine"/>
        <w:pBdr>
          <w:bottom w:val="single" w:sz="20" w:space="0" w:color="808080"/>
        </w:pBdr>
        <w:rPr/>
      </w:pPr>
      <w:r>
        <w:rPr/>
      </w:r>
      <w:r>
        <w:br w:type="page"/>
      </w:r>
    </w:p>
    <w:p>
      <w:pPr>
        <w:pStyle w:val="TextBody"/>
        <w:rPr/>
      </w:pPr>
      <w:hyperlink w:anchor="bg44101a_main_toc">
        <w:bookmarkStart w:id="76" w:name="page_co44101_1_36"/>
        <w:bookmarkEnd w:id="76"/>
        <w:r>
          <w:rPr>
            <w:rStyle w:val="InternetLink"/>
            <w:rFonts w:ascii="times" w:hAnsi="times"/>
            <w:sz w:val="20"/>
          </w:rPr>
          <w:t>Table of Contents</w:t>
        </w:r>
      </w:hyperlink>
    </w:p>
    <w:p>
      <w:pPr>
        <w:pStyle w:val="TextBody"/>
        <w:jc w:val="center"/>
        <w:rPr>
          <w:rFonts w:ascii="times" w:hAnsi="times"/>
        </w:rPr>
      </w:pPr>
      <w:bookmarkStart w:id="77" w:name="toc_co44101_3"/>
      <w:bookmarkStart w:id="78" w:name="co44101_legal_matters"/>
      <w:bookmarkEnd w:id="77"/>
      <w:bookmarkEnd w:id="78"/>
      <w:r>
        <w:rPr>
          <w:rFonts w:ascii="times" w:hAnsi="times"/>
          <w:sz w:val="20"/>
        </w:rPr>
        <w:br/>
      </w:r>
      <w:r>
        <w:rPr>
          <w:rFonts w:ascii="times" w:hAnsi="times"/>
          <w:b/>
          <w:sz w:val="20"/>
        </w:rPr>
        <w:t xml:space="preserve">LEGAL MATTERS </w:t>
      </w:r>
    </w:p>
    <w:p>
      <w:pPr>
        <w:pStyle w:val="TextBody"/>
        <w:rPr/>
      </w:pPr>
      <w:r>
        <w:rPr/>
        <w:t>        </w:t>
      </w:r>
      <w:r>
        <w:rPr>
          <w:rFonts w:ascii="times" w:hAnsi="times"/>
          <w:sz w:val="20"/>
        </w:rPr>
        <w:t xml:space="preserve">The validity of the Class A shares will be passed upon for us by Vinson &amp; Elkins L.L.P., Houston, Texas.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 </w:t>
      </w:r>
    </w:p>
    <w:p>
      <w:pPr>
        <w:pStyle w:val="TextBody"/>
        <w:jc w:val="center"/>
        <w:rPr>
          <w:rFonts w:ascii="times" w:hAnsi="times"/>
        </w:rPr>
      </w:pPr>
      <w:bookmarkStart w:id="79" w:name="toc_co44101_4"/>
      <w:bookmarkStart w:id="80" w:name="co44101_experts"/>
      <w:bookmarkEnd w:id="79"/>
      <w:bookmarkEnd w:id="80"/>
      <w:r>
        <w:rPr>
          <w:rFonts w:ascii="times" w:hAnsi="times"/>
          <w:sz w:val="20"/>
        </w:rPr>
        <w:br/>
      </w:r>
      <w:r>
        <w:rPr>
          <w:rFonts w:ascii="times" w:hAnsi="times"/>
          <w:b/>
          <w:sz w:val="20"/>
        </w:rPr>
        <w:t xml:space="preserve">EXPERTS </w:t>
      </w:r>
    </w:p>
    <w:p>
      <w:pPr>
        <w:pStyle w:val="TextBody"/>
        <w:rPr/>
      </w:pPr>
      <w:r>
        <w:rPr/>
        <w:t>        </w:t>
      </w:r>
      <w:r>
        <w:rPr>
          <w:rFonts w:ascii="times" w:hAnsi="times"/>
          <w:sz w:val="20"/>
        </w:rPr>
        <w:t xml:space="preserve">The financial statements incorporated in this prospectus by reference to the Plains GP Holdings, L.P. Annual Report on Form 10-K for the year ended December 31, 2013 have been so incorporated in reliance on the report of PricewaterhouseCoopers LLP, an independent registered public accounting firm, given on the authority of said firm as experts in accounting and auditing. </w:t>
      </w:r>
    </w:p>
    <w:p>
      <w:pPr>
        <w:pStyle w:val="TextBody"/>
        <w:jc w:val="center"/>
        <w:rPr>
          <w:rFonts w:ascii="times" w:hAnsi="times"/>
          <w:sz w:val="20"/>
        </w:rPr>
      </w:pPr>
      <w:r>
        <w:rPr>
          <w:rFonts w:ascii="times" w:hAnsi="times"/>
          <w:sz w:val="20"/>
        </w:rPr>
        <w:t>36</w:t>
      </w:r>
    </w:p>
    <w:p>
      <w:pPr>
        <w:pStyle w:val="HorizontalLine"/>
        <w:pBdr>
          <w:bottom w:val="single" w:sz="20" w:space="0" w:color="808080"/>
        </w:pBdr>
        <w:rPr/>
      </w:pPr>
      <w:r>
        <w:rPr/>
      </w:r>
      <w:r>
        <w:br w:type="page"/>
      </w:r>
    </w:p>
    <w:p>
      <w:pPr>
        <w:pStyle w:val="TextBody"/>
        <w:rPr/>
      </w:pPr>
      <w:hyperlink w:anchor="bg44101a_main_toc">
        <w:bookmarkStart w:id="81" w:name="page_ja44101_1_1"/>
        <w:bookmarkEnd w:id="8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82" w:name="toc_ja44101_1"/>
      <w:bookmarkStart w:id="83" w:name="ja44101_part_ii_information_not_required"/>
      <w:bookmarkEnd w:id="82"/>
      <w:bookmarkEnd w:id="83"/>
      <w:r>
        <w:rPr>
          <w:rFonts w:ascii="times" w:hAnsi="times"/>
          <w:sz w:val="20"/>
        </w:rPr>
        <w:br/>
      </w:r>
      <w:r>
        <w:rPr>
          <w:rFonts w:ascii="times" w:hAnsi="times"/>
          <w:b/>
          <w:sz w:val="20"/>
        </w:rPr>
        <w:t xml:space="preserve">PART II </w:t>
        <w:br/>
        <w:br/>
        <w:t xml:space="preserve">INFORMATION NOT REQUIRED IN PROSPECTUS </w:t>
      </w:r>
    </w:p>
    <w:p>
      <w:pPr>
        <w:pStyle w:val="TextBody"/>
        <w:rPr>
          <w:rFonts w:ascii="times" w:hAnsi="times"/>
          <w:b/>
          <w:sz w:val="20"/>
        </w:rPr>
      </w:pPr>
      <w:bookmarkStart w:id="84" w:name="toc_ja44101_2"/>
      <w:bookmarkStart w:id="85" w:name="ja44101_item_14._other_expense__ja401984"/>
      <w:bookmarkEnd w:id="84"/>
      <w:bookmarkEnd w:id="85"/>
      <w:r>
        <w:rPr>
          <w:rFonts w:ascii="times" w:hAnsi="times"/>
          <w:b/>
          <w:sz w:val="20"/>
        </w:rPr>
        <w:t xml:space="preserve">Item 14.    Other Expenses of Issuance and Distribution. </w:t>
      </w:r>
    </w:p>
    <w:p>
      <w:pPr>
        <w:pStyle w:val="TextBody"/>
        <w:rPr/>
      </w:pPr>
      <w:r>
        <w:rPr/>
        <w:t>        </w:t>
      </w:r>
      <w:r>
        <w:rPr>
          <w:rFonts w:ascii="times" w:hAnsi="times"/>
          <w:sz w:val="20"/>
        </w:rPr>
        <w:t xml:space="preserve">Set forth below are the expenses (other than underwriting discounts and commissions) expected to be incurred in connection with the issuance and distribution of the Class A shares registered hereby. With the exception of the SEC registration fee, the amounts set forth below are estimates. We will cause AAP to pay all expenses (other than underwriting discounts and commissions) incurred by the selling shareholders. </w:t>
      </w:r>
    </w:p>
    <w:tbl>
      <w:tblPr>
        <w:tblW w:w="5000" w:type="pct"/>
        <w:jc w:val="center"/>
        <w:tblInd w:w="0" w:type="dxa"/>
        <w:tblCellMar>
          <w:top w:w="0" w:type="dxa"/>
          <w:left w:w="0" w:type="dxa"/>
          <w:bottom w:w="0" w:type="dxa"/>
          <w:right w:w="0" w:type="dxa"/>
        </w:tblCellMar>
      </w:tblPr>
      <w:tblGrid>
        <w:gridCol w:w="6508"/>
        <w:gridCol w:w="475"/>
        <w:gridCol w:w="330"/>
        <w:gridCol w:w="2416"/>
        <w:gridCol w:w="476"/>
      </w:tblGrid>
      <w:tr>
        <w:trPr/>
        <w:tc>
          <w:tcPr>
            <w:tcW w:w="6508"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r>
      <w:tr>
        <w:trPr/>
        <w:tc>
          <w:tcPr>
            <w:tcW w:w="650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SEC registration fee</w:t>
            </w:r>
          </w:p>
        </w:tc>
        <w:tc>
          <w:tcPr>
            <w:tcW w:w="475"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416" w:type="dxa"/>
            <w:tcBorders/>
            <w:shd w:fill="CCEEFF" w:val="clear"/>
            <w:vAlign w:val="bottom"/>
          </w:tcPr>
          <w:p>
            <w:pPr>
              <w:pStyle w:val="TableContents"/>
              <w:spacing w:before="0" w:after="283"/>
              <w:jc w:val="right"/>
              <w:rPr>
                <w:rFonts w:ascii="times" w:hAnsi="times"/>
                <w:sz w:val="20"/>
              </w:rPr>
            </w:pPr>
            <w:r>
              <w:rPr>
                <w:rFonts w:ascii="times" w:hAnsi="times"/>
                <w:sz w:val="20"/>
              </w:rPr>
              <w:t>1,259,132</w:t>
            </w:r>
          </w:p>
        </w:tc>
        <w:tc>
          <w:tcPr>
            <w:tcW w:w="476" w:type="dxa"/>
            <w:tcBorders/>
            <w:shd w:fill="CCEEFF" w:val="clear"/>
            <w:vAlign w:val="bottom"/>
          </w:tcPr>
          <w:p>
            <w:pPr>
              <w:pStyle w:val="TableContents"/>
              <w:spacing w:before="0" w:after="283"/>
              <w:rPr/>
            </w:pPr>
            <w:r>
              <w:rPr/>
              <w:t> </w:t>
            </w:r>
          </w:p>
        </w:tc>
      </w:tr>
      <w:tr>
        <w:trPr/>
        <w:tc>
          <w:tcPr>
            <w:tcW w:w="650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Legal fees and expenses</w:t>
            </w:r>
          </w:p>
        </w:tc>
        <w:tc>
          <w:tcPr>
            <w:tcW w:w="475" w:type="dxa"/>
            <w:tcBorders/>
            <w:shd w:fill="FFFFFF" w:val="clear"/>
            <w:vAlign w:val="bottom"/>
          </w:tcPr>
          <w:p>
            <w:pPr>
              <w:pStyle w:val="TableContents"/>
              <w:spacing w:before="0" w:after="283"/>
              <w:rPr/>
            </w:pPr>
            <w:r>
              <w:rPr/>
              <w:t> </w:t>
            </w:r>
          </w:p>
        </w:tc>
        <w:tc>
          <w:tcPr>
            <w:tcW w:w="330" w:type="dxa"/>
            <w:tcBorders/>
            <w:shd w:fill="FFFFFF" w:val="clear"/>
            <w:vAlign w:val="bottom"/>
          </w:tcPr>
          <w:p>
            <w:pPr>
              <w:pStyle w:val="TableContents"/>
              <w:spacing w:before="0" w:after="283"/>
              <w:rPr/>
            </w:pPr>
            <w:r>
              <w:rPr/>
              <w:t> </w:t>
            </w:r>
          </w:p>
        </w:tc>
        <w:tc>
          <w:tcPr>
            <w:tcW w:w="2416" w:type="dxa"/>
            <w:tcBorders/>
            <w:shd w:fill="FFFFFF" w:val="clear"/>
            <w:vAlign w:val="bottom"/>
          </w:tcPr>
          <w:p>
            <w:pPr>
              <w:pStyle w:val="TableContents"/>
              <w:spacing w:before="0" w:after="283"/>
              <w:jc w:val="right"/>
              <w:rPr>
                <w:rFonts w:ascii="times" w:hAnsi="times"/>
                <w:sz w:val="20"/>
              </w:rPr>
            </w:pPr>
            <w:r>
              <w:rPr>
                <w:rFonts w:ascii="times" w:hAnsi="times"/>
                <w:sz w:val="20"/>
              </w:rPr>
              <w:t>100,000</w:t>
            </w:r>
          </w:p>
        </w:tc>
        <w:tc>
          <w:tcPr>
            <w:tcW w:w="476" w:type="dxa"/>
            <w:tcBorders/>
            <w:shd w:fill="FFFFFF" w:val="clear"/>
            <w:vAlign w:val="bottom"/>
          </w:tcPr>
          <w:p>
            <w:pPr>
              <w:pStyle w:val="TableContents"/>
              <w:spacing w:before="0" w:after="283"/>
              <w:rPr/>
            </w:pPr>
            <w:r>
              <w:rPr/>
              <w:t> </w:t>
            </w:r>
          </w:p>
        </w:tc>
      </w:tr>
      <w:tr>
        <w:trPr/>
        <w:tc>
          <w:tcPr>
            <w:tcW w:w="650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Accounting fees and expenses</w:t>
            </w:r>
          </w:p>
        </w:tc>
        <w:tc>
          <w:tcPr>
            <w:tcW w:w="475"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416" w:type="dxa"/>
            <w:tcBorders/>
            <w:shd w:fill="CCEEFF" w:val="clear"/>
            <w:vAlign w:val="bottom"/>
          </w:tcPr>
          <w:p>
            <w:pPr>
              <w:pStyle w:val="TableContents"/>
              <w:spacing w:before="0" w:after="283"/>
              <w:jc w:val="right"/>
              <w:rPr>
                <w:rFonts w:ascii="times" w:hAnsi="times"/>
                <w:sz w:val="20"/>
              </w:rPr>
            </w:pPr>
            <w:r>
              <w:rPr>
                <w:rFonts w:ascii="times" w:hAnsi="times"/>
                <w:sz w:val="20"/>
              </w:rPr>
              <w:t>15,000</w:t>
            </w:r>
          </w:p>
        </w:tc>
        <w:tc>
          <w:tcPr>
            <w:tcW w:w="476" w:type="dxa"/>
            <w:tcBorders/>
            <w:shd w:fill="CCEEFF" w:val="clear"/>
            <w:vAlign w:val="bottom"/>
          </w:tcPr>
          <w:p>
            <w:pPr>
              <w:pStyle w:val="TableContents"/>
              <w:spacing w:before="0" w:after="283"/>
              <w:rPr/>
            </w:pPr>
            <w:r>
              <w:rPr/>
              <w:t> </w:t>
            </w:r>
          </w:p>
        </w:tc>
      </w:tr>
      <w:tr>
        <w:trPr/>
        <w:tc>
          <w:tcPr>
            <w:tcW w:w="650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Printing expenses</w:t>
            </w:r>
          </w:p>
        </w:tc>
        <w:tc>
          <w:tcPr>
            <w:tcW w:w="475" w:type="dxa"/>
            <w:tcBorders/>
            <w:shd w:fill="FFFFFF" w:val="clear"/>
            <w:vAlign w:val="bottom"/>
          </w:tcPr>
          <w:p>
            <w:pPr>
              <w:pStyle w:val="TableContents"/>
              <w:spacing w:before="0" w:after="283"/>
              <w:rPr/>
            </w:pPr>
            <w:r>
              <w:rPr/>
              <w:t> </w:t>
            </w:r>
          </w:p>
        </w:tc>
        <w:tc>
          <w:tcPr>
            <w:tcW w:w="330" w:type="dxa"/>
            <w:tcBorders/>
            <w:shd w:fill="FFFFFF" w:val="clear"/>
            <w:vAlign w:val="bottom"/>
          </w:tcPr>
          <w:p>
            <w:pPr>
              <w:pStyle w:val="TableContents"/>
              <w:spacing w:before="0" w:after="283"/>
              <w:rPr/>
            </w:pPr>
            <w:r>
              <w:rPr/>
              <w:t> </w:t>
            </w:r>
          </w:p>
        </w:tc>
        <w:tc>
          <w:tcPr>
            <w:tcW w:w="2416" w:type="dxa"/>
            <w:tcBorders/>
            <w:shd w:fill="FFFFFF" w:val="clear"/>
            <w:vAlign w:val="bottom"/>
          </w:tcPr>
          <w:p>
            <w:pPr>
              <w:pStyle w:val="TableContents"/>
              <w:spacing w:before="0" w:after="283"/>
              <w:jc w:val="right"/>
              <w:rPr>
                <w:rFonts w:ascii="times" w:hAnsi="times"/>
                <w:sz w:val="20"/>
              </w:rPr>
            </w:pPr>
            <w:r>
              <w:rPr>
                <w:rFonts w:ascii="times" w:hAnsi="times"/>
                <w:sz w:val="20"/>
              </w:rPr>
              <w:t>20,000</w:t>
            </w:r>
          </w:p>
        </w:tc>
        <w:tc>
          <w:tcPr>
            <w:tcW w:w="476" w:type="dxa"/>
            <w:tcBorders/>
            <w:shd w:fill="FFFFFF" w:val="clear"/>
            <w:vAlign w:val="bottom"/>
          </w:tcPr>
          <w:p>
            <w:pPr>
              <w:pStyle w:val="TableContents"/>
              <w:spacing w:before="0" w:after="283"/>
              <w:rPr/>
            </w:pPr>
            <w:r>
              <w:rPr/>
              <w:t> </w:t>
            </w:r>
          </w:p>
        </w:tc>
      </w:tr>
      <w:tr>
        <w:trPr/>
        <w:tc>
          <w:tcPr>
            <w:tcW w:w="650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Miscellaneous</w:t>
            </w:r>
          </w:p>
        </w:tc>
        <w:tc>
          <w:tcPr>
            <w:tcW w:w="475"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416" w:type="dxa"/>
            <w:tcBorders/>
            <w:shd w:fill="CCEEFF" w:val="clear"/>
            <w:vAlign w:val="bottom"/>
          </w:tcPr>
          <w:p>
            <w:pPr>
              <w:pStyle w:val="TableContents"/>
              <w:spacing w:before="0" w:after="283"/>
              <w:jc w:val="right"/>
              <w:rPr>
                <w:rFonts w:ascii="times" w:hAnsi="times"/>
                <w:sz w:val="20"/>
              </w:rPr>
            </w:pPr>
            <w:r>
              <w:rPr>
                <w:rFonts w:ascii="times" w:hAnsi="times"/>
                <w:sz w:val="20"/>
              </w:rPr>
              <w:t>5,868</w:t>
            </w:r>
          </w:p>
        </w:tc>
        <w:tc>
          <w:tcPr>
            <w:tcW w:w="476" w:type="dxa"/>
            <w:tcBorders/>
            <w:shd w:fill="CCEEFF" w:val="clear"/>
            <w:vAlign w:val="bottom"/>
          </w:tcPr>
          <w:p>
            <w:pPr>
              <w:pStyle w:val="TableContents"/>
              <w:spacing w:before="0" w:after="283"/>
              <w:rPr/>
            </w:pPr>
            <w:r>
              <w:rPr/>
              <w:t> </w:t>
            </w:r>
          </w:p>
        </w:tc>
      </w:tr>
      <w:tr>
        <w:trPr/>
        <w:tc>
          <w:tcPr>
            <w:tcW w:w="6508" w:type="dxa"/>
            <w:tcBorders/>
            <w:shd w:fill="FFFFFF" w:val="clear"/>
            <w:vAlign w:val="bottom"/>
          </w:tcPr>
          <w:p>
            <w:pPr>
              <w:pStyle w:val="TableContents"/>
              <w:spacing w:before="0" w:after="283"/>
              <w:rPr/>
            </w:pPr>
            <w:r>
              <w:rPr/>
              <w:t> </w:t>
            </w:r>
          </w:p>
        </w:tc>
        <w:tc>
          <w:tcPr>
            <w:tcW w:w="475" w:type="dxa"/>
            <w:tcBorders/>
            <w:shd w:fill="FFFFFF" w:val="clear"/>
            <w:vAlign w:val="bottom"/>
          </w:tcPr>
          <w:p>
            <w:pPr>
              <w:pStyle w:val="TableContents"/>
              <w:spacing w:before="0" w:after="283"/>
              <w:rPr/>
            </w:pPr>
            <w:r>
              <w:rPr/>
              <w:t> </w:t>
            </w:r>
          </w:p>
        </w:tc>
        <w:tc>
          <w:tcPr>
            <w:tcW w:w="2746"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476" w:type="dxa"/>
            <w:tcBorders/>
            <w:shd w:fill="FFFFFF" w:val="clear"/>
            <w:vAlign w:val="bottom"/>
          </w:tcPr>
          <w:p>
            <w:pPr>
              <w:pStyle w:val="TableContents"/>
              <w:spacing w:before="0" w:after="283"/>
              <w:rPr/>
            </w:pPr>
            <w:r>
              <w:rPr/>
              <w:t> </w:t>
            </w:r>
          </w:p>
        </w:tc>
      </w:tr>
      <w:tr>
        <w:trPr/>
        <w:tc>
          <w:tcPr>
            <w:tcW w:w="6508" w:type="dxa"/>
            <w:tcBorders/>
            <w:shd w:fill="FFFFFF" w:val="clear"/>
            <w:vAlign w:val="bottom"/>
          </w:tcPr>
          <w:p>
            <w:pPr>
              <w:pStyle w:val="TableContents"/>
              <w:spacing w:lineRule="atLeast" w:line="141" w:before="0" w:after="283"/>
              <w:rPr/>
            </w:pPr>
            <w:r>
              <w:rPr/>
              <w:t>​</w:t>
            </w:r>
          </w:p>
        </w:tc>
        <w:tc>
          <w:tcPr>
            <w:tcW w:w="475" w:type="dxa"/>
            <w:tcBorders/>
            <w:shd w:fill="FFFFFF" w:val="clear"/>
            <w:vAlign w:val="bottom"/>
          </w:tcPr>
          <w:p>
            <w:pPr>
              <w:pStyle w:val="TableContents"/>
              <w:spacing w:lineRule="atLeast" w:line="141" w:before="0" w:after="283"/>
              <w:rPr/>
            </w:pPr>
            <w:r>
              <w:rPr/>
              <w:t>​</w:t>
            </w:r>
          </w:p>
        </w:tc>
        <w:tc>
          <w:tcPr>
            <w:tcW w:w="330" w:type="dxa"/>
            <w:tcBorders/>
            <w:shd w:fill="FFFFFF" w:val="clear"/>
            <w:vAlign w:val="bottom"/>
          </w:tcPr>
          <w:p>
            <w:pPr>
              <w:pStyle w:val="TableContents"/>
              <w:spacing w:lineRule="atLeast" w:line="141" w:before="0" w:after="283"/>
              <w:rPr/>
            </w:pPr>
            <w:r>
              <w:rPr/>
              <w:t>​</w:t>
            </w:r>
          </w:p>
        </w:tc>
        <w:tc>
          <w:tcPr>
            <w:tcW w:w="2416" w:type="dxa"/>
            <w:tcBorders/>
            <w:shd w:fill="FFFFFF" w:val="clear"/>
            <w:vAlign w:val="bottom"/>
          </w:tcPr>
          <w:p>
            <w:pPr>
              <w:pStyle w:val="TableContents"/>
              <w:spacing w:lineRule="atLeast" w:line="141" w:before="0" w:after="283"/>
              <w:jc w:val="right"/>
              <w:rPr/>
            </w:pPr>
            <w:r>
              <w:rPr/>
              <w:t>​</w:t>
            </w:r>
          </w:p>
        </w:tc>
        <w:tc>
          <w:tcPr>
            <w:tcW w:w="476" w:type="dxa"/>
            <w:tcBorders/>
            <w:shd w:fill="FFFFFF" w:val="clear"/>
            <w:vAlign w:val="bottom"/>
          </w:tcPr>
          <w:p>
            <w:pPr>
              <w:pStyle w:val="TableContents"/>
              <w:spacing w:lineRule="atLeast" w:line="141" w:before="0" w:after="283"/>
              <w:rPr/>
            </w:pPr>
            <w:r>
              <w:rPr/>
              <w:t xml:space="preserve">​ </w:t>
            </w:r>
          </w:p>
        </w:tc>
      </w:tr>
      <w:tr>
        <w:trPr/>
        <w:tc>
          <w:tcPr>
            <w:tcW w:w="650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w:t>
            </w:r>
          </w:p>
        </w:tc>
        <w:tc>
          <w:tcPr>
            <w:tcW w:w="475" w:type="dxa"/>
            <w:tcBorders/>
            <w:shd w:fill="FFFFFF" w:val="clear"/>
            <w:vAlign w:val="bottom"/>
          </w:tcPr>
          <w:p>
            <w:pPr>
              <w:pStyle w:val="TableContents"/>
              <w:spacing w:before="0" w:after="283"/>
              <w:rPr/>
            </w:pPr>
            <w:r>
              <w:rPr/>
              <w:t> </w:t>
            </w:r>
          </w:p>
        </w:tc>
        <w:tc>
          <w:tcPr>
            <w:tcW w:w="330"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416" w:type="dxa"/>
            <w:tcBorders/>
            <w:shd w:fill="FFFFFF" w:val="clear"/>
            <w:vAlign w:val="bottom"/>
          </w:tcPr>
          <w:p>
            <w:pPr>
              <w:pStyle w:val="TableContents"/>
              <w:spacing w:before="0" w:after="283"/>
              <w:jc w:val="right"/>
              <w:rPr>
                <w:rFonts w:ascii="times" w:hAnsi="times"/>
                <w:sz w:val="20"/>
              </w:rPr>
            </w:pPr>
            <w:r>
              <w:rPr>
                <w:rFonts w:ascii="times" w:hAnsi="times"/>
                <w:sz w:val="20"/>
              </w:rPr>
              <w:t>1,400,000</w:t>
            </w:r>
          </w:p>
        </w:tc>
        <w:tc>
          <w:tcPr>
            <w:tcW w:w="476" w:type="dxa"/>
            <w:tcBorders/>
            <w:shd w:fill="FFFFFF" w:val="clear"/>
            <w:vAlign w:val="bottom"/>
          </w:tcPr>
          <w:p>
            <w:pPr>
              <w:pStyle w:val="TableContents"/>
              <w:spacing w:before="0" w:after="283"/>
              <w:rPr/>
            </w:pPr>
            <w:r>
              <w:rPr/>
              <w:t> </w:t>
            </w:r>
          </w:p>
        </w:tc>
      </w:tr>
      <w:tr>
        <w:trPr/>
        <w:tc>
          <w:tcPr>
            <w:tcW w:w="6508" w:type="dxa"/>
            <w:tcBorders/>
            <w:shd w:fill="FFFFFF" w:val="clear"/>
            <w:vAlign w:val="bottom"/>
          </w:tcPr>
          <w:p>
            <w:pPr>
              <w:pStyle w:val="TableContents"/>
              <w:spacing w:before="0" w:after="283"/>
              <w:rPr/>
            </w:pPr>
            <w:r>
              <w:rPr/>
              <w:t> </w:t>
            </w:r>
          </w:p>
        </w:tc>
        <w:tc>
          <w:tcPr>
            <w:tcW w:w="475" w:type="dxa"/>
            <w:tcBorders/>
            <w:shd w:fill="FFFFFF" w:val="clear"/>
            <w:vAlign w:val="bottom"/>
          </w:tcPr>
          <w:p>
            <w:pPr>
              <w:pStyle w:val="TableContents"/>
              <w:spacing w:before="0" w:after="283"/>
              <w:rPr/>
            </w:pPr>
            <w:r>
              <w:rPr/>
              <w:t> </w:t>
            </w:r>
          </w:p>
        </w:tc>
        <w:tc>
          <w:tcPr>
            <w:tcW w:w="2746"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476" w:type="dxa"/>
            <w:tcBorders/>
            <w:shd w:fill="FFFFFF" w:val="clear"/>
            <w:vAlign w:val="bottom"/>
          </w:tcPr>
          <w:p>
            <w:pPr>
              <w:pStyle w:val="TableContents"/>
              <w:spacing w:before="0" w:after="283"/>
              <w:rPr/>
            </w:pPr>
            <w:r>
              <w:rPr/>
              <w:t> </w:t>
            </w:r>
          </w:p>
        </w:tc>
      </w:tr>
      <w:tr>
        <w:trPr/>
        <w:tc>
          <w:tcPr>
            <w:tcW w:w="6508" w:type="dxa"/>
            <w:tcBorders/>
            <w:shd w:fill="FFFFFF" w:val="clear"/>
            <w:vAlign w:val="bottom"/>
          </w:tcPr>
          <w:p>
            <w:pPr>
              <w:pStyle w:val="TableContents"/>
              <w:spacing w:lineRule="atLeast" w:line="141" w:before="0" w:after="283"/>
              <w:rPr/>
            </w:pPr>
            <w:r>
              <w:rPr/>
              <w:t>​</w:t>
            </w:r>
          </w:p>
        </w:tc>
        <w:tc>
          <w:tcPr>
            <w:tcW w:w="475" w:type="dxa"/>
            <w:tcBorders/>
            <w:shd w:fill="FFFFFF" w:val="clear"/>
            <w:vAlign w:val="bottom"/>
          </w:tcPr>
          <w:p>
            <w:pPr>
              <w:pStyle w:val="TableContents"/>
              <w:spacing w:lineRule="atLeast" w:line="141" w:before="0" w:after="283"/>
              <w:rPr/>
            </w:pPr>
            <w:r>
              <w:rPr/>
              <w:t>​</w:t>
            </w:r>
          </w:p>
        </w:tc>
        <w:tc>
          <w:tcPr>
            <w:tcW w:w="330" w:type="dxa"/>
            <w:tcBorders/>
            <w:shd w:fill="FFFFFF" w:val="clear"/>
            <w:vAlign w:val="bottom"/>
          </w:tcPr>
          <w:p>
            <w:pPr>
              <w:pStyle w:val="TableContents"/>
              <w:spacing w:lineRule="atLeast" w:line="141" w:before="0" w:after="283"/>
              <w:rPr/>
            </w:pPr>
            <w:r>
              <w:rPr/>
              <w:t>​</w:t>
            </w:r>
          </w:p>
        </w:tc>
        <w:tc>
          <w:tcPr>
            <w:tcW w:w="2416" w:type="dxa"/>
            <w:tcBorders/>
            <w:shd w:fill="FFFFFF" w:val="clear"/>
            <w:vAlign w:val="bottom"/>
          </w:tcPr>
          <w:p>
            <w:pPr>
              <w:pStyle w:val="TableContents"/>
              <w:spacing w:lineRule="atLeast" w:line="141" w:before="0" w:after="283"/>
              <w:jc w:val="right"/>
              <w:rPr/>
            </w:pPr>
            <w:r>
              <w:rPr/>
              <w:t>​</w:t>
            </w:r>
          </w:p>
        </w:tc>
        <w:tc>
          <w:tcPr>
            <w:tcW w:w="476" w:type="dxa"/>
            <w:tcBorders/>
            <w:shd w:fill="FFFFFF" w:val="clear"/>
            <w:vAlign w:val="bottom"/>
          </w:tcPr>
          <w:p>
            <w:pPr>
              <w:pStyle w:val="TableContents"/>
              <w:spacing w:lineRule="atLeast" w:line="141" w:before="0" w:after="283"/>
              <w:rPr/>
            </w:pPr>
            <w:r>
              <w:rPr/>
              <w:t xml:space="preserve">​ </w:t>
            </w:r>
          </w:p>
        </w:tc>
      </w:tr>
      <w:tr>
        <w:trPr/>
        <w:tc>
          <w:tcPr>
            <w:tcW w:w="6508" w:type="dxa"/>
            <w:tcBorders/>
            <w:shd w:fill="FFFFFF" w:val="clear"/>
            <w:vAlign w:val="bottom"/>
          </w:tcPr>
          <w:p>
            <w:pPr>
              <w:pStyle w:val="TableContents"/>
              <w:spacing w:lineRule="atLeast" w:line="141" w:before="0" w:after="283"/>
              <w:rPr/>
            </w:pPr>
            <w:r>
              <w:rPr/>
              <w:t>​</w:t>
            </w:r>
          </w:p>
        </w:tc>
        <w:tc>
          <w:tcPr>
            <w:tcW w:w="475" w:type="dxa"/>
            <w:tcBorders/>
            <w:shd w:fill="FFFFFF" w:val="clear"/>
            <w:vAlign w:val="bottom"/>
          </w:tcPr>
          <w:p>
            <w:pPr>
              <w:pStyle w:val="TableContents"/>
              <w:spacing w:lineRule="atLeast" w:line="141" w:before="0" w:after="283"/>
              <w:rPr/>
            </w:pPr>
            <w:r>
              <w:rPr/>
              <w:t>​</w:t>
            </w:r>
          </w:p>
        </w:tc>
        <w:tc>
          <w:tcPr>
            <w:tcW w:w="330" w:type="dxa"/>
            <w:tcBorders/>
            <w:shd w:fill="FFFFFF" w:val="clear"/>
            <w:vAlign w:val="bottom"/>
          </w:tcPr>
          <w:p>
            <w:pPr>
              <w:pStyle w:val="TableContents"/>
              <w:spacing w:lineRule="atLeast" w:line="141" w:before="0" w:after="283"/>
              <w:rPr/>
            </w:pPr>
            <w:r>
              <w:rPr/>
              <w:t>​</w:t>
            </w:r>
          </w:p>
        </w:tc>
        <w:tc>
          <w:tcPr>
            <w:tcW w:w="2416" w:type="dxa"/>
            <w:tcBorders/>
            <w:shd w:fill="FFFFFF" w:val="clear"/>
            <w:vAlign w:val="bottom"/>
          </w:tcPr>
          <w:p>
            <w:pPr>
              <w:pStyle w:val="TableContents"/>
              <w:spacing w:lineRule="atLeast" w:line="141" w:before="0" w:after="283"/>
              <w:jc w:val="right"/>
              <w:rPr/>
            </w:pPr>
            <w:r>
              <w:rPr/>
              <w:t>​</w:t>
            </w:r>
          </w:p>
        </w:tc>
        <w:tc>
          <w:tcPr>
            <w:tcW w:w="476" w:type="dxa"/>
            <w:tcBorders/>
            <w:shd w:fill="FFFFFF" w:val="clear"/>
            <w:vAlign w:val="bottom"/>
          </w:tcPr>
          <w:p>
            <w:pPr>
              <w:pStyle w:val="TableContents"/>
              <w:spacing w:lineRule="atLeast" w:line="141" w:before="0" w:after="283"/>
              <w:rPr/>
            </w:pPr>
            <w:r>
              <w:rPr/>
              <w:t xml:space="preserve">​ </w:t>
            </w:r>
          </w:p>
        </w:tc>
      </w:tr>
      <w:tr>
        <w:trPr/>
        <w:tc>
          <w:tcPr>
            <w:tcW w:w="6508" w:type="dxa"/>
            <w:tcBorders/>
            <w:shd w:fill="FFFFFF" w:val="clear"/>
            <w:vAlign w:val="bottom"/>
          </w:tcPr>
          <w:p>
            <w:pPr>
              <w:pStyle w:val="TableContents"/>
              <w:spacing w:before="0" w:after="283"/>
              <w:rPr/>
            </w:pPr>
            <w:r>
              <w:rPr/>
              <w:t> </w:t>
            </w:r>
          </w:p>
        </w:tc>
        <w:tc>
          <w:tcPr>
            <w:tcW w:w="475" w:type="dxa"/>
            <w:tcBorders/>
            <w:shd w:fill="FFFFFF" w:val="clear"/>
            <w:vAlign w:val="bottom"/>
          </w:tcPr>
          <w:p>
            <w:pPr>
              <w:pStyle w:val="TableContents"/>
              <w:spacing w:before="0" w:after="283"/>
              <w:rPr/>
            </w:pPr>
            <w:r>
              <w:rPr/>
              <w:t> </w:t>
            </w:r>
          </w:p>
        </w:tc>
        <w:tc>
          <w:tcPr>
            <w:tcW w:w="2746"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476" w:type="dxa"/>
            <w:tcBorders/>
            <w:shd w:fill="FFFFFF" w:val="clear"/>
            <w:vAlign w:val="bottom"/>
          </w:tcPr>
          <w:p>
            <w:pPr>
              <w:pStyle w:val="TableContents"/>
              <w:spacing w:before="0" w:after="283"/>
              <w:rPr/>
            </w:pPr>
            <w:r>
              <w:rPr/>
              <w:t> </w:t>
            </w:r>
          </w:p>
        </w:tc>
      </w:tr>
    </w:tbl>
    <w:p>
      <w:pPr>
        <w:pStyle w:val="TextBody"/>
        <w:rPr>
          <w:rFonts w:ascii="times" w:hAnsi="times"/>
          <w:b/>
          <w:sz w:val="20"/>
        </w:rPr>
      </w:pPr>
      <w:bookmarkStart w:id="86" w:name="toc_ja44101_3"/>
      <w:bookmarkStart w:id="87" w:name="ja44101_item_15._indemnification_of_dire"/>
      <w:bookmarkEnd w:id="86"/>
      <w:bookmarkEnd w:id="87"/>
      <w:r>
        <w:rPr>
          <w:rFonts w:ascii="times" w:hAnsi="times"/>
          <w:b/>
          <w:sz w:val="20"/>
        </w:rPr>
        <w:t xml:space="preserve">Item 15.    Indemnification of Directors and Officers. </w:t>
      </w:r>
    </w:p>
    <w:p>
      <w:pPr>
        <w:pStyle w:val="TextBody"/>
        <w:rPr/>
      </w:pPr>
      <w:r>
        <w:rPr/>
        <w:t>        </w:t>
      </w:r>
      <w:r>
        <w:rPr>
          <w:rFonts w:ascii="times" w:hAnsi="times"/>
          <w:sz w:val="20"/>
        </w:rPr>
        <w:t>Section 17-108 of the Delaware Revised Uniform Limited Partnership Act empowers a Delaware limited partnership to indemnify and hold harmless any partner or other persons from and against all claims and demands whatsoever. Under Plains GP Holdings, L.P.'s partnership agreement and subject to specified limitations expressly in its partnership agreement, Plains GP Holdings, L.P. shall indemnify to the fullest extent permitted by Delaware law:</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its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departing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Legacy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Qualifying Interest Holders (as defined in the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an affiliate of its general partner, any departing general partner, the Legacy Owners or any Qualifying Interest Holder;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 managing member, manager, general partner, director, officer, fiduciary, agent or trustee of its general partner or any departing general partner or any affiliate of its general partner, any departing general partner or the Legacy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designated by its general partner </w:t>
      </w:r>
    </w:p>
    <w:p>
      <w:pPr>
        <w:pStyle w:val="TextBody"/>
        <w:rPr>
          <w:rFonts w:ascii="times" w:hAnsi="times"/>
          <w:sz w:val="20"/>
        </w:rPr>
      </w:pPr>
      <w:r>
        <w:rPr>
          <w:rFonts w:ascii="times" w:hAnsi="times"/>
          <w:sz w:val="20"/>
        </w:rPr>
        <w:t xml:space="preserve">from and against all losses, claims, damages or similar events arising by reason of such person's above mentioned position with respect to Plains GP Holdings, L.P. Provided, that such person shall not be indemnified and held harmless if there has been a final and non-appealable judgment entered by a court determining that such person acted in bad faith or engaged in fraud, willful misconduct or acted with the knowledge that his or her conduct was unlawful. Any indemnification under Plains GP Holdings, L.P.'s partnership agreement will only be out of its assets. Plains GP Holdings, L.P. is authorized to purchase insurance against liabilities asserted against and expenses incurred by persons from Plains GP Holdings, L.P.'s activities, regardless of whether Plains GP Holdings, L.P. would have </w:t>
      </w:r>
    </w:p>
    <w:p>
      <w:pPr>
        <w:pStyle w:val="TextBody"/>
        <w:jc w:val="center"/>
        <w:rPr>
          <w:rFonts w:ascii="times" w:hAnsi="times"/>
          <w:sz w:val="20"/>
        </w:rPr>
      </w:pPr>
      <w:r>
        <w:rPr>
          <w:rFonts w:ascii="times" w:hAnsi="times"/>
          <w:sz w:val="20"/>
        </w:rPr>
        <w:t>II-1</w:t>
      </w:r>
    </w:p>
    <w:p>
      <w:pPr>
        <w:pStyle w:val="HorizontalLine"/>
        <w:pBdr>
          <w:bottom w:val="single" w:sz="20" w:space="0" w:color="808080"/>
        </w:pBdr>
        <w:rPr/>
      </w:pPr>
      <w:r>
        <w:rPr/>
      </w:r>
      <w:r>
        <w:br w:type="page"/>
      </w:r>
    </w:p>
    <w:p>
      <w:pPr>
        <w:pStyle w:val="TextBody"/>
        <w:rPr/>
      </w:pPr>
      <w:hyperlink w:anchor="bg44101a_main_toc">
        <w:bookmarkStart w:id="88" w:name="page_ja44101_1_2"/>
        <w:bookmarkEnd w:id="8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power to indemnify the person against liabilities under Plains GP Holdings, L.P.'s partnership agreement. </w:t>
      </w:r>
    </w:p>
    <w:p>
      <w:pPr>
        <w:pStyle w:val="TextBody"/>
        <w:rPr>
          <w:rFonts w:ascii="times" w:hAnsi="times"/>
          <w:b/>
          <w:sz w:val="20"/>
        </w:rPr>
      </w:pPr>
      <w:bookmarkStart w:id="89" w:name="toc_ja44101_4"/>
      <w:bookmarkStart w:id="90" w:name="ja44101_item_16._exhibits."/>
      <w:bookmarkEnd w:id="89"/>
      <w:bookmarkEnd w:id="90"/>
      <w:r>
        <w:rPr>
          <w:rFonts w:ascii="times" w:hAnsi="times"/>
          <w:b/>
          <w:sz w:val="20"/>
        </w:rPr>
        <w:t xml:space="preserve">Item 16.    Exhibits. </w:t>
      </w:r>
    </w:p>
    <w:p>
      <w:pPr>
        <w:pStyle w:val="TextBody"/>
        <w:rPr/>
      </w:pPr>
      <w:r>
        <w:rPr/>
        <w:t>        </w:t>
      </w:r>
      <w:r>
        <w:rPr>
          <w:rFonts w:ascii="times" w:hAnsi="times"/>
          <w:sz w:val="20"/>
        </w:rPr>
        <w:t xml:space="preserve">See the Exhibit Index on the page immediately preceding the exhibits for a list of exhibits filed as part of this registration statement on Form S-3, which Exhibit Index is incorporated herein by reference. </w:t>
      </w:r>
    </w:p>
    <w:p>
      <w:pPr>
        <w:pStyle w:val="TextBody"/>
        <w:rPr>
          <w:rFonts w:ascii="times" w:hAnsi="times"/>
          <w:b/>
          <w:sz w:val="20"/>
        </w:rPr>
      </w:pPr>
      <w:bookmarkStart w:id="91" w:name="toc_ja44101_5"/>
      <w:bookmarkStart w:id="92" w:name="ja44101_item_17._undertakings."/>
      <w:bookmarkEnd w:id="91"/>
      <w:bookmarkEnd w:id="92"/>
      <w:r>
        <w:rPr>
          <w:rFonts w:ascii="times" w:hAnsi="times"/>
          <w:b/>
          <w:sz w:val="20"/>
        </w:rPr>
        <w:t xml:space="preserve">Item 17.    Undertakings. </w:t>
      </w:r>
    </w:p>
    <w:p>
      <w:pPr>
        <w:pStyle w:val="ListHeading"/>
        <w:spacing w:before="0" w:after="0"/>
        <w:rPr>
          <w:rFonts w:ascii="times" w:hAnsi="times"/>
          <w:sz w:val="20"/>
        </w:rPr>
      </w:pPr>
      <w:r>
        <w:rPr>
          <w:rFonts w:ascii="times" w:hAnsi="times"/>
          <w:sz w:val="20"/>
        </w:rPr>
        <w:t>(1)</w:t>
      </w:r>
    </w:p>
    <w:p>
      <w:pPr>
        <w:pStyle w:val="ListContents"/>
        <w:spacing w:before="0" w:after="283"/>
        <w:rPr>
          <w:rFonts w:ascii="times" w:hAnsi="times"/>
          <w:sz w:val="20"/>
        </w:rPr>
      </w:pPr>
      <w:r>
        <w:rPr>
          <w:rFonts w:ascii="times" w:hAnsi="times"/>
          <w:sz w:val="20"/>
        </w:rPr>
        <w:t xml:space="preserve">The undersigned registrant hereby undertakes: </w:t>
      </w:r>
    </w:p>
    <w:p>
      <w:pPr>
        <w:pStyle w:val="ListHeading"/>
        <w:spacing w:before="0" w:after="0"/>
        <w:ind w:left="567" w:right="0" w:hanging="0"/>
        <w:rPr>
          <w:rFonts w:ascii="times" w:hAnsi="times"/>
          <w:sz w:val="20"/>
        </w:rPr>
      </w:pPr>
      <w:r>
        <w:rPr>
          <w:rFonts w:ascii="times" w:hAnsi="times"/>
          <w:sz w:val="20"/>
        </w:rPr>
        <w:t>(a)</w:t>
      </w:r>
    </w:p>
    <w:p>
      <w:pPr>
        <w:pStyle w:val="ListContents"/>
        <w:spacing w:before="0" w:after="283"/>
        <w:ind w:left="1134" w:right="0" w:hanging="0"/>
        <w:rPr>
          <w:rFonts w:ascii="times" w:hAnsi="times"/>
          <w:sz w:val="20"/>
        </w:rPr>
      </w:pPr>
      <w:r>
        <w:rPr>
          <w:rFonts w:ascii="times" w:hAnsi="times"/>
          <w:sz w:val="20"/>
        </w:rPr>
        <w:t xml:space="preserve">To file, during any period in which offers or sales are being made, a post-effective amendment to this registration statement: </w:t>
      </w:r>
    </w:p>
    <w:p>
      <w:pPr>
        <w:pStyle w:val="ListHeading"/>
        <w:spacing w:before="0" w:after="0"/>
        <w:ind w:left="1134" w:right="0" w:hanging="0"/>
        <w:rPr>
          <w:rFonts w:ascii="times" w:hAnsi="times"/>
          <w:sz w:val="20"/>
        </w:rPr>
      </w:pPr>
      <w:r>
        <w:rPr>
          <w:rFonts w:ascii="times" w:hAnsi="times"/>
          <w:sz w:val="20"/>
        </w:rPr>
        <w:t>(i)</w:t>
      </w:r>
    </w:p>
    <w:p>
      <w:pPr>
        <w:pStyle w:val="ListContents"/>
        <w:spacing w:before="0" w:after="283"/>
        <w:ind w:left="1701" w:right="0" w:hanging="0"/>
        <w:rPr>
          <w:rFonts w:ascii="times" w:hAnsi="times"/>
          <w:sz w:val="20"/>
        </w:rPr>
      </w:pPr>
      <w:r>
        <w:rPr>
          <w:rFonts w:ascii="times" w:hAnsi="times"/>
          <w:sz w:val="20"/>
        </w:rPr>
        <w:t xml:space="preserve">To include any prospectus required by Section 10(a)(3) of the Securities Act; </w:t>
      </w:r>
    </w:p>
    <w:p>
      <w:pPr>
        <w:pStyle w:val="ListHeading"/>
        <w:spacing w:before="0" w:after="0"/>
        <w:ind w:left="1134" w:right="0" w:hanging="0"/>
        <w:rPr>
          <w:rFonts w:ascii="times" w:hAnsi="times"/>
          <w:sz w:val="20"/>
        </w:rPr>
      </w:pPr>
      <w:r>
        <w:rPr>
          <w:rFonts w:ascii="times" w:hAnsi="times"/>
          <w:sz w:val="20"/>
        </w:rPr>
        <w:t>(ii)</w:t>
      </w:r>
    </w:p>
    <w:p>
      <w:pPr>
        <w:pStyle w:val="ListContents"/>
        <w:spacing w:before="0" w:after="283"/>
        <w:ind w:left="1701" w:right="0" w:hanging="0"/>
        <w:rPr>
          <w:rFonts w:ascii="times" w:hAnsi="times"/>
          <w:sz w:val="20"/>
        </w:rPr>
      </w:pPr>
      <w:r>
        <w:rPr>
          <w:rFonts w:ascii="times" w:hAnsi="times"/>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ListHeading"/>
        <w:spacing w:before="0" w:after="0"/>
        <w:ind w:left="1134" w:right="0" w:hanging="0"/>
        <w:rPr>
          <w:rFonts w:ascii="times" w:hAnsi="times"/>
          <w:sz w:val="20"/>
        </w:rPr>
      </w:pPr>
      <w:r>
        <w:rPr>
          <w:rFonts w:ascii="times" w:hAnsi="times"/>
          <w:sz w:val="20"/>
        </w:rPr>
        <w:t>(iii)</w:t>
      </w:r>
    </w:p>
    <w:p>
      <w:pPr>
        <w:pStyle w:val="ListContents"/>
        <w:spacing w:before="0" w:after="283"/>
        <w:ind w:left="1701" w:right="0" w:hanging="0"/>
        <w:rPr>
          <w:rFonts w:ascii="times" w:hAnsi="times"/>
          <w:sz w:val="20"/>
        </w:rPr>
      </w:pPr>
      <w:r>
        <w:rPr>
          <w:rFonts w:ascii="times" w:hAnsi="times"/>
          <w:sz w:val="20"/>
        </w:rPr>
        <w:t xml:space="preserve">To include any material information with respect to the plan of distribution not previously disclosed in the registration statement or any material change to such information in the registration statement; </w:t>
      </w:r>
    </w:p>
    <w:p>
      <w:pPr>
        <w:pStyle w:val="TextBody"/>
        <w:numPr>
          <w:ilvl w:val="0"/>
          <w:numId w:val="0"/>
        </w:numPr>
        <w:ind w:left="1414" w:hanging="0"/>
        <w:rPr>
          <w:rFonts w:ascii="times" w:hAnsi="times"/>
        </w:rPr>
      </w:pPr>
      <w:r>
        <w:rPr>
          <w:rFonts w:ascii="times" w:hAnsi="times"/>
          <w:i/>
          <w:sz w:val="20"/>
        </w:rPr>
        <w:t>provided, however</w:t>
      </w:r>
      <w:r>
        <w:rPr>
          <w:rFonts w:ascii="times" w:hAnsi="times"/>
          <w:sz w:val="20"/>
        </w:rPr>
        <w:t xml:space="preserve">, that paragraphs (i), (ii) and (iii) above do not apply if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ListHeading"/>
        <w:numPr>
          <w:ilvl w:val="0"/>
          <w:numId w:val="0"/>
        </w:numPr>
        <w:spacing w:before="0" w:after="0"/>
        <w:ind w:left="707" w:right="0" w:hanging="0"/>
        <w:rPr>
          <w:rFonts w:ascii="times" w:hAnsi="times"/>
          <w:sz w:val="20"/>
        </w:rPr>
      </w:pPr>
      <w:r>
        <w:rPr>
          <w:rFonts w:ascii="times" w:hAnsi="times"/>
          <w:sz w:val="20"/>
        </w:rPr>
        <w:t>(b)</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ListHeading"/>
        <w:numPr>
          <w:ilvl w:val="0"/>
          <w:numId w:val="0"/>
        </w:numPr>
        <w:spacing w:before="0" w:after="0"/>
        <w:ind w:left="707" w:right="0" w:hanging="0"/>
        <w:rPr>
          <w:rFonts w:ascii="times" w:hAnsi="times"/>
          <w:sz w:val="20"/>
        </w:rPr>
      </w:pPr>
      <w:r>
        <w:rPr>
          <w:rFonts w:ascii="times" w:hAnsi="times"/>
          <w:sz w:val="20"/>
        </w:rPr>
        <w:t>(c)</w:t>
      </w:r>
    </w:p>
    <w:p>
      <w:pPr>
        <w:pStyle w:val="ListContents"/>
        <w:numPr>
          <w:ilvl w:val="0"/>
          <w:numId w:val="0"/>
        </w:numPr>
        <w:spacing w:before="0" w:after="283"/>
        <w:ind w:left="1274" w:right="0" w:hanging="0"/>
        <w:rPr>
          <w:rFonts w:ascii="times" w:hAnsi="times"/>
          <w:sz w:val="20"/>
        </w:rPr>
      </w:pPr>
      <w:r>
        <w:rPr>
          <w:rFonts w:ascii="times" w:hAnsi="times"/>
          <w:sz w:val="20"/>
        </w:rPr>
        <w:t xml:space="preserve">To remove from registration by means of a post-effective amendment any of the securities being registered which remain unsold at the termination of the offering. </w:t>
      </w:r>
    </w:p>
    <w:p>
      <w:pPr>
        <w:pStyle w:val="ListHeading"/>
        <w:numPr>
          <w:ilvl w:val="0"/>
          <w:numId w:val="0"/>
        </w:numPr>
        <w:spacing w:before="0" w:after="0"/>
        <w:ind w:left="707" w:right="0" w:hanging="0"/>
        <w:rPr>
          <w:rFonts w:ascii="times" w:hAnsi="times"/>
          <w:sz w:val="20"/>
        </w:rPr>
      </w:pPr>
      <w:r>
        <w:rPr>
          <w:rFonts w:ascii="times" w:hAnsi="times"/>
          <w:sz w:val="20"/>
        </w:rPr>
        <w:t>(d)</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for the purpose of determining liability under the Securities Act to any purchaser: </w:t>
      </w:r>
    </w:p>
    <w:p>
      <w:pPr>
        <w:pStyle w:val="ListHeading"/>
        <w:numPr>
          <w:ilvl w:val="0"/>
          <w:numId w:val="0"/>
        </w:numPr>
        <w:spacing w:before="0" w:after="0"/>
        <w:ind w:left="1274" w:right="0" w:hanging="0"/>
        <w:rPr>
          <w:rFonts w:ascii="times" w:hAnsi="times"/>
          <w:sz w:val="20"/>
        </w:rPr>
      </w:pPr>
      <w:r>
        <w:rPr>
          <w:rFonts w:ascii="times" w:hAnsi="times"/>
          <w:sz w:val="20"/>
        </w:rPr>
        <w:t>(i)</w:t>
      </w:r>
    </w:p>
    <w:p>
      <w:pPr>
        <w:pStyle w:val="ListContents"/>
        <w:numPr>
          <w:ilvl w:val="0"/>
          <w:numId w:val="0"/>
        </w:numPr>
        <w:spacing w:before="0" w:after="283"/>
        <w:ind w:left="1841" w:right="0" w:hanging="0"/>
        <w:rPr>
          <w:rFonts w:ascii="times" w:hAnsi="times"/>
          <w:sz w:val="20"/>
        </w:rPr>
      </w:pPr>
      <w:r>
        <w:rPr>
          <w:rFonts w:ascii="times" w:hAnsi="times"/>
          <w:sz w:val="20"/>
        </w:rPr>
        <w:t xml:space="preserve">Each prospectus filed by the registrant pursuant to Rule 424(b)(3) shall be deemed to be part of the registration statement as of the date the filed prospectus was deemed part of and included in the registration statement; and </w:t>
      </w:r>
    </w:p>
    <w:p>
      <w:pPr>
        <w:pStyle w:val="ListHeading"/>
        <w:numPr>
          <w:ilvl w:val="0"/>
          <w:numId w:val="0"/>
        </w:numPr>
        <w:spacing w:before="0" w:after="0"/>
        <w:ind w:left="1274" w:right="0" w:hanging="0"/>
        <w:rPr>
          <w:rFonts w:ascii="times" w:hAnsi="times"/>
          <w:sz w:val="20"/>
        </w:rPr>
      </w:pPr>
      <w:r>
        <w:rPr>
          <w:rFonts w:ascii="times" w:hAnsi="times"/>
          <w:sz w:val="20"/>
        </w:rPr>
        <w:t>(ii)</w:t>
      </w:r>
    </w:p>
    <w:p>
      <w:pPr>
        <w:pStyle w:val="ListContents"/>
        <w:numPr>
          <w:ilvl w:val="0"/>
          <w:numId w:val="0"/>
        </w:numPr>
        <w:spacing w:before="0" w:after="283"/>
        <w:ind w:left="1841" w:right="0" w:hanging="0"/>
        <w:rPr>
          <w:rFonts w:ascii="times" w:hAnsi="times"/>
          <w:sz w:val="20"/>
        </w:rPr>
      </w:pPr>
      <w:r>
        <w:rPr>
          <w:rFonts w:ascii="times" w:hAnsi="times"/>
          <w:sz w:val="20"/>
        </w:rPr>
        <w:t xml:space="preserve">Each prospectus required to be filed pursuant to Rule 424(b)(2), (b)(5) or (b)(7) as part of a registration statement in reliance on Rule 430B relating to an offering made pursuant to Rule 415(a)(1)(i), (vii) or (x) for the purpose of providing the information </w:t>
      </w:r>
    </w:p>
    <w:p>
      <w:pPr>
        <w:pStyle w:val="TextBody"/>
        <w:jc w:val="center"/>
        <w:rPr>
          <w:rFonts w:ascii="times" w:hAnsi="times"/>
          <w:sz w:val="20"/>
        </w:rPr>
      </w:pPr>
      <w:r>
        <w:rPr>
          <w:rFonts w:ascii="times" w:hAnsi="times"/>
          <w:sz w:val="20"/>
        </w:rPr>
        <w:t>II-2</w:t>
      </w:r>
    </w:p>
    <w:p>
      <w:pPr>
        <w:pStyle w:val="HorizontalLine"/>
        <w:pBdr>
          <w:bottom w:val="single" w:sz="20" w:space="0" w:color="808080"/>
        </w:pBdr>
        <w:rPr/>
      </w:pPr>
      <w:r>
        <w:rPr/>
      </w:r>
      <w:r>
        <w:br w:type="page"/>
      </w:r>
    </w:p>
    <w:p>
      <w:pPr>
        <w:pStyle w:val="TextBody"/>
        <w:rPr/>
      </w:pPr>
      <w:hyperlink w:anchor="bg44101a_main_toc">
        <w:bookmarkStart w:id="93" w:name="page_ja44101_1_3"/>
        <w:bookmarkEnd w:id="93"/>
        <w:r>
          <w:rPr>
            <w:rStyle w:val="InternetLink"/>
            <w:rFonts w:ascii="times" w:hAnsi="times"/>
            <w:sz w:val="20"/>
          </w:rPr>
          <w:t>Table of Contents</w:t>
        </w:r>
      </w:hyperlink>
    </w:p>
    <w:p>
      <w:pPr>
        <w:pStyle w:val="TextBody"/>
        <w:numPr>
          <w:ilvl w:val="0"/>
          <w:numId w:val="0"/>
        </w:numPr>
        <w:ind w:left="2121" w:hanging="0"/>
        <w:rPr>
          <w:rFonts w:ascii="times" w:hAnsi="times"/>
          <w:sz w:val="20"/>
        </w:rPr>
      </w:pPr>
      <w:r>
        <w:rPr>
          <w:rFonts w:ascii="times" w:hAnsi="times"/>
          <w:sz w:val="20"/>
        </w:rPr>
        <w:t xml:space="preserve">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ListHeading"/>
        <w:spacing w:before="0" w:after="0"/>
        <w:rPr>
          <w:rFonts w:ascii="times" w:hAnsi="times"/>
          <w:sz w:val="20"/>
        </w:rPr>
      </w:pPr>
      <w:r>
        <w:rPr>
          <w:rFonts w:ascii="times" w:hAnsi="times"/>
          <w:sz w:val="20"/>
        </w:rPr>
        <w:t>(2)</w:t>
      </w:r>
    </w:p>
    <w:p>
      <w:pPr>
        <w:pStyle w:val="ListContents"/>
        <w:spacing w:before="0" w:after="283"/>
        <w:rPr>
          <w:rFonts w:ascii="times" w:hAnsi="times"/>
          <w:sz w:val="20"/>
        </w:rPr>
      </w:pPr>
      <w:r>
        <w:rPr>
          <w:rFonts w:ascii="times" w:hAnsi="times"/>
          <w:sz w:val="20"/>
        </w:rPr>
        <w:t xml:space="preserve">The undersigned registrant hereby undertakes that, for purposes of determining any liability under the Securities Act, each filing of the registrant's annual report pursuant to section 13(a) or section 15(d) of the Securities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ListHeading"/>
        <w:spacing w:before="0" w:after="0"/>
        <w:rPr>
          <w:rFonts w:ascii="times" w:hAnsi="times"/>
          <w:sz w:val="20"/>
        </w:rPr>
      </w:pPr>
      <w:r>
        <w:rPr>
          <w:rFonts w:ascii="times" w:hAnsi="times"/>
          <w:sz w:val="20"/>
        </w:rPr>
        <w:t>(3)</w:t>
      </w:r>
    </w:p>
    <w:p>
      <w:pPr>
        <w:pStyle w:val="ListContents"/>
        <w:spacing w:before="0" w:after="283"/>
        <w:rPr>
          <w:rFonts w:ascii="times" w:hAnsi="times"/>
          <w:sz w:val="20"/>
        </w:rPr>
      </w:pPr>
      <w:r>
        <w:rPr>
          <w:rFonts w:ascii="times" w:hAnsi="times"/>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jc w:val="center"/>
        <w:rPr>
          <w:rFonts w:ascii="times" w:hAnsi="times"/>
          <w:sz w:val="20"/>
        </w:rPr>
      </w:pPr>
      <w:r>
        <w:rPr>
          <w:rFonts w:ascii="times" w:hAnsi="times"/>
          <w:sz w:val="20"/>
        </w:rPr>
        <w:t>II-3</w:t>
      </w:r>
    </w:p>
    <w:p>
      <w:pPr>
        <w:pStyle w:val="HorizontalLine"/>
        <w:pBdr>
          <w:bottom w:val="single" w:sz="20" w:space="0" w:color="808080"/>
        </w:pBdr>
        <w:rPr/>
      </w:pPr>
      <w:r>
        <w:rPr/>
      </w:r>
      <w:r>
        <w:br w:type="page"/>
      </w:r>
    </w:p>
    <w:p>
      <w:pPr>
        <w:pStyle w:val="TextBody"/>
        <w:rPr/>
      </w:pPr>
      <w:hyperlink w:anchor="bg44101a_main_toc">
        <w:bookmarkStart w:id="94" w:name="page_jc44101_1_4"/>
        <w:bookmarkEnd w:id="9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95" w:name="toc_jc44101_1"/>
      <w:bookmarkStart w:id="96" w:name="jc44101_signatures"/>
      <w:bookmarkEnd w:id="95"/>
      <w:bookmarkEnd w:id="96"/>
      <w:r>
        <w:rPr>
          <w:rFonts w:ascii="times" w:hAnsi="times"/>
          <w:sz w:val="20"/>
        </w:rPr>
        <w:br/>
      </w:r>
      <w:r>
        <w:rPr>
          <w:rFonts w:ascii="times" w:hAnsi="times"/>
          <w:b/>
          <w:sz w:val="20"/>
        </w:rPr>
        <w:t xml:space="preserve">SIGNATURES </w:t>
      </w:r>
    </w:p>
    <w:p>
      <w:pPr>
        <w:pStyle w:val="TextBody"/>
        <w:rPr/>
      </w:pPr>
      <w:r>
        <w:rPr/>
        <w:t>        </w:t>
      </w:r>
      <w:r>
        <w:rPr>
          <w:rFonts w:ascii="times" w:hAnsi="times"/>
          <w:sz w:val="20"/>
        </w:rPr>
        <w:t xml:space="preserve">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November 25, 2014. </w:t>
      </w:r>
    </w:p>
    <w:tbl>
      <w:tblPr>
        <w:tblW w:w="5000" w:type="pct"/>
        <w:jc w:val="center"/>
        <w:tblInd w:w="0" w:type="dxa"/>
        <w:tblCellMar>
          <w:top w:w="0" w:type="dxa"/>
          <w:left w:w="0" w:type="dxa"/>
          <w:bottom w:w="0" w:type="dxa"/>
          <w:right w:w="0" w:type="dxa"/>
        </w:tblCellMar>
      </w:tblPr>
      <w:tblGrid>
        <w:gridCol w:w="5180"/>
        <w:gridCol w:w="60"/>
        <w:gridCol w:w="260"/>
        <w:gridCol w:w="45"/>
        <w:gridCol w:w="4660"/>
      </w:tblGrid>
      <w:tr>
        <w:trPr/>
        <w:tc>
          <w:tcPr>
            <w:tcW w:w="51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4660" w:type="dxa"/>
            <w:tcBorders/>
            <w:shd w:fill="auto" w:val="clear"/>
            <w:vAlign w:val="center"/>
          </w:tcPr>
          <w:p>
            <w:pPr>
              <w:pStyle w:val="TableContents"/>
              <w:spacing w:before="0" w:after="283"/>
              <w:rPr>
                <w:sz w:val="4"/>
                <w:szCs w:val="4"/>
              </w:rPr>
            </w:pPr>
            <w:r>
              <w:rPr>
                <w:sz w:val="4"/>
                <w:szCs w:val="4"/>
              </w:rPr>
            </w:r>
          </w:p>
        </w:tc>
      </w:tr>
      <w:tr>
        <w:trPr/>
        <w:tc>
          <w:tcPr>
            <w:tcW w:w="518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965" w:type="dxa"/>
            <w:gridSpan w:val="3"/>
            <w:tcBorders/>
            <w:shd w:fill="auto" w:val="clear"/>
          </w:tcPr>
          <w:p>
            <w:pPr>
              <w:pStyle w:val="TableContents"/>
              <w:spacing w:before="0" w:after="283"/>
              <w:rPr>
                <w:rFonts w:ascii="times" w:hAnsi="times"/>
                <w:b/>
                <w:sz w:val="20"/>
              </w:rPr>
            </w:pPr>
            <w:r>
              <w:rPr>
                <w:rFonts w:ascii="times" w:hAnsi="times"/>
                <w:b/>
                <w:sz w:val="20"/>
              </w:rPr>
              <w:t>PLAINS GP HOLDINGS, L.P.</w:t>
            </w:r>
          </w:p>
        </w:tc>
      </w:tr>
      <w:tr>
        <w:trPr/>
        <w:tc>
          <w:tcPr>
            <w:tcW w:w="5180"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45" w:type="dxa"/>
            <w:tcBorders/>
            <w:shd w:fill="auto" w:val="clear"/>
          </w:tcPr>
          <w:p>
            <w:pPr>
              <w:pStyle w:val="TableContents"/>
              <w:spacing w:before="0" w:after="283"/>
              <w:rPr>
                <w:rFonts w:ascii="times" w:hAnsi="times"/>
                <w:sz w:val="20"/>
              </w:rPr>
            </w:pPr>
            <w:r>
              <w:rPr>
                <w:rFonts w:ascii="times" w:hAnsi="times"/>
                <w:sz w:val="20"/>
              </w:rPr>
              <w:br/>
              <w:t> </w:t>
            </w:r>
          </w:p>
        </w:tc>
        <w:tc>
          <w:tcPr>
            <w:tcW w:w="4660"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 xml:space="preserve">PAA GP HOLDINGS LLC, </w:t>
            </w:r>
            <w:r>
              <w:rPr>
                <w:rFonts w:ascii="times" w:hAnsi="times"/>
                <w:i/>
                <w:sz w:val="20"/>
              </w:rPr>
              <w:t>its general partner</w:t>
            </w:r>
          </w:p>
        </w:tc>
      </w:tr>
      <w:tr>
        <w:trPr/>
        <w:tc>
          <w:tcPr>
            <w:tcW w:w="5180"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45" w:type="dxa"/>
            <w:tcBorders/>
            <w:shd w:fill="auto" w:val="clear"/>
          </w:tcPr>
          <w:p>
            <w:pPr>
              <w:pStyle w:val="TableContents"/>
              <w:spacing w:before="0" w:after="283"/>
              <w:rPr>
                <w:rFonts w:ascii="times" w:hAnsi="times"/>
                <w:sz w:val="20"/>
              </w:rPr>
            </w:pPr>
            <w:r>
              <w:rPr>
                <w:rFonts w:ascii="times" w:hAnsi="times"/>
                <w:sz w:val="20"/>
              </w:rPr>
              <w:br/>
              <w:t> </w:t>
            </w:r>
          </w:p>
        </w:tc>
        <w:tc>
          <w:tcPr>
            <w:tcW w:w="4660"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GREG L. ARMSTRONG</w:t>
            </w:r>
          </w:p>
          <w:p>
            <w:pPr>
              <w:pStyle w:val="HorizontalLine"/>
              <w:pBdr>
                <w:bottom w:val="single" w:sz="6" w:space="0" w:color="000000"/>
              </w:pBdr>
              <w:jc w:val="center"/>
              <w:rPr/>
            </w:pPr>
            <w:r>
              <w:rPr/>
            </w:r>
          </w:p>
          <w:p>
            <w:pPr>
              <w:pStyle w:val="TableContents"/>
              <w:spacing w:before="0" w:after="283"/>
              <w:jc w:val="center"/>
              <w:rPr>
                <w:rFonts w:ascii="times" w:hAnsi="times"/>
              </w:rPr>
            </w:pPr>
            <w:r>
              <w:rPr>
                <w:rFonts w:ascii="times" w:hAnsi="times"/>
                <w:sz w:val="20"/>
              </w:rPr>
              <w:t>Greg L. Armstrong</w:t>
              <w:br/>
            </w:r>
            <w:r>
              <w:rPr>
                <w:rFonts w:ascii="times" w:hAnsi="times"/>
                <w:i/>
                <w:sz w:val="20"/>
              </w:rPr>
              <w:t>Chairman of the Board and Chief</w:t>
              <w:br/>
              <w:t>Executive Officer</w:t>
            </w:r>
          </w:p>
        </w:tc>
      </w:tr>
    </w:tbl>
    <w:p>
      <w:pPr>
        <w:pStyle w:val="TextBody"/>
        <w:jc w:val="center"/>
        <w:rPr>
          <w:rFonts w:ascii="times" w:hAnsi="times"/>
        </w:rPr>
      </w:pPr>
      <w:bookmarkStart w:id="97" w:name="toc_jc44101_2"/>
      <w:bookmarkStart w:id="98" w:name="jc44101_power_of_attorney"/>
      <w:bookmarkEnd w:id="97"/>
      <w:bookmarkEnd w:id="98"/>
      <w:r>
        <w:rPr>
          <w:rFonts w:ascii="times" w:hAnsi="times"/>
          <w:sz w:val="20"/>
        </w:rPr>
        <w:br/>
      </w:r>
      <w:r>
        <w:rPr>
          <w:rFonts w:ascii="times" w:hAnsi="times"/>
          <w:b/>
          <w:sz w:val="20"/>
        </w:rPr>
        <w:t xml:space="preserve">POWER OF ATTORNEY </w:t>
      </w:r>
    </w:p>
    <w:p>
      <w:pPr>
        <w:pStyle w:val="TextBody"/>
        <w:rPr/>
      </w:pPr>
      <w:r>
        <w:rPr/>
        <w:t>        </w:t>
      </w:r>
      <w:r>
        <w:rPr>
          <w:rFonts w:ascii="times" w:hAnsi="times"/>
          <w:sz w:val="20"/>
        </w:rPr>
        <w:t xml:space="preserve">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 </w:t>
      </w:r>
    </w:p>
    <w:p>
      <w:pPr>
        <w:pStyle w:val="TextBody"/>
        <w:rPr/>
      </w:pPr>
      <w:r>
        <w:rPr/>
        <w:t>        </w:t>
      </w:r>
      <w:r>
        <w:rPr>
          <w:rFonts w:ascii="times" w:hAnsi="times"/>
          <w:sz w:val="20"/>
        </w:rPr>
        <w:t xml:space="preserve">Pursuant to the requirements of the Securities Act of 1933, this Registration Statement has been signed below by the following persons in the capacities and the dates indicated. </w:t>
      </w:r>
    </w:p>
    <w:tbl>
      <w:tblPr>
        <w:tblW w:w="5000" w:type="pct"/>
        <w:jc w:val="center"/>
        <w:tblInd w:w="0" w:type="dxa"/>
        <w:tblCellMar>
          <w:top w:w="0" w:type="dxa"/>
          <w:left w:w="0" w:type="dxa"/>
          <w:bottom w:w="0" w:type="dxa"/>
          <w:right w:w="0" w:type="dxa"/>
        </w:tblCellMar>
      </w:tblPr>
      <w:tblGrid>
        <w:gridCol w:w="4462"/>
        <w:gridCol w:w="60"/>
        <w:gridCol w:w="4462"/>
        <w:gridCol w:w="60"/>
        <w:gridCol w:w="1161"/>
      </w:tblGrid>
      <w:tr>
        <w:trPr/>
        <w:tc>
          <w:tcPr>
            <w:tcW w:w="44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4462"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Signature </w:t>
            </w:r>
          </w:p>
        </w:tc>
        <w:tc>
          <w:tcPr>
            <w:tcW w:w="60" w:type="dxa"/>
            <w:tcBorders/>
            <w:shd w:fill="auto" w:val="clear"/>
            <w:vAlign w:val="bottom"/>
          </w:tcPr>
          <w:p>
            <w:pPr>
              <w:pStyle w:val="TableHeading"/>
              <w:suppressLineNumbers/>
              <w:spacing w:before="0" w:after="283"/>
              <w:jc w:val="center"/>
              <w:rPr/>
            </w:pPr>
            <w:r>
              <w:rPr/>
              <w:t> </w:t>
            </w:r>
          </w:p>
        </w:tc>
        <w:tc>
          <w:tcPr>
            <w:tcW w:w="4462"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Title </w:t>
            </w:r>
          </w:p>
        </w:tc>
        <w:tc>
          <w:tcPr>
            <w:tcW w:w="60" w:type="dxa"/>
            <w:tcBorders/>
            <w:shd w:fill="auto" w:val="clear"/>
            <w:vAlign w:val="bottom"/>
          </w:tcPr>
          <w:p>
            <w:pPr>
              <w:pStyle w:val="TableHeading"/>
              <w:suppressLineNumbers/>
              <w:spacing w:before="0" w:after="283"/>
              <w:jc w:val="center"/>
              <w:rPr/>
            </w:pPr>
            <w:r>
              <w:rPr/>
              <w:t> </w:t>
            </w:r>
          </w:p>
        </w:tc>
        <w:tc>
          <w:tcPr>
            <w:tcW w:w="1161"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Date </w:t>
            </w:r>
          </w:p>
        </w:tc>
      </w:tr>
      <w:tr>
        <w:trPr/>
        <w:tc>
          <w:tcPr>
            <w:tcW w:w="4462" w:type="dxa"/>
            <w:tcBorders/>
            <w:shd w:fill="auto" w:val="clear"/>
          </w:tcPr>
          <w:p>
            <w:pPr>
              <w:pStyle w:val="TableContents"/>
              <w:spacing w:before="0" w:after="283"/>
              <w:jc w:val="center"/>
              <w:rPr>
                <w:rFonts w:ascii="times" w:hAnsi="times"/>
              </w:rPr>
            </w:pPr>
            <w:r>
              <w:rPr>
                <w:rFonts w:ascii="times" w:hAnsi="times"/>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46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161" w:type="dxa"/>
            <w:tcBorders/>
            <w:shd w:fill="auto" w:val="clear"/>
          </w:tcPr>
          <w:p>
            <w:pPr>
              <w:pStyle w:val="TableContents"/>
              <w:spacing w:before="0" w:after="283"/>
              <w:rPr>
                <w:rFonts w:ascii="times" w:hAnsi="times"/>
                <w:sz w:val="20"/>
              </w:rPr>
            </w:pPr>
            <w:r>
              <w:rPr>
                <w:rFonts w:ascii="times" w:hAnsi="times"/>
                <w:sz w:val="20"/>
              </w:rPr>
              <w:br/>
              <w:t> </w:t>
            </w:r>
          </w:p>
        </w:tc>
      </w:tr>
      <w:tr>
        <w:trPr/>
        <w:tc>
          <w:tcPr>
            <w:tcW w:w="4462" w:type="dxa"/>
            <w:tcBorders/>
            <w:shd w:fill="auto" w:val="clear"/>
          </w:tcPr>
          <w:p>
            <w:pPr>
              <w:pStyle w:val="TableContents"/>
              <w:spacing w:before="0" w:after="0"/>
              <w:jc w:val="center"/>
              <w:rPr>
                <w:rFonts w:ascii="times" w:hAnsi="times"/>
              </w:rPr>
            </w:pPr>
            <w:r>
              <w:rPr>
                <w:rFonts w:ascii="times" w:hAnsi="times"/>
              </w:rPr>
              <w:t>/s/ GREG L. ARMSTRONG</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Greg L. Armstrong</w:t>
            </w:r>
          </w:p>
        </w:tc>
        <w:tc>
          <w:tcPr>
            <w:tcW w:w="60" w:type="dxa"/>
            <w:tcBorders/>
            <w:shd w:fill="auto" w:val="clear"/>
          </w:tcPr>
          <w:p>
            <w:pPr>
              <w:pStyle w:val="TableContents"/>
              <w:spacing w:before="0" w:after="283"/>
              <w:rPr/>
            </w:pPr>
            <w:r>
              <w:rPr/>
              <w:t> </w:t>
            </w:r>
          </w:p>
        </w:tc>
        <w:tc>
          <w:tcPr>
            <w:tcW w:w="4462" w:type="dxa"/>
            <w:tcBorders/>
            <w:shd w:fill="auto" w:val="clear"/>
          </w:tcPr>
          <w:p>
            <w:pPr>
              <w:pStyle w:val="TableContents"/>
              <w:spacing w:before="0" w:after="283"/>
              <w:rPr>
                <w:rFonts w:ascii="times" w:hAnsi="times"/>
                <w:sz w:val="20"/>
              </w:rPr>
            </w:pPr>
            <w:r>
              <w:rPr>
                <w:rFonts w:ascii="times" w:hAnsi="times"/>
                <w:sz w:val="20"/>
              </w:rPr>
              <w:t>Chairman of the Board and Chief Executive Officer of PAA GP Holdings LLC (Principal Executive Officer)</w:t>
            </w:r>
          </w:p>
        </w:tc>
        <w:tc>
          <w:tcPr>
            <w:tcW w:w="60" w:type="dxa"/>
            <w:tcBorders/>
            <w:shd w:fill="auto" w:val="clear"/>
          </w:tcPr>
          <w:p>
            <w:pPr>
              <w:pStyle w:val="TableContents"/>
              <w:spacing w:before="0" w:after="283"/>
              <w:rPr/>
            </w:pPr>
            <w:r>
              <w:rPr/>
              <w:t> </w:t>
            </w:r>
          </w:p>
        </w:tc>
        <w:tc>
          <w:tcPr>
            <w:tcW w:w="1161" w:type="dxa"/>
            <w:tcBorders/>
            <w:shd w:fill="auto" w:val="clear"/>
          </w:tcPr>
          <w:p>
            <w:pPr>
              <w:pStyle w:val="TableContents"/>
              <w:spacing w:before="0" w:after="283"/>
              <w:jc w:val="center"/>
              <w:rPr>
                <w:rFonts w:ascii="times" w:hAnsi="times"/>
                <w:sz w:val="20"/>
              </w:rPr>
            </w:pPr>
            <w:r>
              <w:rPr>
                <w:rFonts w:ascii="times" w:hAnsi="times"/>
                <w:sz w:val="20"/>
              </w:rPr>
              <w:t>November 25, 2014</w:t>
            </w:r>
          </w:p>
        </w:tc>
      </w:tr>
      <w:tr>
        <w:trPr/>
        <w:tc>
          <w:tcPr>
            <w:tcW w:w="4462"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HARRY N. PEFANIS</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Harry N. Pefanis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462" w:type="dxa"/>
            <w:tcBorders/>
            <w:shd w:fill="auto" w:val="clear"/>
          </w:tcPr>
          <w:p>
            <w:pPr>
              <w:pStyle w:val="TableContents"/>
              <w:spacing w:before="0" w:after="283"/>
              <w:rPr>
                <w:rFonts w:ascii="times" w:hAnsi="times"/>
              </w:rPr>
            </w:pPr>
            <w:r>
              <w:rPr>
                <w:rFonts w:ascii="times" w:hAnsi="times"/>
              </w:rPr>
              <w:br/>
            </w:r>
            <w:r>
              <w:rPr>
                <w:rFonts w:ascii="times" w:hAnsi="times"/>
                <w:sz w:val="20"/>
              </w:rPr>
              <w:t>President and Chief Operating Officer of PAA GP Holdings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16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25, 2014</w:t>
            </w:r>
          </w:p>
        </w:tc>
      </w:tr>
      <w:tr>
        <w:trPr/>
        <w:tc>
          <w:tcPr>
            <w:tcW w:w="4462"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AL SWANSON</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Al Swanson</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462" w:type="dxa"/>
            <w:tcBorders/>
            <w:shd w:fill="auto" w:val="clear"/>
          </w:tcPr>
          <w:p>
            <w:pPr>
              <w:pStyle w:val="TableContents"/>
              <w:spacing w:before="0" w:after="283"/>
              <w:rPr>
                <w:rFonts w:ascii="times" w:hAnsi="times"/>
              </w:rPr>
            </w:pPr>
            <w:r>
              <w:rPr>
                <w:rFonts w:ascii="times" w:hAnsi="times"/>
              </w:rPr>
              <w:br/>
            </w:r>
            <w:r>
              <w:rPr>
                <w:rFonts w:ascii="times" w:hAnsi="times"/>
                <w:sz w:val="20"/>
              </w:rPr>
              <w:t>Executive Vice President and Chief Financial Officer of PAA GP Holdings LLC (Principal Financial Officer)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16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25, 2014</w:t>
            </w:r>
          </w:p>
        </w:tc>
      </w:tr>
    </w:tbl>
    <w:p>
      <w:pPr>
        <w:pStyle w:val="TextBody"/>
        <w:jc w:val="center"/>
        <w:rPr>
          <w:rFonts w:ascii="times" w:hAnsi="times"/>
          <w:sz w:val="20"/>
        </w:rPr>
      </w:pPr>
      <w:r>
        <w:rPr>
          <w:rFonts w:ascii="times" w:hAnsi="times"/>
          <w:sz w:val="20"/>
        </w:rPr>
        <w:t>II-4</w:t>
      </w:r>
    </w:p>
    <w:p>
      <w:pPr>
        <w:pStyle w:val="HorizontalLine"/>
        <w:pBdr>
          <w:bottom w:val="single" w:sz="20" w:space="0" w:color="808080"/>
        </w:pBdr>
        <w:rPr/>
      </w:pPr>
      <w:r>
        <w:rPr/>
      </w:r>
      <w:r>
        <w:br w:type="page"/>
      </w:r>
    </w:p>
    <w:p>
      <w:pPr>
        <w:pStyle w:val="TextBody"/>
        <w:rPr/>
      </w:pPr>
      <w:hyperlink w:anchor="bg44101a_main_toc">
        <w:bookmarkStart w:id="99" w:name="page_jc44101_1_5"/>
        <w:bookmarkEnd w:id="99"/>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4462"/>
        <w:gridCol w:w="60"/>
        <w:gridCol w:w="4462"/>
        <w:gridCol w:w="60"/>
        <w:gridCol w:w="1161"/>
      </w:tblGrid>
      <w:tr>
        <w:trPr/>
        <w:tc>
          <w:tcPr>
            <w:tcW w:w="44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4462"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Signature </w:t>
            </w:r>
          </w:p>
        </w:tc>
        <w:tc>
          <w:tcPr>
            <w:tcW w:w="60" w:type="dxa"/>
            <w:tcBorders/>
            <w:shd w:fill="auto" w:val="clear"/>
            <w:vAlign w:val="bottom"/>
          </w:tcPr>
          <w:p>
            <w:pPr>
              <w:pStyle w:val="TableHeading"/>
              <w:suppressLineNumbers/>
              <w:spacing w:before="0" w:after="283"/>
              <w:jc w:val="center"/>
              <w:rPr/>
            </w:pPr>
            <w:r>
              <w:rPr/>
              <w:t> </w:t>
            </w:r>
          </w:p>
        </w:tc>
        <w:tc>
          <w:tcPr>
            <w:tcW w:w="4462"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Title </w:t>
            </w:r>
          </w:p>
        </w:tc>
        <w:tc>
          <w:tcPr>
            <w:tcW w:w="60" w:type="dxa"/>
            <w:tcBorders/>
            <w:shd w:fill="auto" w:val="clear"/>
            <w:vAlign w:val="bottom"/>
          </w:tcPr>
          <w:p>
            <w:pPr>
              <w:pStyle w:val="TableHeading"/>
              <w:suppressLineNumbers/>
              <w:spacing w:before="0" w:after="283"/>
              <w:jc w:val="center"/>
              <w:rPr/>
            </w:pPr>
            <w:r>
              <w:rPr/>
              <w:t> </w:t>
            </w:r>
          </w:p>
        </w:tc>
        <w:tc>
          <w:tcPr>
            <w:tcW w:w="1161"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Date </w:t>
            </w:r>
          </w:p>
        </w:tc>
      </w:tr>
      <w:tr>
        <w:trPr/>
        <w:tc>
          <w:tcPr>
            <w:tcW w:w="4462" w:type="dxa"/>
            <w:tcBorders/>
            <w:shd w:fill="auto" w:val="clear"/>
            <w:vAlign w:val="bottom"/>
          </w:tcPr>
          <w:p>
            <w:pPr>
              <w:pStyle w:val="TableContents"/>
              <w:spacing w:before="0" w:after="283"/>
              <w:jc w:val="center"/>
              <w:rPr>
                <w:rFonts w:ascii="times" w:hAnsi="times"/>
              </w:rPr>
            </w:pPr>
            <w:r>
              <w:rPr>
                <w:rFonts w:ascii="times" w:hAnsi="times"/>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46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161"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62" w:type="dxa"/>
            <w:tcBorders/>
            <w:shd w:fill="auto" w:val="clear"/>
          </w:tcPr>
          <w:p>
            <w:pPr>
              <w:pStyle w:val="TableContents"/>
              <w:spacing w:before="0" w:after="0"/>
              <w:jc w:val="center"/>
              <w:rPr>
                <w:rFonts w:ascii="times" w:hAnsi="times"/>
              </w:rPr>
            </w:pPr>
            <w:r>
              <w:rPr>
                <w:rFonts w:ascii="times" w:hAnsi="times"/>
              </w:rPr>
              <w:t>/s/ CHRIS HERBOLD</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Chris Herbold</w:t>
            </w:r>
          </w:p>
        </w:tc>
        <w:tc>
          <w:tcPr>
            <w:tcW w:w="60" w:type="dxa"/>
            <w:tcBorders/>
            <w:shd w:fill="auto" w:val="clear"/>
          </w:tcPr>
          <w:p>
            <w:pPr>
              <w:pStyle w:val="TableContents"/>
              <w:spacing w:before="0" w:after="283"/>
              <w:rPr/>
            </w:pPr>
            <w:r>
              <w:rPr/>
              <w:t> </w:t>
            </w:r>
          </w:p>
        </w:tc>
        <w:tc>
          <w:tcPr>
            <w:tcW w:w="4462" w:type="dxa"/>
            <w:tcBorders/>
            <w:shd w:fill="auto" w:val="clear"/>
          </w:tcPr>
          <w:p>
            <w:pPr>
              <w:pStyle w:val="TableContents"/>
              <w:spacing w:before="0" w:after="283"/>
              <w:rPr>
                <w:rFonts w:ascii="times" w:hAnsi="times"/>
                <w:sz w:val="20"/>
              </w:rPr>
            </w:pPr>
            <w:r>
              <w:rPr>
                <w:rFonts w:ascii="times" w:hAnsi="times"/>
                <w:sz w:val="20"/>
              </w:rPr>
              <w:t>Vice PresidentAccounting and Chief Accounting Officer of PAA GP Holdings LLC (Principal Accounting Officer)</w:t>
            </w:r>
          </w:p>
        </w:tc>
        <w:tc>
          <w:tcPr>
            <w:tcW w:w="60" w:type="dxa"/>
            <w:tcBorders/>
            <w:shd w:fill="auto" w:val="clear"/>
          </w:tcPr>
          <w:p>
            <w:pPr>
              <w:pStyle w:val="TableContents"/>
              <w:spacing w:before="0" w:after="283"/>
              <w:rPr/>
            </w:pPr>
            <w:r>
              <w:rPr/>
              <w:t> </w:t>
            </w:r>
          </w:p>
        </w:tc>
        <w:tc>
          <w:tcPr>
            <w:tcW w:w="1161" w:type="dxa"/>
            <w:tcBorders/>
            <w:shd w:fill="auto" w:val="clear"/>
          </w:tcPr>
          <w:p>
            <w:pPr>
              <w:pStyle w:val="TableContents"/>
              <w:spacing w:before="0" w:after="283"/>
              <w:jc w:val="center"/>
              <w:rPr>
                <w:rFonts w:ascii="times" w:hAnsi="times"/>
                <w:sz w:val="20"/>
              </w:rPr>
            </w:pPr>
            <w:r>
              <w:rPr>
                <w:rFonts w:ascii="times" w:hAnsi="times"/>
                <w:sz w:val="20"/>
              </w:rPr>
              <w:t>November 25, 2014</w:t>
            </w:r>
          </w:p>
        </w:tc>
      </w:tr>
      <w:tr>
        <w:trPr/>
        <w:tc>
          <w:tcPr>
            <w:tcW w:w="4462"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VICTOR BURK</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Victor Burk</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462"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 PAA GP Holdings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16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25, 2014</w:t>
            </w:r>
          </w:p>
        </w:tc>
      </w:tr>
      <w:tr>
        <w:trPr/>
        <w:tc>
          <w:tcPr>
            <w:tcW w:w="4462"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EVERARDO GOYANES</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Everardo Goyanes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462"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 PAA GP Holdings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16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25, 2014</w:t>
            </w:r>
          </w:p>
        </w:tc>
      </w:tr>
      <w:tr>
        <w:trPr/>
        <w:tc>
          <w:tcPr>
            <w:tcW w:w="4462"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JOHN T. RAYMOND</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John T. Raymond</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462"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 PAA GP Holdings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16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25, 2014</w:t>
            </w:r>
          </w:p>
        </w:tc>
      </w:tr>
      <w:tr>
        <w:trPr/>
        <w:tc>
          <w:tcPr>
            <w:tcW w:w="4462"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BOBBY S. SHACKOULS</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Bobby S. Shackouls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462"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 PAA GP Holdings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16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25, 2014</w:t>
            </w:r>
          </w:p>
        </w:tc>
      </w:tr>
      <w:tr>
        <w:trPr/>
        <w:tc>
          <w:tcPr>
            <w:tcW w:w="4462"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ROBERT V. SINNOTT</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Robert V. Sinnott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462"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 PAA GP Holdings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16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25, 2014</w:t>
            </w:r>
          </w:p>
        </w:tc>
      </w:tr>
      <w:tr>
        <w:trPr/>
        <w:tc>
          <w:tcPr>
            <w:tcW w:w="4462"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VICKY SUTIL</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Vicky Sutil</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462"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 PAA GP Holdings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161"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25, 2014</w:t>
            </w:r>
          </w:p>
        </w:tc>
      </w:tr>
    </w:tbl>
    <w:p>
      <w:pPr>
        <w:pStyle w:val="TextBody"/>
        <w:jc w:val="center"/>
        <w:rPr>
          <w:rFonts w:ascii="times" w:hAnsi="times"/>
          <w:sz w:val="20"/>
        </w:rPr>
      </w:pPr>
      <w:r>
        <w:rPr>
          <w:rFonts w:ascii="times" w:hAnsi="times"/>
          <w:sz w:val="20"/>
        </w:rPr>
        <w:t>II-5</w:t>
      </w:r>
    </w:p>
    <w:p>
      <w:pPr>
        <w:pStyle w:val="HorizontalLine"/>
        <w:pBdr>
          <w:bottom w:val="single" w:sz="20" w:space="0" w:color="808080"/>
        </w:pBdr>
        <w:rPr/>
      </w:pPr>
      <w:r>
        <w:rPr/>
      </w:r>
      <w:r>
        <w:br w:type="page"/>
      </w:r>
    </w:p>
    <w:p>
      <w:pPr>
        <w:pStyle w:val="TextBody"/>
        <w:jc w:val="center"/>
        <w:rPr>
          <w:rFonts w:ascii="times" w:hAnsi="times"/>
        </w:rPr>
      </w:pPr>
      <w:bookmarkStart w:id="100" w:name="toc_je44101_1"/>
      <w:bookmarkStart w:id="101" w:name="je44101_index_to_exhibits"/>
      <w:bookmarkEnd w:id="100"/>
      <w:bookmarkEnd w:id="101"/>
      <w:r>
        <w:rPr>
          <w:rFonts w:ascii="times" w:hAnsi="times"/>
          <w:sz w:val="20"/>
        </w:rPr>
        <w:br/>
      </w:r>
      <w:r>
        <w:rPr>
          <w:rFonts w:ascii="times" w:hAnsi="times"/>
          <w:b/>
          <w:sz w:val="20"/>
        </w:rPr>
        <w:t xml:space="preserve">INDEX TO EXHIBITS </w:t>
      </w:r>
    </w:p>
    <w:tbl>
      <w:tblPr>
        <w:tblW w:w="5000" w:type="pct"/>
        <w:jc w:val="center"/>
        <w:tblInd w:w="0" w:type="dxa"/>
        <w:tblCellMar>
          <w:top w:w="0" w:type="dxa"/>
          <w:left w:w="0" w:type="dxa"/>
          <w:bottom w:w="0" w:type="dxa"/>
          <w:right w:w="0" w:type="dxa"/>
        </w:tblCellMar>
      </w:tblPr>
      <w:tblGrid>
        <w:gridCol w:w="104"/>
        <w:gridCol w:w="461"/>
        <w:gridCol w:w="145"/>
        <w:gridCol w:w="76"/>
        <w:gridCol w:w="201"/>
        <w:gridCol w:w="104"/>
        <w:gridCol w:w="9114"/>
      </w:tblGrid>
      <w:tr>
        <w:trPr/>
        <w:tc>
          <w:tcPr>
            <w:tcW w:w="104"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9114" w:type="dxa"/>
            <w:tcBorders/>
            <w:shd w:fill="auto" w:val="clear"/>
            <w:vAlign w:val="center"/>
          </w:tcPr>
          <w:p>
            <w:pPr>
              <w:pStyle w:val="TableContents"/>
              <w:spacing w:before="0" w:after="283"/>
              <w:rPr>
                <w:sz w:val="4"/>
                <w:szCs w:val="4"/>
              </w:rPr>
            </w:pPr>
            <w:r>
              <w:rPr>
                <w:sz w:val="4"/>
                <w:szCs w:val="4"/>
              </w:rPr>
            </w:r>
          </w:p>
        </w:tc>
      </w:tr>
      <w:tr>
        <w:trPr/>
        <w:tc>
          <w:tcPr>
            <w:tcW w:w="5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45" w:type="dxa"/>
            <w:tcBorders/>
            <w:shd w:fill="auto" w:val="clear"/>
            <w:vAlign w:val="bottom"/>
          </w:tcPr>
          <w:p>
            <w:pPr>
              <w:pStyle w:val="TableHeading"/>
              <w:suppressLineNumbers/>
              <w:spacing w:before="0" w:after="283"/>
              <w:jc w:val="center"/>
              <w:rPr/>
            </w:pPr>
            <w:r>
              <w:rPr/>
              <w:t> </w:t>
            </w:r>
          </w:p>
        </w:tc>
        <w:tc>
          <w:tcPr>
            <w:tcW w:w="277" w:type="dxa"/>
            <w:gridSpan w:val="2"/>
            <w:tcBorders/>
            <w:shd w:fill="auto" w:val="clear"/>
            <w:vAlign w:val="bottom"/>
          </w:tcPr>
          <w:p>
            <w:pPr>
              <w:pStyle w:val="TableHeading"/>
              <w:spacing w:before="0" w:after="283"/>
              <w:jc w:val="left"/>
              <w:rPr/>
            </w:pPr>
            <w:r>
              <w:rPr/>
              <w:t> </w:t>
            </w:r>
          </w:p>
        </w:tc>
        <w:tc>
          <w:tcPr>
            <w:tcW w:w="104" w:type="dxa"/>
            <w:tcBorders/>
            <w:shd w:fill="auto" w:val="clear"/>
            <w:vAlign w:val="bottom"/>
          </w:tcPr>
          <w:p>
            <w:pPr>
              <w:pStyle w:val="TableHeading"/>
              <w:suppressLineNumbers/>
              <w:spacing w:before="0" w:after="283"/>
              <w:jc w:val="center"/>
              <w:rPr/>
            </w:pPr>
            <w:r>
              <w:rPr/>
              <w:t> </w:t>
            </w:r>
          </w:p>
        </w:tc>
        <w:tc>
          <w:tcPr>
            <w:tcW w:w="9114"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jc w:val="right"/>
              <w:rPr>
                <w:rFonts w:ascii="times" w:hAnsi="times"/>
                <w:sz w:val="20"/>
              </w:rPr>
            </w:pPr>
            <w:r>
              <w:rPr>
                <w:rFonts w:ascii="times" w:hAnsi="times"/>
                <w:sz w:val="20"/>
              </w:rPr>
              <w:t>1.1</w:t>
            </w:r>
          </w:p>
        </w:tc>
        <w:tc>
          <w:tcPr>
            <w:tcW w:w="145" w:type="dxa"/>
            <w:tcBorders/>
            <w:shd w:fill="auto" w:val="clear"/>
          </w:tcPr>
          <w:p>
            <w:pPr>
              <w:pStyle w:val="TableContents"/>
              <w:spacing w:before="0" w:after="283"/>
              <w:rPr>
                <w:rFonts w:ascii="times" w:hAnsi="times"/>
                <w:sz w:val="20"/>
              </w:rPr>
            </w:pPr>
            <w:r>
              <w:rPr>
                <w:rFonts w:ascii="times" w:hAnsi="times"/>
                <w:sz w:val="20"/>
              </w:rPr>
              <w:t>**</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rFonts w:ascii="times" w:hAnsi="times"/>
                <w:sz w:val="20"/>
              </w:rPr>
            </w:pPr>
            <w:r>
              <w:rPr>
                <w:rFonts w:ascii="times" w:hAnsi="times"/>
                <w:sz w:val="20"/>
              </w:rPr>
              <w:t></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rFonts w:ascii="times" w:hAnsi="times"/>
                <w:sz w:val="20"/>
              </w:rPr>
            </w:pPr>
            <w:r>
              <w:rPr>
                <w:rFonts w:ascii="times" w:hAnsi="times"/>
                <w:sz w:val="20"/>
              </w:rPr>
              <w:t>Form of Underwriting Agreement.</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pPr>
            <w:r>
              <w:rPr/>
              <w:t> </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jc w:val="right"/>
              <w:rPr>
                <w:rFonts w:ascii="times" w:hAnsi="times"/>
                <w:sz w:val="20"/>
              </w:rPr>
            </w:pPr>
            <w:r>
              <w:rPr>
                <w:rFonts w:ascii="times" w:hAnsi="times"/>
                <w:sz w:val="20"/>
              </w:rPr>
              <w:t>3.1</w:t>
            </w:r>
          </w:p>
        </w:tc>
        <w:tc>
          <w:tcPr>
            <w:tcW w:w="145" w:type="dxa"/>
            <w:tcBorders/>
            <w:shd w:fill="auto" w:val="clear"/>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rFonts w:ascii="times" w:hAnsi="times"/>
                <w:sz w:val="20"/>
              </w:rPr>
            </w:pPr>
            <w:r>
              <w:rPr>
                <w:rFonts w:ascii="times" w:hAnsi="times"/>
                <w:sz w:val="20"/>
              </w:rPr>
              <w:t></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rFonts w:ascii="times" w:hAnsi="times"/>
                <w:sz w:val="20"/>
              </w:rPr>
            </w:pPr>
            <w:r>
              <w:rPr>
                <w:rFonts w:ascii="times" w:hAnsi="times"/>
                <w:sz w:val="20"/>
              </w:rPr>
              <w:t>Amended and Restated Limited Partnership Agreement of Plains GP Holdings, L.P. (incorporated by reference to Exhibit 3.1 to the Current Report on Form 8-K filed October 25, 2013).</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pPr>
            <w:r>
              <w:rPr/>
              <w:t> </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jc w:val="right"/>
              <w:rPr>
                <w:rFonts w:ascii="times" w:hAnsi="times"/>
                <w:sz w:val="20"/>
              </w:rPr>
            </w:pPr>
            <w:r>
              <w:rPr>
                <w:rFonts w:ascii="times" w:hAnsi="times"/>
                <w:sz w:val="20"/>
              </w:rPr>
              <w:t>3.2</w:t>
            </w:r>
          </w:p>
        </w:tc>
        <w:tc>
          <w:tcPr>
            <w:tcW w:w="145" w:type="dxa"/>
            <w:tcBorders/>
            <w:shd w:fill="auto" w:val="clear"/>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rFonts w:ascii="times" w:hAnsi="times"/>
                <w:sz w:val="20"/>
              </w:rPr>
            </w:pPr>
            <w:r>
              <w:rPr>
                <w:rFonts w:ascii="times" w:hAnsi="times"/>
                <w:sz w:val="20"/>
              </w:rPr>
              <w:t></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rFonts w:ascii="times" w:hAnsi="times"/>
                <w:sz w:val="20"/>
              </w:rPr>
            </w:pPr>
            <w:r>
              <w:rPr>
                <w:rFonts w:ascii="times" w:hAnsi="times"/>
                <w:sz w:val="20"/>
              </w:rPr>
              <w:t>Amended and Restated Limited Liability Company Agreement of PAA GP Holdings LLC (incorporated by reference to Exhibit 3.2 to the Current Report on Form 8-K filed October 25, 2013).</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pPr>
            <w:r>
              <w:rPr/>
              <w:t> </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jc w:val="right"/>
              <w:rPr>
                <w:rFonts w:ascii="times" w:hAnsi="times"/>
                <w:sz w:val="20"/>
              </w:rPr>
            </w:pPr>
            <w:r>
              <w:rPr>
                <w:rFonts w:ascii="times" w:hAnsi="times"/>
                <w:sz w:val="20"/>
              </w:rPr>
              <w:t>3.3</w:t>
            </w:r>
          </w:p>
        </w:tc>
        <w:tc>
          <w:tcPr>
            <w:tcW w:w="145" w:type="dxa"/>
            <w:tcBorders/>
            <w:shd w:fill="auto" w:val="clear"/>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rFonts w:ascii="times" w:hAnsi="times"/>
                <w:sz w:val="20"/>
              </w:rPr>
            </w:pPr>
            <w:r>
              <w:rPr>
                <w:rFonts w:ascii="times" w:hAnsi="times"/>
                <w:sz w:val="20"/>
              </w:rPr>
              <w:t></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rFonts w:ascii="times" w:hAnsi="times"/>
                <w:sz w:val="20"/>
              </w:rPr>
            </w:pPr>
            <w:r>
              <w:rPr>
                <w:rFonts w:ascii="times" w:hAnsi="times"/>
                <w:sz w:val="20"/>
              </w:rPr>
              <w:t>Amendment No. 1 to Amended and Restated Limited Liability Company Agreement of PAA GP Holdings LLC, dated as of December 31, 2013 (incorporated by reference to Exhibit 3.2 to the Current Report on Form 8-K filed December 31, 2013).</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pPr>
            <w:r>
              <w:rPr/>
              <w:t> </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jc w:val="right"/>
              <w:rPr>
                <w:rFonts w:ascii="times" w:hAnsi="times"/>
                <w:sz w:val="20"/>
              </w:rPr>
            </w:pPr>
            <w:r>
              <w:rPr>
                <w:rFonts w:ascii="times" w:hAnsi="times"/>
                <w:sz w:val="20"/>
              </w:rPr>
              <w:t>4.1</w:t>
            </w:r>
          </w:p>
        </w:tc>
        <w:tc>
          <w:tcPr>
            <w:tcW w:w="145" w:type="dxa"/>
            <w:tcBorders/>
            <w:shd w:fill="auto" w:val="clear"/>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rFonts w:ascii="times" w:hAnsi="times"/>
                <w:sz w:val="20"/>
              </w:rPr>
            </w:pPr>
            <w:r>
              <w:rPr>
                <w:rFonts w:ascii="times" w:hAnsi="times"/>
                <w:sz w:val="20"/>
              </w:rPr>
              <w:t></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rFonts w:ascii="times" w:hAnsi="times"/>
                <w:sz w:val="20"/>
              </w:rPr>
            </w:pPr>
            <w:r>
              <w:rPr>
                <w:rFonts w:ascii="times" w:hAnsi="times"/>
                <w:sz w:val="20"/>
              </w:rPr>
              <w:t>Specimen certificate representing Class A shares (incorporated by reference to Exhibit 4.20 to the Registration Statement on Form S-1/A filed September 26, 2013).</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pPr>
            <w:r>
              <w:rPr/>
              <w:t> </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jc w:val="right"/>
              <w:rPr>
                <w:rFonts w:ascii="times" w:hAnsi="times"/>
                <w:sz w:val="20"/>
              </w:rPr>
            </w:pPr>
            <w:r>
              <w:rPr>
                <w:rFonts w:ascii="times" w:hAnsi="times"/>
                <w:sz w:val="20"/>
              </w:rPr>
              <w:t>4.2</w:t>
            </w:r>
          </w:p>
        </w:tc>
        <w:tc>
          <w:tcPr>
            <w:tcW w:w="145" w:type="dxa"/>
            <w:tcBorders/>
            <w:shd w:fill="auto" w:val="clear"/>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rFonts w:ascii="times" w:hAnsi="times"/>
                <w:sz w:val="20"/>
              </w:rPr>
            </w:pPr>
            <w:r>
              <w:rPr>
                <w:rFonts w:ascii="times" w:hAnsi="times"/>
                <w:sz w:val="20"/>
              </w:rPr>
              <w:t></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rFonts w:ascii="times" w:hAnsi="times"/>
                <w:sz w:val="20"/>
              </w:rPr>
            </w:pPr>
            <w:r>
              <w:rPr>
                <w:rFonts w:ascii="times" w:hAnsi="times"/>
                <w:sz w:val="20"/>
              </w:rPr>
              <w:t>Shareholder and Registration Rights Agreement dated October 21, 2013, by and among Plains GP Holdings, L.P. and the other parties signatory thereto (incorporated by reference to Exhibit 4.1 to the Current Report on Form 8-K filed October 25, 2013).</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pPr>
            <w:r>
              <w:rPr/>
              <w:t> </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jc w:val="right"/>
              <w:rPr>
                <w:rFonts w:ascii="times" w:hAnsi="times"/>
                <w:sz w:val="20"/>
              </w:rPr>
            </w:pPr>
            <w:r>
              <w:rPr>
                <w:rFonts w:ascii="times" w:hAnsi="times"/>
                <w:sz w:val="20"/>
              </w:rPr>
              <w:t>5.1</w:t>
            </w:r>
          </w:p>
        </w:tc>
        <w:tc>
          <w:tcPr>
            <w:tcW w:w="145" w:type="dxa"/>
            <w:tcBorders/>
            <w:shd w:fill="auto" w:val="clear"/>
          </w:tcPr>
          <w:p>
            <w:pPr>
              <w:pStyle w:val="TableContents"/>
              <w:spacing w:before="0" w:after="283"/>
              <w:rPr>
                <w:rFonts w:ascii="times" w:hAnsi="times"/>
                <w:sz w:val="20"/>
              </w:rPr>
            </w:pPr>
            <w:r>
              <w:rPr>
                <w:rFonts w:ascii="times" w:hAnsi="times"/>
                <w:sz w:val="20"/>
              </w:rPr>
              <w:t>*</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rFonts w:ascii="times" w:hAnsi="times"/>
                <w:sz w:val="20"/>
              </w:rPr>
            </w:pPr>
            <w:r>
              <w:rPr>
                <w:rFonts w:ascii="times" w:hAnsi="times"/>
                <w:sz w:val="20"/>
              </w:rPr>
              <w:t></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rFonts w:ascii="times" w:hAnsi="times"/>
                <w:sz w:val="20"/>
              </w:rPr>
            </w:pPr>
            <w:r>
              <w:rPr>
                <w:rFonts w:ascii="times" w:hAnsi="times"/>
                <w:sz w:val="20"/>
              </w:rPr>
              <w:t>Opinion of Vinson &amp; Elkins L.L.P. as to the legality of the securities being registered.</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pPr>
            <w:r>
              <w:rPr/>
              <w:t> </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jc w:val="right"/>
              <w:rPr>
                <w:rFonts w:ascii="times" w:hAnsi="times"/>
                <w:sz w:val="20"/>
              </w:rPr>
            </w:pPr>
            <w:r>
              <w:rPr>
                <w:rFonts w:ascii="times" w:hAnsi="times"/>
                <w:sz w:val="20"/>
              </w:rPr>
              <w:t>8.1</w:t>
            </w:r>
          </w:p>
        </w:tc>
        <w:tc>
          <w:tcPr>
            <w:tcW w:w="145" w:type="dxa"/>
            <w:tcBorders/>
            <w:shd w:fill="auto" w:val="clear"/>
          </w:tcPr>
          <w:p>
            <w:pPr>
              <w:pStyle w:val="TableContents"/>
              <w:spacing w:before="0" w:after="283"/>
              <w:rPr>
                <w:rFonts w:ascii="times" w:hAnsi="times"/>
                <w:sz w:val="20"/>
              </w:rPr>
            </w:pPr>
            <w:r>
              <w:rPr>
                <w:rFonts w:ascii="times" w:hAnsi="times"/>
                <w:sz w:val="20"/>
              </w:rPr>
              <w:t>*</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rFonts w:ascii="times" w:hAnsi="times"/>
                <w:sz w:val="20"/>
              </w:rPr>
            </w:pPr>
            <w:r>
              <w:rPr>
                <w:rFonts w:ascii="times" w:hAnsi="times"/>
                <w:sz w:val="20"/>
              </w:rPr>
              <w:t></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rFonts w:ascii="times" w:hAnsi="times"/>
                <w:sz w:val="20"/>
              </w:rPr>
            </w:pPr>
            <w:r>
              <w:rPr>
                <w:rFonts w:ascii="times" w:hAnsi="times"/>
                <w:sz w:val="20"/>
              </w:rPr>
              <w:t>Opinion of Vinson &amp; Elkins L.L.P. relating to tax matters.</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pPr>
            <w:r>
              <w:rPr/>
              <w:t> </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jc w:val="right"/>
              <w:rPr>
                <w:rFonts w:ascii="times" w:hAnsi="times"/>
                <w:sz w:val="20"/>
              </w:rPr>
            </w:pPr>
            <w:r>
              <w:rPr>
                <w:rFonts w:ascii="times" w:hAnsi="times"/>
                <w:sz w:val="20"/>
              </w:rPr>
              <w:t>23.1</w:t>
            </w:r>
          </w:p>
        </w:tc>
        <w:tc>
          <w:tcPr>
            <w:tcW w:w="145" w:type="dxa"/>
            <w:tcBorders/>
            <w:shd w:fill="auto" w:val="clear"/>
          </w:tcPr>
          <w:p>
            <w:pPr>
              <w:pStyle w:val="TableContents"/>
              <w:spacing w:before="0" w:after="283"/>
              <w:rPr>
                <w:rFonts w:ascii="times" w:hAnsi="times"/>
                <w:sz w:val="20"/>
              </w:rPr>
            </w:pPr>
            <w:r>
              <w:rPr>
                <w:rFonts w:ascii="times" w:hAnsi="times"/>
                <w:sz w:val="20"/>
              </w:rPr>
              <w:t>*</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rFonts w:ascii="times" w:hAnsi="times"/>
                <w:sz w:val="20"/>
              </w:rPr>
            </w:pPr>
            <w:r>
              <w:rPr>
                <w:rFonts w:ascii="times" w:hAnsi="times"/>
                <w:sz w:val="20"/>
              </w:rPr>
              <w:t></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rFonts w:ascii="times" w:hAnsi="times"/>
                <w:sz w:val="20"/>
              </w:rPr>
            </w:pPr>
            <w:r>
              <w:rPr>
                <w:rFonts w:ascii="times" w:hAnsi="times"/>
                <w:sz w:val="20"/>
              </w:rPr>
              <w:t>Consent of PricewaterhouseCoopers LLP.</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pPr>
            <w:r>
              <w:rPr/>
              <w:t> </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jc w:val="right"/>
              <w:rPr>
                <w:rFonts w:ascii="times" w:hAnsi="times"/>
                <w:sz w:val="20"/>
              </w:rPr>
            </w:pPr>
            <w:r>
              <w:rPr>
                <w:rFonts w:ascii="times" w:hAnsi="times"/>
                <w:sz w:val="20"/>
              </w:rPr>
              <w:t>23.2</w:t>
            </w:r>
          </w:p>
        </w:tc>
        <w:tc>
          <w:tcPr>
            <w:tcW w:w="145" w:type="dxa"/>
            <w:tcBorders/>
            <w:shd w:fill="auto" w:val="clear"/>
          </w:tcPr>
          <w:p>
            <w:pPr>
              <w:pStyle w:val="TableContents"/>
              <w:spacing w:before="0" w:after="283"/>
              <w:rPr>
                <w:rFonts w:ascii="times" w:hAnsi="times"/>
                <w:sz w:val="20"/>
              </w:rPr>
            </w:pPr>
            <w:r>
              <w:rPr>
                <w:rFonts w:ascii="times" w:hAnsi="times"/>
                <w:sz w:val="20"/>
              </w:rPr>
              <w:t>*</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rFonts w:ascii="times" w:hAnsi="times"/>
                <w:sz w:val="20"/>
              </w:rPr>
            </w:pPr>
            <w:r>
              <w:rPr>
                <w:rFonts w:ascii="times" w:hAnsi="times"/>
                <w:sz w:val="20"/>
              </w:rPr>
              <w:t></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rFonts w:ascii="times" w:hAnsi="times"/>
                <w:sz w:val="20"/>
              </w:rPr>
            </w:pPr>
            <w:r>
              <w:rPr>
                <w:rFonts w:ascii="times" w:hAnsi="times"/>
                <w:sz w:val="20"/>
              </w:rPr>
              <w:t>Consent of Vinson &amp; Elkins L.L.P. (contained in Exhibits 5.1 and 8.1).</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rPr/>
            </w:pPr>
            <w:r>
              <w:rPr/>
              <w:t>  </w:t>
            </w:r>
          </w:p>
        </w:tc>
        <w:tc>
          <w:tcPr>
            <w:tcW w:w="145" w:type="dxa"/>
            <w:tcBorders/>
            <w:shd w:fill="auto" w:val="clear"/>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pPr>
            <w:r>
              <w:rPr/>
              <w:t> </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jc w:val="right"/>
              <w:rPr>
                <w:rFonts w:ascii="times" w:hAnsi="times"/>
                <w:sz w:val="20"/>
              </w:rPr>
            </w:pPr>
            <w:r>
              <w:rPr>
                <w:rFonts w:ascii="times" w:hAnsi="times"/>
                <w:sz w:val="20"/>
              </w:rPr>
              <w:t>24.1</w:t>
            </w:r>
          </w:p>
        </w:tc>
        <w:tc>
          <w:tcPr>
            <w:tcW w:w="145" w:type="dxa"/>
            <w:tcBorders/>
            <w:shd w:fill="auto" w:val="clear"/>
          </w:tcPr>
          <w:p>
            <w:pPr>
              <w:pStyle w:val="TableContents"/>
              <w:spacing w:before="0" w:after="283"/>
              <w:rPr>
                <w:rFonts w:ascii="times" w:hAnsi="times"/>
                <w:sz w:val="20"/>
              </w:rPr>
            </w:pPr>
            <w:r>
              <w:rPr>
                <w:rFonts w:ascii="times" w:hAnsi="times"/>
                <w:sz w:val="20"/>
              </w:rPr>
              <w:t>*</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rFonts w:ascii="times" w:hAnsi="times"/>
                <w:sz w:val="20"/>
              </w:rPr>
            </w:pPr>
            <w:r>
              <w:rPr>
                <w:rFonts w:ascii="times" w:hAnsi="times"/>
                <w:sz w:val="20"/>
              </w:rPr>
              <w:t></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rFonts w:ascii="times" w:hAnsi="times"/>
                <w:sz w:val="20"/>
              </w:rPr>
            </w:pPr>
            <w:r>
              <w:rPr>
                <w:rFonts w:ascii="times" w:hAnsi="times"/>
                <w:sz w:val="20"/>
              </w:rPr>
              <w:t>Power of Attorney (included on signature pages of this registration statement).</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Filed herewith. </w:t>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To be filed as an Exhibit to a Current Report on Form 8-K or a post-effective amendment to this registration statement. </w:t>
      </w:r>
    </w:p>
    <w:p>
      <w:pPr>
        <w:pStyle w:val="HorizontalLine"/>
        <w:pBdr>
          <w:bottom w:val="single" w:sz="20" w:space="0" w:color="808080"/>
        </w:pBdr>
        <w:rPr/>
      </w:pPr>
      <w:r>
        <w:rPr/>
      </w:r>
      <w:r>
        <w:br w:type="page"/>
      </w:r>
    </w:p>
    <w:p>
      <w:pPr>
        <w:pStyle w:val="TextBody"/>
        <w:rPr/>
      </w:pPr>
      <w:r>
        <w:rPr/>
      </w:r>
      <w:r>
        <w:br w:type="page"/>
      </w:r>
    </w:p>
    <w:p>
      <w:pPr>
        <w:pStyle w:val="TextBody"/>
        <w:rPr/>
      </w:pPr>
      <w:bookmarkStart w:id="102" w:name="a2222354zex-5_1.htm"/>
      <w:bookmarkStart w:id="103" w:name="ksa2222354zex5_1"/>
      <w:bookmarkEnd w:id="102"/>
      <w:bookmarkEnd w:id="103"/>
      <w:r>
        <w:rPr/>
        <w:br/>
      </w:r>
      <w:hyperlink w:anchor="14ZDC44101_2">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104" w:name="toc_kc44101_1"/>
      <w:bookmarkStart w:id="105" w:name="kc44101_exhibit_5.1"/>
      <w:bookmarkEnd w:id="104"/>
      <w:bookmarkEnd w:id="105"/>
      <w:r>
        <w:rPr>
          <w:rFonts w:ascii="times" w:hAnsi="times"/>
          <w:sz w:val="20"/>
        </w:rPr>
        <w:br/>
      </w:r>
      <w:r>
        <w:rPr>
          <w:rFonts w:ascii="times" w:hAnsi="times"/>
          <w:b/>
          <w:sz w:val="20"/>
        </w:rPr>
        <w:t xml:space="preserve">Exhibit 5.1 </w:t>
      </w:r>
    </w:p>
    <w:p>
      <w:pPr>
        <w:pStyle w:val="TextBody"/>
        <w:rPr/>
      </w:pPr>
      <w:r>
        <w:rPr/>
        <w:drawing>
          <wp:inline distT="0" distB="0" distL="0" distR="0">
            <wp:extent cx="260985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09850" cy="323850"/>
                    </a:xfrm>
                    <a:prstGeom prst="rect">
                      <a:avLst/>
                    </a:prstGeom>
                  </pic:spPr>
                </pic:pic>
              </a:graphicData>
            </a:graphic>
          </wp:inline>
        </w:drawing>
      </w:r>
      <w:r>
        <w:rPr/>
        <w:t xml:space="preserve"> </w:t>
      </w:r>
    </w:p>
    <w:p>
      <w:pPr>
        <w:pStyle w:val="TextBody"/>
        <w:rPr>
          <w:rFonts w:ascii="times" w:hAnsi="times"/>
          <w:sz w:val="20"/>
        </w:rPr>
      </w:pPr>
      <w:r>
        <w:rPr>
          <w:rFonts w:ascii="times" w:hAnsi="times"/>
          <w:sz w:val="20"/>
        </w:rPr>
        <w:t xml:space="preserve">November 25, 2014 </w:t>
      </w:r>
    </w:p>
    <w:p>
      <w:pPr>
        <w:pStyle w:val="TextBody"/>
        <w:rPr>
          <w:rFonts w:ascii="times" w:hAnsi="times"/>
          <w:sz w:val="20"/>
        </w:rPr>
      </w:pPr>
      <w:r>
        <w:rPr>
          <w:rFonts w:ascii="times" w:hAnsi="times"/>
          <w:sz w:val="20"/>
        </w:rPr>
        <w:t>Plains GP Holdings, L.P.</w:t>
        <w:br/>
        <w:t>333 Clay Street, Suite 1600</w:t>
        <w:br/>
        <w:t xml:space="preserve">Houston, Texas 77002 </w:t>
      </w:r>
    </w:p>
    <w:p>
      <w:pPr>
        <w:pStyle w:val="TextBody"/>
        <w:rPr>
          <w:rFonts w:ascii="times" w:hAnsi="times"/>
          <w:sz w:val="20"/>
        </w:rPr>
      </w:pPr>
      <w:r>
        <w:rPr>
          <w:rFonts w:ascii="times" w:hAnsi="times"/>
          <w:sz w:val="20"/>
        </w:rPr>
        <w:t xml:space="preserve">Ladies and Gentlemen: </w:t>
      </w:r>
    </w:p>
    <w:p>
      <w:pPr>
        <w:pStyle w:val="TextBody"/>
        <w:rPr/>
      </w:pPr>
      <w:r>
        <w:rPr/>
        <w:t>        </w:t>
      </w:r>
      <w:r>
        <w:rPr>
          <w:rFonts w:ascii="times" w:hAnsi="times"/>
          <w:sz w:val="20"/>
        </w:rPr>
        <w:t xml:space="preserve">We have acted as counsel to Plains GP Holdings, L.P., a Delaware limited partnership (the "Partnership"), in connection with the preparation and filing of a registration statement on Form S-3 (the "Registration Statement") filed on or about the date hereof with the Securities and Exchange Commission (the "Commission") in connection with the registration by the Partnership under the Securities Act of 1933, as amended (the "Securities Act"), of the offer and sale, from time to time, pursuant to Rule 415 under the Securities Act, by the selling shareholders named in the Registration Statement, of Class A shares representing limited partner interests in the Partnership (the "Shares"). </w:t>
      </w:r>
    </w:p>
    <w:p>
      <w:pPr>
        <w:pStyle w:val="TextBody"/>
        <w:rPr/>
      </w:pPr>
      <w:r>
        <w:rPr/>
        <w:t>        </w:t>
      </w:r>
      <w:r>
        <w:rPr>
          <w:rFonts w:ascii="times" w:hAnsi="times"/>
          <w:sz w:val="20"/>
        </w:rPr>
        <w:t xml:space="preserve">We have also participated in the preparation of the Prospectus (the "Prospectus") contained in the Registration Statement to which this opinion is an exhibit. Capitalized terms not defined herein shall have the meanings ascribed to them in the Prospectus. </w:t>
      </w:r>
    </w:p>
    <w:p>
      <w:pPr>
        <w:pStyle w:val="TextBody"/>
        <w:rPr/>
      </w:pPr>
      <w:r>
        <w:rPr/>
        <w:t>        </w:t>
      </w:r>
      <w:r>
        <w:rPr>
          <w:rFonts w:ascii="times" w:hAnsi="times"/>
          <w:sz w:val="20"/>
        </w:rPr>
        <w:t xml:space="preserve">As the basis for the opinion hereinafter expressed, we examined such statutes, including the Delaware Revised Uniform Limited Partnership Act (the "Delaware LP Act"), and the Partnership's records and documents, certificates of the Partnership and public officials, and other instruments and documents as we deemed necessary or advisable for the purposes of this opinion. In such examination, we have assumed (i) the authenticity of all documents submitted to us as originals and the conformity with the original documents of all documents submitted to us as copies; (ii) that the Registration Statement, and any amendments thereto (including post-effective amendments), will have become effective; and (iii) that all Shares will be issued and sold in compliance with applicable federal and state securities laws and in the manner stated in the Registration Statement and the appropriate Prospectus Supplement. </w:t>
      </w:r>
    </w:p>
    <w:p>
      <w:pPr>
        <w:pStyle w:val="TextBody"/>
        <w:rPr/>
      </w:pPr>
      <w:r>
        <w:rPr/>
        <w:t>        </w:t>
      </w:r>
      <w:r>
        <w:rPr>
          <w:rFonts w:ascii="times" w:hAnsi="times"/>
          <w:sz w:val="20"/>
        </w:rPr>
        <w:t xml:space="preserve">Based upon and subject to the foregoing, we are of the opinion that the Shares, when issued and delivered against payment therefor as described in the Registration Statement, will be duly authorized, validly issued, fully paid and non-assessable. </w:t>
      </w:r>
    </w:p>
    <w:p>
      <w:pPr>
        <w:pStyle w:val="TextBody"/>
        <w:rPr/>
      </w:pPr>
      <w:r>
        <w:rPr/>
        <w:t>        </w:t>
      </w:r>
      <w:r>
        <w:rPr>
          <w:rFonts w:ascii="times" w:hAnsi="times"/>
          <w:sz w:val="20"/>
        </w:rPr>
        <w:t xml:space="preserve">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 </w:t>
      </w:r>
    </w:p>
    <w:p>
      <w:pPr>
        <w:pStyle w:val="TextBody"/>
        <w:rPr/>
      </w:pPr>
      <w:r>
        <w:rPr/>
        <w:t>        </w:t>
      </w:r>
      <w:r>
        <w:rPr>
          <w:rFonts w:ascii="times" w:hAnsi="times"/>
          <w:sz w:val="20"/>
        </w:rPr>
        <w:t xml:space="preserve">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Very truly yours,</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/s/ Vinson &amp; Elkins L.L.P.</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Vinson &amp; Elkins L.L.P.</w:t>
            </w:r>
          </w:p>
        </w:tc>
      </w:tr>
    </w:tbl>
    <w:p>
      <w:pPr>
        <w:pStyle w:val="TextBody"/>
        <w:jc w:val="center"/>
        <w:rPr/>
      </w:pPr>
      <w:r>
        <w:rPr/>
        <w:drawing>
          <wp:inline distT="0" distB="0" distL="0" distR="0">
            <wp:extent cx="651510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515100" cy="409575"/>
                    </a:xfrm>
                    <a:prstGeom prst="rect">
                      <a:avLst/>
                    </a:prstGeom>
                  </pic:spPr>
                </pic:pic>
              </a:graphicData>
            </a:graphic>
          </wp:inline>
        </w:drawing>
      </w:r>
      <w:r>
        <w:rPr/>
        <w:t xml:space="preserve"> </w:t>
      </w:r>
    </w:p>
    <w:p>
      <w:pPr>
        <w:pStyle w:val="HorizontalLine"/>
        <w:pBdr>
          <w:bottom w:val="single" w:sz="20" w:space="0" w:color="808080"/>
        </w:pBdr>
        <w:rPr/>
      </w:pPr>
      <w:r>
        <w:rPr/>
      </w:r>
      <w:r>
        <w:br w:type="page"/>
      </w:r>
    </w:p>
    <w:p>
      <w:pPr>
        <w:pStyle w:val="TextBody"/>
        <w:rPr/>
      </w:pPr>
      <w:r>
        <w:rPr/>
      </w:r>
    </w:p>
    <w:p>
      <w:pPr>
        <w:pStyle w:val="TextBody"/>
        <w:rPr/>
      </w:pPr>
      <w:r>
        <w:rPr/>
        <w:br/>
      </w:r>
      <w:bookmarkStart w:id="106" w:name="14ZDC44101_2"/>
      <w:bookmarkEnd w:id="106"/>
      <w:r>
        <w:rPr/>
        <w:t>QuickLinks</w:t>
      </w:r>
    </w:p>
    <w:p>
      <w:pPr>
        <w:pStyle w:val="TextBody"/>
        <w:numPr>
          <w:ilvl w:val="0"/>
          <w:numId w:val="0"/>
        </w:numPr>
        <w:ind w:left="707" w:hanging="0"/>
        <w:rPr/>
      </w:pPr>
      <w:hyperlink w:anchor="toc_kc44101_1">
        <w:r>
          <w:rPr>
            <w:rStyle w:val="InternetLink"/>
            <w:rFonts w:ascii="times" w:hAnsi="times"/>
            <w:sz w:val="20"/>
          </w:rPr>
          <w:t>Exhibit 5.1</w:t>
        </w:r>
      </w:hyperlink>
      <w:r>
        <w:br w:type="page"/>
      </w:r>
    </w:p>
    <w:p>
      <w:pPr>
        <w:pStyle w:val="TextBody"/>
        <w:rPr/>
      </w:pPr>
      <w:bookmarkStart w:id="107" w:name="a2222354zex-8_1.htm"/>
      <w:bookmarkStart w:id="108" w:name="ksa2222354zex8_1"/>
      <w:bookmarkEnd w:id="107"/>
      <w:bookmarkEnd w:id="108"/>
      <w:r>
        <w:rPr/>
        <w:br/>
      </w:r>
      <w:hyperlink w:anchor="14ZDC44101_3">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109" w:name="toc_ke44101_1"/>
      <w:bookmarkStart w:id="110" w:name="ke44101_exhibit_8.1"/>
      <w:bookmarkEnd w:id="109"/>
      <w:bookmarkEnd w:id="110"/>
      <w:r>
        <w:rPr>
          <w:rFonts w:ascii="times" w:hAnsi="times"/>
          <w:sz w:val="20"/>
        </w:rPr>
        <w:br/>
      </w:r>
      <w:r>
        <w:rPr>
          <w:rFonts w:ascii="times" w:hAnsi="times"/>
          <w:b/>
          <w:sz w:val="20"/>
        </w:rPr>
        <w:t xml:space="preserve">Exhibit 8.1 </w:t>
      </w:r>
    </w:p>
    <w:p>
      <w:pPr>
        <w:pStyle w:val="TextBody"/>
        <w:rPr>
          <w:rFonts w:ascii="times" w:hAnsi="times"/>
          <w:sz w:val="20"/>
        </w:rPr>
      </w:pPr>
      <w:r>
        <w:rPr>
          <w:rFonts w:ascii="times" w:hAnsi="times"/>
          <w:sz w:val="20"/>
        </w:rPr>
        <w:t>November 25, 2014</w:t>
        <w:br/>
        <w:t>Plains GP Holdings, L.P.</w:t>
        <w:br/>
        <w:t>333 Clay Street, Suite 1600</w:t>
        <w:br/>
        <w:t xml:space="preserve">Houston, Texas 77002 </w:t>
      </w:r>
    </w:p>
    <w:p>
      <w:pPr>
        <w:pStyle w:val="TextBody"/>
        <w:rPr>
          <w:rFonts w:ascii="times" w:hAnsi="times"/>
          <w:sz w:val="20"/>
        </w:rPr>
      </w:pPr>
      <w:r>
        <w:rPr>
          <w:rFonts w:ascii="times" w:hAnsi="times"/>
          <w:sz w:val="20"/>
        </w:rPr>
        <w:t xml:space="preserve">RE:    Plains GP Holdings, L.P. Registration Statement on Form S-3 </w:t>
      </w:r>
    </w:p>
    <w:p>
      <w:pPr>
        <w:pStyle w:val="TextBody"/>
        <w:rPr>
          <w:rFonts w:ascii="times" w:hAnsi="times"/>
          <w:sz w:val="20"/>
        </w:rPr>
      </w:pPr>
      <w:r>
        <w:rPr>
          <w:rFonts w:ascii="times" w:hAnsi="times"/>
          <w:sz w:val="20"/>
        </w:rPr>
        <w:t xml:space="preserve">Ladies and Gentlemen: </w:t>
      </w:r>
    </w:p>
    <w:p>
      <w:pPr>
        <w:pStyle w:val="TextBody"/>
        <w:rPr/>
      </w:pPr>
      <w:r>
        <w:rPr/>
        <w:t>        </w:t>
      </w:r>
      <w:r>
        <w:rPr>
          <w:rFonts w:ascii="times" w:hAnsi="times"/>
          <w:sz w:val="20"/>
        </w:rPr>
        <w:t>We have acted as counsel for Plains GP Holdings, L.P. ("</w:t>
      </w:r>
      <w:r>
        <w:rPr>
          <w:rFonts w:ascii="times" w:hAnsi="times"/>
          <w:b/>
          <w:i/>
          <w:sz w:val="20"/>
        </w:rPr>
        <w:t>PAGP</w:t>
      </w:r>
      <w:r>
        <w:rPr>
          <w:rFonts w:ascii="times" w:hAnsi="times"/>
          <w:sz w:val="20"/>
        </w:rPr>
        <w:t>"), a Delaware limited partnership that has elected to be treated as a corporation for U.S. federal income tax purposes, with respect to certain legal matters in connection with the preparation of a Prospectus dated on or about the date hereof (the "</w:t>
      </w:r>
      <w:r>
        <w:rPr>
          <w:rFonts w:ascii="times" w:hAnsi="times"/>
          <w:b/>
          <w:i/>
          <w:sz w:val="20"/>
        </w:rPr>
        <w:t>Prospectus</w:t>
      </w:r>
      <w:r>
        <w:rPr>
          <w:rFonts w:ascii="times" w:hAnsi="times"/>
          <w:sz w:val="20"/>
        </w:rPr>
        <w:t>"), forming part of the Registration Statement on Form S-3 dated on or about the date hereof (the "</w:t>
      </w:r>
      <w:r>
        <w:rPr>
          <w:rFonts w:ascii="times" w:hAnsi="times"/>
          <w:b/>
          <w:i/>
          <w:sz w:val="20"/>
        </w:rPr>
        <w:t>Registration Statement</w:t>
      </w:r>
      <w:r>
        <w:rPr>
          <w:rFonts w:ascii="times" w:hAnsi="times"/>
          <w:sz w:val="20"/>
        </w:rPr>
        <w:t xml:space="preserve">"). This opinion is based on various facts and assumptions, including factual representations of PAGP concerning its business, properties and governing documents as set forth in the Registration Statement. </w:t>
      </w:r>
    </w:p>
    <w:p>
      <w:pPr>
        <w:pStyle w:val="TextBody"/>
        <w:rPr/>
      </w:pPr>
      <w:r>
        <w:rPr/>
        <w:t>        </w:t>
      </w:r>
      <w:r>
        <w:rPr>
          <w:rFonts w:ascii="times" w:hAnsi="times"/>
          <w:sz w:val="20"/>
        </w:rPr>
        <w:t xml:space="preserve">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In addition, in rendering this opinion we have assumed the truth and accuracy of all representations and statements made to us which are qualified as to knowledge or belief, without regard to such qualification. </w:t>
      </w:r>
    </w:p>
    <w:p>
      <w:pPr>
        <w:pStyle w:val="TextBody"/>
        <w:rPr/>
      </w:pPr>
      <w:r>
        <w:rPr/>
        <w:t>        </w:t>
      </w:r>
      <w:r>
        <w:rPr>
          <w:rFonts w:ascii="times" w:hAnsi="times"/>
          <w:sz w:val="20"/>
        </w:rPr>
        <w:t xml:space="preserve">We hereby confirm that all statements of legal conclusions contained in the discussion in the Prospectus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may affect the conclusions stated herein. </w:t>
      </w:r>
    </w:p>
    <w:p>
      <w:pPr>
        <w:pStyle w:val="TextBody"/>
        <w:rPr/>
      </w:pPr>
      <w:r>
        <w:rPr/>
        <w:t>        </w:t>
      </w:r>
      <w:r>
        <w:rPr>
          <w:rFonts w:ascii="times" w:hAnsi="times"/>
          <w:sz w:val="20"/>
        </w:rPr>
        <w:t xml:space="preserve">No opinion is expressed as to any matter not discussed in the Prospectus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 </w:t>
      </w:r>
    </w:p>
    <w:p>
      <w:pPr>
        <w:pStyle w:val="TextBody"/>
        <w:rPr/>
      </w:pPr>
      <w:r>
        <w:rPr/>
        <w:t>        </w:t>
      </w:r>
      <w:r>
        <w:rPr>
          <w:rFonts w:ascii="times" w:hAnsi="times"/>
          <w:sz w:val="20"/>
        </w:rPr>
        <w:t xml:space="preserve">This opinion is rendered to you as of the effective date of the Registration Statement, and we undertake no obligation to update this opinion subsequent to the date hereof. This opinion is furnished to you, and is for your use in connection with the transactions set forth in the Registration Statement. This opinion may not be relied upon by you for any other purpose without our prior written consent. However, this opinion may be relied upon by you and by persons entitled to rely on it pursuant to applicable provisions of federal securities law, including persons purchasing common units pursuant to the Registration Statement. </w:t>
      </w:r>
    </w:p>
    <w:p>
      <w:pPr>
        <w:pStyle w:val="TextBody"/>
        <w:rPr/>
      </w:pPr>
      <w:r>
        <w:rPr/>
        <w:t>        </w:t>
      </w:r>
      <w:r>
        <w:rPr>
          <w:rFonts w:ascii="times" w:hAnsi="times"/>
          <w:sz w:val="20"/>
        </w:rPr>
        <w:t xml:space="preserve">We hereby consent to the filing of this opinion as an exhibit to the Registration Statement and to the use of our name under the caption "Material U.S. Federal Income Tax Consequences" in the Registration Statement. By giving this consent, we do not admit that we are within the category of persons whose consent is required under Section 7 of the Securities Act of 1933, as amended.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73" w:type="dxa"/>
            <w:tcBorders/>
            <w:shd w:fill="auto" w:val="clear"/>
            <w:vAlign w:val="bottom"/>
          </w:tcPr>
          <w:p>
            <w:pPr>
              <w:pStyle w:val="TableContents"/>
              <w:spacing w:before="0" w:after="283"/>
              <w:rPr>
                <w:rFonts w:ascii="times" w:hAnsi="times"/>
                <w:sz w:val="20"/>
              </w:rPr>
            </w:pPr>
            <w:r>
              <w:rPr>
                <w:rFonts w:ascii="times" w:hAnsi="times"/>
                <w:sz w:val="20"/>
              </w:rPr>
              <w:t>Very truly yours,</w:t>
            </w:r>
          </w:p>
        </w:tc>
      </w:tr>
      <w:tr>
        <w:trPr/>
        <w:tc>
          <w:tcPr>
            <w:tcW w:w="507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5073" w:type="dxa"/>
            <w:tcBorders/>
            <w:shd w:fill="auto" w:val="clear"/>
            <w:vAlign w:val="bottom"/>
          </w:tcPr>
          <w:p>
            <w:pPr>
              <w:pStyle w:val="TableContents"/>
              <w:spacing w:before="0" w:after="283"/>
              <w:rPr>
                <w:rFonts w:ascii="times" w:hAnsi="times"/>
              </w:rPr>
            </w:pPr>
            <w:r>
              <w:rPr>
                <w:rFonts w:ascii="times" w:hAnsi="times"/>
              </w:rPr>
              <w:br/>
            </w:r>
            <w:r>
              <w:rPr>
                <w:rFonts w:ascii="times" w:hAnsi="times"/>
                <w:sz w:val="20"/>
              </w:rPr>
              <w:t>/s/ VINSON &amp; ELKINS L.L.P.</w:t>
            </w:r>
          </w:p>
        </w:tc>
      </w:tr>
      <w:tr>
        <w:trPr/>
        <w:tc>
          <w:tcPr>
            <w:tcW w:w="507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5073" w:type="dxa"/>
            <w:tcBorders/>
            <w:shd w:fill="auto" w:val="clear"/>
            <w:vAlign w:val="bottom"/>
          </w:tcPr>
          <w:p>
            <w:pPr>
              <w:pStyle w:val="TableContents"/>
              <w:spacing w:before="0" w:after="283"/>
              <w:rPr>
                <w:rFonts w:ascii="times" w:hAnsi="times"/>
              </w:rPr>
            </w:pPr>
            <w:r>
              <w:rPr>
                <w:rFonts w:ascii="times" w:hAnsi="times"/>
              </w:rPr>
              <w:br/>
            </w:r>
            <w:r>
              <w:rPr>
                <w:rFonts w:ascii="times" w:hAnsi="times"/>
                <w:sz w:val="20"/>
              </w:rPr>
              <w:t>Vinson &amp; Elkins L.L.P.</w:t>
            </w:r>
          </w:p>
        </w:tc>
      </w:tr>
    </w:tbl>
    <w:p>
      <w:pPr>
        <w:pStyle w:val="HorizontalLine"/>
        <w:pBdr>
          <w:bottom w:val="single" w:sz="20" w:space="0" w:color="808080"/>
        </w:pBdr>
        <w:rPr/>
      </w:pPr>
      <w:r>
        <w:rPr/>
      </w:r>
      <w:r>
        <w:br w:type="page"/>
      </w:r>
    </w:p>
    <w:p>
      <w:pPr>
        <w:pStyle w:val="TextBody"/>
        <w:rPr/>
      </w:pPr>
      <w:r>
        <w:rPr/>
      </w:r>
    </w:p>
    <w:p>
      <w:pPr>
        <w:pStyle w:val="TextBody"/>
        <w:rPr/>
      </w:pPr>
      <w:r>
        <w:rPr/>
        <w:br/>
      </w:r>
      <w:bookmarkStart w:id="111" w:name="14ZDC44101_3"/>
      <w:bookmarkEnd w:id="111"/>
      <w:r>
        <w:rPr/>
        <w:t>QuickLinks</w:t>
      </w:r>
    </w:p>
    <w:p>
      <w:pPr>
        <w:pStyle w:val="TextBody"/>
        <w:numPr>
          <w:ilvl w:val="0"/>
          <w:numId w:val="0"/>
        </w:numPr>
        <w:ind w:left="707" w:hanging="0"/>
        <w:rPr/>
      </w:pPr>
      <w:hyperlink w:anchor="toc_ke44101_1">
        <w:r>
          <w:rPr>
            <w:rStyle w:val="InternetLink"/>
            <w:rFonts w:ascii="times" w:hAnsi="times"/>
            <w:sz w:val="20"/>
          </w:rPr>
          <w:t>Exhibit 8.1</w:t>
        </w:r>
      </w:hyperlink>
      <w:r>
        <w:br w:type="page"/>
      </w:r>
    </w:p>
    <w:p>
      <w:pPr>
        <w:pStyle w:val="TextBody"/>
        <w:rPr/>
      </w:pPr>
      <w:bookmarkStart w:id="112" w:name="a2222354zex-23_1.htm"/>
      <w:bookmarkStart w:id="113" w:name="ksa2222354zex23_1"/>
      <w:bookmarkEnd w:id="112"/>
      <w:bookmarkEnd w:id="113"/>
      <w:r>
        <w:rPr/>
        <w:br/>
      </w:r>
      <w:hyperlink w:anchor="14ZDC44101_4">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114" w:name="toc_kg44101_1"/>
      <w:bookmarkStart w:id="115" w:name="kg44101_exhibit_23.1"/>
      <w:bookmarkEnd w:id="114"/>
      <w:bookmarkEnd w:id="115"/>
      <w:r>
        <w:rPr>
          <w:rFonts w:ascii="times" w:hAnsi="times"/>
          <w:sz w:val="20"/>
        </w:rPr>
        <w:br/>
      </w:r>
      <w:r>
        <w:rPr>
          <w:rFonts w:ascii="times" w:hAnsi="times"/>
          <w:b/>
          <w:sz w:val="20"/>
        </w:rPr>
        <w:t xml:space="preserve">Exhibit 23.1 </w:t>
      </w:r>
    </w:p>
    <w:p>
      <w:pPr>
        <w:pStyle w:val="TextBody"/>
        <w:jc w:val="center"/>
        <w:rPr>
          <w:rFonts w:ascii="times" w:hAnsi="times"/>
          <w:b/>
          <w:sz w:val="20"/>
        </w:rPr>
      </w:pPr>
      <w:bookmarkStart w:id="116" w:name="toc_kg44101_2"/>
      <w:bookmarkStart w:id="117" w:name="kg44101_consent_of_independent__kg402312"/>
      <w:bookmarkEnd w:id="116"/>
      <w:bookmarkEnd w:id="117"/>
      <w:r>
        <w:rPr>
          <w:rFonts w:ascii="times" w:hAnsi="times"/>
          <w:b/>
          <w:sz w:val="20"/>
        </w:rPr>
        <w:t xml:space="preserve">CONSENT OF INDEPENDENT REGISTERED PUBLIC ACCOUNTING FIRM </w:t>
      </w:r>
    </w:p>
    <w:p>
      <w:pPr>
        <w:pStyle w:val="TextBody"/>
        <w:rPr/>
      </w:pPr>
      <w:r>
        <w:rPr/>
        <w:t>        </w:t>
      </w:r>
      <w:r>
        <w:rPr>
          <w:rFonts w:ascii="times" w:hAnsi="times"/>
          <w:sz w:val="20"/>
        </w:rPr>
        <w:t xml:space="preserve">We hereby consent to the incorporation by reference in this Registration Statement on Form S-3 of our report dated March 12, 2014 relating to the financial statements, which appears in Plains GP Holdings, L.P.'s Annual Report on Form 10-K for the year ended December 31, 2013. We also consent to the reference to us under the heading "Experts" in such Registration Statement. </w:t>
      </w:r>
    </w:p>
    <w:p>
      <w:pPr>
        <w:pStyle w:val="TextBody"/>
        <w:rPr>
          <w:rFonts w:ascii="times" w:hAnsi="times"/>
          <w:sz w:val="20"/>
        </w:rPr>
      </w:pPr>
      <w:r>
        <w:rPr>
          <w:rFonts w:ascii="times" w:hAnsi="times"/>
          <w:sz w:val="20"/>
        </w:rPr>
        <w:t xml:space="preserve">/s/ PricewaterhouseCoopers LLP </w:t>
      </w:r>
    </w:p>
    <w:p>
      <w:pPr>
        <w:pStyle w:val="TextBody"/>
        <w:rPr>
          <w:rFonts w:ascii="times" w:hAnsi="times"/>
          <w:sz w:val="20"/>
        </w:rPr>
      </w:pPr>
      <w:r>
        <w:rPr>
          <w:rFonts w:ascii="times" w:hAnsi="times"/>
          <w:sz w:val="20"/>
        </w:rPr>
        <w:t>Houston, Texas</w:t>
        <w:br/>
        <w:t xml:space="preserve">November 24, 2014 </w:t>
      </w:r>
    </w:p>
    <w:p>
      <w:pPr>
        <w:pStyle w:val="HorizontalLine"/>
        <w:pBdr>
          <w:bottom w:val="single" w:sz="20" w:space="0" w:color="808080"/>
        </w:pBdr>
        <w:rPr/>
      </w:pPr>
      <w:r>
        <w:rPr/>
      </w:r>
      <w:r>
        <w:br w:type="page"/>
      </w:r>
    </w:p>
    <w:p>
      <w:pPr>
        <w:pStyle w:val="TextBody"/>
        <w:rPr/>
      </w:pPr>
      <w:r>
        <w:rPr/>
      </w:r>
    </w:p>
    <w:p>
      <w:pPr>
        <w:pStyle w:val="TextBody"/>
        <w:rPr/>
      </w:pPr>
      <w:r>
        <w:rPr/>
        <w:br/>
      </w:r>
      <w:bookmarkStart w:id="118" w:name="14ZDC44101_4"/>
      <w:bookmarkEnd w:id="118"/>
      <w:r>
        <w:rPr/>
        <w:t>QuickLinks</w:t>
      </w:r>
    </w:p>
    <w:p>
      <w:pPr>
        <w:pStyle w:val="TextBody"/>
        <w:numPr>
          <w:ilvl w:val="0"/>
          <w:numId w:val="0"/>
        </w:numPr>
        <w:ind w:left="707" w:hanging="0"/>
        <w:rPr/>
      </w:pPr>
      <w:hyperlink w:anchor="toc_kg44101_1">
        <w:r>
          <w:rPr>
            <w:rStyle w:val="InternetLink"/>
            <w:rFonts w:ascii="times" w:hAnsi="times"/>
            <w:sz w:val="20"/>
          </w:rPr>
          <w:t>Exhibit 23.1</w:t>
        </w:r>
      </w:hyperlink>
    </w:p>
    <w:p>
      <w:pPr>
        <w:pStyle w:val="TextBody"/>
        <w:spacing w:before="0" w:after="283"/>
        <w:rPr/>
      </w:pPr>
      <w:hyperlink w:anchor="toc_kg44101_2">
        <w:r>
          <w:rPr>
            <w:rStyle w:val="InternetLink"/>
            <w:rFonts w:ascii="times" w:hAnsi="times"/>
            <w:sz w:val="20"/>
          </w:rPr>
          <w:t>CONSENT OF INDEPENDENT REGISTERED PUBLIC ACCOUNTING FIRM</w:t>
        </w:r>
      </w:hyperlink>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w:altName w:val="Times New Roman"/>
    <w:charset w:val="00"/>
    <w:family w:val="auto"/>
    <w:pitch w:val="default"/>
  </w:font>
  <w:font w:name="WINGDINGS">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56</Pages>
  <Words>24855</Words>
  <CharactersWithSpaces>154305</CharactersWithSpaces>
  <Paragraphs>1698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