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As filed with the Securities and Exchange Commission on November 25, 2008</w:t>
      </w:r>
    </w:p>
    <w:p>
      <w:pPr>
        <w:spacing w:after="0" w:line="13" w:lineRule="exact"/>
        <w:rPr>
          <w:sz w:val="20"/>
          <w:szCs w:val="20"/>
          <w:color w:val="auto"/>
        </w:rPr>
      </w:pPr>
    </w:p>
    <w:p>
      <w:pPr>
        <w:ind w:left="988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9525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22860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auto"/>
        </w:rPr>
        <w:t>Form S-3</w:t>
      </w:r>
    </w:p>
    <w:p>
      <w:pPr>
        <w:spacing w:after="0" w:line="35"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REGISTRATION STATEMENT</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UNDER</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55880</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PLAINS ALL AMERICAN PIPELINE, L.P.</w:t>
      </w:r>
    </w:p>
    <w:p>
      <w:pPr>
        <w:spacing w:after="0" w:line="7"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PAA FINANCE CORP.</w:t>
      </w:r>
    </w:p>
    <w:tbl>
      <w:tblPr>
        <w:tblLayout w:type="fixed"/>
        <w:tblInd w:w="2540" w:type="dxa"/>
        <w:tblCellMar>
          <w:top w:w="0" w:type="dxa"/>
          <w:left w:w="0" w:type="dxa"/>
          <w:bottom w:w="0" w:type="dxa"/>
          <w:right w:w="0" w:type="dxa"/>
        </w:tblCellMar>
      </w:tblPr>
      <w:tr>
        <w:trPr>
          <w:trHeight w:val="82"/>
        </w:trPr>
        <w:tc>
          <w:tcPr>
            <w:tcW w:w="1160" w:type="dxa"/>
            <w:vAlign w:val="bottom"/>
          </w:tcPr>
          <w:p>
            <w:pPr>
              <w:spacing w:after="0"/>
              <w:rPr>
                <w:sz w:val="7"/>
                <w:szCs w:val="7"/>
                <w:color w:val="auto"/>
              </w:rPr>
            </w:pPr>
          </w:p>
        </w:tc>
        <w:tc>
          <w:tcPr>
            <w:tcW w:w="5140" w:type="dxa"/>
            <w:vAlign w:val="bottom"/>
          </w:tcPr>
          <w:p>
            <w:pPr>
              <w:jc w:val="center"/>
              <w:ind w:right="1016"/>
              <w:spacing w:after="0" w:line="83" w:lineRule="exact"/>
              <w:rPr>
                <w:sz w:val="20"/>
                <w:szCs w:val="20"/>
                <w:color w:val="auto"/>
              </w:rPr>
            </w:pPr>
            <w:r>
              <w:rPr>
                <w:rFonts w:ascii="Arial" w:cs="Arial" w:eastAsia="Arial" w:hAnsi="Arial"/>
                <w:sz w:val="8"/>
                <w:szCs w:val="8"/>
                <w:i w:val="1"/>
                <w:iCs w:val="1"/>
                <w:color w:val="auto"/>
                <w:w w:val="91"/>
              </w:rPr>
              <w:t>(and certain subsidiaries identified in footnote (*) below)</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36"/>
              <w:spacing w:after="0"/>
              <w:rPr>
                <w:sz w:val="20"/>
                <w:szCs w:val="20"/>
                <w:color w:val="auto"/>
              </w:rPr>
            </w:pPr>
            <w:r>
              <w:rPr>
                <w:rFonts w:ascii="Arial" w:cs="Arial" w:eastAsia="Arial" w:hAnsi="Arial"/>
                <w:sz w:val="8"/>
                <w:szCs w:val="8"/>
                <w:i w:val="1"/>
                <w:iCs w:val="1"/>
                <w:color w:val="auto"/>
                <w:w w:val="89"/>
              </w:rPr>
              <w:t>(Exact Name of Registrant as Specified in its Charter)</w:t>
            </w:r>
          </w:p>
        </w:tc>
      </w:tr>
      <w:tr>
        <w:trPr>
          <w:trHeight w:val="142"/>
        </w:trPr>
        <w:tc>
          <w:tcPr>
            <w:tcW w:w="1160" w:type="dxa"/>
            <w:vAlign w:val="bottom"/>
          </w:tcPr>
          <w:p>
            <w:pPr>
              <w:jc w:val="center"/>
              <w:ind w:right="97"/>
              <w:spacing w:after="0"/>
              <w:rPr>
                <w:sz w:val="20"/>
                <w:szCs w:val="20"/>
                <w:color w:val="auto"/>
              </w:rPr>
            </w:pPr>
            <w:r>
              <w:rPr>
                <w:rFonts w:ascii="Arial" w:cs="Arial" w:eastAsia="Arial" w:hAnsi="Arial"/>
                <w:sz w:val="9"/>
                <w:szCs w:val="9"/>
                <w:b w:val="1"/>
                <w:bCs w:val="1"/>
                <w:color w:val="auto"/>
                <w:w w:val="96"/>
              </w:rPr>
              <w:t>Delaware</w:t>
            </w:r>
          </w:p>
        </w:tc>
        <w:tc>
          <w:tcPr>
            <w:tcW w:w="5140" w:type="dxa"/>
            <w:vAlign w:val="bottom"/>
          </w:tcPr>
          <w:p>
            <w:pPr>
              <w:jc w:val="center"/>
              <w:ind w:left="4376"/>
              <w:spacing w:after="0"/>
              <w:rPr>
                <w:sz w:val="20"/>
                <w:szCs w:val="20"/>
                <w:color w:val="auto"/>
              </w:rPr>
            </w:pPr>
            <w:r>
              <w:rPr>
                <w:rFonts w:ascii="Arial" w:cs="Arial" w:eastAsia="Arial" w:hAnsi="Arial"/>
                <w:sz w:val="9"/>
                <w:szCs w:val="9"/>
                <w:b w:val="1"/>
                <w:bCs w:val="1"/>
                <w:color w:val="auto"/>
                <w:w w:val="91"/>
              </w:rPr>
              <w:t>76-0582150</w:t>
            </w:r>
          </w:p>
        </w:tc>
      </w:tr>
      <w:tr>
        <w:trPr>
          <w:trHeight w:val="104"/>
        </w:trPr>
        <w:tc>
          <w:tcPr>
            <w:tcW w:w="1160" w:type="dxa"/>
            <w:vAlign w:val="bottom"/>
          </w:tcPr>
          <w:p>
            <w:pPr>
              <w:jc w:val="center"/>
              <w:ind w:right="97"/>
              <w:spacing w:after="0"/>
              <w:rPr>
                <w:sz w:val="20"/>
                <w:szCs w:val="20"/>
                <w:color w:val="auto"/>
              </w:rPr>
            </w:pPr>
            <w:r>
              <w:rPr>
                <w:rFonts w:ascii="Arial" w:cs="Arial" w:eastAsia="Arial" w:hAnsi="Arial"/>
                <w:sz w:val="9"/>
                <w:szCs w:val="9"/>
                <w:b w:val="1"/>
                <w:bCs w:val="1"/>
                <w:color w:val="auto"/>
                <w:w w:val="96"/>
              </w:rPr>
              <w:t>Delaware</w:t>
            </w:r>
          </w:p>
        </w:tc>
        <w:tc>
          <w:tcPr>
            <w:tcW w:w="5140" w:type="dxa"/>
            <w:vAlign w:val="bottom"/>
          </w:tcPr>
          <w:p>
            <w:pPr>
              <w:jc w:val="center"/>
              <w:ind w:left="4376"/>
              <w:spacing w:after="0"/>
              <w:rPr>
                <w:sz w:val="20"/>
                <w:szCs w:val="20"/>
                <w:color w:val="auto"/>
              </w:rPr>
            </w:pPr>
            <w:r>
              <w:rPr>
                <w:rFonts w:ascii="Arial" w:cs="Arial" w:eastAsia="Arial" w:hAnsi="Arial"/>
                <w:sz w:val="9"/>
                <w:szCs w:val="9"/>
                <w:b w:val="1"/>
                <w:bCs w:val="1"/>
                <w:color w:val="auto"/>
                <w:w w:val="91"/>
              </w:rPr>
              <w:t>56-2464313</w:t>
            </w:r>
          </w:p>
        </w:tc>
      </w:tr>
      <w:tr>
        <w:trPr>
          <w:trHeight w:val="88"/>
        </w:trPr>
        <w:tc>
          <w:tcPr>
            <w:tcW w:w="1160" w:type="dxa"/>
            <w:vAlign w:val="bottom"/>
          </w:tcPr>
          <w:p>
            <w:pPr>
              <w:jc w:val="center"/>
              <w:ind w:right="117"/>
              <w:spacing w:after="0" w:line="89" w:lineRule="exact"/>
              <w:rPr>
                <w:sz w:val="20"/>
                <w:szCs w:val="20"/>
                <w:color w:val="auto"/>
              </w:rPr>
            </w:pPr>
            <w:r>
              <w:rPr>
                <w:rFonts w:ascii="Arial" w:cs="Arial" w:eastAsia="Arial" w:hAnsi="Arial"/>
                <w:sz w:val="8"/>
                <w:szCs w:val="8"/>
                <w:i w:val="1"/>
                <w:iCs w:val="1"/>
                <w:color w:val="auto"/>
                <w:w w:val="92"/>
              </w:rPr>
              <w:t>(State or Other Jurisdiction of</w:t>
            </w:r>
          </w:p>
        </w:tc>
        <w:tc>
          <w:tcPr>
            <w:tcW w:w="5140" w:type="dxa"/>
            <w:vAlign w:val="bottom"/>
          </w:tcPr>
          <w:p>
            <w:pPr>
              <w:jc w:val="center"/>
              <w:ind w:left="4376"/>
              <w:spacing w:after="0" w:line="89" w:lineRule="exact"/>
              <w:rPr>
                <w:sz w:val="20"/>
                <w:szCs w:val="20"/>
                <w:color w:val="auto"/>
              </w:rPr>
            </w:pPr>
            <w:r>
              <w:rPr>
                <w:rFonts w:ascii="Arial" w:cs="Arial" w:eastAsia="Arial" w:hAnsi="Arial"/>
                <w:sz w:val="8"/>
                <w:szCs w:val="8"/>
                <w:i w:val="1"/>
                <w:iCs w:val="1"/>
                <w:color w:val="auto"/>
                <w:w w:val="88"/>
              </w:rPr>
              <w:t>(I.R.S. Employer</w:t>
            </w:r>
          </w:p>
        </w:tc>
      </w:tr>
      <w:tr>
        <w:trPr>
          <w:trHeight w:val="98"/>
        </w:trPr>
        <w:tc>
          <w:tcPr>
            <w:tcW w:w="1160" w:type="dxa"/>
            <w:vAlign w:val="bottom"/>
          </w:tcPr>
          <w:p>
            <w:pPr>
              <w:jc w:val="center"/>
              <w:ind w:right="117"/>
              <w:spacing w:after="0"/>
              <w:rPr>
                <w:sz w:val="20"/>
                <w:szCs w:val="20"/>
                <w:color w:val="auto"/>
              </w:rPr>
            </w:pPr>
            <w:r>
              <w:rPr>
                <w:rFonts w:ascii="Arial" w:cs="Arial" w:eastAsia="Arial" w:hAnsi="Arial"/>
                <w:sz w:val="8"/>
                <w:szCs w:val="8"/>
                <w:i w:val="1"/>
                <w:iCs w:val="1"/>
                <w:color w:val="auto"/>
                <w:w w:val="94"/>
              </w:rPr>
              <w:t>Incorporation or Organization)</w:t>
            </w:r>
          </w:p>
        </w:tc>
        <w:tc>
          <w:tcPr>
            <w:tcW w:w="5140" w:type="dxa"/>
            <w:vAlign w:val="bottom"/>
          </w:tcPr>
          <w:p>
            <w:pPr>
              <w:jc w:val="center"/>
              <w:ind w:left="4376"/>
              <w:spacing w:after="0"/>
              <w:rPr>
                <w:sz w:val="20"/>
                <w:szCs w:val="20"/>
                <w:color w:val="auto"/>
              </w:rPr>
            </w:pPr>
            <w:r>
              <w:rPr>
                <w:rFonts w:ascii="Arial" w:cs="Arial" w:eastAsia="Arial" w:hAnsi="Arial"/>
                <w:sz w:val="8"/>
                <w:szCs w:val="8"/>
                <w:i w:val="1"/>
                <w:iCs w:val="1"/>
                <w:color w:val="auto"/>
                <w:w w:val="91"/>
              </w:rPr>
              <w:t>Identification Number)</w:t>
            </w:r>
          </w:p>
        </w:tc>
      </w:tr>
      <w:tr>
        <w:trPr>
          <w:trHeight w:val="299"/>
        </w:trPr>
        <w:tc>
          <w:tcPr>
            <w:tcW w:w="1160" w:type="dxa"/>
            <w:vAlign w:val="bottom"/>
          </w:tcPr>
          <w:p>
            <w:pPr>
              <w:spacing w:after="0"/>
              <w:rPr>
                <w:sz w:val="24"/>
                <w:szCs w:val="24"/>
                <w:color w:val="auto"/>
              </w:rPr>
            </w:pPr>
          </w:p>
        </w:tc>
        <w:tc>
          <w:tcPr>
            <w:tcW w:w="5140" w:type="dxa"/>
            <w:vAlign w:val="bottom"/>
          </w:tcPr>
          <w:p>
            <w:pPr>
              <w:jc w:val="center"/>
              <w:ind w:right="1036"/>
              <w:spacing w:after="0"/>
              <w:rPr>
                <w:sz w:val="20"/>
                <w:szCs w:val="20"/>
                <w:color w:val="auto"/>
              </w:rPr>
            </w:pPr>
            <w:r>
              <w:rPr>
                <w:rFonts w:ascii="Arial" w:cs="Arial" w:eastAsia="Arial" w:hAnsi="Arial"/>
                <w:sz w:val="9"/>
                <w:szCs w:val="9"/>
                <w:b w:val="1"/>
                <w:bCs w:val="1"/>
                <w:color w:val="auto"/>
                <w:w w:val="92"/>
              </w:rPr>
              <w:t>333 Clay Street, Suite 1600</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36"/>
              <w:spacing w:after="0" w:line="98" w:lineRule="exact"/>
              <w:rPr>
                <w:sz w:val="20"/>
                <w:szCs w:val="20"/>
                <w:color w:val="auto"/>
              </w:rPr>
            </w:pPr>
            <w:r>
              <w:rPr>
                <w:rFonts w:ascii="Arial" w:cs="Arial" w:eastAsia="Arial" w:hAnsi="Arial"/>
                <w:sz w:val="9"/>
                <w:szCs w:val="9"/>
                <w:b w:val="1"/>
                <w:bCs w:val="1"/>
                <w:color w:val="auto"/>
                <w:w w:val="90"/>
              </w:rPr>
              <w:t>Houston, Texas 77002</w:t>
            </w:r>
          </w:p>
        </w:tc>
      </w:tr>
      <w:tr>
        <w:trPr>
          <w:trHeight w:val="104"/>
        </w:trPr>
        <w:tc>
          <w:tcPr>
            <w:tcW w:w="1160" w:type="dxa"/>
            <w:vAlign w:val="bottom"/>
          </w:tcPr>
          <w:p>
            <w:pPr>
              <w:spacing w:after="0"/>
              <w:rPr>
                <w:sz w:val="9"/>
                <w:szCs w:val="9"/>
                <w:color w:val="auto"/>
              </w:rPr>
            </w:pPr>
          </w:p>
        </w:tc>
        <w:tc>
          <w:tcPr>
            <w:tcW w:w="5140" w:type="dxa"/>
            <w:vAlign w:val="bottom"/>
          </w:tcPr>
          <w:p>
            <w:pPr>
              <w:jc w:val="center"/>
              <w:ind w:right="1036"/>
              <w:spacing w:after="0"/>
              <w:rPr>
                <w:sz w:val="20"/>
                <w:szCs w:val="20"/>
                <w:color w:val="auto"/>
              </w:rPr>
            </w:pPr>
            <w:r>
              <w:rPr>
                <w:rFonts w:ascii="Arial" w:cs="Arial" w:eastAsia="Arial" w:hAnsi="Arial"/>
                <w:sz w:val="9"/>
                <w:szCs w:val="9"/>
                <w:b w:val="1"/>
                <w:bCs w:val="1"/>
                <w:color w:val="auto"/>
                <w:w w:val="94"/>
              </w:rPr>
              <w:t>(713) 646-4100</w:t>
            </w:r>
          </w:p>
        </w:tc>
      </w:tr>
      <w:tr>
        <w:trPr>
          <w:trHeight w:val="83"/>
        </w:trPr>
        <w:tc>
          <w:tcPr>
            <w:tcW w:w="1160" w:type="dxa"/>
            <w:vAlign w:val="bottom"/>
          </w:tcPr>
          <w:p>
            <w:pPr>
              <w:spacing w:after="0"/>
              <w:rPr>
                <w:sz w:val="7"/>
                <w:szCs w:val="7"/>
                <w:color w:val="auto"/>
              </w:rPr>
            </w:pPr>
          </w:p>
        </w:tc>
        <w:tc>
          <w:tcPr>
            <w:tcW w:w="5140" w:type="dxa"/>
            <w:vAlign w:val="bottom"/>
          </w:tcPr>
          <w:p>
            <w:pPr>
              <w:jc w:val="center"/>
              <w:ind w:right="1036"/>
              <w:spacing w:after="0" w:line="83" w:lineRule="exact"/>
              <w:rPr>
                <w:sz w:val="20"/>
                <w:szCs w:val="20"/>
                <w:color w:val="auto"/>
              </w:rPr>
            </w:pPr>
            <w:r>
              <w:rPr>
                <w:rFonts w:ascii="Arial" w:cs="Arial" w:eastAsia="Arial" w:hAnsi="Arial"/>
                <w:sz w:val="8"/>
                <w:szCs w:val="8"/>
                <w:i w:val="1"/>
                <w:iCs w:val="1"/>
                <w:color w:val="auto"/>
                <w:w w:val="89"/>
              </w:rPr>
              <w:t>(Address, Including Zip Code, and Telephone Number, including Area Code, of Registrant’s Principal Executive Offices)</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16"/>
              <w:spacing w:after="0" w:line="98" w:lineRule="exact"/>
              <w:rPr>
                <w:sz w:val="20"/>
                <w:szCs w:val="20"/>
                <w:color w:val="auto"/>
              </w:rPr>
            </w:pPr>
            <w:r>
              <w:rPr>
                <w:rFonts w:ascii="Arial" w:cs="Arial" w:eastAsia="Arial" w:hAnsi="Arial"/>
                <w:sz w:val="9"/>
                <w:szCs w:val="9"/>
                <w:b w:val="1"/>
                <w:bCs w:val="1"/>
                <w:color w:val="auto"/>
                <w:w w:val="96"/>
              </w:rPr>
              <w:t>Tim Moore</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36"/>
              <w:spacing w:after="0" w:line="98" w:lineRule="exact"/>
              <w:rPr>
                <w:sz w:val="20"/>
                <w:szCs w:val="20"/>
                <w:color w:val="auto"/>
              </w:rPr>
            </w:pPr>
            <w:r>
              <w:rPr>
                <w:rFonts w:ascii="Arial" w:cs="Arial" w:eastAsia="Arial" w:hAnsi="Arial"/>
                <w:sz w:val="9"/>
                <w:szCs w:val="9"/>
                <w:b w:val="1"/>
                <w:bCs w:val="1"/>
                <w:color w:val="auto"/>
                <w:w w:val="91"/>
              </w:rPr>
              <w:t>Vice President and General Counsel</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36"/>
              <w:spacing w:after="0" w:line="98" w:lineRule="exact"/>
              <w:rPr>
                <w:sz w:val="20"/>
                <w:szCs w:val="20"/>
                <w:color w:val="auto"/>
              </w:rPr>
            </w:pPr>
            <w:r>
              <w:rPr>
                <w:rFonts w:ascii="Arial" w:cs="Arial" w:eastAsia="Arial" w:hAnsi="Arial"/>
                <w:sz w:val="9"/>
                <w:szCs w:val="9"/>
                <w:b w:val="1"/>
                <w:bCs w:val="1"/>
                <w:color w:val="auto"/>
                <w:w w:val="92"/>
              </w:rPr>
              <w:t>333 Clay Street, Suite 1600</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36"/>
              <w:spacing w:after="0" w:line="98" w:lineRule="exact"/>
              <w:rPr>
                <w:sz w:val="20"/>
                <w:szCs w:val="20"/>
                <w:color w:val="auto"/>
              </w:rPr>
            </w:pPr>
            <w:r>
              <w:rPr>
                <w:rFonts w:ascii="Arial" w:cs="Arial" w:eastAsia="Arial" w:hAnsi="Arial"/>
                <w:sz w:val="9"/>
                <w:szCs w:val="9"/>
                <w:b w:val="1"/>
                <w:bCs w:val="1"/>
                <w:color w:val="auto"/>
                <w:w w:val="90"/>
              </w:rPr>
              <w:t>Houston, Texas 77002</w:t>
            </w:r>
          </w:p>
        </w:tc>
      </w:tr>
      <w:tr>
        <w:trPr>
          <w:trHeight w:val="104"/>
        </w:trPr>
        <w:tc>
          <w:tcPr>
            <w:tcW w:w="1160" w:type="dxa"/>
            <w:vAlign w:val="bottom"/>
          </w:tcPr>
          <w:p>
            <w:pPr>
              <w:spacing w:after="0"/>
              <w:rPr>
                <w:sz w:val="9"/>
                <w:szCs w:val="9"/>
                <w:color w:val="auto"/>
              </w:rPr>
            </w:pPr>
          </w:p>
        </w:tc>
        <w:tc>
          <w:tcPr>
            <w:tcW w:w="5140" w:type="dxa"/>
            <w:vAlign w:val="bottom"/>
          </w:tcPr>
          <w:p>
            <w:pPr>
              <w:jc w:val="center"/>
              <w:ind w:right="1036"/>
              <w:spacing w:after="0"/>
              <w:rPr>
                <w:sz w:val="20"/>
                <w:szCs w:val="20"/>
                <w:color w:val="auto"/>
              </w:rPr>
            </w:pPr>
            <w:r>
              <w:rPr>
                <w:rFonts w:ascii="Arial" w:cs="Arial" w:eastAsia="Arial" w:hAnsi="Arial"/>
                <w:sz w:val="9"/>
                <w:szCs w:val="9"/>
                <w:b w:val="1"/>
                <w:bCs w:val="1"/>
                <w:color w:val="auto"/>
                <w:w w:val="94"/>
              </w:rPr>
              <w:t>(713) 646-4100</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36"/>
              <w:spacing w:after="0"/>
              <w:rPr>
                <w:sz w:val="20"/>
                <w:szCs w:val="20"/>
                <w:color w:val="auto"/>
              </w:rPr>
            </w:pPr>
            <w:r>
              <w:rPr>
                <w:rFonts w:ascii="Arial" w:cs="Arial" w:eastAsia="Arial" w:hAnsi="Arial"/>
                <w:sz w:val="8"/>
                <w:szCs w:val="8"/>
                <w:i w:val="1"/>
                <w:iCs w:val="1"/>
                <w:color w:val="auto"/>
                <w:w w:val="88"/>
              </w:rPr>
              <w:t>(Name, Address, Including Zip Code, and Telephone Number, Including Area Code, of Agent for Service)</w:t>
            </w:r>
          </w:p>
        </w:tc>
      </w:tr>
      <w:tr>
        <w:trPr>
          <w:trHeight w:val="309"/>
        </w:trPr>
        <w:tc>
          <w:tcPr>
            <w:tcW w:w="1160" w:type="dxa"/>
            <w:vAlign w:val="bottom"/>
          </w:tcPr>
          <w:p>
            <w:pPr>
              <w:spacing w:after="0"/>
              <w:rPr>
                <w:sz w:val="24"/>
                <w:szCs w:val="24"/>
                <w:color w:val="auto"/>
              </w:rPr>
            </w:pPr>
          </w:p>
        </w:tc>
        <w:tc>
          <w:tcPr>
            <w:tcW w:w="5140" w:type="dxa"/>
            <w:vAlign w:val="bottom"/>
          </w:tcPr>
          <w:p>
            <w:pPr>
              <w:jc w:val="center"/>
              <w:ind w:right="1016"/>
              <w:spacing w:after="0"/>
              <w:rPr>
                <w:sz w:val="20"/>
                <w:szCs w:val="20"/>
                <w:color w:val="auto"/>
              </w:rPr>
            </w:pPr>
            <w:r>
              <w:rPr>
                <w:rFonts w:ascii="Arial" w:cs="Arial" w:eastAsia="Arial" w:hAnsi="Arial"/>
                <w:sz w:val="9"/>
                <w:szCs w:val="9"/>
                <w:b w:val="1"/>
                <w:bCs w:val="1"/>
                <w:i w:val="1"/>
                <w:iCs w:val="1"/>
                <w:color w:val="auto"/>
                <w:w w:val="87"/>
              </w:rPr>
              <w:t>Copy to:</w:t>
            </w:r>
          </w:p>
        </w:tc>
      </w:tr>
      <w:tr>
        <w:trPr>
          <w:trHeight w:val="128"/>
        </w:trPr>
        <w:tc>
          <w:tcPr>
            <w:tcW w:w="1160" w:type="dxa"/>
            <w:vAlign w:val="bottom"/>
          </w:tcPr>
          <w:p>
            <w:pPr>
              <w:spacing w:after="0"/>
              <w:rPr>
                <w:sz w:val="11"/>
                <w:szCs w:val="11"/>
                <w:color w:val="auto"/>
              </w:rPr>
            </w:pPr>
          </w:p>
        </w:tc>
        <w:tc>
          <w:tcPr>
            <w:tcW w:w="5140" w:type="dxa"/>
            <w:vAlign w:val="bottom"/>
          </w:tcPr>
          <w:p>
            <w:pPr>
              <w:jc w:val="center"/>
              <w:ind w:right="1036"/>
              <w:spacing w:after="0"/>
              <w:rPr>
                <w:sz w:val="20"/>
                <w:szCs w:val="20"/>
                <w:color w:val="auto"/>
              </w:rPr>
            </w:pPr>
            <w:r>
              <w:rPr>
                <w:rFonts w:ascii="Arial" w:cs="Arial" w:eastAsia="Arial" w:hAnsi="Arial"/>
                <w:sz w:val="9"/>
                <w:szCs w:val="9"/>
                <w:b w:val="1"/>
                <w:bCs w:val="1"/>
                <w:color w:val="auto"/>
                <w:w w:val="92"/>
              </w:rPr>
              <w:t>D. Alan Beck, Jr.</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36"/>
              <w:spacing w:after="0" w:line="98" w:lineRule="exact"/>
              <w:rPr>
                <w:sz w:val="20"/>
                <w:szCs w:val="20"/>
                <w:color w:val="auto"/>
              </w:rPr>
            </w:pPr>
            <w:r>
              <w:rPr>
                <w:rFonts w:ascii="Arial" w:cs="Arial" w:eastAsia="Arial" w:hAnsi="Arial"/>
                <w:sz w:val="9"/>
                <w:szCs w:val="9"/>
                <w:b w:val="1"/>
                <w:bCs w:val="1"/>
                <w:color w:val="auto"/>
                <w:w w:val="94"/>
              </w:rPr>
              <w:t>Vinson &amp; Elkins L.L.P.</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36"/>
              <w:spacing w:after="0" w:line="98" w:lineRule="exact"/>
              <w:rPr>
                <w:sz w:val="20"/>
                <w:szCs w:val="20"/>
                <w:color w:val="auto"/>
              </w:rPr>
            </w:pPr>
            <w:r>
              <w:rPr>
                <w:rFonts w:ascii="Arial" w:cs="Arial" w:eastAsia="Arial" w:hAnsi="Arial"/>
                <w:sz w:val="9"/>
                <w:szCs w:val="9"/>
                <w:b w:val="1"/>
                <w:bCs w:val="1"/>
                <w:color w:val="auto"/>
                <w:w w:val="96"/>
              </w:rPr>
              <w:t>First City Tower</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16"/>
              <w:spacing w:after="0" w:line="98" w:lineRule="exact"/>
              <w:rPr>
                <w:sz w:val="20"/>
                <w:szCs w:val="20"/>
                <w:color w:val="auto"/>
              </w:rPr>
            </w:pPr>
            <w:r>
              <w:rPr>
                <w:rFonts w:ascii="Arial" w:cs="Arial" w:eastAsia="Arial" w:hAnsi="Arial"/>
                <w:sz w:val="9"/>
                <w:szCs w:val="9"/>
                <w:b w:val="1"/>
                <w:bCs w:val="1"/>
                <w:color w:val="auto"/>
                <w:w w:val="92"/>
              </w:rPr>
              <w:t>1001 Fannin Street, Suite 2500</w:t>
            </w:r>
          </w:p>
        </w:tc>
      </w:tr>
      <w:tr>
        <w:trPr>
          <w:trHeight w:val="98"/>
        </w:trPr>
        <w:tc>
          <w:tcPr>
            <w:tcW w:w="1160" w:type="dxa"/>
            <w:vAlign w:val="bottom"/>
          </w:tcPr>
          <w:p>
            <w:pPr>
              <w:spacing w:after="0"/>
              <w:rPr>
                <w:sz w:val="8"/>
                <w:szCs w:val="8"/>
                <w:color w:val="auto"/>
              </w:rPr>
            </w:pPr>
          </w:p>
        </w:tc>
        <w:tc>
          <w:tcPr>
            <w:tcW w:w="5140" w:type="dxa"/>
            <w:vAlign w:val="bottom"/>
          </w:tcPr>
          <w:p>
            <w:pPr>
              <w:jc w:val="center"/>
              <w:ind w:right="1036"/>
              <w:spacing w:after="0" w:line="98" w:lineRule="exact"/>
              <w:rPr>
                <w:sz w:val="20"/>
                <w:szCs w:val="20"/>
                <w:color w:val="auto"/>
              </w:rPr>
            </w:pPr>
            <w:r>
              <w:rPr>
                <w:rFonts w:ascii="Arial" w:cs="Arial" w:eastAsia="Arial" w:hAnsi="Arial"/>
                <w:sz w:val="9"/>
                <w:szCs w:val="9"/>
                <w:b w:val="1"/>
                <w:bCs w:val="1"/>
                <w:color w:val="auto"/>
                <w:w w:val="90"/>
              </w:rPr>
              <w:t>Houston, Texas 77002</w:t>
            </w:r>
          </w:p>
        </w:tc>
      </w:tr>
      <w:tr>
        <w:trPr>
          <w:trHeight w:val="118"/>
        </w:trPr>
        <w:tc>
          <w:tcPr>
            <w:tcW w:w="1160" w:type="dxa"/>
            <w:vAlign w:val="bottom"/>
          </w:tcPr>
          <w:p>
            <w:pPr>
              <w:spacing w:after="0"/>
              <w:rPr>
                <w:sz w:val="10"/>
                <w:szCs w:val="10"/>
                <w:color w:val="auto"/>
              </w:rPr>
            </w:pPr>
          </w:p>
        </w:tc>
        <w:tc>
          <w:tcPr>
            <w:tcW w:w="5140" w:type="dxa"/>
            <w:vAlign w:val="bottom"/>
          </w:tcPr>
          <w:p>
            <w:pPr>
              <w:jc w:val="center"/>
              <w:ind w:right="1036"/>
              <w:spacing w:after="0"/>
              <w:rPr>
                <w:sz w:val="20"/>
                <w:szCs w:val="20"/>
                <w:color w:val="auto"/>
              </w:rPr>
            </w:pPr>
            <w:r>
              <w:rPr>
                <w:rFonts w:ascii="Arial" w:cs="Arial" w:eastAsia="Arial" w:hAnsi="Arial"/>
                <w:sz w:val="9"/>
                <w:szCs w:val="9"/>
                <w:b w:val="1"/>
                <w:bCs w:val="1"/>
                <w:color w:val="auto"/>
                <w:w w:val="94"/>
              </w:rPr>
              <w:t>(713) 758-2222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-1282700</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-540385</wp:posOffset>
            </wp:positionV>
            <wp:extent cx="10299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970" cy="635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58420</wp:posOffset>
            </wp:positionV>
            <wp:extent cx="10299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9"/>
          <w:szCs w:val="9"/>
          <w:b w:val="1"/>
          <w:bCs w:val="1"/>
          <w:color w:val="auto"/>
        </w:rPr>
        <w:t xml:space="preserve">Approximate date of commencement of proposed sale to the public: </w:t>
      </w:r>
      <w:r>
        <w:rPr>
          <w:rFonts w:ascii="Arial" w:cs="Arial" w:eastAsia="Arial" w:hAnsi="Arial"/>
          <w:sz w:val="9"/>
          <w:szCs w:val="9"/>
          <w:color w:val="auto"/>
        </w:rPr>
        <w:t>From time to time after the effective date of this Registration Statement.</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9"/>
          <w:szCs w:val="9"/>
          <w:color w:val="auto"/>
        </w:rPr>
        <w:t>If the only securities being registered on this form are being offered pursuant to dividend or interest reinvestment plans, please check the following box. o</w:t>
      </w:r>
    </w:p>
    <w:p>
      <w:pPr>
        <w:spacing w:after="0" w:line="38" w:lineRule="exact"/>
        <w:rPr>
          <w:sz w:val="20"/>
          <w:szCs w:val="20"/>
          <w:color w:val="auto"/>
        </w:rPr>
      </w:pPr>
    </w:p>
    <w:p>
      <w:pPr>
        <w:ind w:left="560"/>
        <w:spacing w:after="0" w:line="92" w:lineRule="exact"/>
        <w:rPr>
          <w:sz w:val="20"/>
          <w:szCs w:val="20"/>
          <w:color w:val="auto"/>
        </w:rPr>
      </w:pPr>
      <w:r>
        <w:rPr>
          <w:rFonts w:ascii="Arial" w:cs="Arial" w:eastAsia="Arial" w:hAnsi="Arial"/>
          <w:sz w:val="8"/>
          <w:szCs w:val="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8"/>
          <w:szCs w:val="8"/>
          <w:color w:val="auto"/>
        </w:rPr>
        <w:t>☑</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8"/>
          <w:szCs w:val="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9"/>
          <w:szCs w:val="9"/>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9"/>
          <w:szCs w:val="9"/>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9"/>
          <w:szCs w:val="9"/>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8"/>
          <w:szCs w:val="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9"/>
          <w:szCs w:val="9"/>
          <w:color w:val="auto"/>
        </w:rPr>
        <w:t>(Check one):</w:t>
      </w:r>
    </w:p>
    <w:tbl>
      <w:tblPr>
        <w:tblLayout w:type="fixed"/>
        <w:tblInd w:w="340" w:type="dxa"/>
        <w:tblCellMar>
          <w:top w:w="0" w:type="dxa"/>
          <w:left w:w="0" w:type="dxa"/>
          <w:bottom w:w="0" w:type="dxa"/>
          <w:right w:w="0" w:type="dxa"/>
        </w:tblCellMar>
      </w:tblPr>
      <w:tr>
        <w:trPr>
          <w:trHeight w:val="89"/>
        </w:trPr>
        <w:tc>
          <w:tcPr>
            <w:tcW w:w="2160" w:type="dxa"/>
            <w:vAlign w:val="bottom"/>
          </w:tcPr>
          <w:p>
            <w:pPr>
              <w:ind w:left="360"/>
              <w:spacing w:after="0" w:line="89" w:lineRule="exact"/>
              <w:rPr>
                <w:sz w:val="20"/>
                <w:szCs w:val="20"/>
                <w:color w:val="auto"/>
              </w:rPr>
            </w:pPr>
            <w:r>
              <w:rPr>
                <w:rFonts w:ascii="Arial" w:cs="Arial" w:eastAsia="Arial" w:hAnsi="Arial"/>
                <w:sz w:val="8"/>
                <w:szCs w:val="8"/>
                <w:color w:val="auto"/>
              </w:rPr>
              <w:t xml:space="preserve">Large accelerated filer </w:t>
            </w:r>
            <w:r>
              <w:rPr>
                <w:rFonts w:ascii="MS PGothic" w:cs="MS PGothic" w:eastAsia="MS PGothic" w:hAnsi="MS PGothic"/>
                <w:sz w:val="8"/>
                <w:szCs w:val="8"/>
                <w:color w:val="auto"/>
              </w:rPr>
              <w:t>☑</w:t>
            </w:r>
          </w:p>
        </w:tc>
        <w:tc>
          <w:tcPr>
            <w:tcW w:w="1940" w:type="dxa"/>
            <w:vAlign w:val="bottom"/>
          </w:tcPr>
          <w:p>
            <w:pPr>
              <w:ind w:left="960"/>
              <w:spacing w:after="0" w:line="89" w:lineRule="exact"/>
              <w:rPr>
                <w:sz w:val="20"/>
                <w:szCs w:val="20"/>
                <w:color w:val="auto"/>
              </w:rPr>
            </w:pPr>
            <w:r>
              <w:rPr>
                <w:rFonts w:ascii="Arial" w:cs="Arial" w:eastAsia="Arial" w:hAnsi="Arial"/>
                <w:sz w:val="8"/>
                <w:szCs w:val="8"/>
                <w:color w:val="auto"/>
              </w:rPr>
              <w:t>Accelerated filer o</w:t>
            </w:r>
          </w:p>
        </w:tc>
        <w:tc>
          <w:tcPr>
            <w:tcW w:w="4540" w:type="dxa"/>
            <w:vAlign w:val="bottom"/>
            <w:gridSpan w:val="2"/>
          </w:tcPr>
          <w:p>
            <w:pPr>
              <w:jc w:val="center"/>
              <w:ind w:left="299"/>
              <w:spacing w:after="0" w:line="89" w:lineRule="exact"/>
              <w:rPr>
                <w:sz w:val="20"/>
                <w:szCs w:val="20"/>
                <w:color w:val="auto"/>
              </w:rPr>
            </w:pPr>
            <w:r>
              <w:rPr>
                <w:rFonts w:ascii="Arial" w:cs="Arial" w:eastAsia="Arial" w:hAnsi="Arial"/>
                <w:sz w:val="8"/>
                <w:szCs w:val="8"/>
                <w:color w:val="auto"/>
                <w:w w:val="89"/>
              </w:rPr>
              <w:t>Non-accelerated filer o</w:t>
            </w:r>
          </w:p>
        </w:tc>
        <w:tc>
          <w:tcPr>
            <w:tcW w:w="2140" w:type="dxa"/>
            <w:vAlign w:val="bottom"/>
          </w:tcPr>
          <w:p>
            <w:pPr>
              <w:ind w:left="880"/>
              <w:spacing w:after="0" w:line="89" w:lineRule="exact"/>
              <w:rPr>
                <w:sz w:val="20"/>
                <w:szCs w:val="20"/>
                <w:color w:val="auto"/>
              </w:rPr>
            </w:pPr>
            <w:r>
              <w:rPr>
                <w:rFonts w:ascii="Arial" w:cs="Arial" w:eastAsia="Arial" w:hAnsi="Arial"/>
                <w:sz w:val="8"/>
                <w:szCs w:val="8"/>
                <w:color w:val="auto"/>
              </w:rPr>
              <w:t>Smaller reporting company o</w:t>
            </w:r>
          </w:p>
        </w:tc>
      </w:tr>
      <w:tr>
        <w:trPr>
          <w:trHeight w:val="98"/>
        </w:trPr>
        <w:tc>
          <w:tcPr>
            <w:tcW w:w="21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540" w:type="dxa"/>
            <w:vAlign w:val="bottom"/>
            <w:gridSpan w:val="2"/>
          </w:tcPr>
          <w:p>
            <w:pPr>
              <w:jc w:val="center"/>
              <w:ind w:left="279"/>
              <w:spacing w:after="0"/>
              <w:rPr>
                <w:sz w:val="20"/>
                <w:szCs w:val="20"/>
                <w:color w:val="auto"/>
              </w:rPr>
            </w:pPr>
            <w:r>
              <w:rPr>
                <w:rFonts w:ascii="Arial" w:cs="Arial" w:eastAsia="Arial" w:hAnsi="Arial"/>
                <w:sz w:val="8"/>
                <w:szCs w:val="8"/>
                <w:color w:val="auto"/>
                <w:w w:val="90"/>
              </w:rPr>
              <w:t>(Do not check if a smaller reporting company)</w:t>
            </w:r>
          </w:p>
        </w:tc>
        <w:tc>
          <w:tcPr>
            <w:tcW w:w="2140" w:type="dxa"/>
            <w:vAlign w:val="bottom"/>
          </w:tcPr>
          <w:p>
            <w:pPr>
              <w:spacing w:after="0"/>
              <w:rPr>
                <w:sz w:val="8"/>
                <w:szCs w:val="8"/>
                <w:color w:val="auto"/>
              </w:rPr>
            </w:pPr>
          </w:p>
        </w:tc>
      </w:tr>
      <w:tr>
        <w:trPr>
          <w:trHeight w:val="151"/>
        </w:trPr>
        <w:tc>
          <w:tcPr>
            <w:tcW w:w="2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540" w:type="dxa"/>
            <w:vAlign w:val="bottom"/>
            <w:gridSpan w:val="2"/>
          </w:tcPr>
          <w:p>
            <w:pPr>
              <w:ind w:left="420"/>
              <w:spacing w:after="0"/>
              <w:rPr>
                <w:sz w:val="20"/>
                <w:szCs w:val="20"/>
                <w:color w:val="auto"/>
              </w:rPr>
            </w:pPr>
            <w:r>
              <w:rPr>
                <w:rFonts w:ascii="Arial" w:cs="Arial" w:eastAsia="Arial" w:hAnsi="Arial"/>
                <w:sz w:val="9"/>
                <w:szCs w:val="9"/>
                <w:b w:val="1"/>
                <w:bCs w:val="1"/>
                <w:color w:val="auto"/>
              </w:rPr>
              <w:t>CALCULATION OF REGISTRATION FEE</w:t>
            </w:r>
          </w:p>
        </w:tc>
        <w:tc>
          <w:tcPr>
            <w:tcW w:w="2140" w:type="dxa"/>
            <w:vAlign w:val="bottom"/>
          </w:tcPr>
          <w:p>
            <w:pPr>
              <w:spacing w:after="0"/>
              <w:rPr>
                <w:sz w:val="13"/>
                <w:szCs w:val="13"/>
                <w:color w:val="auto"/>
              </w:rPr>
            </w:pPr>
          </w:p>
        </w:tc>
      </w:tr>
      <w:tr>
        <w:trPr>
          <w:trHeight w:val="52"/>
        </w:trPr>
        <w:tc>
          <w:tcPr>
            <w:tcW w:w="21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r>
        <w:trPr>
          <w:trHeight w:val="79"/>
        </w:trPr>
        <w:tc>
          <w:tcPr>
            <w:tcW w:w="21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2260" w:type="dxa"/>
            <w:vAlign w:val="bottom"/>
            <w:tcBorders>
              <w:right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9"/>
              </w:rPr>
              <w:t>Proposed Maximum</w:t>
            </w:r>
          </w:p>
        </w:tc>
        <w:tc>
          <w:tcPr>
            <w:tcW w:w="2140" w:type="dxa"/>
            <w:vAlign w:val="bottom"/>
          </w:tcPr>
          <w:p>
            <w:pPr>
              <w:jc w:val="center"/>
              <w:ind w:left="61"/>
              <w:spacing w:after="0" w:line="79" w:lineRule="exact"/>
              <w:rPr>
                <w:sz w:val="20"/>
                <w:szCs w:val="20"/>
                <w:color w:val="auto"/>
              </w:rPr>
            </w:pPr>
            <w:r>
              <w:rPr>
                <w:rFonts w:ascii="Arial" w:cs="Arial" w:eastAsia="Arial" w:hAnsi="Arial"/>
                <w:sz w:val="8"/>
                <w:szCs w:val="8"/>
                <w:b w:val="1"/>
                <w:bCs w:val="1"/>
                <w:color w:val="auto"/>
                <w:w w:val="89"/>
              </w:rPr>
              <w:t>Amount of</w:t>
            </w:r>
          </w:p>
        </w:tc>
      </w:tr>
      <w:tr>
        <w:trPr>
          <w:trHeight w:val="88"/>
        </w:trPr>
        <w:tc>
          <w:tcPr>
            <w:tcW w:w="2160" w:type="dxa"/>
            <w:vAlign w:val="bottom"/>
          </w:tcPr>
          <w:p>
            <w:pPr>
              <w:spacing w:after="0"/>
              <w:rPr>
                <w:sz w:val="7"/>
                <w:szCs w:val="7"/>
                <w:color w:val="auto"/>
              </w:rPr>
            </w:pPr>
          </w:p>
        </w:tc>
        <w:tc>
          <w:tcPr>
            <w:tcW w:w="194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88"/>
              </w:rPr>
              <w:t>Title of Each Class of</w:t>
            </w:r>
          </w:p>
        </w:tc>
        <w:tc>
          <w:tcPr>
            <w:tcW w:w="228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8"/>
                <w:szCs w:val="8"/>
                <w:b w:val="1"/>
                <w:bCs w:val="1"/>
                <w:color w:val="auto"/>
                <w:w w:val="85"/>
              </w:rPr>
              <w:t>Aggregate</w:t>
            </w:r>
          </w:p>
        </w:tc>
        <w:tc>
          <w:tcPr>
            <w:tcW w:w="2140" w:type="dxa"/>
            <w:vAlign w:val="bottom"/>
          </w:tcPr>
          <w:p>
            <w:pPr>
              <w:jc w:val="center"/>
              <w:ind w:left="61"/>
              <w:spacing w:after="0" w:line="89" w:lineRule="exact"/>
              <w:rPr>
                <w:sz w:val="20"/>
                <w:szCs w:val="20"/>
                <w:color w:val="auto"/>
              </w:rPr>
            </w:pPr>
            <w:r>
              <w:rPr>
                <w:rFonts w:ascii="Arial" w:cs="Arial" w:eastAsia="Arial" w:hAnsi="Arial"/>
                <w:sz w:val="8"/>
                <w:szCs w:val="8"/>
                <w:b w:val="1"/>
                <w:bCs w:val="1"/>
                <w:color w:val="auto"/>
                <w:w w:val="85"/>
              </w:rPr>
              <w:t>Registration</w:t>
            </w:r>
          </w:p>
        </w:tc>
      </w:tr>
      <w:tr>
        <w:trPr>
          <w:trHeight w:val="98"/>
        </w:trPr>
        <w:tc>
          <w:tcPr>
            <w:tcW w:w="216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7"/>
              </w:rPr>
              <w:t>Securities to be Registered</w:t>
            </w:r>
          </w:p>
        </w:tc>
        <w:tc>
          <w:tcPr>
            <w:tcW w:w="228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89"/>
              </w:rPr>
              <w:t>Offering Price(2)</w:t>
            </w:r>
          </w:p>
        </w:tc>
        <w:tc>
          <w:tcPr>
            <w:tcW w:w="2140" w:type="dxa"/>
            <w:vAlign w:val="bottom"/>
            <w:tcBorders>
              <w:bottom w:val="single" w:sz="8" w:color="auto"/>
            </w:tcBorders>
          </w:tcPr>
          <w:p>
            <w:pPr>
              <w:jc w:val="center"/>
              <w:ind w:left="61"/>
              <w:spacing w:after="0"/>
              <w:rPr>
                <w:sz w:val="20"/>
                <w:szCs w:val="20"/>
                <w:color w:val="auto"/>
              </w:rPr>
            </w:pPr>
            <w:r>
              <w:rPr>
                <w:rFonts w:ascii="Arial" w:cs="Arial" w:eastAsia="Arial" w:hAnsi="Arial"/>
                <w:sz w:val="8"/>
                <w:szCs w:val="8"/>
                <w:b w:val="1"/>
                <w:bCs w:val="1"/>
                <w:color w:val="auto"/>
                <w:w w:val="86"/>
              </w:rPr>
              <w:t>Fee</w:t>
            </w:r>
          </w:p>
        </w:tc>
      </w:tr>
      <w:tr>
        <w:trPr>
          <w:trHeight w:val="78"/>
        </w:trPr>
        <w:tc>
          <w:tcPr>
            <w:tcW w:w="2160" w:type="dxa"/>
            <w:vAlign w:val="bottom"/>
            <w:tcBorders>
              <w:bottom w:val="single" w:sz="8" w:color="auto"/>
            </w:tcBorders>
          </w:tcPr>
          <w:p>
            <w:pPr>
              <w:spacing w:after="0" w:line="79" w:lineRule="exact"/>
              <w:rPr>
                <w:sz w:val="20"/>
                <w:szCs w:val="20"/>
                <w:color w:val="auto"/>
              </w:rPr>
            </w:pPr>
            <w:r>
              <w:rPr>
                <w:rFonts w:ascii="Arial" w:cs="Arial" w:eastAsia="Arial" w:hAnsi="Arial"/>
                <w:sz w:val="8"/>
                <w:szCs w:val="8"/>
                <w:color w:val="auto"/>
              </w:rPr>
              <w:t>Common units representing limited partner interests</w:t>
            </w:r>
          </w:p>
        </w:tc>
        <w:tc>
          <w:tcPr>
            <w:tcW w:w="1940" w:type="dxa"/>
            <w:vAlign w:val="bottom"/>
            <w:tcBorders>
              <w:bottom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r>
      <w:tr>
        <w:trPr>
          <w:trHeight w:val="78"/>
        </w:trPr>
        <w:tc>
          <w:tcPr>
            <w:tcW w:w="2160" w:type="dxa"/>
            <w:vAlign w:val="bottom"/>
            <w:tcBorders>
              <w:bottom w:val="single" w:sz="8" w:color="auto"/>
            </w:tcBorders>
          </w:tcPr>
          <w:p>
            <w:pPr>
              <w:spacing w:after="0" w:line="79" w:lineRule="exact"/>
              <w:rPr>
                <w:sz w:val="20"/>
                <w:szCs w:val="20"/>
                <w:color w:val="auto"/>
              </w:rPr>
            </w:pPr>
            <w:r>
              <w:rPr>
                <w:rFonts w:ascii="Arial" w:cs="Arial" w:eastAsia="Arial" w:hAnsi="Arial"/>
                <w:sz w:val="8"/>
                <w:szCs w:val="8"/>
                <w:color w:val="auto"/>
              </w:rPr>
              <w:t>Debt securities(1)(2)</w:t>
            </w:r>
          </w:p>
        </w:tc>
        <w:tc>
          <w:tcPr>
            <w:tcW w:w="1940" w:type="dxa"/>
            <w:vAlign w:val="bottom"/>
            <w:tcBorders>
              <w:bottom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r>
      <w:tr>
        <w:trPr>
          <w:trHeight w:val="78"/>
        </w:trPr>
        <w:tc>
          <w:tcPr>
            <w:tcW w:w="2160" w:type="dxa"/>
            <w:vAlign w:val="bottom"/>
            <w:tcBorders>
              <w:bottom w:val="single" w:sz="8" w:color="auto"/>
            </w:tcBorders>
          </w:tcPr>
          <w:p>
            <w:pPr>
              <w:spacing w:after="0" w:line="79" w:lineRule="exact"/>
              <w:rPr>
                <w:sz w:val="20"/>
                <w:szCs w:val="20"/>
                <w:color w:val="auto"/>
              </w:rPr>
            </w:pPr>
            <w:r>
              <w:rPr>
                <w:rFonts w:ascii="Arial" w:cs="Arial" w:eastAsia="Arial" w:hAnsi="Arial"/>
                <w:sz w:val="8"/>
                <w:szCs w:val="8"/>
                <w:color w:val="auto"/>
              </w:rPr>
              <w:t>Guarantees of debt securities(2)</w:t>
            </w:r>
          </w:p>
        </w:tc>
        <w:tc>
          <w:tcPr>
            <w:tcW w:w="1940" w:type="dxa"/>
            <w:vAlign w:val="bottom"/>
            <w:tcBorders>
              <w:bottom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r>
      <w:tr>
        <w:trPr>
          <w:trHeight w:val="88"/>
        </w:trPr>
        <w:tc>
          <w:tcPr>
            <w:tcW w:w="2160" w:type="dxa"/>
            <w:vAlign w:val="bottom"/>
            <w:tcBorders>
              <w:bottom w:val="single" w:sz="8" w:color="auto"/>
            </w:tcBorders>
          </w:tcPr>
          <w:p>
            <w:pPr>
              <w:spacing w:after="0" w:line="79" w:lineRule="exact"/>
              <w:rPr>
                <w:sz w:val="20"/>
                <w:szCs w:val="20"/>
                <w:color w:val="auto"/>
              </w:rPr>
            </w:pPr>
            <w:r>
              <w:rPr>
                <w:rFonts w:ascii="Arial" w:cs="Arial" w:eastAsia="Arial" w:hAnsi="Arial"/>
                <w:sz w:val="8"/>
                <w:szCs w:val="8"/>
                <w:color w:val="auto"/>
              </w:rPr>
              <w:t>Total</w:t>
            </w:r>
          </w:p>
        </w:tc>
        <w:tc>
          <w:tcPr>
            <w:tcW w:w="194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jc w:val="center"/>
              <w:spacing w:after="0" w:line="79" w:lineRule="exact"/>
              <w:rPr>
                <w:sz w:val="20"/>
                <w:szCs w:val="20"/>
                <w:color w:val="auto"/>
              </w:rPr>
            </w:pPr>
            <w:r>
              <w:rPr>
                <w:rFonts w:ascii="Arial" w:cs="Arial" w:eastAsia="Arial" w:hAnsi="Arial"/>
                <w:sz w:val="8"/>
                <w:szCs w:val="8"/>
                <w:color w:val="auto"/>
                <w:w w:val="89"/>
              </w:rPr>
              <w:t>$2,000,000,000(3)(4)(5)</w:t>
            </w:r>
          </w:p>
        </w:tc>
        <w:tc>
          <w:tcPr>
            <w:tcW w:w="2140" w:type="dxa"/>
            <w:vAlign w:val="bottom"/>
            <w:tcBorders>
              <w:bottom w:val="single" w:sz="8" w:color="auto"/>
            </w:tcBorders>
          </w:tcPr>
          <w:p>
            <w:pPr>
              <w:jc w:val="center"/>
              <w:ind w:left="61"/>
              <w:spacing w:after="0" w:line="79" w:lineRule="exact"/>
              <w:rPr>
                <w:sz w:val="20"/>
                <w:szCs w:val="20"/>
                <w:color w:val="auto"/>
              </w:rPr>
            </w:pPr>
            <w:r>
              <w:rPr>
                <w:rFonts w:ascii="Arial" w:cs="Arial" w:eastAsia="Arial" w:hAnsi="Arial"/>
                <w:sz w:val="8"/>
                <w:szCs w:val="8"/>
                <w:color w:val="auto"/>
                <w:w w:val="90"/>
              </w:rPr>
              <w:t>$78,600(6)(7)</w:t>
            </w:r>
          </w:p>
        </w:tc>
      </w:tr>
    </w:tbl>
    <w:p>
      <w:pPr>
        <w:spacing w:after="0" w:line="136" w:lineRule="exact"/>
        <w:rPr>
          <w:sz w:val="20"/>
          <w:szCs w:val="20"/>
          <w:color w:val="auto"/>
        </w:rPr>
      </w:pPr>
    </w:p>
    <w:p>
      <w:pPr>
        <w:ind w:left="560" w:hanging="206"/>
        <w:spacing w:after="0"/>
        <w:tabs>
          <w:tab w:leader="none" w:pos="560" w:val="left"/>
        </w:tabs>
        <w:numPr>
          <w:ilvl w:val="0"/>
          <w:numId w:val="1"/>
        </w:numPr>
        <w:rPr>
          <w:rFonts w:ascii="Arial" w:cs="Arial" w:eastAsia="Arial" w:hAnsi="Arial"/>
          <w:sz w:val="8"/>
          <w:szCs w:val="8"/>
          <w:color w:val="auto"/>
        </w:rPr>
      </w:pPr>
      <w:r>
        <w:rPr>
          <w:rFonts w:ascii="Arial" w:cs="Arial" w:eastAsia="Arial" w:hAnsi="Arial"/>
          <w:sz w:val="8"/>
          <w:szCs w:val="8"/>
          <w:color w:val="auto"/>
        </w:rPr>
        <w:t>If any debt securities are issued at an original issue discount, then the offering price of those debt securities shall be in an amount that will result in an aggregate initial offering price not to exceed $2,000,000,000, less the dollar amount of any registered securities previously issued.</w:t>
      </w:r>
    </w:p>
    <w:p>
      <w:pPr>
        <w:spacing w:after="0" w:line="45" w:lineRule="exact"/>
        <w:rPr>
          <w:rFonts w:ascii="Arial" w:cs="Arial" w:eastAsia="Arial" w:hAnsi="Arial"/>
          <w:sz w:val="8"/>
          <w:szCs w:val="8"/>
          <w:color w:val="auto"/>
        </w:rPr>
      </w:pPr>
    </w:p>
    <w:p>
      <w:pPr>
        <w:ind w:left="560" w:hanging="206"/>
        <w:spacing w:after="0"/>
        <w:tabs>
          <w:tab w:leader="none" w:pos="560" w:val="left"/>
        </w:tabs>
        <w:numPr>
          <w:ilvl w:val="0"/>
          <w:numId w:val="1"/>
        </w:numPr>
        <w:rPr>
          <w:rFonts w:ascii="Arial" w:cs="Arial" w:eastAsia="Arial" w:hAnsi="Arial"/>
          <w:sz w:val="8"/>
          <w:szCs w:val="8"/>
          <w:color w:val="auto"/>
        </w:rPr>
      </w:pPr>
      <w:r>
        <w:rPr>
          <w:rFonts w:ascii="Arial" w:cs="Arial" w:eastAsia="Arial" w:hAnsi="Arial"/>
          <w:sz w:val="8"/>
          <w:szCs w:val="8"/>
          <w:color w:val="auto"/>
        </w:rPr>
        <w:t>If a series of debt securities is guaranteed, such series will be guaranteed by certain subsidiaries of Plains All American Pipeline, L.P. that make up the co-registrants. Pursuant to Rule 457(n), no separate fee is payable with respect to the guarantees of the debt securities being registered.</w:t>
      </w:r>
    </w:p>
    <w:p>
      <w:pPr>
        <w:spacing w:after="0" w:line="45" w:lineRule="exact"/>
        <w:rPr>
          <w:rFonts w:ascii="Arial" w:cs="Arial" w:eastAsia="Arial" w:hAnsi="Arial"/>
          <w:sz w:val="8"/>
          <w:szCs w:val="8"/>
          <w:color w:val="auto"/>
        </w:rPr>
      </w:pPr>
    </w:p>
    <w:p>
      <w:pPr>
        <w:ind w:left="560" w:right="40" w:hanging="206"/>
        <w:spacing w:after="0" w:line="307" w:lineRule="auto"/>
        <w:tabs>
          <w:tab w:leader="none" w:pos="560" w:val="left"/>
        </w:tabs>
        <w:numPr>
          <w:ilvl w:val="0"/>
          <w:numId w:val="1"/>
        </w:numPr>
        <w:rPr>
          <w:rFonts w:ascii="Arial" w:cs="Arial" w:eastAsia="Arial" w:hAnsi="Arial"/>
          <w:sz w:val="8"/>
          <w:szCs w:val="8"/>
          <w:color w:val="auto"/>
        </w:rPr>
      </w:pPr>
      <w:r>
        <w:rPr>
          <w:rFonts w:ascii="Arial" w:cs="Arial" w:eastAsia="Arial" w:hAnsi="Arial"/>
          <w:sz w:val="8"/>
          <w:szCs w:val="8"/>
          <w:color w:val="auto"/>
        </w:rPr>
        <w:t>Estimated solely for the purpose of calculating the registration fee pursuant to Rule 457(o). In no event will the aggregate initial offering price of all securities offered from time to time pursuant to the prospectus included as a part of this Registration Statement exceed $2,000,000,000. To the extent applicable, the aggregate amount of common units registered is further limited to that which is permissible under Rule 415(a)(4) of the Securities Act. Any securities registered hereunder may be sold separately or as units with other securities registered hereunder.</w:t>
      </w:r>
    </w:p>
    <w:p>
      <w:pPr>
        <w:ind w:left="560" w:hanging="206"/>
        <w:spacing w:after="0"/>
        <w:tabs>
          <w:tab w:leader="none" w:pos="560" w:val="left"/>
        </w:tabs>
        <w:numPr>
          <w:ilvl w:val="0"/>
          <w:numId w:val="1"/>
        </w:numPr>
        <w:rPr>
          <w:rFonts w:ascii="Arial" w:cs="Arial" w:eastAsia="Arial" w:hAnsi="Arial"/>
          <w:sz w:val="9"/>
          <w:szCs w:val="9"/>
          <w:color w:val="auto"/>
        </w:rPr>
      </w:pPr>
      <w:r>
        <w:rPr>
          <w:rFonts w:ascii="Arial" w:cs="Arial" w:eastAsia="Arial" w:hAnsi="Arial"/>
          <w:sz w:val="9"/>
          <w:szCs w:val="9"/>
          <w:color w:val="auto"/>
        </w:rPr>
        <w:t>There are being registered hereunder a presently indeterminate number of common units and an indeterminate principal amount of debt securities and guarantees of debt securities.</w:t>
      </w:r>
    </w:p>
    <w:p>
      <w:pPr>
        <w:spacing w:after="0" w:line="34" w:lineRule="exact"/>
        <w:rPr>
          <w:rFonts w:ascii="Arial" w:cs="Arial" w:eastAsia="Arial" w:hAnsi="Arial"/>
          <w:sz w:val="9"/>
          <w:szCs w:val="9"/>
          <w:color w:val="auto"/>
        </w:rPr>
      </w:pPr>
    </w:p>
    <w:p>
      <w:pPr>
        <w:ind w:left="560" w:hanging="206"/>
        <w:spacing w:after="0"/>
        <w:tabs>
          <w:tab w:leader="none" w:pos="560" w:val="left"/>
        </w:tabs>
        <w:numPr>
          <w:ilvl w:val="0"/>
          <w:numId w:val="1"/>
        </w:numPr>
        <w:rPr>
          <w:rFonts w:ascii="Arial" w:cs="Arial" w:eastAsia="Arial" w:hAnsi="Arial"/>
          <w:sz w:val="9"/>
          <w:szCs w:val="9"/>
          <w:color w:val="auto"/>
        </w:rPr>
      </w:pPr>
      <w:r>
        <w:rPr>
          <w:rFonts w:ascii="Arial" w:cs="Arial" w:eastAsia="Arial" w:hAnsi="Arial"/>
          <w:sz w:val="9"/>
          <w:szCs w:val="9"/>
          <w:color w:val="auto"/>
        </w:rPr>
        <w:t>The proposed maximum aggregate offering price for each class of securities to be registered is not specified pursuant to General Instruction, II.D. of Form S-3.</w:t>
      </w:r>
    </w:p>
    <w:p>
      <w:pPr>
        <w:spacing w:after="0" w:line="34" w:lineRule="exact"/>
        <w:rPr>
          <w:rFonts w:ascii="Arial" w:cs="Arial" w:eastAsia="Arial" w:hAnsi="Arial"/>
          <w:sz w:val="9"/>
          <w:szCs w:val="9"/>
          <w:color w:val="auto"/>
        </w:rPr>
      </w:pPr>
    </w:p>
    <w:p>
      <w:pPr>
        <w:ind w:left="560" w:hanging="206"/>
        <w:spacing w:after="0"/>
        <w:tabs>
          <w:tab w:leader="none" w:pos="560" w:val="left"/>
        </w:tabs>
        <w:numPr>
          <w:ilvl w:val="0"/>
          <w:numId w:val="1"/>
        </w:numPr>
        <w:rPr>
          <w:rFonts w:ascii="Arial" w:cs="Arial" w:eastAsia="Arial" w:hAnsi="Arial"/>
          <w:sz w:val="9"/>
          <w:szCs w:val="9"/>
          <w:color w:val="auto"/>
        </w:rPr>
      </w:pPr>
      <w:r>
        <w:rPr>
          <w:rFonts w:ascii="Arial" w:cs="Arial" w:eastAsia="Arial" w:hAnsi="Arial"/>
          <w:sz w:val="9"/>
          <w:szCs w:val="9"/>
          <w:color w:val="auto"/>
        </w:rPr>
        <w:t>Calculated in accordance with Rule 457(o).</w:t>
      </w:r>
    </w:p>
    <w:p>
      <w:pPr>
        <w:spacing w:after="0" w:line="34" w:lineRule="exact"/>
        <w:rPr>
          <w:rFonts w:ascii="Arial" w:cs="Arial" w:eastAsia="Arial" w:hAnsi="Arial"/>
          <w:sz w:val="9"/>
          <w:szCs w:val="9"/>
          <w:color w:val="auto"/>
        </w:rPr>
      </w:pPr>
    </w:p>
    <w:p>
      <w:pPr>
        <w:jc w:val="both"/>
        <w:ind w:left="560" w:right="80" w:hanging="206"/>
        <w:spacing w:after="0" w:line="318" w:lineRule="auto"/>
        <w:tabs>
          <w:tab w:leader="none" w:pos="560" w:val="left"/>
        </w:tabs>
        <w:numPr>
          <w:ilvl w:val="0"/>
          <w:numId w:val="1"/>
        </w:numPr>
        <w:rPr>
          <w:rFonts w:ascii="Arial" w:cs="Arial" w:eastAsia="Arial" w:hAnsi="Arial"/>
          <w:sz w:val="8"/>
          <w:szCs w:val="8"/>
          <w:color w:val="auto"/>
        </w:rPr>
      </w:pPr>
      <w:r>
        <w:rPr>
          <w:rFonts w:ascii="Arial" w:cs="Arial" w:eastAsia="Arial" w:hAnsi="Arial"/>
          <w:sz w:val="8"/>
          <w:szCs w:val="8"/>
          <w:color w:val="auto"/>
        </w:rPr>
        <w:t>This Registration Statement includes common units, debt securities and guarantees of debt securities with an aggregate offering price of $449,568,352 that were previously covered by Registration Statement No. 333-126447. Pursuant to Rule 415(a)(6) of the Securities Act, the $52,917 filing fee previously paid in connection with such unsold common units, debt securities and guarantees of debt securities will continue to be applied to such unsold common units, debt securities and guarantees of debt securities. As a result, a filing fee of $60,931 is being paid herewith.</w:t>
      </w:r>
    </w:p>
    <w:p>
      <w:pPr>
        <w:spacing w:after="0" w:line="2" w:lineRule="exact"/>
        <w:rPr>
          <w:sz w:val="20"/>
          <w:szCs w:val="20"/>
          <w:color w:val="auto"/>
        </w:rPr>
      </w:pPr>
    </w:p>
    <w:p>
      <w:pPr>
        <w:ind w:left="340" w:right="40" w:firstLine="216"/>
        <w:spacing w:after="0" w:line="256" w:lineRule="auto"/>
        <w:rPr>
          <w:sz w:val="20"/>
          <w:szCs w:val="20"/>
          <w:color w:val="auto"/>
        </w:rPr>
      </w:pPr>
      <w:r>
        <w:rPr>
          <w:rFonts w:ascii="Arial" w:cs="Arial" w:eastAsia="Arial" w:hAnsi="Arial"/>
          <w:sz w:val="9"/>
          <w:szCs w:val="9"/>
          <w:color w:val="auto"/>
        </w:rPr>
        <w:t>Pursuant to Rule 415(a)(6), the offering of the common units, debt securities and guarantees of debt securities covered by this Registration Statement that were previously covered by Registration Statement No. 333-126447 will be deemed terminated as of the date of effectiveness of this Registration Statement.</w:t>
      </w:r>
    </w:p>
    <w:p>
      <w:pPr>
        <w:spacing w:after="0" w:line="23" w:lineRule="exact"/>
        <w:rPr>
          <w:sz w:val="20"/>
          <w:szCs w:val="20"/>
          <w:color w:val="auto"/>
        </w:rPr>
      </w:pPr>
    </w:p>
    <w:p>
      <w:pPr>
        <w:ind w:left="340" w:right="40" w:firstLine="216"/>
        <w:spacing w:after="0" w:line="260" w:lineRule="auto"/>
        <w:rPr>
          <w:sz w:val="20"/>
          <w:szCs w:val="20"/>
          <w:color w:val="auto"/>
        </w:rPr>
      </w:pPr>
      <w:r>
        <w:rPr>
          <w:rFonts w:ascii="Arial" w:cs="Arial" w:eastAsia="Arial" w:hAnsi="Arial"/>
          <w:sz w:val="9"/>
          <w:szCs w:val="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15875</wp:posOffset>
            </wp:positionV>
            <wp:extent cx="684720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900" w:hanging="213"/>
        <w:spacing w:after="0"/>
        <w:tabs>
          <w:tab w:leader="none" w:pos="900" w:val="left"/>
        </w:tabs>
        <w:numPr>
          <w:ilvl w:val="0"/>
          <w:numId w:val="2"/>
        </w:numPr>
        <w:rPr>
          <w:rFonts w:ascii="Arial" w:cs="Arial" w:eastAsia="Arial" w:hAnsi="Arial"/>
          <w:sz w:val="9"/>
          <w:szCs w:val="9"/>
          <w:color w:val="auto"/>
        </w:rPr>
      </w:pPr>
      <w:r>
        <w:rPr>
          <w:rFonts w:ascii="Arial" w:cs="Arial" w:eastAsia="Arial" w:hAnsi="Arial"/>
          <w:sz w:val="9"/>
          <w:szCs w:val="9"/>
          <w:color w:val="auto"/>
        </w:rPr>
        <w:t>The following are co-registrants that may guarantee the debt securities: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8140" w:type="dxa"/>
            <w:vAlign w:val="bottom"/>
          </w:tcPr>
          <w:p>
            <w:pPr>
              <w:jc w:val="center"/>
              <w:ind w:right="4102"/>
              <w:spacing w:after="0"/>
              <w:rPr>
                <w:sz w:val="20"/>
                <w:szCs w:val="20"/>
                <w:color w:val="auto"/>
              </w:rPr>
            </w:pPr>
            <w:r>
              <w:rPr>
                <w:rFonts w:ascii="Arial" w:cs="Arial" w:eastAsia="Arial" w:hAnsi="Arial"/>
                <w:sz w:val="13"/>
                <w:szCs w:val="13"/>
                <w:b w:val="1"/>
                <w:bCs w:val="1"/>
                <w:color w:val="auto"/>
                <w:w w:val="93"/>
              </w:rPr>
              <w:t>Plains Marketing, L.P.</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303"/>
              <w:spacing w:after="0"/>
              <w:rPr>
                <w:sz w:val="20"/>
                <w:szCs w:val="20"/>
                <w:color w:val="auto"/>
              </w:rPr>
            </w:pPr>
            <w:r>
              <w:rPr>
                <w:rFonts w:ascii="Arial" w:cs="Arial" w:eastAsia="Arial" w:hAnsi="Arial"/>
                <w:sz w:val="13"/>
                <w:szCs w:val="13"/>
                <w:b w:val="1"/>
                <w:bCs w:val="1"/>
                <w:color w:val="auto"/>
                <w:w w:val="86"/>
              </w:rPr>
              <w:t>Texas</w:t>
            </w:r>
          </w:p>
        </w:tc>
        <w:tc>
          <w:tcPr>
            <w:tcW w:w="8140" w:type="dxa"/>
            <w:vAlign w:val="bottom"/>
          </w:tcPr>
          <w:p>
            <w:pPr>
              <w:jc w:val="center"/>
              <w:ind w:left="5542"/>
              <w:spacing w:after="0"/>
              <w:rPr>
                <w:sz w:val="20"/>
                <w:szCs w:val="20"/>
                <w:color w:val="auto"/>
              </w:rPr>
            </w:pPr>
            <w:r>
              <w:rPr>
                <w:rFonts w:ascii="Arial" w:cs="Arial" w:eastAsia="Arial" w:hAnsi="Arial"/>
                <w:sz w:val="13"/>
                <w:szCs w:val="13"/>
                <w:b w:val="1"/>
                <w:bCs w:val="1"/>
                <w:color w:val="auto"/>
                <w:w w:val="89"/>
              </w:rPr>
              <w:t>76-0587115</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30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1"/>
              </w:rPr>
              <w:t>Plains Pipeline, L.P.</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303"/>
              <w:spacing w:after="0"/>
              <w:rPr>
                <w:sz w:val="20"/>
                <w:szCs w:val="20"/>
                <w:color w:val="auto"/>
              </w:rPr>
            </w:pPr>
            <w:r>
              <w:rPr>
                <w:rFonts w:ascii="Arial" w:cs="Arial" w:eastAsia="Arial" w:hAnsi="Arial"/>
                <w:sz w:val="13"/>
                <w:szCs w:val="13"/>
                <w:b w:val="1"/>
                <w:bCs w:val="1"/>
                <w:color w:val="auto"/>
                <w:w w:val="86"/>
              </w:rPr>
              <w:t>Texas</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76-0587185</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30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4"/>
              </w:rPr>
              <w:t>Plains Marketing GP Inc.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76-0684572</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30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02"/>
              <w:spacing w:after="0"/>
              <w:rPr>
                <w:sz w:val="20"/>
                <w:szCs w:val="20"/>
                <w:color w:val="auto"/>
              </w:rPr>
            </w:pPr>
            <w:r>
              <w:rPr>
                <w:rFonts w:ascii="Arial" w:cs="Arial" w:eastAsia="Arial" w:hAnsi="Arial"/>
                <w:sz w:val="13"/>
                <w:szCs w:val="13"/>
                <w:b w:val="1"/>
                <w:bCs w:val="1"/>
                <w:color w:val="auto"/>
                <w:w w:val="95"/>
              </w:rPr>
              <w:t>Plains Marketing Canada LLC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76-0653735</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30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2"/>
              </w:rPr>
              <w:t>Plains Marketing Canada, L.P.</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3"/>
              </w:rPr>
              <w:t>Alberta</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75-2979793</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30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02"/>
              <w:spacing w:after="0"/>
              <w:rPr>
                <w:sz w:val="20"/>
                <w:szCs w:val="20"/>
                <w:color w:val="auto"/>
              </w:rPr>
            </w:pPr>
            <w:r>
              <w:rPr>
                <w:rFonts w:ascii="Arial" w:cs="Arial" w:eastAsia="Arial" w:hAnsi="Arial"/>
                <w:sz w:val="13"/>
                <w:szCs w:val="13"/>
                <w:b w:val="1"/>
                <w:bCs w:val="1"/>
                <w:color w:val="auto"/>
                <w:w w:val="93"/>
              </w:rPr>
              <w:t>PMC (Nova Scotia) Company</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88"/>
              </w:rPr>
              <w:t>Nova Scotia</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52-2316677</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30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3"/>
              </w:rPr>
              <w:t>Basin Holdings GP LLC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13-4204744</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30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02"/>
              <w:spacing w:after="0"/>
              <w:rPr>
                <w:sz w:val="20"/>
                <w:szCs w:val="20"/>
                <w:color w:val="auto"/>
              </w:rPr>
            </w:pPr>
            <w:r>
              <w:rPr>
                <w:rFonts w:ascii="Arial" w:cs="Arial" w:eastAsia="Arial" w:hAnsi="Arial"/>
                <w:sz w:val="13"/>
                <w:szCs w:val="13"/>
                <w:b w:val="1"/>
                <w:bCs w:val="1"/>
                <w:color w:val="auto"/>
                <w:w w:val="90"/>
              </w:rPr>
              <w:t>Basin Pipeline Holdings, L.P.</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13-4204757</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30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3"/>
              </w:rPr>
              <w:t>Rancho LPG Holdings LLC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13-4204734</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30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1"/>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4"/>
              </w:rPr>
              <w:t>Pacific Energy Group LLC</w:t>
            </w:r>
          </w:p>
        </w:tc>
      </w:tr>
      <w:tr>
        <w:trPr>
          <w:trHeight w:val="153"/>
        </w:trPr>
        <w:tc>
          <w:tcPr>
            <w:tcW w:w="3320" w:type="dxa"/>
            <w:vAlign w:val="bottom"/>
          </w:tcPr>
          <w:p>
            <w:pPr>
              <w:spacing w:after="0"/>
              <w:rPr>
                <w:sz w:val="13"/>
                <w:szCs w:val="13"/>
                <w:color w:val="auto"/>
              </w:rPr>
            </w:pPr>
          </w:p>
        </w:tc>
        <w:tc>
          <w:tcPr>
            <w:tcW w:w="8140" w:type="dxa"/>
            <w:vAlign w:val="bottom"/>
          </w:tcPr>
          <w:p>
            <w:pPr>
              <w:jc w:val="center"/>
              <w:ind w:right="4102"/>
              <w:spacing w:after="0"/>
              <w:rPr>
                <w:sz w:val="20"/>
                <w:szCs w:val="20"/>
                <w:color w:val="auto"/>
              </w:rPr>
            </w:pPr>
            <w:r>
              <w:rPr>
                <w:rFonts w:ascii="Arial" w:cs="Arial" w:eastAsia="Arial" w:hAnsi="Arial"/>
                <w:sz w:val="13"/>
                <w:szCs w:val="13"/>
                <w:i w:val="1"/>
                <w:iCs w:val="1"/>
                <w:color w:val="auto"/>
                <w:w w:val="95"/>
              </w:rPr>
              <w:t>(</w:t>
            </w: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84-1598428</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30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6"/>
              </w:rPr>
              <w:t>Pacific L.A. Marine Terminal LLC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20-3677976</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3320" w:type="dxa"/>
            <w:vAlign w:val="bottom"/>
          </w:tcPr>
          <w:p>
            <w:pPr>
              <w:jc w:val="center"/>
              <w:ind w:left="303"/>
              <w:spacing w:after="0"/>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rPr>
                <w:sz w:val="20"/>
                <w:szCs w:val="20"/>
                <w:color w:val="auto"/>
              </w:rPr>
            </w:pPr>
            <w:r>
              <w:rPr>
                <w:rFonts w:ascii="Arial" w:cs="Arial" w:eastAsia="Arial" w:hAnsi="Arial"/>
                <w:sz w:val="10"/>
                <w:szCs w:val="10"/>
                <w:i w:val="1"/>
                <w:iCs w:val="1"/>
                <w:color w:val="auto"/>
                <w:w w:val="98"/>
              </w:rPr>
              <w:t>Identification Number)</w:t>
            </w:r>
          </w:p>
        </w:tc>
      </w:tr>
      <w:tr>
        <w:trPr>
          <w:trHeight w:val="152"/>
        </w:trPr>
        <w:tc>
          <w:tcPr>
            <w:tcW w:w="3320" w:type="dxa"/>
            <w:vAlign w:val="bottom"/>
            <w:tcBorders>
              <w:bottom w:val="single" w:sz="8" w:color="808080"/>
            </w:tcBorders>
          </w:tcPr>
          <w:p>
            <w:pPr>
              <w:spacing w:after="0"/>
              <w:rPr>
                <w:sz w:val="13"/>
                <w:szCs w:val="13"/>
                <w:color w:val="auto"/>
              </w:rPr>
            </w:pPr>
          </w:p>
        </w:tc>
        <w:tc>
          <w:tcPr>
            <w:tcW w:w="81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2"/>
              </w:rPr>
              <w:t>Rocky Mountain Pipeline System LLC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84-1609139</w:t>
            </w:r>
          </w:p>
        </w:tc>
      </w:tr>
      <w:tr>
        <w:trPr>
          <w:trHeight w:val="108"/>
        </w:trPr>
        <w:tc>
          <w:tcPr>
            <w:tcW w:w="3320" w:type="dxa"/>
            <w:vAlign w:val="bottom"/>
          </w:tcPr>
          <w:p>
            <w:pPr>
              <w:jc w:val="center"/>
              <w:ind w:left="24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4"/>
              </w:rPr>
              <w:t>Pacific Atlantic Terminals LLC</w:t>
            </w:r>
          </w:p>
        </w:tc>
      </w:tr>
      <w:tr>
        <w:trPr>
          <w:trHeight w:val="303"/>
        </w:trPr>
        <w:tc>
          <w:tcPr>
            <w:tcW w:w="3320" w:type="dxa"/>
            <w:vAlign w:val="bottom"/>
          </w:tcPr>
          <w:p>
            <w:pPr>
              <w:spacing w:after="0"/>
              <w:rPr>
                <w:sz w:val="24"/>
                <w:szCs w:val="24"/>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20-3209607</w:t>
            </w:r>
          </w:p>
        </w:tc>
      </w:tr>
      <w:tr>
        <w:trPr>
          <w:trHeight w:val="108"/>
        </w:trPr>
        <w:tc>
          <w:tcPr>
            <w:tcW w:w="3320" w:type="dxa"/>
            <w:vAlign w:val="bottom"/>
          </w:tcPr>
          <w:p>
            <w:pPr>
              <w:jc w:val="center"/>
              <w:ind w:left="24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2"/>
              </w:rPr>
              <w:t>Plains Towing LLC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26-1097520</w:t>
            </w:r>
          </w:p>
        </w:tc>
      </w:tr>
      <w:tr>
        <w:trPr>
          <w:trHeight w:val="108"/>
        </w:trPr>
        <w:tc>
          <w:tcPr>
            <w:tcW w:w="3320" w:type="dxa"/>
            <w:vAlign w:val="bottom"/>
          </w:tcPr>
          <w:p>
            <w:pPr>
              <w:jc w:val="center"/>
              <w:ind w:left="24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2"/>
              </w:rPr>
              <w:t>Plains LPG Services GP LLC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20-0046552</w:t>
            </w:r>
          </w:p>
        </w:tc>
      </w:tr>
      <w:tr>
        <w:trPr>
          <w:trHeight w:val="108"/>
        </w:trPr>
        <w:tc>
          <w:tcPr>
            <w:tcW w:w="3320" w:type="dxa"/>
            <w:vAlign w:val="bottom"/>
          </w:tcPr>
          <w:p>
            <w:pPr>
              <w:jc w:val="center"/>
              <w:ind w:left="24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rPr>
              <w:t>PICSCO LLC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20-3568639</w:t>
            </w:r>
          </w:p>
        </w:tc>
      </w:tr>
      <w:tr>
        <w:trPr>
          <w:trHeight w:val="108"/>
        </w:trPr>
        <w:tc>
          <w:tcPr>
            <w:tcW w:w="3320" w:type="dxa"/>
            <w:vAlign w:val="bottom"/>
          </w:tcPr>
          <w:p>
            <w:pPr>
              <w:jc w:val="center"/>
              <w:ind w:left="24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02"/>
              <w:spacing w:after="0"/>
              <w:rPr>
                <w:sz w:val="20"/>
                <w:szCs w:val="20"/>
                <w:color w:val="auto"/>
              </w:rPr>
            </w:pPr>
            <w:r>
              <w:rPr>
                <w:rFonts w:ascii="Arial" w:cs="Arial" w:eastAsia="Arial" w:hAnsi="Arial"/>
                <w:sz w:val="13"/>
                <w:szCs w:val="13"/>
                <w:b w:val="1"/>
                <w:bCs w:val="1"/>
                <w:color w:val="auto"/>
                <w:w w:val="90"/>
              </w:rPr>
              <w:t>Plains LPG Services, L.P.</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20-0046584</w:t>
            </w:r>
          </w:p>
        </w:tc>
      </w:tr>
      <w:tr>
        <w:trPr>
          <w:trHeight w:val="108"/>
        </w:trPr>
        <w:tc>
          <w:tcPr>
            <w:tcW w:w="3320" w:type="dxa"/>
            <w:vAlign w:val="bottom"/>
          </w:tcPr>
          <w:p>
            <w:pPr>
              <w:jc w:val="center"/>
              <w:ind w:left="24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6"/>
              </w:rPr>
              <w:t>Plains Midstream GP LLC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26-1613650</w:t>
            </w:r>
          </w:p>
        </w:tc>
      </w:tr>
      <w:tr>
        <w:trPr>
          <w:trHeight w:val="108"/>
        </w:trPr>
        <w:tc>
          <w:tcPr>
            <w:tcW w:w="3320" w:type="dxa"/>
            <w:vAlign w:val="bottom"/>
          </w:tcPr>
          <w:p>
            <w:pPr>
              <w:jc w:val="center"/>
              <w:ind w:left="24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2"/>
              </w:rPr>
              <w:t>Plains Midstream, L.P.</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4"/>
              </w:rPr>
              <w:t>Delaware</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26-1613737</w:t>
            </w:r>
          </w:p>
        </w:tc>
      </w:tr>
      <w:tr>
        <w:trPr>
          <w:trHeight w:val="108"/>
        </w:trPr>
        <w:tc>
          <w:tcPr>
            <w:tcW w:w="3320" w:type="dxa"/>
            <w:vAlign w:val="bottom"/>
          </w:tcPr>
          <w:p>
            <w:pPr>
              <w:jc w:val="center"/>
              <w:ind w:left="24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5"/>
              </w:rPr>
              <w:t>Lone Star Trucking, LLC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61"/>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6"/>
              </w:rPr>
              <w:t>California</w:t>
            </w:r>
          </w:p>
        </w:tc>
        <w:tc>
          <w:tcPr>
            <w:tcW w:w="8140" w:type="dxa"/>
            <w:vAlign w:val="bottom"/>
          </w:tcPr>
          <w:p>
            <w:pPr>
              <w:jc w:val="center"/>
              <w:ind w:left="5522"/>
              <w:spacing w:after="0"/>
              <w:rPr>
                <w:sz w:val="20"/>
                <w:szCs w:val="20"/>
                <w:color w:val="auto"/>
              </w:rPr>
            </w:pPr>
            <w:r>
              <w:rPr>
                <w:rFonts w:ascii="Arial" w:cs="Arial" w:eastAsia="Arial" w:hAnsi="Arial"/>
                <w:sz w:val="13"/>
                <w:szCs w:val="13"/>
                <w:b w:val="1"/>
                <w:bCs w:val="1"/>
                <w:color w:val="auto"/>
                <w:w w:val="92"/>
              </w:rPr>
              <w:t>20-4648774</w:t>
            </w:r>
          </w:p>
        </w:tc>
      </w:tr>
      <w:tr>
        <w:trPr>
          <w:trHeight w:val="153"/>
        </w:trPr>
        <w:tc>
          <w:tcPr>
            <w:tcW w:w="3320" w:type="dxa"/>
            <w:vAlign w:val="bottom"/>
          </w:tcPr>
          <w:p>
            <w:pPr>
              <w:jc w:val="center"/>
              <w:ind w:left="263"/>
              <w:spacing w:after="0"/>
              <w:rPr>
                <w:sz w:val="20"/>
                <w:szCs w:val="20"/>
                <w:color w:val="auto"/>
              </w:rPr>
            </w:pPr>
            <w:r>
              <w:rPr>
                <w:rFonts w:ascii="Arial" w:cs="Arial" w:eastAsia="Arial" w:hAnsi="Arial"/>
                <w:sz w:val="13"/>
                <w:szCs w:val="13"/>
                <w:color w:val="auto"/>
                <w:w w:val="97"/>
              </w:rPr>
              <w:t>(</w:t>
            </w:r>
            <w:r>
              <w:rPr>
                <w:rFonts w:ascii="Arial" w:cs="Arial" w:eastAsia="Arial" w:hAnsi="Arial"/>
                <w:sz w:val="10"/>
                <w:szCs w:val="10"/>
                <w:i w:val="1"/>
                <w:iCs w:val="1"/>
                <w:color w:val="auto"/>
                <w:w w:val="97"/>
              </w:rPr>
              <w:t>State or Other Jurisdiction of</w:t>
            </w:r>
          </w:p>
        </w:tc>
        <w:tc>
          <w:tcPr>
            <w:tcW w:w="8140" w:type="dxa"/>
            <w:vAlign w:val="bottom"/>
          </w:tcPr>
          <w:p>
            <w:pPr>
              <w:jc w:val="center"/>
              <w:ind w:left="5542"/>
              <w:spacing w:after="0"/>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02"/>
              <w:spacing w:after="0"/>
              <w:rPr>
                <w:sz w:val="20"/>
                <w:szCs w:val="20"/>
                <w:color w:val="auto"/>
              </w:rPr>
            </w:pPr>
            <w:r>
              <w:rPr>
                <w:rFonts w:ascii="Arial" w:cs="Arial" w:eastAsia="Arial" w:hAnsi="Arial"/>
                <w:sz w:val="13"/>
                <w:szCs w:val="13"/>
                <w:b w:val="1"/>
                <w:bCs w:val="1"/>
                <w:color w:val="auto"/>
                <w:w w:val="93"/>
              </w:rPr>
              <w:t>Aurora Pipeline Company Ltd.</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89"/>
              </w:rPr>
              <w:t>Canada</w:t>
            </w:r>
          </w:p>
        </w:tc>
        <w:tc>
          <w:tcPr>
            <w:tcW w:w="8140" w:type="dxa"/>
            <w:vAlign w:val="bottom"/>
          </w:tcPr>
          <w:p>
            <w:pPr>
              <w:jc w:val="center"/>
              <w:ind w:left="5522"/>
              <w:spacing w:after="0"/>
              <w:rPr>
                <w:sz w:val="20"/>
                <w:szCs w:val="20"/>
                <w:color w:val="auto"/>
              </w:rPr>
            </w:pPr>
            <w:r>
              <w:rPr>
                <w:rFonts w:ascii="Arial" w:cs="Arial" w:eastAsia="Arial" w:hAnsi="Arial"/>
                <w:sz w:val="13"/>
                <w:szCs w:val="13"/>
                <w:color w:val="auto"/>
                <w:w w:val="92"/>
              </w:rPr>
              <w:t>9</w:t>
            </w:r>
            <w:r>
              <w:rPr>
                <w:rFonts w:ascii="Arial" w:cs="Arial" w:eastAsia="Arial" w:hAnsi="Arial"/>
                <w:sz w:val="13"/>
                <w:szCs w:val="13"/>
                <w:b w:val="1"/>
                <w:bCs w:val="1"/>
                <w:color w:val="auto"/>
                <w:w w:val="92"/>
              </w:rPr>
              <w:t>8-0542588</w:t>
            </w:r>
          </w:p>
        </w:tc>
      </w:tr>
      <w:tr>
        <w:trPr>
          <w:trHeight w:val="108"/>
        </w:trPr>
        <w:tc>
          <w:tcPr>
            <w:tcW w:w="3320" w:type="dxa"/>
            <w:vAlign w:val="bottom"/>
          </w:tcPr>
          <w:p>
            <w:pPr>
              <w:jc w:val="center"/>
              <w:ind w:left="24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3320" w:type="dxa"/>
            <w:vAlign w:val="bottom"/>
          </w:tcPr>
          <w:p>
            <w:pPr>
              <w:jc w:val="center"/>
              <w:ind w:left="263"/>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line="108" w:lineRule="exact"/>
              <w:rPr>
                <w:sz w:val="20"/>
                <w:szCs w:val="20"/>
                <w:color w:val="auto"/>
              </w:rPr>
            </w:pPr>
            <w:r>
              <w:rPr>
                <w:rFonts w:ascii="Arial" w:cs="Arial" w:eastAsia="Arial" w:hAnsi="Arial"/>
                <w:sz w:val="10"/>
                <w:szCs w:val="10"/>
                <w:i w:val="1"/>
                <w:iCs w:val="1"/>
                <w:color w:val="auto"/>
                <w:w w:val="98"/>
              </w:rPr>
              <w:t>Identification Number)</w:t>
            </w:r>
          </w:p>
        </w:tc>
      </w:tr>
      <w:tr>
        <w:trPr>
          <w:trHeight w:val="169"/>
        </w:trPr>
        <w:tc>
          <w:tcPr>
            <w:tcW w:w="3320" w:type="dxa"/>
            <w:vAlign w:val="bottom"/>
          </w:tcPr>
          <w:p>
            <w:pPr>
              <w:spacing w:after="0"/>
              <w:rPr>
                <w:sz w:val="14"/>
                <w:szCs w:val="14"/>
                <w:color w:val="auto"/>
              </w:rPr>
            </w:pPr>
          </w:p>
        </w:tc>
        <w:tc>
          <w:tcPr>
            <w:tcW w:w="8140" w:type="dxa"/>
            <w:vAlign w:val="bottom"/>
          </w:tcPr>
          <w:p>
            <w:pPr>
              <w:jc w:val="center"/>
              <w:ind w:right="4122"/>
              <w:spacing w:after="0"/>
              <w:rPr>
                <w:sz w:val="20"/>
                <w:szCs w:val="20"/>
                <w:color w:val="auto"/>
              </w:rPr>
            </w:pPr>
            <w:r>
              <w:rPr>
                <w:rFonts w:ascii="Arial" w:cs="Arial" w:eastAsia="Arial" w:hAnsi="Arial"/>
                <w:sz w:val="13"/>
                <w:szCs w:val="13"/>
                <w:b w:val="1"/>
                <w:bCs w:val="1"/>
                <w:color w:val="auto"/>
                <w:w w:val="93"/>
              </w:rPr>
              <w:t>Plains Midstream Canada ULC</w:t>
            </w:r>
          </w:p>
        </w:tc>
      </w:tr>
      <w:tr>
        <w:trPr>
          <w:trHeight w:val="146"/>
        </w:trPr>
        <w:tc>
          <w:tcPr>
            <w:tcW w:w="3320" w:type="dxa"/>
            <w:vAlign w:val="bottom"/>
          </w:tcPr>
          <w:p>
            <w:pPr>
              <w:spacing w:after="0"/>
              <w:rPr>
                <w:sz w:val="12"/>
                <w:szCs w:val="12"/>
                <w:color w:val="auto"/>
              </w:rPr>
            </w:pPr>
          </w:p>
        </w:tc>
        <w:tc>
          <w:tcPr>
            <w:tcW w:w="8140" w:type="dxa"/>
            <w:vAlign w:val="bottom"/>
          </w:tcPr>
          <w:p>
            <w:pPr>
              <w:jc w:val="center"/>
              <w:ind w:right="4122"/>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57"/>
        </w:trPr>
        <w:tc>
          <w:tcPr>
            <w:tcW w:w="3320" w:type="dxa"/>
            <w:vAlign w:val="bottom"/>
          </w:tcPr>
          <w:p>
            <w:pPr>
              <w:jc w:val="center"/>
              <w:ind w:left="283"/>
              <w:spacing w:after="0"/>
              <w:rPr>
                <w:sz w:val="20"/>
                <w:szCs w:val="20"/>
                <w:color w:val="auto"/>
              </w:rPr>
            </w:pPr>
            <w:r>
              <w:rPr>
                <w:rFonts w:ascii="Arial" w:cs="Arial" w:eastAsia="Arial" w:hAnsi="Arial"/>
                <w:sz w:val="13"/>
                <w:szCs w:val="13"/>
                <w:b w:val="1"/>
                <w:bCs w:val="1"/>
                <w:color w:val="auto"/>
                <w:w w:val="93"/>
              </w:rPr>
              <w:t>Alberta</w:t>
            </w:r>
          </w:p>
        </w:tc>
        <w:tc>
          <w:tcPr>
            <w:tcW w:w="8140" w:type="dxa"/>
            <w:vAlign w:val="bottom"/>
          </w:tcPr>
          <w:p>
            <w:pPr>
              <w:jc w:val="center"/>
              <w:ind w:left="5542"/>
              <w:spacing w:after="0"/>
              <w:rPr>
                <w:sz w:val="20"/>
                <w:szCs w:val="20"/>
                <w:color w:val="auto"/>
              </w:rPr>
            </w:pPr>
            <w:r>
              <w:rPr>
                <w:rFonts w:ascii="Arial" w:cs="Arial" w:eastAsia="Arial" w:hAnsi="Arial"/>
                <w:sz w:val="13"/>
                <w:szCs w:val="13"/>
                <w:b w:val="1"/>
                <w:bCs w:val="1"/>
                <w:color w:val="auto"/>
                <w:w w:val="89"/>
              </w:rPr>
              <w:t>98-0565110</w:t>
            </w:r>
          </w:p>
        </w:tc>
      </w:tr>
      <w:tr>
        <w:trPr>
          <w:trHeight w:val="108"/>
        </w:trPr>
        <w:tc>
          <w:tcPr>
            <w:tcW w:w="3320" w:type="dxa"/>
            <w:vAlign w:val="bottom"/>
          </w:tcPr>
          <w:p>
            <w:pPr>
              <w:jc w:val="center"/>
              <w:ind w:left="24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8140" w:type="dxa"/>
            <w:vAlign w:val="bottom"/>
          </w:tcPr>
          <w:p>
            <w:pPr>
              <w:jc w:val="center"/>
              <w:ind w:left="554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3320" w:type="dxa"/>
            <w:vAlign w:val="bottom"/>
          </w:tcPr>
          <w:p>
            <w:pPr>
              <w:jc w:val="center"/>
              <w:ind w:left="263"/>
              <w:spacing w:after="0"/>
              <w:rPr>
                <w:sz w:val="20"/>
                <w:szCs w:val="20"/>
                <w:color w:val="auto"/>
              </w:rPr>
            </w:pPr>
            <w:r>
              <w:rPr>
                <w:rFonts w:ascii="Arial" w:cs="Arial" w:eastAsia="Arial" w:hAnsi="Arial"/>
                <w:sz w:val="10"/>
                <w:szCs w:val="10"/>
                <w:i w:val="1"/>
                <w:iCs w:val="1"/>
                <w:color w:val="auto"/>
                <w:w w:val="99"/>
              </w:rPr>
              <w:t>Incorporation or Organization)</w:t>
            </w:r>
          </w:p>
        </w:tc>
        <w:tc>
          <w:tcPr>
            <w:tcW w:w="8140" w:type="dxa"/>
            <w:vAlign w:val="bottom"/>
          </w:tcPr>
          <w:p>
            <w:pPr>
              <w:jc w:val="center"/>
              <w:ind w:left="5522"/>
              <w:spacing w:after="0"/>
              <w:rPr>
                <w:sz w:val="20"/>
                <w:szCs w:val="20"/>
                <w:color w:val="auto"/>
              </w:rPr>
            </w:pPr>
            <w:r>
              <w:rPr>
                <w:rFonts w:ascii="Arial" w:cs="Arial" w:eastAsia="Arial" w:hAnsi="Arial"/>
                <w:sz w:val="10"/>
                <w:szCs w:val="10"/>
                <w:i w:val="1"/>
                <w:iCs w:val="1"/>
                <w:color w:val="auto"/>
                <w:w w:val="98"/>
              </w:rPr>
              <w:t>Identification Number)</w:t>
            </w:r>
          </w:p>
        </w:tc>
      </w:tr>
      <w:tr>
        <w:trPr>
          <w:trHeight w:val="152"/>
        </w:trPr>
        <w:tc>
          <w:tcPr>
            <w:tcW w:w="3320" w:type="dxa"/>
            <w:vAlign w:val="bottom"/>
            <w:tcBorders>
              <w:bottom w:val="single" w:sz="8" w:color="808080"/>
            </w:tcBorders>
          </w:tcPr>
          <w:p>
            <w:pPr>
              <w:spacing w:after="0"/>
              <w:rPr>
                <w:sz w:val="13"/>
                <w:szCs w:val="13"/>
                <w:color w:val="auto"/>
              </w:rPr>
            </w:pPr>
          </w:p>
        </w:tc>
        <w:tc>
          <w:tcPr>
            <w:tcW w:w="81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137160</wp:posOffset>
            </wp:positionV>
            <wp:extent cx="6360795" cy="287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60795" cy="287655"/>
                    </a:xfrm>
                    <a:prstGeom prst="rect">
                      <a:avLst/>
                    </a:prstGeom>
                    <a:noFill/>
                  </pic:spPr>
                </pic:pic>
              </a:graphicData>
            </a:graphic>
          </wp:anchor>
        </w:drawing>
      </w:r>
    </w:p>
    <w:p>
      <w:pPr>
        <w:spacing w:after="0" w:line="308" w:lineRule="exact"/>
        <w:rPr>
          <w:sz w:val="20"/>
          <w:szCs w:val="20"/>
          <w:color w:val="auto"/>
        </w:rPr>
      </w:pPr>
    </w:p>
    <w:p>
      <w:pPr>
        <w:ind w:left="780" w:right="900"/>
        <w:spacing w:after="0" w:line="266" w:lineRule="auto"/>
        <w:rPr>
          <w:sz w:val="20"/>
          <w:szCs w:val="20"/>
          <w:color w:val="auto"/>
        </w:rPr>
      </w:pPr>
      <w:r>
        <w:rPr>
          <w:rFonts w:ascii="Arial" w:cs="Arial" w:eastAsia="Arial" w:hAnsi="Arial"/>
          <w:sz w:val="10"/>
          <w:szCs w:val="10"/>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8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E8112D"/>
        </w:rPr>
        <w:t>SUBJECT TO COMPLETION, DATED NOVEMBER 25, 2008</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PROSPECTUS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31"/>
          <w:szCs w:val="31"/>
          <w:b w:val="1"/>
          <w:bCs w:val="1"/>
          <w:color w:val="auto"/>
        </w:rPr>
        <w:t>Plains All American Pipeline, L.P.</w:t>
      </w:r>
    </w:p>
    <w:p>
      <w:pPr>
        <w:spacing w:after="0" w:line="43" w:lineRule="exact"/>
        <w:rPr>
          <w:sz w:val="20"/>
          <w:szCs w:val="20"/>
          <w:color w:val="auto"/>
        </w:rPr>
      </w:pPr>
    </w:p>
    <w:p>
      <w:pPr>
        <w:jc w:val="center"/>
        <w:ind w:right="100"/>
        <w:spacing w:after="0"/>
        <w:rPr>
          <w:sz w:val="20"/>
          <w:szCs w:val="20"/>
          <w:color w:val="auto"/>
        </w:rPr>
      </w:pPr>
      <w:r>
        <w:rPr>
          <w:rFonts w:ascii="Arial" w:cs="Arial" w:eastAsia="Arial" w:hAnsi="Arial"/>
          <w:sz w:val="31"/>
          <w:szCs w:val="31"/>
          <w:b w:val="1"/>
          <w:bCs w:val="1"/>
          <w:color w:val="auto"/>
        </w:rPr>
        <w:t>PAA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64135</wp:posOffset>
            </wp:positionV>
            <wp:extent cx="114236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7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Common Units</w:t>
      </w:r>
    </w:p>
    <w:p>
      <w:pPr>
        <w:spacing w:after="0" w:line="2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Debt Securities</w:t>
      </w:r>
    </w:p>
    <w:p>
      <w:pPr>
        <w:spacing w:after="0" w:line="95" w:lineRule="exact"/>
        <w:rPr>
          <w:sz w:val="20"/>
          <w:szCs w:val="20"/>
          <w:color w:val="auto"/>
        </w:rPr>
      </w:pPr>
    </w:p>
    <w:p>
      <w:pPr>
        <w:ind w:left="680" w:right="860" w:firstLine="399"/>
        <w:spacing w:after="0" w:line="296" w:lineRule="auto"/>
        <w:rPr>
          <w:sz w:val="20"/>
          <w:szCs w:val="20"/>
          <w:color w:val="auto"/>
        </w:rPr>
      </w:pPr>
      <w:r>
        <w:rPr>
          <w:rFonts w:ascii="Arial" w:cs="Arial" w:eastAsia="Arial" w:hAnsi="Arial"/>
          <w:sz w:val="12"/>
          <w:szCs w:val="12"/>
          <w:color w:val="auto"/>
        </w:rPr>
        <w:t>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w:t>
      </w:r>
    </w:p>
    <w:p>
      <w:pPr>
        <w:spacing w:after="0" w:line="1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19" w:lineRule="exact"/>
        <w:rPr>
          <w:sz w:val="20"/>
          <w:szCs w:val="20"/>
          <w:color w:val="auto"/>
        </w:rPr>
      </w:pPr>
    </w:p>
    <w:p>
      <w:pPr>
        <w:jc w:val="both"/>
        <w:ind w:left="680" w:right="960" w:firstLine="499"/>
        <w:spacing w:after="0" w:line="243" w:lineRule="auto"/>
        <w:rPr>
          <w:sz w:val="20"/>
          <w:szCs w:val="20"/>
          <w:color w:val="auto"/>
        </w:rPr>
      </w:pPr>
      <w:r>
        <w:rPr>
          <w:rFonts w:ascii="Arial" w:cs="Arial" w:eastAsia="Arial" w:hAnsi="Arial"/>
          <w:sz w:val="16"/>
          <w:szCs w:val="16"/>
          <w:b w:val="1"/>
          <w:bCs w:val="1"/>
          <w:color w:val="auto"/>
        </w:rPr>
        <w:t>Investing in our common units and the debt securities involves risks. Limited partnerships are inherently different from corporations. You should carefully consider the risk factors described under “Risk Factors” beginning on page 5 of this prospectus before you make an investment in our securities.</w:t>
      </w:r>
    </w:p>
    <w:p>
      <w:pPr>
        <w:spacing w:after="0" w:line="33"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Our common units are traded on the New York Stock Exchange under the symbol “PAA.” We will provide information in the prospectus supplement for the trading market, if any, for any debt securities we may offer.</w:t>
      </w:r>
    </w:p>
    <w:p>
      <w:pPr>
        <w:spacing w:after="0" w:line="20"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49530</wp:posOffset>
            </wp:positionV>
            <wp:extent cx="114236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780" w:type="dxa"/>
            <w:vAlign w:val="bottom"/>
          </w:tcPr>
          <w:p>
            <w:pPr>
              <w:ind w:left="2080"/>
              <w:spacing w:after="0"/>
              <w:rPr>
                <w:sz w:val="20"/>
                <w:szCs w:val="20"/>
                <w:color w:val="auto"/>
              </w:rPr>
            </w:pPr>
            <w:r>
              <w:rPr>
                <w:rFonts w:ascii="Arial" w:cs="Arial" w:eastAsia="Arial" w:hAnsi="Arial"/>
                <w:sz w:val="13"/>
                <w:szCs w:val="13"/>
                <w:color w:val="auto"/>
                <w:w w:val="98"/>
              </w:rPr>
              <w:t>The date of this prospectus is</w:t>
            </w:r>
          </w:p>
        </w:tc>
        <w:tc>
          <w:tcPr>
            <w:tcW w:w="5200" w:type="dxa"/>
            <w:vAlign w:val="bottom"/>
          </w:tcPr>
          <w:p>
            <w:pPr>
              <w:jc w:val="right"/>
              <w:ind w:right="4614"/>
              <w:spacing w:after="0"/>
              <w:rPr>
                <w:sz w:val="20"/>
                <w:szCs w:val="20"/>
                <w:color w:val="auto"/>
              </w:rPr>
            </w:pPr>
            <w:r>
              <w:rPr>
                <w:rFonts w:ascii="Arial" w:cs="Arial" w:eastAsia="Arial" w:hAnsi="Arial"/>
                <w:sz w:val="13"/>
                <w:szCs w:val="13"/>
                <w:color w:val="auto"/>
              </w:rPr>
              <w:t>, 2008.</w:t>
            </w:r>
          </w:p>
        </w:tc>
      </w:tr>
      <w:tr>
        <w:trPr>
          <w:trHeight w:val="109"/>
        </w:trPr>
        <w:tc>
          <w:tcPr>
            <w:tcW w:w="68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5200" w:type="dxa"/>
            <w:vAlign w:val="bottom"/>
          </w:tcPr>
          <w:p>
            <w:pPr>
              <w:spacing w:after="0"/>
              <w:rPr>
                <w:sz w:val="9"/>
                <w:szCs w:val="9"/>
                <w:color w:val="auto"/>
              </w:rPr>
            </w:pPr>
          </w:p>
        </w:tc>
      </w:tr>
      <w:tr>
        <w:trPr>
          <w:trHeight w:val="201"/>
        </w:trPr>
        <w:tc>
          <w:tcPr>
            <w:tcW w:w="680" w:type="dxa"/>
            <w:vAlign w:val="bottom"/>
            <w:tcBorders>
              <w:bottom w:val="single" w:sz="8" w:color="808080"/>
            </w:tcBorders>
          </w:tcPr>
          <w:p>
            <w:pPr>
              <w:spacing w:after="0"/>
              <w:rPr>
                <w:sz w:val="17"/>
                <w:szCs w:val="17"/>
                <w:color w:val="auto"/>
              </w:rPr>
            </w:pPr>
          </w:p>
        </w:tc>
        <w:tc>
          <w:tcPr>
            <w:tcW w:w="1800" w:type="dxa"/>
            <w:vAlign w:val="bottom"/>
            <w:tcBorders>
              <w:bottom w:val="single" w:sz="8" w:color="808080"/>
            </w:tcBorders>
          </w:tcPr>
          <w:p>
            <w:pPr>
              <w:spacing w:after="0"/>
              <w:rPr>
                <w:sz w:val="17"/>
                <w:szCs w:val="17"/>
                <w:color w:val="auto"/>
              </w:rPr>
            </w:pPr>
          </w:p>
        </w:tc>
        <w:tc>
          <w:tcPr>
            <w:tcW w:w="3780" w:type="dxa"/>
            <w:vAlign w:val="bottom"/>
            <w:tcBorders>
              <w:bottom w:val="single" w:sz="8" w:color="808080"/>
            </w:tcBorders>
          </w:tcPr>
          <w:p>
            <w:pPr>
              <w:spacing w:after="0"/>
              <w:rPr>
                <w:sz w:val="17"/>
                <w:szCs w:val="17"/>
                <w:color w:val="auto"/>
              </w:rPr>
            </w:pPr>
          </w:p>
        </w:tc>
        <w:tc>
          <w:tcPr>
            <w:tcW w:w="52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40" w:type="dxa"/>
            <w:vAlign w:val="bottom"/>
          </w:tcPr>
          <w:p>
            <w:pPr>
              <w:jc w:val="right"/>
              <w:ind w:right="4174"/>
              <w:spacing w:after="0"/>
              <w:rPr>
                <w:sz w:val="20"/>
                <w:szCs w:val="20"/>
                <w:color w:val="auto"/>
              </w:rPr>
            </w:pPr>
            <w:r>
              <w:rPr>
                <w:rFonts w:ascii="Arial" w:cs="Arial" w:eastAsia="Arial" w:hAnsi="Arial"/>
                <w:sz w:val="13"/>
                <w:szCs w:val="13"/>
                <w:b w:val="1"/>
                <w:bCs w:val="1"/>
                <w:color w:val="auto"/>
              </w:rPr>
              <w:t>TABLE OF CONTENTS</w:t>
            </w:r>
          </w:p>
        </w:tc>
      </w:tr>
      <w:tr>
        <w:trPr>
          <w:trHeight w:val="306"/>
        </w:trPr>
        <w:tc>
          <w:tcPr>
            <w:tcW w:w="1640" w:type="dxa"/>
            <w:vAlign w:val="bottom"/>
            <w:tcBorders>
              <w:bottom w:val="single" w:sz="8" w:color="0000EE"/>
            </w:tcBorders>
            <w:gridSpan w:val="10"/>
          </w:tcPr>
          <w:p>
            <w:pPr>
              <w:spacing w:after="0"/>
              <w:rPr>
                <w:rFonts w:ascii="Arial" w:cs="Arial" w:eastAsia="Arial" w:hAnsi="Arial"/>
                <w:sz w:val="13"/>
                <w:szCs w:val="13"/>
                <w:color w:val="0000EE"/>
                <w:w w:val="94"/>
              </w:rPr>
            </w:pPr>
            <w:hyperlink w:anchor="page6">
              <w:r>
                <w:rPr>
                  <w:rFonts w:ascii="Arial" w:cs="Arial" w:eastAsia="Arial" w:hAnsi="Arial"/>
                  <w:sz w:val="13"/>
                  <w:szCs w:val="13"/>
                  <w:color w:val="0000EE"/>
                  <w:w w:val="94"/>
                </w:rPr>
                <w:t>ABOUT THIS PROSPECTUS</w:t>
              </w:r>
            </w:hyperlink>
          </w:p>
        </w:tc>
        <w:tc>
          <w:tcPr>
            <w:tcW w:w="2060" w:type="dxa"/>
            <w:vAlign w:val="bottom"/>
            <w:gridSpan w:val="9"/>
          </w:tcPr>
          <w:p>
            <w:pPr>
              <w:spacing w:after="0"/>
              <w:rPr>
                <w:sz w:val="24"/>
                <w:szCs w:val="24"/>
                <w:color w:val="auto"/>
              </w:rPr>
            </w:pPr>
          </w:p>
        </w:tc>
        <w:tc>
          <w:tcPr>
            <w:tcW w:w="6240" w:type="dxa"/>
            <w:vAlign w:val="bottom"/>
          </w:tcPr>
          <w:p>
            <w:pPr>
              <w:spacing w:after="0"/>
              <w:rPr>
                <w:sz w:val="24"/>
                <w:szCs w:val="24"/>
                <w:color w:val="auto"/>
              </w:rPr>
            </w:pPr>
          </w:p>
        </w:tc>
      </w:tr>
      <w:tr>
        <w:trPr>
          <w:trHeight w:val="137"/>
        </w:trPr>
        <w:tc>
          <w:tcPr>
            <w:tcW w:w="3700" w:type="dxa"/>
            <w:vAlign w:val="bottom"/>
            <w:gridSpan w:val="19"/>
          </w:tcPr>
          <w:p>
            <w:pPr>
              <w:spacing w:after="0" w:line="138" w:lineRule="exact"/>
              <w:rPr>
                <w:rFonts w:ascii="Arial" w:cs="Arial" w:eastAsia="Arial" w:hAnsi="Arial"/>
                <w:sz w:val="13"/>
                <w:szCs w:val="13"/>
                <w:color w:val="0000EE"/>
              </w:rPr>
            </w:pPr>
            <w:hyperlink w:anchor="page7">
              <w:r>
                <w:rPr>
                  <w:rFonts w:ascii="Arial" w:cs="Arial" w:eastAsia="Arial" w:hAnsi="Arial"/>
                  <w:sz w:val="13"/>
                  <w:szCs w:val="13"/>
                  <w:color w:val="0000EE"/>
                </w:rPr>
                <w:t>WHERE YOU CAN FIND MORE INFORMATION</w:t>
              </w:r>
            </w:hyperlink>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2780" w:type="dxa"/>
            <w:vAlign w:val="bottom"/>
            <w:tcBorders>
              <w:top w:val="single" w:sz="8" w:color="0000EE"/>
            </w:tcBorders>
            <w:gridSpan w:val="17"/>
          </w:tcPr>
          <w:p>
            <w:pPr>
              <w:spacing w:after="0" w:line="138" w:lineRule="exact"/>
              <w:rPr>
                <w:rFonts w:ascii="Arial" w:cs="Arial" w:eastAsia="Arial" w:hAnsi="Arial"/>
                <w:sz w:val="13"/>
                <w:szCs w:val="13"/>
                <w:color w:val="0000EE"/>
              </w:rPr>
            </w:pPr>
            <w:hyperlink w:anchor="page9">
              <w:r>
                <w:rPr>
                  <w:rFonts w:ascii="Arial" w:cs="Arial" w:eastAsia="Arial" w:hAnsi="Arial"/>
                  <w:sz w:val="13"/>
                  <w:szCs w:val="13"/>
                  <w:color w:val="0000EE"/>
                </w:rPr>
                <w:t>FORWARD-LOOKING STATEMENTS</w:t>
              </w:r>
            </w:hyperlink>
          </w:p>
        </w:tc>
        <w:tc>
          <w:tcPr>
            <w:tcW w:w="920" w:type="dxa"/>
            <w:vAlign w:val="bottom"/>
            <w:gridSpan w:val="2"/>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r>
      <w:tr>
        <w:trPr>
          <w:trHeight w:val="137"/>
        </w:trPr>
        <w:tc>
          <w:tcPr>
            <w:tcW w:w="86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6"/>
              </w:rPr>
            </w:pPr>
            <w:hyperlink w:anchor="page10">
              <w:r>
                <w:rPr>
                  <w:rFonts w:ascii="Arial" w:cs="Arial" w:eastAsia="Arial" w:hAnsi="Arial"/>
                  <w:sz w:val="13"/>
                  <w:szCs w:val="13"/>
                  <w:color w:val="0000EE"/>
                  <w:w w:val="96"/>
                </w:rPr>
                <w:t>WHO WE ARE</w:t>
              </w:r>
            </w:hyperlink>
          </w:p>
        </w:tc>
        <w:tc>
          <w:tcPr>
            <w:tcW w:w="1280" w:type="dxa"/>
            <w:vAlign w:val="bottom"/>
            <w:tcBorders>
              <w:top w:val="single" w:sz="8" w:color="0000EE"/>
            </w:tcBorders>
            <w:gridSpan w:val="7"/>
          </w:tcPr>
          <w:p>
            <w:pPr>
              <w:spacing w:after="0"/>
              <w:rPr>
                <w:sz w:val="11"/>
                <w:szCs w:val="11"/>
                <w:color w:val="auto"/>
              </w:rPr>
            </w:pPr>
          </w:p>
        </w:tc>
        <w:tc>
          <w:tcPr>
            <w:tcW w:w="1560" w:type="dxa"/>
            <w:vAlign w:val="bottom"/>
            <w:gridSpan w:val="7"/>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r>
      <w:tr>
        <w:trPr>
          <w:trHeight w:val="137"/>
        </w:trPr>
        <w:tc>
          <w:tcPr>
            <w:tcW w:w="920" w:type="dxa"/>
            <w:vAlign w:val="bottom"/>
            <w:tcBorders>
              <w:bottom w:val="single" w:sz="8" w:color="0000EE"/>
            </w:tcBorders>
            <w:gridSpan w:val="6"/>
          </w:tcPr>
          <w:p>
            <w:pPr>
              <w:spacing w:after="0" w:line="138" w:lineRule="exact"/>
              <w:rPr>
                <w:rFonts w:ascii="Arial" w:cs="Arial" w:eastAsia="Arial" w:hAnsi="Arial"/>
                <w:sz w:val="13"/>
                <w:szCs w:val="13"/>
                <w:color w:val="0000EE"/>
                <w:w w:val="93"/>
              </w:rPr>
            </w:pPr>
            <w:hyperlink w:anchor="page11">
              <w:r>
                <w:rPr>
                  <w:rFonts w:ascii="Arial" w:cs="Arial" w:eastAsia="Arial" w:hAnsi="Arial"/>
                  <w:sz w:val="13"/>
                  <w:szCs w:val="13"/>
                  <w:color w:val="0000EE"/>
                  <w:w w:val="93"/>
                </w:rPr>
                <w:t>RISK FACTORS</w:t>
              </w:r>
            </w:hyperlink>
          </w:p>
        </w:tc>
        <w:tc>
          <w:tcPr>
            <w:tcW w:w="2780" w:type="dxa"/>
            <w:vAlign w:val="bottom"/>
            <w:gridSpan w:val="13"/>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r>
      <w:tr>
        <w:trPr>
          <w:trHeight w:val="137"/>
        </w:trPr>
        <w:tc>
          <w:tcPr>
            <w:tcW w:w="1160" w:type="dxa"/>
            <w:vAlign w:val="bottom"/>
            <w:tcBorders>
              <w:bottom w:val="single" w:sz="8" w:color="0000EE"/>
            </w:tcBorders>
            <w:gridSpan w:val="8"/>
          </w:tcPr>
          <w:p>
            <w:pPr>
              <w:spacing w:after="0" w:line="138" w:lineRule="exact"/>
              <w:rPr>
                <w:rFonts w:ascii="Arial" w:cs="Arial" w:eastAsia="Arial" w:hAnsi="Arial"/>
                <w:sz w:val="13"/>
                <w:szCs w:val="13"/>
                <w:color w:val="0000EE"/>
                <w:w w:val="91"/>
              </w:rPr>
            </w:pPr>
            <w:hyperlink w:anchor="page12">
              <w:r>
                <w:rPr>
                  <w:rFonts w:ascii="Arial" w:cs="Arial" w:eastAsia="Arial" w:hAnsi="Arial"/>
                  <w:sz w:val="13"/>
                  <w:szCs w:val="13"/>
                  <w:color w:val="0000EE"/>
                  <w:w w:val="91"/>
                </w:rPr>
                <w:t>USE OF PROCEEDS</w:t>
              </w:r>
            </w:hyperlink>
          </w:p>
        </w:tc>
        <w:tc>
          <w:tcPr>
            <w:tcW w:w="2540" w:type="dxa"/>
            <w:vAlign w:val="bottom"/>
            <w:gridSpan w:val="11"/>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r>
      <w:tr>
        <w:trPr>
          <w:trHeight w:val="137"/>
        </w:trPr>
        <w:tc>
          <w:tcPr>
            <w:tcW w:w="2560" w:type="dxa"/>
            <w:vAlign w:val="bottom"/>
            <w:tcBorders>
              <w:bottom w:val="single" w:sz="8" w:color="0000EE"/>
            </w:tcBorders>
            <w:gridSpan w:val="15"/>
          </w:tcPr>
          <w:p>
            <w:pPr>
              <w:spacing w:after="0" w:line="138" w:lineRule="exact"/>
              <w:rPr>
                <w:rFonts w:ascii="Arial" w:cs="Arial" w:eastAsia="Arial" w:hAnsi="Arial"/>
                <w:sz w:val="13"/>
                <w:szCs w:val="13"/>
                <w:color w:val="0000EE"/>
                <w:w w:val="96"/>
              </w:rPr>
            </w:pPr>
            <w:hyperlink w:anchor="page12">
              <w:r>
                <w:rPr>
                  <w:rFonts w:ascii="Arial" w:cs="Arial" w:eastAsia="Arial" w:hAnsi="Arial"/>
                  <w:sz w:val="13"/>
                  <w:szCs w:val="13"/>
                  <w:color w:val="0000EE"/>
                  <w:w w:val="96"/>
                </w:rPr>
                <w:t>RATIO OF EARNINGS TO FIXED CHARGES</w:t>
              </w:r>
            </w:hyperlink>
          </w:p>
        </w:tc>
        <w:tc>
          <w:tcPr>
            <w:tcW w:w="1140" w:type="dxa"/>
            <w:vAlign w:val="bottom"/>
            <w:gridSpan w:val="4"/>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r>
      <w:tr>
        <w:trPr>
          <w:trHeight w:val="137"/>
        </w:trPr>
        <w:tc>
          <w:tcPr>
            <w:tcW w:w="2520" w:type="dxa"/>
            <w:vAlign w:val="bottom"/>
            <w:tcBorders>
              <w:bottom w:val="single" w:sz="8" w:color="0000EE"/>
            </w:tcBorders>
            <w:gridSpan w:val="14"/>
          </w:tcPr>
          <w:p>
            <w:pPr>
              <w:spacing w:after="0" w:line="138" w:lineRule="exact"/>
              <w:rPr>
                <w:rFonts w:ascii="Arial" w:cs="Arial" w:eastAsia="Arial" w:hAnsi="Arial"/>
                <w:sz w:val="13"/>
                <w:szCs w:val="13"/>
                <w:color w:val="0000EE"/>
                <w:w w:val="95"/>
              </w:rPr>
            </w:pPr>
            <w:hyperlink w:anchor="page13">
              <w:r>
                <w:rPr>
                  <w:rFonts w:ascii="Arial" w:cs="Arial" w:eastAsia="Arial" w:hAnsi="Arial"/>
                  <w:sz w:val="13"/>
                  <w:szCs w:val="13"/>
                  <w:color w:val="0000EE"/>
                  <w:w w:val="95"/>
                </w:rPr>
                <w:t>DESCRIPTION OF OUR DEBT SECURITIES</w:t>
              </w:r>
            </w:hyperlink>
          </w:p>
        </w:tc>
        <w:tc>
          <w:tcPr>
            <w:tcW w:w="1180" w:type="dxa"/>
            <w:vAlign w:val="bottom"/>
            <w:gridSpan w:val="5"/>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7</w:t>
            </w:r>
          </w:p>
        </w:tc>
      </w:tr>
      <w:tr>
        <w:trPr>
          <w:trHeight w:val="137"/>
        </w:trPr>
        <w:tc>
          <w:tcPr>
            <w:tcW w:w="3700" w:type="dxa"/>
            <w:vAlign w:val="bottom"/>
            <w:gridSpan w:val="19"/>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DESCRIPTION OF OUR COMMON UNITS</w:t>
              </w:r>
            </w:hyperlink>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15</w:t>
            </w:r>
          </w:p>
        </w:tc>
      </w:tr>
      <w:tr>
        <w:trPr>
          <w:trHeight w:val="137"/>
        </w:trPr>
        <w:tc>
          <w:tcPr>
            <w:tcW w:w="182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98"/>
              </w:rPr>
            </w:pPr>
            <w:hyperlink w:anchor="page23">
              <w:r>
                <w:rPr>
                  <w:rFonts w:ascii="Arial" w:cs="Arial" w:eastAsia="Arial" w:hAnsi="Arial"/>
                  <w:sz w:val="13"/>
                  <w:szCs w:val="13"/>
                  <w:color w:val="0000EE"/>
                  <w:w w:val="98"/>
                </w:rPr>
                <w:t>CASH DISTRIBUTION POLICY</w:t>
              </w:r>
            </w:hyperlink>
          </w:p>
        </w:tc>
        <w:tc>
          <w:tcPr>
            <w:tcW w:w="600" w:type="dxa"/>
            <w:vAlign w:val="bottom"/>
            <w:tcBorders>
              <w:top w:val="single" w:sz="8" w:color="0000EE"/>
            </w:tcBorders>
            <w:gridSpan w:val="2"/>
          </w:tcPr>
          <w:p>
            <w:pPr>
              <w:spacing w:after="0"/>
              <w:rPr>
                <w:sz w:val="11"/>
                <w:szCs w:val="11"/>
                <w:color w:val="auto"/>
              </w:rPr>
            </w:pPr>
          </w:p>
        </w:tc>
        <w:tc>
          <w:tcPr>
            <w:tcW w:w="1280" w:type="dxa"/>
            <w:vAlign w:val="bottom"/>
            <w:gridSpan w:val="6"/>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17</w:t>
            </w:r>
          </w:p>
        </w:tc>
      </w:tr>
      <w:tr>
        <w:trPr>
          <w:trHeight w:val="137"/>
        </w:trPr>
        <w:tc>
          <w:tcPr>
            <w:tcW w:w="3700" w:type="dxa"/>
            <w:vAlign w:val="bottom"/>
            <w:gridSpan w:val="19"/>
          </w:tcPr>
          <w:p>
            <w:pPr>
              <w:spacing w:after="0" w:line="138" w:lineRule="exact"/>
              <w:rPr>
                <w:rFonts w:ascii="Arial" w:cs="Arial" w:eastAsia="Arial" w:hAnsi="Arial"/>
                <w:sz w:val="13"/>
                <w:szCs w:val="13"/>
                <w:color w:val="0000EE"/>
              </w:rPr>
            </w:pPr>
            <w:hyperlink w:anchor="page27">
              <w:r>
                <w:rPr>
                  <w:rFonts w:ascii="Arial" w:cs="Arial" w:eastAsia="Arial" w:hAnsi="Arial"/>
                  <w:sz w:val="13"/>
                  <w:szCs w:val="13"/>
                  <w:color w:val="0000EE"/>
                </w:rPr>
                <w:t>DESCRIPTION OF OUR PARTNERSHIP AGREEMENT</w:t>
              </w:r>
            </w:hyperlink>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21</w:t>
            </w:r>
          </w:p>
        </w:tc>
      </w:tr>
      <w:tr>
        <w:trPr>
          <w:trHeight w:val="137"/>
        </w:trPr>
        <w:tc>
          <w:tcPr>
            <w:tcW w:w="3100" w:type="dxa"/>
            <w:vAlign w:val="bottom"/>
            <w:tcBorders>
              <w:top w:val="single" w:sz="8" w:color="0000EE"/>
            </w:tcBorders>
            <w:gridSpan w:val="18"/>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MATERIAL INCOME TAX CONSIDERATIONS</w:t>
              </w:r>
            </w:hyperlink>
          </w:p>
        </w:tc>
        <w:tc>
          <w:tcPr>
            <w:tcW w:w="600" w:type="dxa"/>
            <w:vAlign w:val="bottom"/>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24</w:t>
            </w:r>
          </w:p>
        </w:tc>
      </w:tr>
      <w:tr>
        <w:trPr>
          <w:trHeight w:val="137"/>
        </w:trPr>
        <w:tc>
          <w:tcPr>
            <w:tcW w:w="2660" w:type="dxa"/>
            <w:vAlign w:val="bottom"/>
            <w:tcBorders>
              <w:top w:val="single" w:sz="8" w:color="0000EE"/>
            </w:tcBorders>
            <w:gridSpan w:val="16"/>
          </w:tcPr>
          <w:p>
            <w:pPr>
              <w:spacing w:after="0" w:line="138" w:lineRule="exact"/>
              <w:rPr>
                <w:rFonts w:ascii="Arial" w:cs="Arial" w:eastAsia="Arial" w:hAnsi="Arial"/>
                <w:sz w:val="13"/>
                <w:szCs w:val="13"/>
                <w:color w:val="0000EE"/>
              </w:rPr>
            </w:pPr>
            <w:hyperlink w:anchor="page44">
              <w:r>
                <w:rPr>
                  <w:rFonts w:ascii="Arial" w:cs="Arial" w:eastAsia="Arial" w:hAnsi="Arial"/>
                  <w:sz w:val="13"/>
                  <w:szCs w:val="13"/>
                  <w:color w:val="0000EE"/>
                </w:rPr>
                <w:t>PLAN OF DISTRIBUTION</w:t>
              </w:r>
            </w:hyperlink>
          </w:p>
        </w:tc>
        <w:tc>
          <w:tcPr>
            <w:tcW w:w="1040" w:type="dxa"/>
            <w:vAlign w:val="bottom"/>
            <w:gridSpan w:val="3"/>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38</w:t>
            </w:r>
          </w:p>
        </w:tc>
      </w:tr>
      <w:tr>
        <w:trPr>
          <w:trHeight w:val="137"/>
        </w:trPr>
        <w:tc>
          <w:tcPr>
            <w:tcW w:w="150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LEGAL MATTERS</w:t>
              </w:r>
            </w:hyperlink>
          </w:p>
        </w:tc>
        <w:tc>
          <w:tcPr>
            <w:tcW w:w="2200" w:type="dxa"/>
            <w:vAlign w:val="bottom"/>
            <w:gridSpan w:val="10"/>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40</w:t>
            </w:r>
          </w:p>
        </w:tc>
      </w:tr>
      <w:tr>
        <w:trPr>
          <w:trHeight w:val="137"/>
        </w:trPr>
        <w:tc>
          <w:tcPr>
            <w:tcW w:w="106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EXPERTS</w:t>
              </w:r>
            </w:hyperlink>
          </w:p>
        </w:tc>
        <w:tc>
          <w:tcPr>
            <w:tcW w:w="2640" w:type="dxa"/>
            <w:vAlign w:val="bottom"/>
            <w:gridSpan w:val="12"/>
          </w:tcPr>
          <w:p>
            <w:pPr>
              <w:spacing w:after="0"/>
              <w:rPr>
                <w:sz w:val="11"/>
                <w:szCs w:val="11"/>
                <w:color w:val="auto"/>
              </w:rPr>
            </w:pPr>
          </w:p>
        </w:tc>
        <w:tc>
          <w:tcPr>
            <w:tcW w:w="6240" w:type="dxa"/>
            <w:vAlign w:val="bottom"/>
          </w:tcPr>
          <w:p>
            <w:pPr>
              <w:jc w:val="right"/>
              <w:spacing w:after="0" w:line="138" w:lineRule="exact"/>
              <w:rPr>
                <w:sz w:val="20"/>
                <w:szCs w:val="20"/>
                <w:color w:val="auto"/>
              </w:rPr>
            </w:pPr>
            <w:r>
              <w:rPr>
                <w:rFonts w:ascii="Arial" w:cs="Arial" w:eastAsia="Arial" w:hAnsi="Arial"/>
                <w:sz w:val="13"/>
                <w:szCs w:val="13"/>
                <w:color w:val="auto"/>
              </w:rPr>
              <w:t>40</w:t>
            </w:r>
          </w:p>
        </w:tc>
      </w:tr>
      <w:tr>
        <w:trPr>
          <w:trHeight w:val="137"/>
        </w:trPr>
        <w:tc>
          <w:tcPr>
            <w:tcW w:w="40" w:type="dxa"/>
            <w:vAlign w:val="bottom"/>
            <w:tcBorders>
              <w:top w:val="single" w:sz="8" w:color="0000EE"/>
            </w:tcBorders>
          </w:tcPr>
          <w:p>
            <w:pPr>
              <w:spacing w:after="0"/>
              <w:rPr>
                <w:sz w:val="11"/>
                <w:szCs w:val="11"/>
                <w:color w:val="auto"/>
              </w:rPr>
            </w:pPr>
          </w:p>
        </w:tc>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90"/>
              </w:rPr>
            </w:pPr>
            <w:hyperlink w:anchor="page62">
              <w:r>
                <w:rPr>
                  <w:rFonts w:ascii="Arial" w:cs="Arial" w:eastAsia="Arial" w:hAnsi="Arial"/>
                  <w:sz w:val="13"/>
                  <w:szCs w:val="13"/>
                  <w:color w:val="0000EE"/>
                  <w:w w:val="90"/>
                </w:rPr>
                <w:t>EX-5.1</w:t>
              </w:r>
            </w:hyperlink>
          </w:p>
        </w:tc>
        <w:tc>
          <w:tcPr>
            <w:tcW w:w="140" w:type="dxa"/>
            <w:vAlign w:val="bottom"/>
            <w:tcBorders>
              <w:top w:val="single" w:sz="8" w:color="0000EE"/>
            </w:tcBorders>
            <w:gridSpan w:val="2"/>
          </w:tcPr>
          <w:p>
            <w:pPr>
              <w:spacing w:after="0"/>
              <w:rPr>
                <w:sz w:val="11"/>
                <w:szCs w:val="11"/>
                <w:color w:val="auto"/>
              </w:rPr>
            </w:pPr>
          </w:p>
        </w:tc>
        <w:tc>
          <w:tcPr>
            <w:tcW w:w="3140" w:type="dxa"/>
            <w:vAlign w:val="bottom"/>
            <w:gridSpan w:val="15"/>
          </w:tcPr>
          <w:p>
            <w:pPr>
              <w:spacing w:after="0"/>
              <w:rPr>
                <w:sz w:val="11"/>
                <w:szCs w:val="11"/>
                <w:color w:val="auto"/>
              </w:rPr>
            </w:pPr>
          </w:p>
        </w:tc>
        <w:tc>
          <w:tcPr>
            <w:tcW w:w="62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70">
              <w:r>
                <w:rPr>
                  <w:rFonts w:ascii="Arial" w:cs="Arial" w:eastAsia="Arial" w:hAnsi="Arial"/>
                  <w:sz w:val="13"/>
                  <w:szCs w:val="13"/>
                  <w:color w:val="0000EE"/>
                  <w:w w:val="90"/>
                </w:rPr>
                <w:t>EX-8.1</w:t>
              </w:r>
            </w:hyperlink>
          </w:p>
        </w:tc>
        <w:tc>
          <w:tcPr>
            <w:tcW w:w="3280" w:type="dxa"/>
            <w:vAlign w:val="bottom"/>
            <w:gridSpan w:val="17"/>
          </w:tcPr>
          <w:p>
            <w:pPr>
              <w:spacing w:after="0"/>
              <w:rPr>
                <w:sz w:val="11"/>
                <w:szCs w:val="11"/>
                <w:color w:val="auto"/>
              </w:rPr>
            </w:pPr>
          </w:p>
        </w:tc>
        <w:tc>
          <w:tcPr>
            <w:tcW w:w="62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71">
              <w:r>
                <w:rPr>
                  <w:rFonts w:ascii="Arial" w:cs="Arial" w:eastAsia="Arial" w:hAnsi="Arial"/>
                  <w:sz w:val="13"/>
                  <w:szCs w:val="13"/>
                  <w:color w:val="0000EE"/>
                  <w:w w:val="89"/>
                </w:rPr>
                <w:t>EX-12.1</w:t>
              </w:r>
            </w:hyperlink>
          </w:p>
        </w:tc>
        <w:tc>
          <w:tcPr>
            <w:tcW w:w="3220" w:type="dxa"/>
            <w:vAlign w:val="bottom"/>
            <w:gridSpan w:val="16"/>
          </w:tcPr>
          <w:p>
            <w:pPr>
              <w:spacing w:after="0"/>
              <w:rPr>
                <w:sz w:val="11"/>
                <w:szCs w:val="11"/>
                <w:color w:val="auto"/>
              </w:rPr>
            </w:pPr>
          </w:p>
        </w:tc>
        <w:tc>
          <w:tcPr>
            <w:tcW w:w="62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72">
              <w:r>
                <w:rPr>
                  <w:rFonts w:ascii="Arial" w:cs="Arial" w:eastAsia="Arial" w:hAnsi="Arial"/>
                  <w:sz w:val="13"/>
                  <w:szCs w:val="13"/>
                  <w:color w:val="0000EE"/>
                  <w:w w:val="89"/>
                </w:rPr>
                <w:t>EX-23.1</w:t>
              </w:r>
            </w:hyperlink>
          </w:p>
        </w:tc>
        <w:tc>
          <w:tcPr>
            <w:tcW w:w="3220" w:type="dxa"/>
            <w:vAlign w:val="bottom"/>
            <w:gridSpan w:val="16"/>
          </w:tcPr>
          <w:p>
            <w:pPr>
              <w:spacing w:after="0"/>
              <w:rPr>
                <w:sz w:val="11"/>
                <w:szCs w:val="11"/>
                <w:color w:val="auto"/>
              </w:rPr>
            </w:pPr>
          </w:p>
        </w:tc>
        <w:tc>
          <w:tcPr>
            <w:tcW w:w="62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73">
              <w:r>
                <w:rPr>
                  <w:rFonts w:ascii="Arial" w:cs="Arial" w:eastAsia="Arial" w:hAnsi="Arial"/>
                  <w:sz w:val="13"/>
                  <w:szCs w:val="13"/>
                  <w:color w:val="0000EE"/>
                  <w:w w:val="89"/>
                </w:rPr>
                <w:t>EX-25.1</w:t>
              </w:r>
            </w:hyperlink>
          </w:p>
        </w:tc>
        <w:tc>
          <w:tcPr>
            <w:tcW w:w="3220" w:type="dxa"/>
            <w:vAlign w:val="bottom"/>
            <w:gridSpan w:val="16"/>
          </w:tcPr>
          <w:p>
            <w:pPr>
              <w:spacing w:after="0"/>
              <w:rPr>
                <w:sz w:val="11"/>
                <w:szCs w:val="11"/>
                <w:color w:val="auto"/>
              </w:rPr>
            </w:pPr>
          </w:p>
        </w:tc>
        <w:tc>
          <w:tcPr>
            <w:tcW w:w="62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78">
              <w:r>
                <w:rPr>
                  <w:rFonts w:ascii="Arial" w:cs="Arial" w:eastAsia="Arial" w:hAnsi="Arial"/>
                  <w:sz w:val="13"/>
                  <w:szCs w:val="13"/>
                  <w:color w:val="0000EE"/>
                  <w:w w:val="89"/>
                </w:rPr>
                <w:t>EX-25.2</w:t>
              </w:r>
            </w:hyperlink>
          </w:p>
        </w:tc>
        <w:tc>
          <w:tcPr>
            <w:tcW w:w="3220" w:type="dxa"/>
            <w:vAlign w:val="bottom"/>
            <w:gridSpan w:val="16"/>
          </w:tcPr>
          <w:p>
            <w:pPr>
              <w:spacing w:after="0"/>
              <w:rPr>
                <w:sz w:val="11"/>
                <w:szCs w:val="11"/>
                <w:color w:val="auto"/>
              </w:rPr>
            </w:pPr>
          </w:p>
        </w:tc>
        <w:tc>
          <w:tcPr>
            <w:tcW w:w="6240" w:type="dxa"/>
            <w:vAlign w:val="bottom"/>
          </w:tcPr>
          <w:p>
            <w:pPr>
              <w:spacing w:after="0"/>
              <w:rPr>
                <w:sz w:val="11"/>
                <w:szCs w:val="11"/>
                <w:color w:val="auto"/>
              </w:rPr>
            </w:pPr>
          </w:p>
        </w:tc>
      </w:tr>
    </w:tbl>
    <w:p>
      <w:pPr>
        <w:spacing w:after="0" w:line="95" w:lineRule="exact"/>
        <w:rPr>
          <w:sz w:val="20"/>
          <w:szCs w:val="20"/>
          <w:color w:val="auto"/>
        </w:rPr>
      </w:pPr>
    </w:p>
    <w:p>
      <w:pPr>
        <w:ind w:right="100" w:firstLine="399"/>
        <w:spacing w:after="0" w:line="283" w:lineRule="auto"/>
        <w:rPr>
          <w:sz w:val="20"/>
          <w:szCs w:val="20"/>
          <w:color w:val="auto"/>
        </w:rPr>
      </w:pPr>
      <w:r>
        <w:rPr>
          <w:rFonts w:ascii="Arial" w:cs="Arial" w:eastAsia="Arial" w:hAnsi="Arial"/>
          <w:sz w:val="13"/>
          <w:szCs w:val="13"/>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50" w:lineRule="exact"/>
        <w:rPr>
          <w:sz w:val="20"/>
          <w:szCs w:val="20"/>
          <w:color w:val="auto"/>
        </w:rPr>
      </w:pPr>
    </w:p>
    <w:p>
      <w:pPr>
        <w:jc w:val="both"/>
        <w:ind w:right="20" w:firstLine="399"/>
        <w:spacing w:after="0" w:line="300" w:lineRule="auto"/>
        <w:rPr>
          <w:sz w:val="20"/>
          <w:szCs w:val="20"/>
          <w:color w:val="auto"/>
        </w:rPr>
      </w:pPr>
      <w:r>
        <w:rPr>
          <w:rFonts w:ascii="Arial" w:cs="Arial" w:eastAsia="Arial" w:hAnsi="Arial"/>
          <w:sz w:val="12"/>
          <w:szCs w:val="12"/>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ABOUT THIS PROSPECTUS</w:t>
      </w:r>
    </w:p>
    <w:p>
      <w:pPr>
        <w:spacing w:after="0" w:line="100"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93980</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73"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Annual Report on Form 10-K for the year ended December 31, 2007;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Quarterly Reports on Form 10-Q for the quarters ended March 31, 2008, June 30, 2008 and September 30, 2008;</w:t>
      </w:r>
    </w:p>
    <w:p>
      <w:pPr>
        <w:spacing w:after="0" w:line="86" w:lineRule="exact"/>
        <w:rPr>
          <w:rFonts w:ascii="Arial" w:cs="Arial" w:eastAsia="Arial" w:hAnsi="Arial"/>
          <w:sz w:val="13"/>
          <w:szCs w:val="13"/>
          <w:color w:val="auto"/>
        </w:rPr>
      </w:pPr>
    </w:p>
    <w:p>
      <w:pPr>
        <w:jc w:val="both"/>
        <w:ind w:left="1280" w:right="140" w:hanging="190"/>
        <w:spacing w:after="0" w:line="264"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with the SEC on January 4, 2008 (amendment of the Limited Partnership Agreement of Plains AAP, L.P. and the Limited Liability Company Agreement of Plains All American GP LLC, modifications to the Class B Restricted Units Agreements and assignment of general partnership interest of the general partnership interest in Plains AAP, L.P.);</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with the SEC on March 10, 2008 (audited balance sheet of PAA GP LLC as of December 31, 2007);</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(other than Items 7.01 and 9.01, which were furnished) with the SEC on April 7, 2008 (execution of Rainbow Pipe Line Company Ltd. acquisition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with the SEC on April 15, 2008 (amendment of the Limited Partnership Agreement of Plains All American Pipeline, L.P.);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(other than Item 7.01, which was furnished) with the SEC on April 18, 2008 (announcement of debt offering);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Current Report on Form 8-K filed (other than Items 7.01 and 9.01, which were furnished) with the SEC on April 18, 2008 (announcement of Rainbow IDR reduction);</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(other than Item 7.01, which was furnished) with the SEC on April 23, 2008 (documentation related to debt offering);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Current Report on Form 8-K filed (other than Item 7.01, which was furnished) with the SEC on May 12, 2008 (execution of underwriting agreement related to equity offering);</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Report on Form 8-K filed with the SEC on May 20, 2008 (unaudited consolidated balance sheet of PAA GP LLC as of March 31,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Report on Form 8-K filed with the SEC on May 30, 2008 (amendment of the Limited Partnership Agreement of Plains All American Pipeline, L.P.);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Report on Form 8-K filed with the SEC on July 28, 2008 (officer title changes);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Report on Form 8-K filed (other than Item 7.01, which was furnished) with the SEC on August 7, 2008 (amendment of the Limited Partnership Agreement of Plains AAP, L.P. and the Limited Liability Company Agreement of Plains All American GP LLC);</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Report on Form 8-K filed with the SEC on August 19, 2008 (unaudited consolidated balance sheet of PAA GP LLC as of June 30,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Report on Form 8-K filed with the SEC on October 31, 2008 (extension of exchange offer of senior notes);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Report on Form 8-K filed with the SEC on November 7, 2008 (second restated credit agreement);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Report on Form 8-K filed with the SEC on November 14, 2008 (unaudited consolidated balance sheet of PAA GP LLC as of September 30,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Current Report on Form 8-K filed (other than Item 7.01, which was furnished) with the SEC on November 14, 2008 (board of director changes); and</w:t>
      </w:r>
    </w:p>
    <w:p>
      <w:pPr>
        <w:spacing w:after="0" w:line="86"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description of our common units contained in our Form 8-A/A dated November 3, 1998 and any subsequent amendment thereto filed for the purpose of updating such description.</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4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Plains All American Pipeline, L.P.</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Attention: Tim Moore</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Telephone: (713) 646-4100</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55" w:lineRule="exact"/>
        <w:rPr>
          <w:sz w:val="20"/>
          <w:szCs w:val="20"/>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failure to implement or capitalize on planned internal growth projects;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maintenance of our credit rating and ability to receive open credit from our suppliers and trade counterparties;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continued creditworthiness of, and performance by, our counterparties, including financial institutions and trading companies with which we do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success of our risk management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environmental liabilities or events that are not covered by an indemnity, insurance or existing reserves;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abrupt or severe declines or interruptions in outer continental shelf production located offshore California and transported on our pipeline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shortages or cost increases of power supplies, materials or labor;</w:t>
      </w:r>
    </w:p>
    <w:p>
      <w:pPr>
        <w:spacing w:after="0" w:line="86" w:lineRule="exact"/>
        <w:rPr>
          <w:rFonts w:ascii="Arial" w:cs="Arial" w:eastAsia="Arial" w:hAnsi="Arial"/>
          <w:sz w:val="13"/>
          <w:szCs w:val="13"/>
          <w:color w:val="auto"/>
        </w:rPr>
      </w:pPr>
    </w:p>
    <w:p>
      <w:pPr>
        <w:ind w:left="1280" w:right="22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7"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availability of, and our ability to consummate, acquisition or combination opportunities;</w:t>
      </w:r>
    </w:p>
    <w:p>
      <w:pPr>
        <w:spacing w:after="0" w:line="86"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obtain debt or equity financing on satisfactory terms to fund additional acquisitions, expansion projects, working capital requirements and the repayment or refinancing of indebtedness;</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successful integration and future performance of acquired assets or businesses and the risks associated with operating in lines of business that are distinct and separate from our historical operations;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unanticipated changes in crude oil market structure and volatility (or lack thereof);</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impact of current and future laws, rulings, governmental regulations and interpretations;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effects of competition;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interruptions in service and fluctuations in tariffs or volumes on third-party pipelines;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increased costs or lack of availability of insurance;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fluctuations in the debt and equity markets, including the price of our units at the time of vesting under our long-term incentive plans;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currency exchange rate of the Canadian dollar;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weather interference with business operations or project construction;</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risks related to the development and operation of natural gas storage facilities;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future developments and circumstances at the time distributions are declared;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general economic, market or business conditions; and</w:t>
      </w:r>
    </w:p>
    <w:p>
      <w:pPr>
        <w:spacing w:after="0" w:line="86"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factors and uncertainties inherent in the transportation, storage, terminalling and marketing of crude oil, refined products and liquefied petroleum gas and other natural gas related petroleum products.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Other factors described herein or incorporated by reference, or factors that are unknown or unpredictable, could also have a material adverse effect on future results. Please read “Risk Factors” beginning on page 5 of this prospectus and in Item 1A. “Risk Factors” in our annual report on Form 10-K for the year ended December 31, 2007. Except as required by securities laws applicable to the documents incorporated by reference, we do not intend to update these forward-looking statements and information.</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WHO WE ARE</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are a Delaware limited partnership formed in September 1998. Our operations are conducted directly and indirectly through our operating subsidiaries. We are engaged in the transportation, storage, terminalling and marketing of crude oil, refined products and liquefied petroleum gas and other natural gas related petroleum products. We own an extensive network of pipeline transportation, terminalling, storage and gathering assets in key oil producing basins, transportation corridors and at major market hubs in the United States and Canada. In addition, through our 50% equity ownership in PAA/Vulcan Gas Storage, LLC, we are also engaged in the development and operation of natural gas storage facilities.</w:t>
      </w:r>
    </w:p>
    <w:p>
      <w:pPr>
        <w:spacing w:after="0" w:line="53"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w:t>
      </w:r>
    </w:p>
    <w:p>
      <w:pPr>
        <w:spacing w:after="0" w:line="35" w:lineRule="exact"/>
        <w:rPr>
          <w:sz w:val="20"/>
          <w:szCs w:val="20"/>
          <w:color w:val="auto"/>
        </w:rPr>
      </w:pPr>
    </w:p>
    <w:p>
      <w:pPr>
        <w:jc w:val="both"/>
        <w:ind w:left="680" w:right="340" w:firstLine="399"/>
        <w:spacing w:after="0" w:line="320" w:lineRule="auto"/>
        <w:rPr>
          <w:sz w:val="20"/>
          <w:szCs w:val="20"/>
          <w:color w:val="auto"/>
        </w:rPr>
      </w:pPr>
      <w:r>
        <w:rPr>
          <w:rFonts w:ascii="Arial" w:cs="Arial" w:eastAsia="Arial" w:hAnsi="Arial"/>
          <w:sz w:val="12"/>
          <w:szCs w:val="12"/>
          <w:color w:val="auto"/>
        </w:rPr>
        <w:t>For purposes of this prospectus, unless the context clearly indicates otherwise, “we,” “us,” “our,” “Plains All American Pipeline” and similar terms refer to Plains All American Pipeline, L.P. and its subsidiaries. References to our “general partner,” as the context requires, includes any or all of PAA GP LLC, Plains AAP, L.P. and Plains All American GP LLC.</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executive offices are located at 333 Clay Street, Suite 1600, Houston, Texas 77002 and our telephone number is (713) 646-4100.</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as to our business, properties and financial condition please refer to the documents cited in “Where You Can Find More Information.”</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2007, in evaluating an investment in our securities. If any of these risks were to occur, our business, financial condition or results of operations could be adversely affected. In that case, the trading price of our common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w:t>
      </w:r>
    </w:p>
    <w:p>
      <w:pPr>
        <w:spacing w:after="0" w:line="35"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Any specific allocation of the net proceeds of an offering of securities to a specific purpose will be determined at the time of the offering and will be described in a prospectus supplement.</w:t>
      </w:r>
    </w:p>
    <w:p>
      <w:pPr>
        <w:spacing w:after="0" w:line="212"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RATIO OF EARNINGS TO FIXED CHARGES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historical consolidated ratio of earnings to fixed charges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6"/>
              </w:rPr>
              <w:t>Nine Months</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8"/>
              </w:rPr>
              <w:t>Ended</w:t>
            </w: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00" w:type="dxa"/>
            <w:vAlign w:val="bottom"/>
            <w:gridSpan w:val="5"/>
            <w:vMerge w:val="restart"/>
          </w:tcPr>
          <w:p>
            <w:pPr>
              <w:jc w:val="center"/>
              <w:ind w:left="243"/>
              <w:spacing w:after="0"/>
              <w:rPr>
                <w:sz w:val="20"/>
                <w:szCs w:val="20"/>
                <w:color w:val="auto"/>
              </w:rPr>
            </w:pPr>
            <w:r>
              <w:rPr>
                <w:rFonts w:ascii="Arial" w:cs="Arial" w:eastAsia="Arial" w:hAnsi="Arial"/>
                <w:sz w:val="10"/>
                <w:szCs w:val="10"/>
                <w:b w:val="1"/>
                <w:bCs w:val="1"/>
                <w:color w:val="auto"/>
                <w:w w:val="94"/>
              </w:rPr>
              <w:t>Year Ended December 31,</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September 30,</w:t>
            </w:r>
          </w:p>
        </w:tc>
        <w:tc>
          <w:tcPr>
            <w:tcW w:w="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9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2008</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auto"/>
            </w:tcBorders>
          </w:tcPr>
          <w:p>
            <w:pPr>
              <w:jc w:val="right"/>
              <w:ind w:right="1"/>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340" w:type="dxa"/>
            <w:vAlign w:val="bottom"/>
            <w:tcBorders>
              <w:bottom w:val="single" w:sz="8" w:color="auto"/>
            </w:tcBorders>
          </w:tcPr>
          <w:p>
            <w:pPr>
              <w:jc w:val="right"/>
              <w:ind w:right="3"/>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34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
              <w:spacing w:after="0" w:line="98" w:lineRule="exact"/>
              <w:rPr>
                <w:sz w:val="20"/>
                <w:szCs w:val="20"/>
                <w:color w:val="auto"/>
              </w:rPr>
            </w:pPr>
            <w:r>
              <w:rPr>
                <w:rFonts w:ascii="Arial" w:cs="Arial" w:eastAsia="Arial" w:hAnsi="Arial"/>
                <w:sz w:val="10"/>
                <w:szCs w:val="10"/>
                <w:b w:val="1"/>
                <w:bCs w:val="1"/>
                <w:color w:val="auto"/>
                <w:w w:val="98"/>
              </w:rPr>
              <w:t>2004</w:t>
            </w:r>
          </w:p>
        </w:tc>
        <w:tc>
          <w:tcPr>
            <w:tcW w:w="400" w:type="dxa"/>
            <w:vAlign w:val="bottom"/>
          </w:tcPr>
          <w:p>
            <w:pPr>
              <w:spacing w:after="0"/>
              <w:rPr>
                <w:sz w:val="8"/>
                <w:szCs w:val="8"/>
                <w:color w:val="auto"/>
              </w:rPr>
            </w:pPr>
          </w:p>
        </w:tc>
        <w:tc>
          <w:tcPr>
            <w:tcW w:w="320" w:type="dxa"/>
            <w:vAlign w:val="bottom"/>
            <w:tcBorders>
              <w:bottom w:val="single" w:sz="8" w:color="auto"/>
            </w:tcBorders>
          </w:tcPr>
          <w:p>
            <w:pPr>
              <w:jc w:val="right"/>
              <w:ind w:right="1"/>
              <w:spacing w:after="0" w:line="98" w:lineRule="exact"/>
              <w:rPr>
                <w:sz w:val="20"/>
                <w:szCs w:val="20"/>
                <w:color w:val="auto"/>
              </w:rPr>
            </w:pPr>
            <w:r>
              <w:rPr>
                <w:rFonts w:ascii="Arial" w:cs="Arial" w:eastAsia="Arial" w:hAnsi="Arial"/>
                <w:sz w:val="10"/>
                <w:szCs w:val="10"/>
                <w:b w:val="1"/>
                <w:bCs w:val="1"/>
                <w:color w:val="auto"/>
              </w:rPr>
              <w:t>2003</w:t>
            </w:r>
          </w:p>
        </w:tc>
        <w:tc>
          <w:tcPr>
            <w:tcW w:w="0" w:type="dxa"/>
            <w:vAlign w:val="bottom"/>
          </w:tcPr>
          <w:p>
            <w:pPr>
              <w:spacing w:after="0"/>
              <w:rPr>
                <w:sz w:val="1"/>
                <w:szCs w:val="1"/>
                <w:color w:val="auto"/>
              </w:rPr>
            </w:pPr>
          </w:p>
        </w:tc>
      </w:tr>
      <w:tr>
        <w:trPr>
          <w:trHeight w:val="186"/>
        </w:trPr>
        <w:tc>
          <w:tcPr>
            <w:tcW w:w="5260" w:type="dxa"/>
            <w:vAlign w:val="bottom"/>
            <w:gridSpan w:val="2"/>
          </w:tcPr>
          <w:p>
            <w:pPr>
              <w:spacing w:after="0"/>
              <w:rPr>
                <w:sz w:val="20"/>
                <w:szCs w:val="20"/>
                <w:color w:val="auto"/>
              </w:rPr>
            </w:pPr>
            <w:r>
              <w:rPr>
                <w:rFonts w:ascii="Arial" w:cs="Arial" w:eastAsia="Arial" w:hAnsi="Arial"/>
                <w:sz w:val="13"/>
                <w:szCs w:val="13"/>
                <w:color w:val="auto"/>
              </w:rPr>
              <w:t>Ratio of Earnings to Fixed Charges(1)</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2.66</w:t>
            </w:r>
          </w:p>
        </w:tc>
        <w:tc>
          <w:tcPr>
            <w:tcW w:w="380" w:type="dxa"/>
            <w:vAlign w:val="bottom"/>
          </w:tcPr>
          <w:p>
            <w:pPr>
              <w:spacing w:after="0"/>
              <w:rPr>
                <w:sz w:val="16"/>
                <w:szCs w:val="16"/>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2.45</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2.83</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3.34</w:t>
            </w:r>
          </w:p>
        </w:tc>
        <w:tc>
          <w:tcPr>
            <w:tcW w:w="40" w:type="dxa"/>
            <w:vAlign w:val="bottom"/>
          </w:tcPr>
          <w:p>
            <w:pPr>
              <w:spacing w:after="0"/>
              <w:rPr>
                <w:sz w:val="16"/>
                <w:szCs w:val="16"/>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3.37</w:t>
            </w:r>
          </w:p>
        </w:tc>
        <w:tc>
          <w:tcPr>
            <w:tcW w:w="320" w:type="dxa"/>
            <w:vAlign w:val="bottom"/>
          </w:tcPr>
          <w:p>
            <w:pPr>
              <w:jc w:val="right"/>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99"/>
        </w:trPr>
        <w:tc>
          <w:tcPr>
            <w:tcW w:w="130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line="276" w:lineRule="auto"/>
        <w:tabs>
          <w:tab w:leader="none" w:pos="10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interest costs attributable to borrowings for inventory stored in a contango market of $15 million, $44 million, $49 million, $24 million, $2 million and $1 million for the nine months ended September 30, 2008 and each of the years ended December 31, 2007, 2006, 2005, 2004 and 2003, respectively.</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For purposes of computing the ratio of earnings to fixed charges, “earnings” consist of pretax income from continuing operations plus fixed charges (excluding capitalized interest). “Fixed charges” represent interest incurred (whether expensed or capitalized), amortization of debt expense, and that portion of rental expense on operating leases deemed to be the equivalent of interest.</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DESCRIPTION OF OUR DEBT SECURITIES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debt securities will be:</w:t>
      </w:r>
    </w:p>
    <w:p>
      <w:pPr>
        <w:spacing w:after="0" w:line="96"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direct general obligations;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either senior debt securities or subordinated debt securities;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issued under separate indentures (which may be existing indentures) among us, the guarantors and U.S. Bank National Association, as Trustee.</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Specific Terms of Each Series of Debt Securities in the Prospectus Supplement</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9"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whether PAA Finance will be a co-issuer of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guarantors of the debt securities, if 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whether the debt securities are senior or subordinated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title of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total principal amount of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assets, if any, that are pledged as security for the payment of the debt securities;</w:t>
      </w:r>
    </w:p>
    <w:p>
      <w:pPr>
        <w:spacing w:after="0" w:line="86" w:lineRule="exact"/>
        <w:rPr>
          <w:rFonts w:ascii="Arial" w:cs="Arial" w:eastAsia="Arial" w:hAnsi="Arial"/>
          <w:sz w:val="13"/>
          <w:szCs w:val="13"/>
          <w:color w:val="auto"/>
        </w:rPr>
      </w:pPr>
    </w:p>
    <w:p>
      <w:pPr>
        <w:ind w:left="1280" w:right="58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whether we will issue the debt securities in individual certificates to each holder in registered form, or in the form of temporary or permanent global securities held by a depository on behalf of holders;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prices at which we will issue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portion of the principal amount that will be payable if the maturity of the debt securities is accelerated;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currency or currency unit in which the debt securities will be payable, if not U.S. dollars;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dates on which the principal of the debt securities will be payable;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interest rate that the debt securities will bear and the interest payment dates for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conversion or exchange provisions;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optional redemption provisions;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sinking fund or other provisions that would obligate us to repurchase or otherwise redeem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changes to or additional events of default or covenants;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any other terms of the debt securities.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Guarantees</w:t>
      </w:r>
    </w:p>
    <w:p>
      <w:pPr>
        <w:spacing w:after="0" w:line="100" w:lineRule="exact"/>
        <w:rPr>
          <w:sz w:val="20"/>
          <w:szCs w:val="20"/>
          <w:color w:val="auto"/>
        </w:rPr>
      </w:pPr>
    </w:p>
    <w:p>
      <w:pPr>
        <w:ind w:left="680" w:right="100" w:firstLine="399"/>
        <w:spacing w:after="0" w:line="301" w:lineRule="auto"/>
        <w:rPr>
          <w:sz w:val="20"/>
          <w:szCs w:val="20"/>
          <w:color w:val="auto"/>
        </w:rPr>
      </w:pPr>
      <w:r>
        <w:rPr>
          <w:rFonts w:ascii="Arial" w:cs="Arial" w:eastAsia="Arial" w:hAnsi="Arial"/>
          <w:sz w:val="11"/>
          <w:szCs w:val="11"/>
          <w:color w:val="auto"/>
        </w:rPr>
        <w:t>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substantially all subsidiaries other than (i) subsidiaries that are minor, (ii) PAA Finance Corp., if it is a co-issuer of such debt securities and</w:t>
      </w:r>
    </w:p>
    <w:p>
      <w:pPr>
        <w:spacing w:after="0" w:line="2" w:lineRule="exact"/>
        <w:rPr>
          <w:sz w:val="20"/>
          <w:szCs w:val="20"/>
          <w:color w:val="auto"/>
        </w:rPr>
      </w:pPr>
    </w:p>
    <w:p>
      <w:pPr>
        <w:ind w:left="680" w:right="540" w:firstLine="7"/>
        <w:spacing w:after="0" w:line="264" w:lineRule="auto"/>
        <w:tabs>
          <w:tab w:leader="none" w:pos="909" w:val="left"/>
        </w:tabs>
        <w:numPr>
          <w:ilvl w:val="0"/>
          <w:numId w:val="11"/>
        </w:numPr>
        <w:rPr>
          <w:rFonts w:ascii="Arial" w:cs="Arial" w:eastAsia="Arial" w:hAnsi="Arial"/>
          <w:sz w:val="13"/>
          <w:szCs w:val="13"/>
          <w:color w:val="auto"/>
        </w:rPr>
      </w:pPr>
      <w:r>
        <w:rPr>
          <w:rFonts w:ascii="Arial" w:cs="Arial" w:eastAsia="Arial" w:hAnsi="Arial"/>
          <w:sz w:val="13"/>
          <w:szCs w:val="13"/>
          <w:color w:val="auto"/>
        </w:rPr>
        <w:t>subsidiaries that are regulated by the California Public Utilities Commission. The prospectus supplement will describe any limitation on the maximum amount of any particular guarantee and the conditions under which guarantees may be released.</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Consolidation, Merger or Asset Sale</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9" w:lineRule="exact"/>
        <w:rPr>
          <w:sz w:val="20"/>
          <w:szCs w:val="20"/>
          <w:color w:val="auto"/>
        </w:rPr>
      </w:pPr>
    </w:p>
    <w:p>
      <w:pPr>
        <w:ind w:left="1280" w:right="400" w:hanging="190"/>
        <w:spacing w:after="0" w:line="371" w:lineRule="auto"/>
        <w:tabs>
          <w:tab w:leader="none" w:pos="12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 w:lineRule="exact"/>
        <w:rPr>
          <w:rFonts w:ascii="Arial" w:cs="Arial" w:eastAsia="Arial" w:hAnsi="Arial"/>
          <w:sz w:val="11"/>
          <w:szCs w:val="11"/>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remaining or acquiring entity must assume the issuer’s obligations under the indenture;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immediately after giving effect to the transaction, no Default or Event of Default (as defined under “— Events of Default and Remedies” below) may exist.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 Protection in the Event of a Change of Control</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Modification of Indentures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71"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reduce the principal amount of debt securities whose holders must consent to an amendment, supplement or waiver;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reduce the principal of or change the fixed maturity of any debt security;</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reduce the rate of or change the time for payment of interest on any debt security;</w:t>
      </w:r>
    </w:p>
    <w:p>
      <w:pPr>
        <w:spacing w:after="0" w:line="86" w:lineRule="exact"/>
        <w:rPr>
          <w:rFonts w:ascii="Arial" w:cs="Arial" w:eastAsia="Arial" w:hAnsi="Arial"/>
          <w:sz w:val="13"/>
          <w:szCs w:val="13"/>
          <w:color w:val="auto"/>
        </w:rPr>
      </w:pPr>
    </w:p>
    <w:p>
      <w:pPr>
        <w:ind w:left="1280" w:right="20" w:hanging="190"/>
        <w:spacing w:after="0" w:line="320"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except as otherwise permitted under the indenture, release any security that may have been granted with respect to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make any debt security payable in currency other than that stated in the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the case of any subordinated debt security, make any change in the subordination provisions that adversely affects the rights of any holder under those provisions;</w:t>
      </w:r>
    </w:p>
    <w:p>
      <w:pPr>
        <w:spacing w:after="0" w:line="97" w:lineRule="exact"/>
        <w:rPr>
          <w:rFonts w:ascii="Arial" w:cs="Arial" w:eastAsia="Arial" w:hAnsi="Arial"/>
          <w:sz w:val="12"/>
          <w:szCs w:val="12"/>
          <w:color w:val="auto"/>
        </w:rPr>
      </w:pPr>
    </w:p>
    <w:p>
      <w:pPr>
        <w:ind w:left="1280" w:right="2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waive a redemption payment with respect to any debt security (except as may be permitted in the case of a particular series of debt securities);</w:t>
      </w:r>
    </w:p>
    <w:p>
      <w:pPr>
        <w:spacing w:after="0" w:line="8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make any change in the preceding amendment, supplement and waiver provisions (except to increase any percentage set forth therein).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may supplement or amend an indenture without the consent of any holders of the debt securities in certain circumstances, including:</w:t>
      </w:r>
    </w:p>
    <w:p>
      <w:pPr>
        <w:spacing w:after="0" w:line="96"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to establish the form of terms of any series of debt securities;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to cure any ambiguity, defect or inconsistency;</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provide for uncertificated notes in addition to or in place of certified notes;</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provide for the assumption of an issuer’s or guarantor’s obligations to holders of debt securities in the case of a merger or consolidation or disposition of all or substantially all of such issuer’s or guarantor’s assets;</w:t>
      </w:r>
    </w:p>
    <w:p>
      <w:pPr>
        <w:spacing w:after="0" w:line="49" w:lineRule="exact"/>
        <w:rPr>
          <w:rFonts w:ascii="Arial" w:cs="Arial" w:eastAsia="Arial" w:hAnsi="Arial"/>
          <w:sz w:val="13"/>
          <w:szCs w:val="13"/>
          <w:color w:val="auto"/>
        </w:rPr>
      </w:pPr>
    </w:p>
    <w:p>
      <w:pPr>
        <w:ind w:left="1280" w:right="54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 the case of any subordinated debt security, to make any change in the subordination provisions that limits or terminates the benefits applicable to any holder of Senior Indebtedness of Plains All American Pipeline;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add or release guarantors pursuant to the terms of the indenture;</w:t>
      </w:r>
    </w:p>
    <w:p>
      <w:pPr>
        <w:spacing w:after="0" w:line="86"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comply with requirements of the SEC in order to effect or maintain the qualification of the Indenture under the Trust Indenture Act;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evidence or provide for the acceptance of appointment under the indenture of a successor Trustee;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add any additional Events of Default;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 secure the debt securities and/or the guarantees.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Events of Default and Remedies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“Event of Default,” when used in an indenture, will mean any of the following with respect to the debt securities of any series:</w:t>
      </w:r>
    </w:p>
    <w:p>
      <w:pPr>
        <w:spacing w:after="0" w:line="96"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to pay when due the principal of or any premium on any debt security of that series;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to pay, within 60 days of the due date, interest on any debt security of that series;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to pay when due any sinking fund payment with respect to any debt securities of that series;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on the part of the issuers to comply with the covenant described under “— Consolidation, Merger or Asset Sale;”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to perform any other covenant in the indenture that continues for 30 days after written notice is given to the issuers;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certain events of bankruptcy, insolvency or reorganization of an issuer;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any other Event of Default provided under the terms of the debt securities of that series.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conducting any proceeding or any remedy available to the Trustee, or exercising any power conferred upon the Trustee, for that series of debt securities.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 Limit on Amount of Debt Securities</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of Notes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issue debt securities of a series only in registered form, without coupons, unless otherwise indicated in the prospectus supplement.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Minimum Denominations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Unless the prospectus supplement states otherwise, the debt securities will be issued only in principal amounts of $1,000 each or integral multiples of $1,000.</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 Personal Liability</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Payment and Transfer</w:t>
      </w:r>
    </w:p>
    <w:p>
      <w:pPr>
        <w:spacing w:after="0" w:line="10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59"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Exchange, Registration and Transfer</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not be required to:</w:t>
      </w:r>
    </w:p>
    <w:p>
      <w:pPr>
        <w:spacing w:after="0" w:line="96" w:lineRule="exact"/>
        <w:rPr>
          <w:sz w:val="20"/>
          <w:szCs w:val="20"/>
          <w:color w:val="auto"/>
        </w:rPr>
      </w:pPr>
    </w:p>
    <w:p>
      <w:pPr>
        <w:ind w:left="1280" w:right="28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issue, register the transfer of, or exchange debt securities of a series either during a period beginning 15 business days prior to the selection of debt securities of that series for redemption and ending on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close of business on the day of mailing of the relevant notice of redemption or repurchase, or between a record date and the next succeeding interest payment date; or</w:t>
      </w:r>
    </w:p>
    <w:p>
      <w:pPr>
        <w:spacing w:after="0" w:line="108" w:lineRule="exact"/>
        <w:rPr>
          <w:sz w:val="20"/>
          <w:szCs w:val="20"/>
          <w:color w:val="auto"/>
        </w:rPr>
      </w:pPr>
    </w:p>
    <w:p>
      <w:pPr>
        <w:ind w:left="128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register the transfer of or exchange any debt security called for redemption or repurchase, except the unredeemed portion of any debt security we are redeeming or repurchasing in part.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Relating only to the Senior Debt Securities</w:t>
      </w:r>
    </w:p>
    <w:p>
      <w:pPr>
        <w:spacing w:after="0" w:line="100"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Relating only to the Subordinated Debt Securities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Subordinated Debt Securities Subordinated to Senior Indebtedness</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 Blockages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subordinated indenture will provide that no payment of principal, interest and any premium on the subordinated debt securities may be made in the event:</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or our property is involved in any voluntary or involuntary liquidation or bankruptcy;</w:t>
      </w:r>
    </w:p>
    <w:p>
      <w:pPr>
        <w:spacing w:after="0" w:line="86" w:lineRule="exact"/>
        <w:rPr>
          <w:rFonts w:ascii="Arial" w:cs="Arial" w:eastAsia="Arial" w:hAnsi="Arial"/>
          <w:sz w:val="13"/>
          <w:szCs w:val="13"/>
          <w:color w:val="auto"/>
        </w:rPr>
      </w:pPr>
    </w:p>
    <w:p>
      <w:pPr>
        <w:ind w:left="1280" w:right="220" w:hanging="190"/>
        <w:spacing w:after="0" w:line="320" w:lineRule="auto"/>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25" w:lineRule="exact"/>
        <w:rPr>
          <w:rFonts w:ascii="Arial" w:cs="Arial" w:eastAsia="Arial" w:hAnsi="Arial"/>
          <w:sz w:val="12"/>
          <w:szCs w:val="12"/>
          <w:color w:val="auto"/>
        </w:rPr>
      </w:pPr>
    </w:p>
    <w:p>
      <w:pPr>
        <w:ind w:left="1280" w:right="2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 Limitation on Amount of Senior Debt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subordinated indenture will not limit the amount of Senior Indebtedness that Plains All American Pipeline may incur, unless otherwise indicated in the prospectus supplement.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Book Entry, Delivery and Form</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Beneficial interests in global debt securities will be shown on, and transfers of global debt securities will be made only through, records maintained by DTC and its participants.</w:t>
      </w:r>
    </w:p>
    <w:p>
      <w:pPr>
        <w:spacing w:after="0" w:line="10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DTC has provided us the following information: DTC is a limited-purpose trust company organized under the New York Banking Law, a “banking organization” within the meaning of the New York Banking Law, 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53"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59"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DTC is owned by a number of its Direct Participants and by the New York Stock Exchange, Inc., The American Stock Exchange, Inc. and the Financial Industry Regulatory Authority.</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6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Debt securities represented by a global debt security will be exchangeable for certificated debt securities with the same terms in authorized denominations only if:</w:t>
      </w:r>
    </w:p>
    <w:p>
      <w:pPr>
        <w:spacing w:after="0" w:line="96" w:lineRule="exact"/>
        <w:rPr>
          <w:sz w:val="20"/>
          <w:szCs w:val="20"/>
          <w:color w:val="auto"/>
        </w:rPr>
      </w:pPr>
    </w:p>
    <w:p>
      <w:pPr>
        <w:ind w:left="1280" w:right="20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determine not to require all of the debt securities of a series to be represented by a global debt security.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Satisfaction and Discharge; Defeasance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indenture will be discharged and will cease to be of further effect as to all outstanding debt securities of any series issued thereunder, when:</w:t>
      </w:r>
    </w:p>
    <w:p>
      <w:pPr>
        <w:spacing w:after="0" w:line="96" w:lineRule="exact"/>
        <w:rPr>
          <w:sz w:val="20"/>
          <w:szCs w:val="20"/>
          <w:color w:val="auto"/>
        </w:rPr>
      </w:pPr>
    </w:p>
    <w:p>
      <w:pPr>
        <w:ind w:left="1640" w:hanging="171"/>
        <w:spacing w:after="0"/>
        <w:tabs>
          <w:tab w:leader="none" w:pos="1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either:</w:t>
      </w:r>
    </w:p>
    <w:p>
      <w:pPr>
        <w:spacing w:after="0" w:line="96" w:lineRule="exact"/>
        <w:rPr>
          <w:rFonts w:ascii="Arial" w:cs="Arial" w:eastAsia="Arial" w:hAnsi="Arial"/>
          <w:sz w:val="13"/>
          <w:szCs w:val="13"/>
          <w:color w:val="auto"/>
        </w:rPr>
      </w:pPr>
    </w:p>
    <w:p>
      <w:pPr>
        <w:ind w:left="1480" w:right="180" w:firstLine="372"/>
        <w:spacing w:after="0" w:line="320" w:lineRule="auto"/>
        <w:tabs>
          <w:tab w:leader="none" w:pos="2033" w:val="left"/>
        </w:tabs>
        <w:numPr>
          <w:ilvl w:val="1"/>
          <w:numId w:val="21"/>
        </w:numPr>
        <w:rPr>
          <w:rFonts w:ascii="Arial" w:cs="Arial" w:eastAsia="Arial" w:hAnsi="Arial"/>
          <w:sz w:val="12"/>
          <w:szCs w:val="12"/>
          <w:color w:val="auto"/>
        </w:rPr>
      </w:pPr>
      <w:r>
        <w:rPr>
          <w:rFonts w:ascii="Arial" w:cs="Arial" w:eastAsia="Arial" w:hAnsi="Arial"/>
          <w:sz w:val="12"/>
          <w:szCs w:val="12"/>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35" w:lineRule="exact"/>
        <w:rPr>
          <w:rFonts w:ascii="Arial" w:cs="Arial" w:eastAsia="Arial" w:hAnsi="Arial"/>
          <w:sz w:val="12"/>
          <w:szCs w:val="12"/>
          <w:color w:val="auto"/>
        </w:rPr>
      </w:pPr>
    </w:p>
    <w:p>
      <w:pPr>
        <w:ind w:left="1480" w:right="160" w:firstLine="372"/>
        <w:spacing w:after="0" w:line="260" w:lineRule="auto"/>
        <w:tabs>
          <w:tab w:leader="none" w:pos="2033" w:val="left"/>
        </w:tabs>
        <w:numPr>
          <w:ilvl w:val="1"/>
          <w:numId w:val="21"/>
        </w:numPr>
        <w:rPr>
          <w:rFonts w:ascii="Arial" w:cs="Arial" w:eastAsia="Arial" w:hAnsi="Arial"/>
          <w:sz w:val="13"/>
          <w:szCs w:val="13"/>
          <w:color w:val="auto"/>
        </w:rPr>
      </w:pPr>
      <w:r>
        <w:rPr>
          <w:rFonts w:ascii="Arial" w:cs="Arial" w:eastAsia="Arial" w:hAnsi="Arial"/>
          <w:sz w:val="13"/>
          <w:szCs w:val="13"/>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480"/>
        <w:spacing w:after="0" w:line="264" w:lineRule="auto"/>
        <w:rPr>
          <w:sz w:val="20"/>
          <w:szCs w:val="20"/>
          <w:color w:val="auto"/>
        </w:rPr>
      </w:pPr>
      <w:r>
        <w:rPr>
          <w:rFonts w:ascii="Arial" w:cs="Arial" w:eastAsia="Arial" w:hAnsi="Arial"/>
          <w:sz w:val="13"/>
          <w:szCs w:val="13"/>
          <w:color w:val="auto"/>
        </w:rPr>
        <w:t>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67" w:lineRule="exact"/>
        <w:rPr>
          <w:sz w:val="20"/>
          <w:szCs w:val="20"/>
          <w:color w:val="auto"/>
        </w:rPr>
      </w:pPr>
    </w:p>
    <w:p>
      <w:pPr>
        <w:ind w:left="1660" w:hanging="191"/>
        <w:spacing w:after="0"/>
        <w:tabs>
          <w:tab w:leader="none" w:pos="1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have paid or caused to be paid all other sums payable by us under the indenture; and</w:t>
      </w:r>
    </w:p>
    <w:p>
      <w:pPr>
        <w:spacing w:after="0" w:line="96" w:lineRule="exact"/>
        <w:rPr>
          <w:rFonts w:ascii="Arial" w:cs="Arial" w:eastAsia="Arial" w:hAnsi="Arial"/>
          <w:sz w:val="13"/>
          <w:szCs w:val="13"/>
          <w:color w:val="auto"/>
        </w:rPr>
      </w:pPr>
    </w:p>
    <w:p>
      <w:pPr>
        <w:ind w:left="1080" w:right="260" w:firstLine="389"/>
        <w:spacing w:after="0" w:line="537" w:lineRule="auto"/>
        <w:tabs>
          <w:tab w:leader="none" w:pos="1641" w:val="left"/>
        </w:tabs>
        <w:numPr>
          <w:ilvl w:val="0"/>
          <w:numId w:val="22"/>
        </w:numPr>
        <w:rPr>
          <w:rFonts w:ascii="Arial" w:cs="Arial" w:eastAsia="Arial" w:hAnsi="Arial"/>
          <w:sz w:val="11"/>
          <w:szCs w:val="11"/>
          <w:color w:val="auto"/>
        </w:rPr>
      </w:pPr>
      <w:r>
        <w:rPr>
          <w:rFonts w:ascii="Arial" w:cs="Arial" w:eastAsia="Arial" w:hAnsi="Arial"/>
          <w:sz w:val="11"/>
          <w:szCs w:val="11"/>
          <w:color w:val="auto"/>
        </w:rPr>
        <w:t>we have delivered an officers’ certificate and an opinion of counsel to the Trustee stating that all conditions precedent to satisfaction and discharge have been satisfied. The debt securities of a particular series will be subject to legal or covenant defeasance to the extent, and upon the terms and conditions, set forth in the prospectus supplement.</w:t>
      </w:r>
    </w:p>
    <w:p>
      <w:pPr>
        <w:ind w:left="680"/>
        <w:spacing w:after="0"/>
        <w:rPr>
          <w:sz w:val="20"/>
          <w:szCs w:val="20"/>
          <w:color w:val="auto"/>
        </w:rPr>
      </w:pPr>
      <w:r>
        <w:rPr>
          <w:rFonts w:ascii="Arial" w:cs="Arial" w:eastAsia="Arial" w:hAnsi="Arial"/>
          <w:sz w:val="13"/>
          <w:szCs w:val="13"/>
          <w:b w:val="1"/>
          <w:bCs w:val="1"/>
          <w:color w:val="auto"/>
        </w:rPr>
        <w:t>The Trustee</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Resignation or Removal of Trustee</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67"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Limitations on Trustee if it is a Creditor</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Each indenture will limit the right of the Trustee thereunder, in the event that it becomes a creditor of an issuer or guarantor, to obtain payment of claims in certain cases, or to realize on certain property received in respect of any such claim as security or otherwise.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Certificates and Opinions to be Furnished to Trustee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Governing Law</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indenture and all of the debt securities will be governed by the laws of the State of New York.</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DESCRIPTION OF OUR COMMON UNITS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outstanding common units are listed on the NYSE under the symbol “PAA.” Any additional common units we issue will also be listed on the NYSE.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transfer agent and registrar for our common units is American Stock Transfer &amp; Trust Company.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Meetings/Voting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holder of common units is entitled to one vote for each common unit on all matters submitted to a vote of the unitholders.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Status as Limited Partner or Assignee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Except as described below under “— Limited Liability,” the common units will be fully paid, and unitholders will not be required to make additional capital contributions to us.</w:t>
      </w:r>
    </w:p>
    <w:p>
      <w:pPr>
        <w:spacing w:after="0" w:line="10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Limited Liability</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67"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Reports and Records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As soon as practicable, but in no event later than 120 days after the close of each fiscal year, our general partner will furnish or make available to each unitholder of record (as of a record date selected by our general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96" w:lineRule="auto"/>
        <w:rPr>
          <w:sz w:val="20"/>
          <w:szCs w:val="20"/>
          <w:color w:val="auto"/>
        </w:rPr>
      </w:pPr>
      <w:r>
        <w:rPr>
          <w:rFonts w:ascii="Arial" w:cs="Arial" w:eastAsia="Arial" w:hAnsi="Arial"/>
          <w:sz w:val="12"/>
          <w:szCs w:val="12"/>
          <w:color w:val="auto"/>
        </w:rPr>
        <w:t>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5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limited partner can, for a purpose reasonably related to the limited partner’s interest as a limited partner, upon reasonable demand and at his own expense, have furnished to him:</w:t>
      </w:r>
    </w:p>
    <w:p>
      <w:pPr>
        <w:spacing w:after="0" w:line="108"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 current list of the name and last known address of each partner;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 copy of our tax returns;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information as to the amount of cash and a description and statement of the agreed value of any other property or services, contributed or to be contributed by each partner and the date on which each became a partner;</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copies of our partnership agreement, our certificate of limited partnership, amendments to either of them and powers of attorney which have been executed under our partnership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information regarding the status of our business and financial condition;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any other information regarding our affairs as is just and reasonable.</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CASH DISTRIBUTION POLICY</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of Available Cash</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General. </w:t>
      </w:r>
      <w:r>
        <w:rPr>
          <w:rFonts w:ascii="Arial" w:cs="Arial" w:eastAsia="Arial" w:hAnsi="Arial"/>
          <w:sz w:val="13"/>
          <w:szCs w:val="13"/>
          <w:color w:val="auto"/>
        </w:rPr>
        <w:t>We will distribute to our unitholders, on a quarterly basis, all of our available cash in the manner described below.</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Definition of Available Cash. </w:t>
      </w:r>
      <w:r>
        <w:rPr>
          <w:rFonts w:ascii="Arial" w:cs="Arial" w:eastAsia="Arial" w:hAnsi="Arial"/>
          <w:sz w:val="13"/>
          <w:szCs w:val="13"/>
          <w:color w:val="auto"/>
        </w:rPr>
        <w:t>Available cash generally means, for any quarter ending prior to liquidation, all cash on hand at the end of that quarter less the amount of cash reserves</w:t>
      </w:r>
      <w:r>
        <w:rPr>
          <w:rFonts w:ascii="Arial" w:cs="Arial" w:eastAsia="Arial" w:hAnsi="Arial"/>
          <w:sz w:val="13"/>
          <w:szCs w:val="13"/>
          <w:i w:val="1"/>
          <w:iCs w:val="1"/>
          <w:color w:val="auto"/>
        </w:rPr>
        <w:t xml:space="preserve"> </w:t>
      </w:r>
      <w:r>
        <w:rPr>
          <w:rFonts w:ascii="Arial" w:cs="Arial" w:eastAsia="Arial" w:hAnsi="Arial"/>
          <w:sz w:val="13"/>
          <w:szCs w:val="13"/>
          <w:color w:val="auto"/>
        </w:rPr>
        <w:t>that are necessary or appropriate in the reasonable discretion of the general partner to:</w:t>
      </w:r>
    </w:p>
    <w:p>
      <w:pPr>
        <w:spacing w:after="0" w:line="59"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provide for the proper conduct of our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comply with applicable law or any partnership debt instrument or other agreement;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provide funds for distributions to unitholders and the general partner in respect of any one or more of the next four quarters.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Surplus and Capital Surplus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General. </w:t>
      </w:r>
      <w:r>
        <w:rPr>
          <w:rFonts w:ascii="Arial" w:cs="Arial" w:eastAsia="Arial" w:hAnsi="Arial"/>
          <w:sz w:val="13"/>
          <w:szCs w:val="13"/>
          <w:color w:val="auto"/>
        </w:rPr>
        <w:t>Cash distributions to our unitholders will be characterized as either operating surplus or capital surplus. We distribute available cash from operating surplus differently than</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cash from capital surplus. See “— Quarterly Distributions of Available Cash.”</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Definition of Operating Surplus. </w:t>
      </w:r>
      <w:r>
        <w:rPr>
          <w:rFonts w:ascii="Arial" w:cs="Arial" w:eastAsia="Arial" w:hAnsi="Arial"/>
          <w:sz w:val="13"/>
          <w:szCs w:val="13"/>
          <w:color w:val="auto"/>
        </w:rPr>
        <w:t>Operating surplus refers generally to:</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cash balances on the closing date of our initial public offering; plus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$25 million; plus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all of our cash receipts from operations, excluding cash that is capital surplus; less</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Definition of Capital Surplus. </w:t>
      </w:r>
      <w:r>
        <w:rPr>
          <w:rFonts w:ascii="Arial" w:cs="Arial" w:eastAsia="Arial" w:hAnsi="Arial"/>
          <w:sz w:val="13"/>
          <w:szCs w:val="13"/>
          <w:color w:val="auto"/>
        </w:rPr>
        <w:t>Capital surplus will generally be generated only by:</w:t>
      </w:r>
    </w:p>
    <w:p>
      <w:pPr>
        <w:spacing w:after="0" w:line="96"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borrowings other than working capital borrowings;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sales of debt and equity securities;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sales or other dispositions of assets for cash, other than inventory, accounts receivable and other assets in the ordinary course of business.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Incentive Distribution Rights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Issuance of Additional Units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Quarterly Distributions of Available Cash</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From Operating Surplus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make distributions of available cash from operating surplus in the following manner:</w:t>
      </w:r>
    </w:p>
    <w:p>
      <w:pPr>
        <w:spacing w:after="0" w:line="96"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First, 98% to all unitholders, pro rata, and 2% to the general partner, until we distribute for each unit an amount equal to the minimum quarterly distribution for that quarter;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Thereafter, in the manner described in “— Incentive Distribution Rights” below.</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Incentive Distribution Rights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1280" w:right="22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First, 85% to all unitholders, pro rata, and 15% to the general partner, until each unitholder receives a total of $0.495 for that quarter for each outstanding unit (the “first target distribution”);</w:t>
      </w:r>
    </w:p>
    <w:p>
      <w:pPr>
        <w:spacing w:after="0" w:line="49"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Second, 75% to all unitholders, pro rata, and 25% to the general partner, until each unitholder receives a total of $0.675 for that quarter for each outstanding unit (the “second target distribution”);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Thereafter, 50% to all unitholders, pro rata, and 50% to the general partner.</w:t>
      </w:r>
    </w:p>
    <w:p>
      <w:pPr>
        <w:spacing w:after="0" w:line="96"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Adjustments to Incentive Distribution Rights</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Upon closing of the Pacific and Rainbow acquisitions, our general partner agreed to reduce the amounts due it as incentive distributions. The total reduction in incentive distributions related to these acquisitions will be $75 million. Following our distribution in November 2008, the remaining incentive distribution reductions related to Pacific and Rainbow totaled approximately $38 million.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from Capital Surplus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How Distributions from Capital Surplus Will Be Made. </w:t>
      </w:r>
      <w:r>
        <w:rPr>
          <w:rFonts w:ascii="Arial" w:cs="Arial" w:eastAsia="Arial" w:hAnsi="Arial"/>
          <w:sz w:val="13"/>
          <w:szCs w:val="13"/>
          <w:color w:val="auto"/>
        </w:rPr>
        <w:t>We will make distributions of available cash from capital surplus in the following manner:</w:t>
      </w:r>
    </w:p>
    <w:p>
      <w:pPr>
        <w:spacing w:after="0" w:line="96" w:lineRule="exact"/>
        <w:rPr>
          <w:sz w:val="20"/>
          <w:szCs w:val="20"/>
          <w:color w:val="auto"/>
        </w:rPr>
      </w:pPr>
    </w:p>
    <w:p>
      <w:pPr>
        <w:ind w:left="1280" w:right="18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Thereafter, we will make all distributions of available cash from capital surplus as if they were from operating surplus.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Effect of a Distribution from Capital Surplus. </w:t>
      </w:r>
      <w:r>
        <w:rPr>
          <w:rFonts w:ascii="Arial" w:cs="Arial" w:eastAsia="Arial" w:hAnsi="Arial"/>
          <w:sz w:val="13"/>
          <w:szCs w:val="13"/>
          <w:color w:val="auto"/>
        </w:rPr>
        <w:t>Our partnership agreement treats a distribution of available cash from capital surplus as the repayment of the initial unit price. To show</w:t>
      </w:r>
      <w:r>
        <w:rPr>
          <w:rFonts w:ascii="Arial" w:cs="Arial" w:eastAsia="Arial" w:hAnsi="Arial"/>
          <w:sz w:val="13"/>
          <w:szCs w:val="13"/>
          <w:i w:val="1"/>
          <w:iCs w:val="1"/>
          <w:color w:val="auto"/>
        </w:rPr>
        <w:t xml:space="preserve"> </w:t>
      </w:r>
      <w:r>
        <w:rPr>
          <w:rFonts w:ascii="Arial" w:cs="Arial" w:eastAsia="Arial" w:hAnsi="Arial"/>
          <w:sz w:val="13"/>
          <w:szCs w:val="13"/>
          <w:color w:val="auto"/>
        </w:rPr>
        <w:t>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When Payback Occurs. </w:t>
      </w:r>
      <w:r>
        <w:rPr>
          <w:rFonts w:ascii="Arial" w:cs="Arial" w:eastAsia="Arial" w:hAnsi="Arial"/>
          <w:sz w:val="13"/>
          <w:szCs w:val="13"/>
          <w:color w:val="auto"/>
        </w:rPr>
        <w:t>When “payback” of the reduced initial unit price has occurred, i.e., when the unrecovered capital of the common units is zero, then</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minimum quarterly distribution and the target distribution levels will be reduced to zero for subsequent quarters;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all distributions of available cash will be treated as operating surplus; and</w:t>
      </w:r>
    </w:p>
    <w:p>
      <w:pPr>
        <w:spacing w:after="0" w:line="86" w:lineRule="exact"/>
        <w:rPr>
          <w:rFonts w:ascii="Arial" w:cs="Arial" w:eastAsia="Arial" w:hAnsi="Arial"/>
          <w:sz w:val="13"/>
          <w:szCs w:val="13"/>
          <w:color w:val="auto"/>
        </w:rPr>
      </w:pPr>
    </w:p>
    <w:p>
      <w:pPr>
        <w:jc w:val="center"/>
        <w:ind w:left="1080" w:right="340" w:firstLine="10"/>
        <w:spacing w:after="0" w:line="473" w:lineRule="auto"/>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general partner will be entitled to receive 50% of distributions of available cash in its capacities as general partner and as holder of the incentive distribution rights. Distributions of available cash from capital surplus will not reduce the minimum quarterly distribution or target distribution levels for the quarter in which they are distributed.</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Adjustment to the Minimum Quarterly Distribution and Target Distribution Levels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How We Adjust the Minimum Quarterly Distribution and Target Distribution Levels</w:t>
      </w:r>
      <w:r>
        <w:rPr>
          <w:rFonts w:ascii="Arial" w:cs="Arial" w:eastAsia="Arial" w:hAnsi="Arial"/>
          <w:sz w:val="13"/>
          <w:szCs w:val="13"/>
          <w:color w:val="auto"/>
        </w:rPr>
        <w:t>. In addition to adjusting the minimum quarterly distribution and target distribution levels to</w:t>
      </w:r>
      <w:r>
        <w:rPr>
          <w:rFonts w:ascii="Arial" w:cs="Arial" w:eastAsia="Arial" w:hAnsi="Arial"/>
          <w:sz w:val="13"/>
          <w:szCs w:val="13"/>
          <w:i w:val="1"/>
          <w:iCs w:val="1"/>
          <w:color w:val="auto"/>
        </w:rPr>
        <w:t xml:space="preserve"> </w:t>
      </w:r>
      <w:r>
        <w:rPr>
          <w:rFonts w:ascii="Arial" w:cs="Arial" w:eastAsia="Arial" w:hAnsi="Arial"/>
          <w:sz w:val="13"/>
          <w:szCs w:val="13"/>
          <w:color w:val="auto"/>
        </w:rPr>
        <w:t>reflect a distribution of capital surplus, if we combine our units into fewer units or subdivide our units into a greater number of units (but not if we issue additional common units for cash or property), we will proportionately adjust:</w:t>
      </w:r>
    </w:p>
    <w:p>
      <w:pPr>
        <w:spacing w:after="0" w:line="67"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minimum quarterly distribution;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target distribution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unrecovered capital;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other amounts calculated on a per unit basis.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If We Became Subject to Taxation. </w:t>
      </w:r>
      <w:r>
        <w:rPr>
          <w:rFonts w:ascii="Arial" w:cs="Arial" w:eastAsia="Arial" w:hAnsi="Arial"/>
          <w:sz w:val="13"/>
          <w:szCs w:val="13"/>
          <w:color w:val="auto"/>
        </w:rPr>
        <w:t>If legislation is enacted or if existing law is modified or interpreted by the relevant governmental authority so that we become taxable as a</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67" w:lineRule="exact"/>
        <w:rPr>
          <w:sz w:val="20"/>
          <w:szCs w:val="20"/>
          <w:color w:val="auto"/>
        </w:rPr>
      </w:pPr>
    </w:p>
    <w:p>
      <w:pPr>
        <w:ind w:left="1280" w:right="10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one minus the sum of (x) the maximum effective federal income tax rate to which we as an entity were subject plus (y) any increase in state and local income taxes to which we are subject for the taxable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year of the event, after adjusting for any allowable deductions for federal income tax purposes for the payment of state and local income taxes.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 of Cash Upon Liquidation</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General. </w:t>
      </w:r>
      <w:r>
        <w:rPr>
          <w:rFonts w:ascii="Arial" w:cs="Arial" w:eastAsia="Arial" w:hAnsi="Arial"/>
          <w:sz w:val="13"/>
          <w:szCs w:val="13"/>
          <w:color w:val="auto"/>
        </w:rPr>
        <w:t>If we dissolve and liquidate, we will sell our assets or otherwise dispose of our assets and we will adjust the partners’ capital account balances to show any resulting gain or</w:t>
      </w:r>
      <w:r>
        <w:rPr>
          <w:rFonts w:ascii="Arial" w:cs="Arial" w:eastAsia="Arial" w:hAnsi="Arial"/>
          <w:sz w:val="13"/>
          <w:szCs w:val="13"/>
          <w:i w:val="1"/>
          <w:iCs w:val="1"/>
          <w:color w:val="auto"/>
        </w:rPr>
        <w:t xml:space="preserve"> </w:t>
      </w:r>
      <w:r>
        <w:rPr>
          <w:rFonts w:ascii="Arial" w:cs="Arial" w:eastAsia="Arial" w:hAnsi="Arial"/>
          <w:sz w:val="13"/>
          <w:szCs w:val="13"/>
          <w:color w:val="auto"/>
        </w:rPr>
        <w:t>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Manner of Adjustment. </w:t>
      </w:r>
      <w:r>
        <w:rPr>
          <w:rFonts w:ascii="Arial" w:cs="Arial" w:eastAsia="Arial" w:hAnsi="Arial"/>
          <w:sz w:val="13"/>
          <w:szCs w:val="13"/>
          <w:color w:val="auto"/>
        </w:rPr>
        <w:t>If we liquidate, we would allocate any loss to the general partner and each unitholder as follows:</w:t>
      </w:r>
    </w:p>
    <w:p>
      <w:pPr>
        <w:spacing w:after="0" w:line="96" w:lineRule="exact"/>
        <w:rPr>
          <w:sz w:val="20"/>
          <w:szCs w:val="20"/>
          <w:color w:val="auto"/>
        </w:rPr>
      </w:pPr>
    </w:p>
    <w:p>
      <w:pPr>
        <w:ind w:left="1280" w:right="22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Thereafter, 100% to the general partner.</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Interim Adjustments to Capital Accounts. </w:t>
      </w:r>
      <w:r>
        <w:rPr>
          <w:rFonts w:ascii="Arial" w:cs="Arial" w:eastAsia="Arial" w:hAnsi="Arial"/>
          <w:sz w:val="12"/>
          <w:szCs w:val="12"/>
          <w:color w:val="auto"/>
        </w:rPr>
        <w:t>If we issued additional security interests or made distributions of property, interim adjustments to capital accounts would also be made.</w:t>
      </w:r>
      <w:r>
        <w:rPr>
          <w:rFonts w:ascii="Arial" w:cs="Arial" w:eastAsia="Arial" w:hAnsi="Arial"/>
          <w:sz w:val="12"/>
          <w:szCs w:val="12"/>
          <w:i w:val="1"/>
          <w:iCs w:val="1"/>
          <w:color w:val="auto"/>
        </w:rPr>
        <w:t xml:space="preserve"> </w:t>
      </w:r>
      <w:r>
        <w:rPr>
          <w:rFonts w:ascii="Arial" w:cs="Arial" w:eastAsia="Arial" w:hAnsi="Arial"/>
          <w:sz w:val="12"/>
          <w:szCs w:val="12"/>
          <w:color w:val="auto"/>
        </w:rPr>
        <w:t>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DESCRIPTION OF OUR PARTNERSHIP AGREEMENT</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following is a summary of the material provisions of our partnership agreement. The following provisions of our partnership agreement are summarized elsewhere in this prospectus:</w:t>
      </w:r>
    </w:p>
    <w:p>
      <w:pPr>
        <w:spacing w:after="0" w:line="59" w:lineRule="exact"/>
        <w:rPr>
          <w:sz w:val="20"/>
          <w:szCs w:val="20"/>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distributions of our available cash are described under “Cash Distribution Policy;”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allocations of taxable income and other tax matters are described under “Material Income Tax Considerations;”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rights of holders of common units are described under “Description of Our Common Units.”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Purpose</w:t>
      </w:r>
    </w:p>
    <w:p>
      <w:pPr>
        <w:spacing w:after="0" w:line="100"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Reimbursements of Our General Partner</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Additional Securities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Amendments to Our Partnership Agreement</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Withdrawal or Removal of Our General Partner</w:t>
      </w:r>
    </w:p>
    <w:p>
      <w:pPr>
        <w:spacing w:after="0" w:line="10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55" w:lineRule="exact"/>
        <w:rPr>
          <w:sz w:val="20"/>
          <w:szCs w:val="20"/>
          <w:color w:val="auto"/>
        </w:rPr>
      </w:pPr>
    </w:p>
    <w:p>
      <w:pPr>
        <w:jc w:val="both"/>
        <w:ind w:left="680" w:right="320" w:firstLine="399"/>
        <w:spacing w:after="0" w:line="289" w:lineRule="auto"/>
        <w:rPr>
          <w:sz w:val="20"/>
          <w:szCs w:val="20"/>
          <w:color w:val="auto"/>
        </w:rPr>
      </w:pPr>
      <w:r>
        <w:rPr>
          <w:rFonts w:ascii="Arial" w:cs="Arial" w:eastAsia="Arial" w:hAnsi="Arial"/>
          <w:sz w:val="12"/>
          <w:szCs w:val="12"/>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53"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5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addition, our partnership agreement expressly permits the sale, in whole or in part, of the ownership of our general partner. Our general partner may also transfer, in whole or in part, the common units it owns.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Liquidation and Distribution of Proceeds</w:t>
      </w:r>
    </w:p>
    <w:p>
      <w:pPr>
        <w:spacing w:after="0" w:line="100"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12"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first, towards the payment of all of our creditors and the creation of a reserve for contingent liabilities;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then, to all partners in accordance with the positive balance in the respective capital accounts.</w:t>
      </w:r>
    </w:p>
    <w:p>
      <w:pPr>
        <w:spacing w:after="0" w:line="96"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 of Management Provisions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partnership agreement contains the following specific provisions that are intended to discourage a person or group from attempting to remove our general partner or otherwise change management:</w:t>
      </w:r>
    </w:p>
    <w:p>
      <w:pPr>
        <w:spacing w:after="0" w:line="59" w:lineRule="exact"/>
        <w:rPr>
          <w:sz w:val="20"/>
          <w:szCs w:val="20"/>
          <w:color w:val="auto"/>
        </w:rPr>
      </w:pPr>
    </w:p>
    <w:p>
      <w:pPr>
        <w:ind w:left="1280" w:right="20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generally, if a person acquires 20% or more of any class of units then outstanding other than from our general partner or its affiliates, the units owned by such person cannot be voted on any matter; and</w:t>
      </w:r>
    </w:p>
    <w:p>
      <w:pPr>
        <w:spacing w:after="0" w:line="49"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Limited Call Right</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71"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MATERIAL INCOME TAX CONSIDERATIONS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existing and proposed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w:t>
      </w:r>
    </w:p>
    <w:p>
      <w:pPr>
        <w:spacing w:after="0" w:line="55"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3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5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Partnership Status</w:t>
      </w:r>
    </w:p>
    <w:p>
      <w:pPr>
        <w:spacing w:after="0" w:line="100" w:lineRule="exact"/>
        <w:rPr>
          <w:sz w:val="20"/>
          <w:szCs w:val="20"/>
          <w:color w:val="auto"/>
        </w:rPr>
      </w:pPr>
    </w:p>
    <w:p>
      <w:pPr>
        <w:jc w:val="both"/>
        <w:ind w:left="680" w:right="20" w:firstLine="399"/>
        <w:spacing w:after="0" w:line="334" w:lineRule="auto"/>
        <w:rPr>
          <w:sz w:val="20"/>
          <w:szCs w:val="20"/>
          <w:color w:val="auto"/>
        </w:rPr>
      </w:pPr>
      <w:r>
        <w:rPr>
          <w:rFonts w:ascii="Arial" w:cs="Arial" w:eastAsia="Arial" w:hAnsi="Arial"/>
          <w:sz w:val="11"/>
          <w:szCs w:val="11"/>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w:t>
      </w:r>
    </w:p>
    <w:p>
      <w:pPr>
        <w:spacing w:after="0" w:line="32"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1" w:lineRule="auto"/>
        <w:rPr>
          <w:sz w:val="20"/>
          <w:szCs w:val="20"/>
          <w:color w:val="auto"/>
        </w:rPr>
      </w:pPr>
      <w:r>
        <w:rPr>
          <w:rFonts w:ascii="Arial" w:cs="Arial" w:eastAsia="Arial" w:hAnsi="Arial"/>
          <w:sz w:val="12"/>
          <w:szCs w:val="12"/>
          <w:color w:val="auto"/>
        </w:rPr>
        <w:t>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a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w:t>
      </w:r>
    </w:p>
    <w:p>
      <w:pPr>
        <w:spacing w:after="0" w:line="58"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w:t>
      </w:r>
    </w:p>
    <w:p>
      <w:pPr>
        <w:spacing w:after="0" w:line="3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 rendering its opinion, Vinson &amp; Elkins L.L.P. has relied on factual representations made by us and our general partner. The representations made by us and our general partner upon which Vinson &amp; Elkins L.L.P. has relied are:</w:t>
      </w:r>
    </w:p>
    <w:p>
      <w:pPr>
        <w:spacing w:after="0" w:line="20" w:lineRule="exact"/>
        <w:rPr>
          <w:sz w:val="20"/>
          <w:szCs w:val="20"/>
          <w:color w:val="auto"/>
        </w:rPr>
      </w:pPr>
    </w:p>
    <w:p>
      <w:pPr>
        <w:ind w:left="1640" w:hanging="171"/>
        <w:spacing w:after="0"/>
        <w:tabs>
          <w:tab w:leader="none" w:pos="16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Neither we nor the operating partnerships have elected or will elect to be treated as a corporation;</w:t>
      </w:r>
    </w:p>
    <w:p>
      <w:pPr>
        <w:spacing w:after="0" w:line="56" w:lineRule="exact"/>
        <w:rPr>
          <w:rFonts w:ascii="Arial" w:cs="Arial" w:eastAsia="Arial" w:hAnsi="Arial"/>
          <w:sz w:val="13"/>
          <w:szCs w:val="13"/>
          <w:color w:val="auto"/>
        </w:rPr>
      </w:pPr>
    </w:p>
    <w:p>
      <w:pPr>
        <w:ind w:left="1080" w:right="40" w:firstLine="389"/>
        <w:spacing w:after="0" w:line="276" w:lineRule="auto"/>
        <w:tabs>
          <w:tab w:leader="none" w:pos="1649" w:val="left"/>
        </w:tabs>
        <w:numPr>
          <w:ilvl w:val="0"/>
          <w:numId w:val="37"/>
        </w:numPr>
        <w:rPr>
          <w:rFonts w:ascii="Arial" w:cs="Arial" w:eastAsia="Arial" w:hAnsi="Arial"/>
          <w:sz w:val="13"/>
          <w:szCs w:val="13"/>
          <w:color w:val="auto"/>
        </w:rPr>
      </w:pPr>
      <w:r>
        <w:rPr>
          <w:rFonts w:ascii="Arial" w:cs="Arial" w:eastAsia="Arial" w:hAnsi="Arial"/>
          <w:sz w:val="13"/>
          <w:szCs w:val="13"/>
          <w:color w:val="auto"/>
        </w:rPr>
        <w:t>For each taxable year, more than 90% of our gross income has been and will be income that Vinson &amp; Elkins L.L.P. has opined or will opine is “qualifying income” within the meaning of Section 7704(d) of the Internal Revenue Code; and</w:t>
      </w:r>
    </w:p>
    <w:p>
      <w:pPr>
        <w:spacing w:after="0" w:line="19" w:lineRule="exact"/>
        <w:rPr>
          <w:rFonts w:ascii="Arial" w:cs="Arial" w:eastAsia="Arial" w:hAnsi="Arial"/>
          <w:sz w:val="13"/>
          <w:szCs w:val="13"/>
          <w:color w:val="auto"/>
        </w:rPr>
      </w:pPr>
    </w:p>
    <w:p>
      <w:pPr>
        <w:ind w:left="1080" w:firstLine="389"/>
        <w:spacing w:after="0" w:line="264" w:lineRule="auto"/>
        <w:tabs>
          <w:tab w:leader="none" w:pos="1641" w:val="left"/>
        </w:tabs>
        <w:numPr>
          <w:ilvl w:val="0"/>
          <w:numId w:val="37"/>
        </w:numPr>
        <w:rPr>
          <w:rFonts w:ascii="Arial" w:cs="Arial" w:eastAsia="Arial" w:hAnsi="Arial"/>
          <w:sz w:val="13"/>
          <w:szCs w:val="13"/>
          <w:color w:val="auto"/>
        </w:rPr>
      </w:pPr>
      <w:r>
        <w:rPr>
          <w:rFonts w:ascii="Arial" w:cs="Arial" w:eastAsia="Arial" w:hAnsi="Arial"/>
          <w:sz w:val="13"/>
          <w:szCs w:val="13"/>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67"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55"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discussion below is based on Vinson &amp; Elkins L.L.P.’s opinion that we will be classified as a partnership for federal income tax purposes.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Limited Partner Status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Unitholders who have become limited partners of Plains All American Pipeline, L.P. will be treated as partners of Plains All American Pipeline, L.P. for federal income tax purposes. Also, unitholders whose common units are held in street name or by a nominee and who have the right to direct the nominee in the exercise of all substantive rights attendant to the ownership of their common units will be treated as partners of Plains All American Pipeline, L.P. for federal income tax purposes.</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references to “unitholders” in the discussion that follows are to persons who are treated as partners in Plains All American Pipeline, L.P. for federal income tax purposes.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Consequences of Unit Ownership</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Flow-Through of Taxable Income. </w:t>
      </w:r>
      <w:r>
        <w:rPr>
          <w:rFonts w:ascii="Arial" w:cs="Arial" w:eastAsia="Arial" w:hAnsi="Arial"/>
          <w:sz w:val="13"/>
          <w:szCs w:val="13"/>
          <w:color w:val="auto"/>
        </w:rPr>
        <w:t>We will not pay any federal income tax. Instead, each unitholder will be required to report on his income tax return his share of our income, gains,</w:t>
      </w:r>
      <w:r>
        <w:rPr>
          <w:rFonts w:ascii="Arial" w:cs="Arial" w:eastAsia="Arial" w:hAnsi="Arial"/>
          <w:sz w:val="13"/>
          <w:szCs w:val="13"/>
          <w:i w:val="1"/>
          <w:iCs w:val="1"/>
          <w:color w:val="auto"/>
        </w:rPr>
        <w:t xml:space="preserve"> </w:t>
      </w:r>
      <w:r>
        <w:rPr>
          <w:rFonts w:ascii="Arial" w:cs="Arial" w:eastAsia="Arial" w:hAnsi="Arial"/>
          <w:sz w:val="13"/>
          <w:szCs w:val="13"/>
          <w:color w:val="auto"/>
        </w:rPr>
        <w:t>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Treatment of Distributions. </w:t>
      </w:r>
      <w:r>
        <w:rPr>
          <w:rFonts w:ascii="Arial" w:cs="Arial" w:eastAsia="Arial" w:hAnsi="Arial"/>
          <w:sz w:val="13"/>
          <w:szCs w:val="13"/>
          <w:color w:val="auto"/>
        </w:rPr>
        <w:t>Distributions by us to a unitholder generally will not be taxable to the unitholder for federal income tax purposes, except to the extent the amount of any</w:t>
      </w:r>
      <w:r>
        <w:rPr>
          <w:rFonts w:ascii="Arial" w:cs="Arial" w:eastAsia="Arial" w:hAnsi="Arial"/>
          <w:sz w:val="13"/>
          <w:szCs w:val="13"/>
          <w:i w:val="1"/>
          <w:iCs w:val="1"/>
          <w:color w:val="auto"/>
        </w:rPr>
        <w:t xml:space="preserve"> </w:t>
      </w:r>
      <w:r>
        <w:rPr>
          <w:rFonts w:ascii="Arial" w:cs="Arial" w:eastAsia="Arial" w:hAnsi="Arial"/>
          <w:sz w:val="13"/>
          <w:szCs w:val="13"/>
          <w:color w:val="auto"/>
        </w:rPr>
        <w:t>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see “— Limitations on Deductibility of Losses.”</w:t>
      </w:r>
    </w:p>
    <w:p>
      <w:pPr>
        <w:spacing w:after="0" w:line="7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 “Section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w:t>
      </w:r>
    </w:p>
    <w:p>
      <w:pPr>
        <w:spacing w:after="0" w:line="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Basis of Common Units. </w:t>
      </w:r>
      <w:r>
        <w:rPr>
          <w:rFonts w:ascii="Arial" w:cs="Arial" w:eastAsia="Arial" w:hAnsi="Arial"/>
          <w:sz w:val="13"/>
          <w:szCs w:val="13"/>
          <w:color w:val="auto"/>
        </w:rPr>
        <w:t>A unitholder’s initial tax basis for his common units will be the amount he paid for our common units plus his share of our nonrecourse liabilities. That basis</w:t>
      </w:r>
      <w:r>
        <w:rPr>
          <w:rFonts w:ascii="Arial" w:cs="Arial" w:eastAsia="Arial" w:hAnsi="Arial"/>
          <w:sz w:val="13"/>
          <w:szCs w:val="13"/>
          <w:i w:val="1"/>
          <w:iCs w:val="1"/>
          <w:color w:val="auto"/>
        </w:rPr>
        <w:t xml:space="preserve"> </w:t>
      </w:r>
      <w:r>
        <w:rPr>
          <w:rFonts w:ascii="Arial" w:cs="Arial" w:eastAsia="Arial" w:hAnsi="Arial"/>
          <w:sz w:val="13"/>
          <w:szCs w:val="13"/>
          <w:color w:val="auto"/>
        </w:rPr>
        <w:t>will be increased by his share of our income and by any increases in his share of our nonrecourse liabilities. That basis will be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w:t>
      </w:r>
    </w:p>
    <w:p>
      <w:pPr>
        <w:spacing w:after="0" w:line="5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i w:val="1"/>
          <w:iCs w:val="1"/>
          <w:color w:val="auto"/>
        </w:rPr>
        <w:t xml:space="preserve">Limitations on Deductibility of Losses. </w:t>
      </w:r>
      <w:r>
        <w:rPr>
          <w:rFonts w:ascii="Arial" w:cs="Arial" w:eastAsia="Arial" w:hAnsi="Arial"/>
          <w:sz w:val="13"/>
          <w:szCs w:val="13"/>
          <w:color w:val="auto"/>
        </w:rPr>
        <w:t>The deduction by a unitholder of his share of our losses will be limited to the tax basis in his units and, in the case of an individual unitholder,</w:t>
      </w:r>
      <w:r>
        <w:rPr>
          <w:rFonts w:ascii="Arial" w:cs="Arial" w:eastAsia="Arial" w:hAnsi="Arial"/>
          <w:sz w:val="13"/>
          <w:szCs w:val="13"/>
          <w:i w:val="1"/>
          <w:iCs w:val="1"/>
          <w:color w:val="auto"/>
        </w:rPr>
        <w:t xml:space="preserve"> </w:t>
      </w:r>
      <w:r>
        <w:rPr>
          <w:rFonts w:ascii="Arial" w:cs="Arial" w:eastAsia="Arial" w:hAnsi="Arial"/>
          <w:sz w:val="13"/>
          <w:szCs w:val="13"/>
          <w:color w:val="auto"/>
        </w:rPr>
        <w:t>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general, a unitholder will be at risk to the extent of the tax basis of his units, excluding any portion of that basis attributable to his share of our nonrecourse liabilities, reduced by</w:t>
      </w:r>
    </w:p>
    <w:p>
      <w:pPr>
        <w:spacing w:after="0" w:line="27" w:lineRule="exact"/>
        <w:rPr>
          <w:sz w:val="20"/>
          <w:szCs w:val="20"/>
          <w:color w:val="auto"/>
        </w:rPr>
      </w:pPr>
    </w:p>
    <w:p>
      <w:pPr>
        <w:ind w:left="680" w:firstLine="7"/>
        <w:spacing w:after="0" w:line="256" w:lineRule="auto"/>
        <w:tabs>
          <w:tab w:leader="none" w:pos="836"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w:t>
      </w:r>
    </w:p>
    <w:p>
      <w:pPr>
        <w:spacing w:after="0" w:line="72"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w:t>
      </w:r>
    </w:p>
    <w:p>
      <w:pPr>
        <w:spacing w:after="0" w:line="58"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59"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i w:val="1"/>
          <w:iCs w:val="1"/>
          <w:color w:val="auto"/>
        </w:rPr>
        <w:t xml:space="preserve">Limitations on Interest Deductions. </w:t>
      </w:r>
      <w:r>
        <w:rPr>
          <w:rFonts w:ascii="Arial" w:cs="Arial" w:eastAsia="Arial" w:hAnsi="Arial"/>
          <w:sz w:val="13"/>
          <w:szCs w:val="13"/>
          <w:color w:val="auto"/>
        </w:rPr>
        <w:t>The deductibility of a non-corporate taxpayer’s “investment interest expense” is generally limited to the amount of that taxpayer’s “net</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 income.” Investment interest expense includes:</w:t>
      </w:r>
    </w:p>
    <w:p>
      <w:pPr>
        <w:spacing w:after="0" w:line="59"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interest on indebtedness properly allocable to property held for investment;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interest expense attributed to portfolio income;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portion of interest expense incurred to purchase or carry an interest in a passive activity to the extent attributable to portfolio income.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w:t>
      </w:r>
    </w:p>
    <w:p>
      <w:pPr>
        <w:spacing w:after="0" w:line="71"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i w:val="1"/>
          <w:iCs w:val="1"/>
          <w:color w:val="auto"/>
        </w:rPr>
        <w:t xml:space="preserve">Entity-Level Collections. </w:t>
      </w:r>
      <w:r>
        <w:rPr>
          <w:rFonts w:ascii="Arial" w:cs="Arial" w:eastAsia="Arial" w:hAnsi="Arial"/>
          <w:sz w:val="11"/>
          <w:szCs w:val="11"/>
          <w:color w:val="auto"/>
        </w:rPr>
        <w:t>If we are required or elect under applicable law to pay any federal, state, local or foreign income tax on behalf of any unitholder or our general partner or</w:t>
      </w:r>
      <w:r>
        <w:rPr>
          <w:rFonts w:ascii="Arial" w:cs="Arial" w:eastAsia="Arial" w:hAnsi="Arial"/>
          <w:sz w:val="11"/>
          <w:szCs w:val="11"/>
          <w:i w:val="1"/>
          <w:iCs w:val="1"/>
          <w:color w:val="auto"/>
        </w:rPr>
        <w:t xml:space="preserve"> </w:t>
      </w:r>
      <w:r>
        <w:rPr>
          <w:rFonts w:ascii="Arial" w:cs="Arial" w:eastAsia="Arial" w:hAnsi="Arial"/>
          <w:sz w:val="11"/>
          <w:szCs w:val="11"/>
          <w:color w:val="auto"/>
        </w:rPr>
        <w:t>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4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Allocation of Income, Gain, Loss and Deduction. </w:t>
      </w:r>
      <w:r>
        <w:rPr>
          <w:rFonts w:ascii="Arial" w:cs="Arial" w:eastAsia="Arial" w:hAnsi="Arial"/>
          <w:sz w:val="12"/>
          <w:szCs w:val="12"/>
          <w:color w:val="auto"/>
        </w:rPr>
        <w:t>In general, if we have a net profit, our items of income, gain, loss and deduction will be allocated among our general partner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w:t>
      </w:r>
    </w:p>
    <w:p>
      <w:pPr>
        <w:spacing w:after="0" w:line="53"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Specified items of our income, gain, loss and deduction will be allocated to account for the difference between the tax basis and fair market value of our assets at the time of an offering,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 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w:t>
      </w:r>
    </w:p>
    <w:p>
      <w:pPr>
        <w:spacing w:after="0" w:line="6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71" w:lineRule="exact"/>
        <w:rPr>
          <w:sz w:val="20"/>
          <w:szCs w:val="20"/>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his relative contributions to us;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interests of all the partners in profits and losses;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interest of all the partners in cash flow;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rights of all the partners to distributions of capital upon liquidation.</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Vinson &amp; Elkins L.L.P. is of the opinion that, with the exception of the issues described in “— Section 754 Election” and “— Disposition of Common Units — Allocations Between Transferors and Transferees,” allocations under our partnership agreement will be given effect for federal income tax purposes in determining a partner’s share of an item of income, gain, loss or deduction.</w:t>
      </w:r>
    </w:p>
    <w:p>
      <w:pPr>
        <w:spacing w:after="0" w:line="67"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i w:val="1"/>
          <w:iCs w:val="1"/>
          <w:color w:val="auto"/>
        </w:rPr>
        <w:t xml:space="preserve">Treatment of Short Sales. </w:t>
      </w:r>
      <w:r>
        <w:rPr>
          <w:rFonts w:ascii="Arial" w:cs="Arial" w:eastAsia="Arial" w:hAnsi="Arial"/>
          <w:sz w:val="11"/>
          <w:szCs w:val="11"/>
          <w:color w:val="auto"/>
        </w:rPr>
        <w:t>A unitholder whose units are loaned to a “short seller” to cover a short sale of units may be considered as having disposed of those units. If so, he would no</w:t>
      </w:r>
      <w:r>
        <w:rPr>
          <w:rFonts w:ascii="Arial" w:cs="Arial" w:eastAsia="Arial" w:hAnsi="Arial"/>
          <w:sz w:val="11"/>
          <w:szCs w:val="11"/>
          <w:i w:val="1"/>
          <w:iCs w:val="1"/>
          <w:color w:val="auto"/>
        </w:rPr>
        <w:t xml:space="preserve"> </w:t>
      </w:r>
      <w:r>
        <w:rPr>
          <w:rFonts w:ascii="Arial" w:cs="Arial" w:eastAsia="Arial" w:hAnsi="Arial"/>
          <w:sz w:val="11"/>
          <w:szCs w:val="11"/>
          <w:color w:val="auto"/>
        </w:rPr>
        <w:t>longer be treated for tax purposes as a partner with respect to those units during the period of the loan and may recognize gain or loss from the disposition. As a result, during this period:</w:t>
      </w:r>
    </w:p>
    <w:p>
      <w:pPr>
        <w:spacing w:after="0" w:line="12"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any of our income, gain, loss or deduction with respect to those units would not be reportable by the unitholder;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any cash distributions received by the unitholder as to those units would be fully taxable;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all of these distributions would appear to be ordinary income.</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announced that it is actively studying issues relating to the tax treatment of short sales of partnership interests. Please also read “— Disposition of Common Units — Recognition of Gain or Loss.”</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Alternative Minimum Tax. </w:t>
      </w:r>
      <w:r>
        <w:rPr>
          <w:rFonts w:ascii="Arial" w:cs="Arial" w:eastAsia="Arial" w:hAnsi="Arial"/>
          <w:sz w:val="13"/>
          <w:szCs w:val="13"/>
          <w:color w:val="auto"/>
        </w:rPr>
        <w:t>Each unitholder will be required to take into account his distributive share of any items of our income, gain, loss or deduction for purposes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Tax Rates. </w:t>
      </w:r>
      <w:r>
        <w:rPr>
          <w:rFonts w:ascii="Arial" w:cs="Arial" w:eastAsia="Arial" w:hAnsi="Arial"/>
          <w:sz w:val="13"/>
          <w:szCs w:val="13"/>
          <w:color w:val="auto"/>
        </w:rPr>
        <w:t>Under current law, the highest marginal U.S. federal income tax rate applicable to ordinary income of individuals is 35% and the highest marginal U.S. federal income tax</w:t>
      </w:r>
      <w:r>
        <w:rPr>
          <w:rFonts w:ascii="Arial" w:cs="Arial" w:eastAsia="Arial" w:hAnsi="Arial"/>
          <w:sz w:val="13"/>
          <w:szCs w:val="13"/>
          <w:i w:val="1"/>
          <w:iCs w:val="1"/>
          <w:color w:val="auto"/>
        </w:rPr>
        <w:t xml:space="preserve"> </w:t>
      </w:r>
      <w:r>
        <w:rPr>
          <w:rFonts w:ascii="Arial" w:cs="Arial" w:eastAsia="Arial" w:hAnsi="Arial"/>
          <w:sz w:val="13"/>
          <w:szCs w:val="13"/>
          <w:color w:val="auto"/>
        </w:rPr>
        <w:t>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Section 754 Election. </w:t>
      </w:r>
      <w:r>
        <w:rPr>
          <w:rFonts w:ascii="Arial" w:cs="Arial" w:eastAsia="Arial" w:hAnsi="Arial"/>
          <w:sz w:val="13"/>
          <w:szCs w:val="13"/>
          <w:color w:val="auto"/>
        </w:rPr>
        <w:t>We will make the election permitted by Section 754 of the Internal Revenue Code. That election is irrevocable without the consent of the IRS. The election will</w:t>
      </w:r>
      <w:r>
        <w:rPr>
          <w:rFonts w:ascii="Arial" w:cs="Arial" w:eastAsia="Arial" w:hAnsi="Arial"/>
          <w:sz w:val="13"/>
          <w:szCs w:val="13"/>
          <w:i w:val="1"/>
          <w:iCs w:val="1"/>
          <w:color w:val="auto"/>
        </w:rPr>
        <w:t xml:space="preserve"> </w:t>
      </w:r>
      <w:r>
        <w:rPr>
          <w:rFonts w:ascii="Arial" w:cs="Arial" w:eastAsia="Arial" w:hAnsi="Arial"/>
          <w:sz w:val="13"/>
          <w:szCs w:val="13"/>
          <w:color w:val="auto"/>
        </w:rPr>
        <w:t>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w:t>
      </w:r>
    </w:p>
    <w:p>
      <w:pPr>
        <w:spacing w:after="0" w:line="71"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Where the remedial allocation method is adopted (which we have generally adopted as to all of our properties), the Treasury Regulations under Section 743 of the Internal Revenue Code require a portion of the Section 743(b) adjustment that is attributable to recovery property under Section 168 of the Internal Revenue Code whose book basis is in excess of its tax basis to be depreciated over the remaining cost recovery period for the Section 704(c) built in gain. Under Treasury Regulation Section 1.167(c)-1(a)(6), a Section 743(b)</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 Uniformity of Units.”</w:t>
      </w:r>
    </w:p>
    <w:p>
      <w:pPr>
        <w:spacing w:after="0" w:line="72"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 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w:t>
      </w:r>
    </w:p>
    <w:p>
      <w:pPr>
        <w:spacing w:after="0" w:line="21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permission from the IRS to revoke our Section 754 election. If permission is granted, a subsequent purchaser of units may be allocated more income than he would have been allocated had the election not been revoked.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Treatment of Operations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Accounting Method and Taxable Year. </w:t>
      </w:r>
      <w:r>
        <w:rPr>
          <w:rFonts w:ascii="Arial" w:cs="Arial" w:eastAsia="Arial" w:hAnsi="Arial"/>
          <w:sz w:val="12"/>
          <w:szCs w:val="12"/>
          <w:color w:val="auto"/>
        </w:rPr>
        <w:t>We use the year ending December 31 as our taxable year and the accrual method of accounting for federal income tax purposes. Each</w:t>
      </w:r>
      <w:r>
        <w:rPr>
          <w:rFonts w:ascii="Arial" w:cs="Arial" w:eastAsia="Arial" w:hAnsi="Arial"/>
          <w:sz w:val="12"/>
          <w:szCs w:val="12"/>
          <w:i w:val="1"/>
          <w:iCs w:val="1"/>
          <w:color w:val="auto"/>
        </w:rPr>
        <w:t xml:space="preserve"> </w:t>
      </w:r>
      <w:r>
        <w:rPr>
          <w:rFonts w:ascii="Arial" w:cs="Arial" w:eastAsia="Arial" w:hAnsi="Arial"/>
          <w:sz w:val="12"/>
          <w:szCs w:val="12"/>
          <w:color w:val="auto"/>
        </w:rPr>
        <w:t>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w:t>
      </w:r>
    </w:p>
    <w:p>
      <w:pPr>
        <w:spacing w:after="0" w:line="55"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Initial Tax Basis, Depreciation and Amortization. </w:t>
      </w:r>
      <w:r>
        <w:rPr>
          <w:rFonts w:ascii="Arial" w:cs="Arial" w:eastAsia="Arial" w:hAnsi="Arial"/>
          <w:sz w:val="13"/>
          <w:szCs w:val="13"/>
          <w:color w:val="auto"/>
        </w:rPr>
        <w:t>The tax basis of our assets will be used for purposes of computing depreciation and cost recovery deductions and, ultimately, gain</w:t>
      </w:r>
      <w:r>
        <w:rPr>
          <w:rFonts w:ascii="Arial" w:cs="Arial" w:eastAsia="Arial" w:hAnsi="Arial"/>
          <w:sz w:val="13"/>
          <w:szCs w:val="13"/>
          <w:i w:val="1"/>
          <w:iCs w:val="1"/>
          <w:color w:val="auto"/>
        </w:rPr>
        <w:t xml:space="preserve"> </w:t>
      </w:r>
      <w:r>
        <w:rPr>
          <w:rFonts w:ascii="Arial" w:cs="Arial" w:eastAsia="Arial" w:hAnsi="Arial"/>
          <w:sz w:val="13"/>
          <w:szCs w:val="13"/>
          <w:color w:val="auto"/>
        </w:rPr>
        <w:t>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 Tax Consequences of Unit Ownership — Allocation of Income, Gain, Loss and Deduction.”</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 Tax Consequences of Unit Ownership — Allocation of Income, Gain, Loss and Deduction” and “— Disposition of Common Units — Recognition of Gain or Loss.”</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Valuation and Tax Basis of Our Properties. </w:t>
      </w:r>
      <w:r>
        <w:rPr>
          <w:rFonts w:ascii="Arial" w:cs="Arial" w:eastAsia="Arial" w:hAnsi="Arial"/>
          <w:sz w:val="12"/>
          <w:szCs w:val="12"/>
          <w:color w:val="auto"/>
        </w:rPr>
        <w:t>The federal income tax consequences of the ownership and disposition of units will depend in part on our estimates of the relative fair</w:t>
      </w:r>
      <w:r>
        <w:rPr>
          <w:rFonts w:ascii="Arial" w:cs="Arial" w:eastAsia="Arial" w:hAnsi="Arial"/>
          <w:sz w:val="12"/>
          <w:szCs w:val="12"/>
          <w:i w:val="1"/>
          <w:iCs w:val="1"/>
          <w:color w:val="auto"/>
        </w:rPr>
        <w:t xml:space="preserve"> </w:t>
      </w:r>
      <w:r>
        <w:rPr>
          <w:rFonts w:ascii="Arial" w:cs="Arial" w:eastAsia="Arial" w:hAnsi="Arial"/>
          <w:sz w:val="12"/>
          <w:szCs w:val="12"/>
          <w:color w:val="auto"/>
        </w:rPr>
        <w:t>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Disposition of Common Units</w:t>
      </w:r>
    </w:p>
    <w:p>
      <w:pPr>
        <w:spacing w:after="0" w:line="100"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i w:val="1"/>
          <w:iCs w:val="1"/>
          <w:color w:val="auto"/>
        </w:rPr>
        <w:t xml:space="preserve">Recognition of Gain or Loss. </w:t>
      </w:r>
      <w:r>
        <w:rPr>
          <w:rFonts w:ascii="Arial" w:cs="Arial" w:eastAsia="Arial" w:hAnsi="Arial"/>
          <w:sz w:val="11"/>
          <w:szCs w:val="11"/>
          <w:color w:val="auto"/>
        </w:rPr>
        <w:t>Gain or loss will be recognized on a sale of units equal to the difference between the amount realized and the unitholder’s tax basis for the units sold. A</w:t>
      </w:r>
      <w:r>
        <w:rPr>
          <w:rFonts w:ascii="Arial" w:cs="Arial" w:eastAsia="Arial" w:hAnsi="Arial"/>
          <w:sz w:val="11"/>
          <w:szCs w:val="11"/>
          <w:i w:val="1"/>
          <w:iCs w:val="1"/>
          <w:color w:val="auto"/>
        </w:rPr>
        <w:t xml:space="preserve"> </w:t>
      </w:r>
      <w:r>
        <w:rPr>
          <w:rFonts w:ascii="Arial" w:cs="Arial" w:eastAsia="Arial" w:hAnsi="Arial"/>
          <w:sz w:val="11"/>
          <w:szCs w:val="11"/>
          <w:color w:val="auto"/>
        </w:rPr>
        <w:t>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32"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3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59"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w:t>
      </w:r>
    </w:p>
    <w:p>
      <w:pPr>
        <w:spacing w:after="0" w:line="6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35" w:lineRule="exact"/>
        <w:rPr>
          <w:sz w:val="20"/>
          <w:szCs w:val="20"/>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 short sale;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an offsetting notional principal contract;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 futures or forward contract with respect to the partnership interest or substantially identical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Allocations Between Transferors and Transferees. </w:t>
      </w:r>
      <w:r>
        <w:rPr>
          <w:rFonts w:ascii="Arial" w:cs="Arial" w:eastAsia="Arial" w:hAnsi="Arial"/>
          <w:sz w:val="13"/>
          <w:szCs w:val="13"/>
          <w:color w:val="auto"/>
        </w:rPr>
        <w:t>In general, our taxable income and losses will be determined annually, will be prorated on a monthly basis and will be subsequently</w:t>
      </w:r>
      <w:r>
        <w:rPr>
          <w:rFonts w:ascii="Arial" w:cs="Arial" w:eastAsia="Arial" w:hAnsi="Arial"/>
          <w:sz w:val="13"/>
          <w:szCs w:val="13"/>
          <w:i w:val="1"/>
          <w:iCs w:val="1"/>
          <w:color w:val="auto"/>
        </w:rPr>
        <w:t xml:space="preserve"> </w:t>
      </w:r>
      <w:r>
        <w:rPr>
          <w:rFonts w:ascii="Arial" w:cs="Arial" w:eastAsia="Arial" w:hAnsi="Arial"/>
          <w:sz w:val="13"/>
          <w:szCs w:val="13"/>
          <w:color w:val="auto"/>
        </w:rPr>
        <w:t>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7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Although simplifying conventions are contemplated by the Internal Revenue Code and most publicly traded partnerships use similar simplifying conventions, the use of this method may not be permitted under existing Treasury Regulations.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w:t>
      </w:r>
    </w:p>
    <w:p>
      <w:pPr>
        <w:spacing w:after="0" w:line="7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59" w:lineRule="exact"/>
        <w:rPr>
          <w:sz w:val="20"/>
          <w:szCs w:val="20"/>
          <w:color w:val="auto"/>
        </w:rPr>
      </w:pPr>
    </w:p>
    <w:p>
      <w:pPr>
        <w:jc w:val="both"/>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Notification Requirements. </w:t>
      </w:r>
      <w:r>
        <w:rPr>
          <w:rFonts w:ascii="Arial" w:cs="Arial" w:eastAsia="Arial" w:hAnsi="Arial"/>
          <w:sz w:val="13"/>
          <w:szCs w:val="13"/>
          <w:color w:val="auto"/>
        </w:rPr>
        <w:t>A unitholder who sells any of his units is generally required to notify us in writing of that sale within 30 days after the sale (or, if earlier, January 15 of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71"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Constructive Termination. </w:t>
      </w:r>
      <w:r>
        <w:rPr>
          <w:rFonts w:ascii="Arial" w:cs="Arial" w:eastAsia="Arial" w:hAnsi="Arial"/>
          <w:sz w:val="12"/>
          <w:szCs w:val="12"/>
          <w:color w:val="auto"/>
        </w:rPr>
        <w:t>We will be considered to have been terminated for tax purposes if there are sales or exchanges which, in the aggregate, constitute 50% or more of the total</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Uniformity of Units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 Tax Consequences of Unit Ownership — Section 754 Election.”</w:t>
      </w:r>
    </w:p>
    <w:p>
      <w:pPr>
        <w:spacing w:after="0" w:line="7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consistent with the regulations under Section 743 of the Internal Revenue Code, even though that position may be inconsistent with Treasury Regulation Section 1.167(c)-1(a)(6), which is not expected to directly apply to a material portion of our assets, and Treasury Regulation Section 1.197-2(g)(3).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Tax-Exempt Organizations and Other Investors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71" w:lineRule="exact"/>
        <w:rPr>
          <w:sz w:val="20"/>
          <w:szCs w:val="20"/>
          <w:color w:val="auto"/>
        </w:rPr>
      </w:pPr>
    </w:p>
    <w:p>
      <w:pPr>
        <w:ind w:left="680" w:right="40" w:firstLine="399"/>
        <w:spacing w:after="0" w:line="301" w:lineRule="auto"/>
        <w:rPr>
          <w:sz w:val="20"/>
          <w:szCs w:val="20"/>
          <w:color w:val="auto"/>
        </w:rPr>
      </w:pPr>
      <w:r>
        <w:rPr>
          <w:rFonts w:ascii="Arial" w:cs="Arial" w:eastAsia="Arial" w:hAnsi="Arial"/>
          <w:sz w:val="11"/>
          <w:szCs w:val="11"/>
          <w:color w:val="auto"/>
        </w:rPr>
        <w:t>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w:t>
      </w:r>
    </w:p>
    <w:p>
      <w:pPr>
        <w:spacing w:after="0" w:line="2" w:lineRule="exact"/>
        <w:rPr>
          <w:sz w:val="20"/>
          <w:szCs w:val="20"/>
          <w:color w:val="auto"/>
        </w:rPr>
      </w:pPr>
    </w:p>
    <w:p>
      <w:pPr>
        <w:ind w:left="680" w:right="40"/>
        <w:spacing w:after="0" w:line="298" w:lineRule="auto"/>
        <w:rPr>
          <w:sz w:val="20"/>
          <w:szCs w:val="20"/>
          <w:color w:val="auto"/>
        </w:rPr>
      </w:pPr>
      <w:r>
        <w:rPr>
          <w:rFonts w:ascii="Arial" w:cs="Arial" w:eastAsia="Arial" w:hAnsi="Arial"/>
          <w:sz w:val="11"/>
          <w:szCs w:val="11"/>
          <w:color w:val="auto"/>
        </w:rPr>
        <w:t>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w:t>
      </w:r>
    </w:p>
    <w:p>
      <w:pPr>
        <w:spacing w:after="0" w:line="1" w:lineRule="exact"/>
        <w:rPr>
          <w:sz w:val="20"/>
          <w:szCs w:val="20"/>
          <w:color w:val="auto"/>
        </w:rPr>
      </w:pPr>
    </w:p>
    <w:p>
      <w:pPr>
        <w:ind w:left="680" w:right="440"/>
        <w:spacing w:after="0" w:line="264" w:lineRule="auto"/>
        <w:rPr>
          <w:sz w:val="20"/>
          <w:szCs w:val="20"/>
          <w:color w:val="auto"/>
        </w:rPr>
      </w:pPr>
      <w:r>
        <w:rPr>
          <w:rFonts w:ascii="Arial" w:cs="Arial" w:eastAsia="Arial" w:hAnsi="Arial"/>
          <w:sz w:val="13"/>
          <w:szCs w:val="13"/>
          <w:color w:val="auto"/>
        </w:rPr>
        <w:t>U.S. real property interests and we do not expect that to change in the foreseeable future. Therefore, foreign unitholders may be subject to federal income tax on gain from the sale or disposition of their units.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Administrative Matters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Information Returns and Audit Procedures. </w:t>
      </w:r>
      <w:r>
        <w:rPr>
          <w:rFonts w:ascii="Arial" w:cs="Arial" w:eastAsia="Arial" w:hAnsi="Arial"/>
          <w:sz w:val="13"/>
          <w:szCs w:val="13"/>
          <w:color w:val="auto"/>
        </w:rPr>
        <w:t>We intend to furnish to each unitholder, within 90 days after the close of each calendar year, specific tax information, including a</w:t>
      </w:r>
      <w:r>
        <w:rPr>
          <w:rFonts w:ascii="Arial" w:cs="Arial" w:eastAsia="Arial" w:hAnsi="Arial"/>
          <w:sz w:val="13"/>
          <w:szCs w:val="13"/>
          <w:i w:val="1"/>
          <w:iCs w:val="1"/>
          <w:color w:val="auto"/>
        </w:rPr>
        <w:t xml:space="preserve"> </w:t>
      </w:r>
      <w:r>
        <w:rPr>
          <w:rFonts w:ascii="Arial" w:cs="Arial" w:eastAsia="Arial" w:hAnsi="Arial"/>
          <w:sz w:val="13"/>
          <w:szCs w:val="13"/>
          <w:color w:val="auto"/>
        </w:rPr>
        <w:t>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72" w:lineRule="exact"/>
        <w:rPr>
          <w:sz w:val="20"/>
          <w:szCs w:val="20"/>
          <w:color w:val="auto"/>
        </w:rPr>
      </w:pPr>
    </w:p>
    <w:p>
      <w:pPr>
        <w:jc w:val="both"/>
        <w:ind w:left="680" w:right="40" w:firstLine="399"/>
        <w:spacing w:after="0" w:line="320" w:lineRule="auto"/>
        <w:rPr>
          <w:sz w:val="20"/>
          <w:szCs w:val="20"/>
          <w:color w:val="auto"/>
        </w:rPr>
      </w:pPr>
      <w:r>
        <w:rPr>
          <w:rFonts w:ascii="Arial" w:cs="Arial" w:eastAsia="Arial" w:hAnsi="Arial"/>
          <w:sz w:val="12"/>
          <w:szCs w:val="12"/>
          <w:color w:val="auto"/>
        </w:rPr>
        <w:t>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35" w:lineRule="exact"/>
        <w:rPr>
          <w:sz w:val="20"/>
          <w:szCs w:val="20"/>
          <w:color w:val="auto"/>
        </w:rPr>
      </w:pPr>
    </w:p>
    <w:p>
      <w:pPr>
        <w:jc w:val="both"/>
        <w:ind w:left="680" w:right="40" w:firstLine="399"/>
        <w:spacing w:after="0" w:line="334" w:lineRule="auto"/>
        <w:rPr>
          <w:sz w:val="20"/>
          <w:szCs w:val="20"/>
          <w:color w:val="auto"/>
        </w:rPr>
      </w:pPr>
      <w:r>
        <w:rPr>
          <w:rFonts w:ascii="Arial" w:cs="Arial" w:eastAsia="Arial" w:hAnsi="Arial"/>
          <w:sz w:val="11"/>
          <w:szCs w:val="11"/>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w:t>
      </w:r>
    </w:p>
    <w:p>
      <w:pPr>
        <w:spacing w:after="0" w:line="3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Tax Matters Partner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profits or by any group of unitholders having in the aggregate at least a 5% interest in profits. However, only one action for judicial review will go forward, and each unitholder with an interest in the outcome may participate.</w:t>
      </w:r>
    </w:p>
    <w:p>
      <w:pPr>
        <w:spacing w:after="0" w:line="59"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w:t>
      </w:r>
    </w:p>
    <w:p>
      <w:pPr>
        <w:spacing w:after="0" w:line="67" w:lineRule="exact"/>
        <w:rPr>
          <w:sz w:val="20"/>
          <w:szCs w:val="20"/>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name, address and taxpayer identification number of the beneficial owner and the nominee;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whether the beneficial owner is:</w:t>
      </w:r>
    </w:p>
    <w:p>
      <w:pPr>
        <w:spacing w:after="0" w:line="96" w:lineRule="exact"/>
        <w:rPr>
          <w:rFonts w:ascii="Arial" w:cs="Arial" w:eastAsia="Arial" w:hAnsi="Arial"/>
          <w:sz w:val="13"/>
          <w:szCs w:val="13"/>
          <w:color w:val="auto"/>
        </w:rPr>
      </w:pPr>
    </w:p>
    <w:p>
      <w:pPr>
        <w:ind w:left="1500" w:hanging="214"/>
        <w:spacing w:after="0"/>
        <w:tabs>
          <w:tab w:leader="none" w:pos="15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a person that is not a United States person;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a foreign government, an international organization or any wholly owned agency or instrumentality of either of the foregoing; or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a tax-exempt entity;</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amount and description of units held, acquired or transferred for the beneficial owner; and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specific information including the dates of acquisitions and transfers, means of acquisitions and transfers, and acquisition cost for purchases, as well as the amount of net proceeds from sales.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67"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i w:val="1"/>
          <w:iCs w:val="1"/>
          <w:color w:val="auto"/>
        </w:rPr>
        <w:t xml:space="preserve">Accuracy-Related Penalties. </w:t>
      </w:r>
      <w:r>
        <w:rPr>
          <w:rFonts w:ascii="Arial" w:cs="Arial" w:eastAsia="Arial" w:hAnsi="Arial"/>
          <w:sz w:val="11"/>
          <w:szCs w:val="11"/>
          <w:color w:val="auto"/>
        </w:rPr>
        <w:t>An additional tax equal to 20% of the amount of any portion of an underpayment of tax that is attributable to one or more specified causes, including</w:t>
      </w:r>
      <w:r>
        <w:rPr>
          <w:rFonts w:ascii="Arial" w:cs="Arial" w:eastAsia="Arial" w:hAnsi="Arial"/>
          <w:sz w:val="11"/>
          <w:szCs w:val="11"/>
          <w:i w:val="1"/>
          <w:iCs w:val="1"/>
          <w:color w:val="auto"/>
        </w:rPr>
        <w:t xml:space="preserve"> </w:t>
      </w:r>
      <w:r>
        <w:rPr>
          <w:rFonts w:ascii="Arial" w:cs="Arial" w:eastAsia="Arial" w:hAnsi="Arial"/>
          <w:sz w:val="11"/>
          <w:szCs w:val="11"/>
          <w:color w:val="auto"/>
        </w:rPr>
        <w:t>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3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67" w:lineRule="exact"/>
        <w:rPr>
          <w:sz w:val="20"/>
          <w:szCs w:val="20"/>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for which there is, or was, “substantial authority;”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as to which there is a reasonable basis and the pertinent facts of that position are disclosed on the return.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 substantial valuation misstatement exists if the value of any property, or the adjusted basis of any property, claimed on a tax return is 150% or more of the amount determined to be the correct amount of the valuation or adjusted basis. No penalty is imposed unless the portion of the underpayment attributable to a substantial valuation misstatement exceeds $5,000 ($10,000 for most corporations). If the valuation claimed 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return is 200% or more than the correct valuation, the penalty imposed increases to 40%. We do not anticipate making any valuation misstatements.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Reportable Transactions. </w:t>
      </w:r>
      <w:r>
        <w:rPr>
          <w:rFonts w:ascii="Arial" w:cs="Arial" w:eastAsia="Arial" w:hAnsi="Arial"/>
          <w:sz w:val="13"/>
          <w:szCs w:val="13"/>
          <w:color w:val="auto"/>
        </w:rPr>
        <w:t>If we were to engage in a “reportable transaction,” we (and possibly you and others) would be required to make a detailed disclosure of the transaction to</w:t>
      </w:r>
      <w:r>
        <w:rPr>
          <w:rFonts w:ascii="Arial" w:cs="Arial" w:eastAsia="Arial" w:hAnsi="Arial"/>
          <w:sz w:val="13"/>
          <w:szCs w:val="13"/>
          <w:i w:val="1"/>
          <w:iCs w:val="1"/>
          <w:color w:val="auto"/>
        </w:rPr>
        <w:t xml:space="preserve"> </w:t>
      </w:r>
      <w:r>
        <w:rPr>
          <w:rFonts w:ascii="Arial" w:cs="Arial" w:eastAsia="Arial" w:hAnsi="Arial"/>
          <w:sz w:val="13"/>
          <w:szCs w:val="13"/>
          <w:color w:val="auto"/>
        </w:rPr>
        <w:t>the IRS. A transaction may be a 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 Information Returns and Audit Procedures.”</w:t>
      </w:r>
    </w:p>
    <w:p>
      <w:pPr>
        <w:spacing w:after="0" w:line="71"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59" w:lineRule="exact"/>
        <w:rPr>
          <w:sz w:val="20"/>
          <w:szCs w:val="20"/>
          <w:color w:val="auto"/>
        </w:rPr>
      </w:pPr>
    </w:p>
    <w:p>
      <w:pPr>
        <w:ind w:left="1280" w:hanging="190"/>
        <w:spacing w:after="0"/>
        <w:tabs>
          <w:tab w:leader="none" w:pos="12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accuracy-related penalties with a broader scope, significantly narrower exceptions, and potentially greater amounts than described above at “— Accuracy-Related Penalties;”</w:t>
      </w:r>
    </w:p>
    <w:p>
      <w:pPr>
        <w:spacing w:after="0" w:line="58" w:lineRule="exact"/>
        <w:rPr>
          <w:rFonts w:ascii="Arial" w:cs="Arial" w:eastAsia="Arial" w:hAnsi="Arial"/>
          <w:sz w:val="12"/>
          <w:szCs w:val="12"/>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for those persons otherwise entitled to deduct interest on federal tax deficiencies, nondeductibility of interest on any resulting tax liability;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 the case of a listed transaction, an extended statute of limitations.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expect to engage in any “reportable transactions.”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Local, Foreign and Other Tax Considerations</w:t>
      </w:r>
    </w:p>
    <w:p>
      <w:pPr>
        <w:spacing w:after="0" w:line="100"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Entity-Level Collections.” Based on current law and our estimate of our future operations, the general partner anticipates that any amounts required to be withheld will not be material.</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Consequences of Ownership of Debt Securities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 description of the material federal income tax consequences of the acquisition, ownership and disposition of debt securities will be set forth in the prospectus supplement relating to the offering of debt securities.</w:t>
      </w:r>
    </w:p>
    <w:p>
      <w:pPr>
        <w:spacing w:after="0" w:line="55"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b w:val="1"/>
          <w:bCs w:val="1"/>
          <w:color w:val="auto"/>
        </w:rPr>
        <w:t>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PLAN OF DISTRIBUTION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this prospectus, we intend to offer our securities to the public:</w:t>
      </w:r>
    </w:p>
    <w:p>
      <w:pPr>
        <w:spacing w:after="0" w:line="96" w:lineRule="exact"/>
        <w:rPr>
          <w:sz w:val="20"/>
          <w:szCs w:val="20"/>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through one or more broker-dealers;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through underwriters;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directly to investors.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fix a price or prices of our securities at:</w:t>
      </w:r>
    </w:p>
    <w:p>
      <w:pPr>
        <w:spacing w:after="0" w:line="96" w:lineRule="exact"/>
        <w:rPr>
          <w:sz w:val="20"/>
          <w:szCs w:val="20"/>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market prices prevailing at the time of any sale under this registration statement;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prices related to market prices;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negotiated prices.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may change the price of the securities offered from time to time.</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9" w:lineRule="exact"/>
        <w:rPr>
          <w:sz w:val="20"/>
          <w:szCs w:val="20"/>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 or through one or more transactions (which may involve crosses and block transactions) or distributions;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on the New York Stock Exchange;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 the over-the-counter market;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 private transactions.</w:t>
      </w:r>
    </w:p>
    <w:p>
      <w:pPr>
        <w:spacing w:after="0" w:line="96"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5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71"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Offers to purchase securities may be solicited directly by us and the sale thereof may be made by us directly to institutional investors or others, who may be deemed to be underwriters within the meaning of the Securities Act of 1933 with respect to any resale thereof. The terms of any such sales will be described in the prospectus supplement relating thereto.</w:t>
      </w:r>
    </w:p>
    <w:p>
      <w:pPr>
        <w:spacing w:after="0" w:line="1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59"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aggregate maximum compensation the underwriters will receive in connection with the sale of any securities under this prospectus and the registration statement of which it forms a part will not exceed 10% of the gross proceeds from the sale.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Because FINRA views our common units as interests in a direct participation program, any offering of common units under the registration statement of which this prospectus forms a part will be made in compliance with Rule 2810 of the NASD Conduct Rules.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0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2007, have been so incorporated in reliance on the report of PricewaterhouseCoopers LLP, an independent registered public accounting firm, given on the authority of said firm as experts in auditing and accounting.</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balance sheet as of December 31, 2007 of PAA GP LLC incorporated in this prospectus by reference to the Current Report on Form 8-K of Plains All American Pipeline, L.P. filed March 10, 2008 has been so incorporated in reliance on the report of PricewaterhouseCoopers LLP, an independent registered public accounting firm, given on the authority of said firm as experts in auditing and accounting.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INFORMATION REQUIRED IN THE REGISTRATION STATEMENT</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Set forth below are the expenses (other than underwriting discounts and commissions) expected to be incurred in connection with the issuance and distribution of the securities registered hereby. With the exception of the Securities and Exchange Commission registration fee, the amounts set forth below are estimates.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78,600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FINRA filing fee</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Accounting fees and expenses</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Printing and engraving expenses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Listing expenses</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Miscellaneous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0" w:type="dxa"/>
            <w:vAlign w:val="bottom"/>
            <w:vMerge w:val="continue"/>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1,098,600*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00" w:right="20" w:hanging="213"/>
        <w:spacing w:after="0" w:line="264" w:lineRule="auto"/>
        <w:tabs>
          <w:tab w:leader="none" w:pos="9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Because an indeterminate amount of securities is covered by this registration statement, the expenses in connection with the issuance and distribution of the securities are not currently determinable. The amounts shown are estimates of expenses for the amount of securities that the registrants are currently authorized to issue, but do not limit the amount of securities that may be offered.</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Indemnification of Officers and Members of Our Board of Directors</w:t>
      </w:r>
    </w:p>
    <w:p>
      <w:pPr>
        <w:spacing w:after="0" w:line="10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his, her or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w:t>
      </w:r>
    </w:p>
    <w:p>
      <w:pPr>
        <w:spacing w:after="0" w:line="61"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from and against any and all claims and demands whatsoever. The limited liability company agreement of Plains All American GP LLC provides for the indemnification of (i) its members,</w:t>
      </w:r>
    </w:p>
    <w:p>
      <w:pPr>
        <w:spacing w:after="0" w:line="27" w:lineRule="exact"/>
        <w:rPr>
          <w:sz w:val="20"/>
          <w:szCs w:val="20"/>
          <w:color w:val="auto"/>
        </w:rPr>
      </w:pPr>
    </w:p>
    <w:p>
      <w:pPr>
        <w:ind w:left="680" w:firstLine="7"/>
        <w:spacing w:after="0" w:line="277" w:lineRule="auto"/>
        <w:tabs>
          <w:tab w:leader="none" w:pos="873" w:val="left"/>
        </w:tabs>
        <w:numPr>
          <w:ilvl w:val="0"/>
          <w:numId w:val="51"/>
        </w:numPr>
        <w:rPr>
          <w:rFonts w:ascii="Arial" w:cs="Arial" w:eastAsia="Arial" w:hAnsi="Arial"/>
          <w:sz w:val="12"/>
          <w:szCs w:val="12"/>
          <w:color w:val="auto"/>
        </w:rPr>
      </w:pPr>
      <w:r>
        <w:rPr>
          <w:rFonts w:ascii="Arial" w:cs="Arial" w:eastAsia="Arial" w:hAnsi="Arial"/>
          <w:sz w:val="12"/>
          <w:szCs w:val="12"/>
          <w:color w:val="auto"/>
        </w:rPr>
        <w:t>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w:t>
      </w:r>
    </w:p>
    <w:p>
      <w:pPr>
        <w:spacing w:after="0" w:line="61"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 Section 174 of the DGCL or (4) for any transaction from which a director derived an improper personal benefit.</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260" w:hanging="174"/>
        <w:spacing w:after="0"/>
        <w:tabs>
          <w:tab w:leader="none" w:pos="126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106"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  Form of Underwriting Agreement</w:t>
      </w:r>
    </w:p>
    <w:p>
      <w:pPr>
        <w:spacing w:after="0" w:line="15"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  Form of Senior Indenture for Senior Debt Securities (incorporated by reference to Exhibit 4.1 to the Registration Statement on Form S-3 (File No. 333-68446))</w:t>
      </w:r>
    </w:p>
    <w:p>
      <w:pPr>
        <w:spacing w:after="0" w:line="8" w:lineRule="exact"/>
        <w:rPr>
          <w:sz w:val="20"/>
          <w:szCs w:val="20"/>
          <w:color w:val="auto"/>
        </w:rPr>
      </w:pPr>
    </w:p>
    <w:p>
      <w:pPr>
        <w:ind w:left="1380" w:right="840" w:hanging="654"/>
        <w:spacing w:after="0" w:line="252" w:lineRule="auto"/>
        <w:tabs>
          <w:tab w:leader="none" w:pos="136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 Form of Subordinated Indenture for Subordinated Debt Securities (incorporated by reference to Exhibit 4.2 to the Registration Statement on Form S-3 (File No. 333-68446))</w:t>
      </w:r>
    </w:p>
    <w:p>
      <w:pPr>
        <w:spacing w:after="0" w:line="1"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2"/>
          <w:szCs w:val="12"/>
          <w:color w:val="auto"/>
        </w:rPr>
        <w:t>—  Form of Senior Debt Securities</w:t>
      </w:r>
    </w:p>
    <w:p>
      <w:pPr>
        <w:spacing w:after="0" w:line="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2"/>
          <w:szCs w:val="12"/>
          <w:color w:val="auto"/>
        </w:rPr>
        <w:t>—  Form of Subordinated Debt Securities</w:t>
      </w:r>
    </w:p>
    <w:p>
      <w:pPr>
        <w:spacing w:after="0" w:line="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  Opinion of Vinson &amp; Elkins L.L.P. as to the legality of the securities being registered</w:t>
      </w:r>
    </w:p>
    <w:p>
      <w:pPr>
        <w:spacing w:after="0" w:line="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color w:val="auto"/>
        </w:rPr>
        <w:t>—  Opinion of Vinson &amp; Elkins L.L.P. relating to tax matters</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2"/>
          <w:szCs w:val="12"/>
          <w:color w:val="auto"/>
        </w:rPr>
        <w:t>—  Calculation of ratio of earnings to fixed charges</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  Consent of PricewaterhouseCoopers LLP</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  Consent of Vinson &amp; Elkins L.L.P. (contained in Exhibits 5.1 and 8.1)</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  Powers of Attorney (included on the signature page)</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25.1*</w:t>
      </w:r>
      <w:r>
        <w:rPr>
          <w:sz w:val="20"/>
          <w:szCs w:val="20"/>
          <w:color w:val="auto"/>
        </w:rPr>
        <w:tab/>
      </w:r>
      <w:r>
        <w:rPr>
          <w:rFonts w:ascii="Arial" w:cs="Arial" w:eastAsia="Arial" w:hAnsi="Arial"/>
          <w:sz w:val="12"/>
          <w:szCs w:val="12"/>
          <w:color w:val="auto"/>
        </w:rPr>
        <w:t>—  Form T-1 Statement of Eligibility and Qualification under the Trust Indenture Act of 1939 of the trustee under the Senior Indenture</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25.2*</w:t>
      </w:r>
      <w:r>
        <w:rPr>
          <w:sz w:val="20"/>
          <w:szCs w:val="20"/>
          <w:color w:val="auto"/>
        </w:rPr>
        <w:tab/>
      </w:r>
      <w:r>
        <w:rPr>
          <w:rFonts w:ascii="Arial" w:cs="Arial" w:eastAsia="Arial" w:hAnsi="Arial"/>
          <w:sz w:val="12"/>
          <w:szCs w:val="12"/>
          <w:color w:val="auto"/>
        </w:rPr>
        <w:t>—  Form T-1 Statement of Eligibility and Qualification under the Trust Indenture Act of 1939 of the trustee under the Subordinated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900" w:hanging="21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900" w:hanging="213"/>
        <w:spacing w:after="0"/>
        <w:tabs>
          <w:tab w:leader="none" w:pos="9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To be filed as an exhibit to a report pursuant to Section 13(a) or 15(d) of the Securities Exchange Act of 1934 or in a post-effective amendment to this registration statement.</w:t>
      </w:r>
    </w:p>
    <w:p>
      <w:pPr>
        <w:spacing w:after="0" w:line="18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Each of the undersigned registrants hereby undertakes: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The undersigned registrant hereby undertakes:</w:t>
      </w:r>
    </w:p>
    <w:p>
      <w:pPr>
        <w:spacing w:after="0" w:line="96" w:lineRule="exact"/>
        <w:rPr>
          <w:sz w:val="20"/>
          <w:szCs w:val="20"/>
          <w:color w:val="auto"/>
        </w:rPr>
      </w:pPr>
    </w:p>
    <w:p>
      <w:pPr>
        <w:ind w:left="1660" w:hanging="191"/>
        <w:spacing w:after="0"/>
        <w:tabs>
          <w:tab w:leader="none" w:pos="16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To file, during any period in which offers or sales are being made, a post-effective amendment to this registration statement:</w:t>
      </w:r>
    </w:p>
    <w:p>
      <w:pPr>
        <w:spacing w:after="0" w:line="96" w:lineRule="exact"/>
        <w:rPr>
          <w:rFonts w:ascii="Arial" w:cs="Arial" w:eastAsia="Arial" w:hAnsi="Arial"/>
          <w:sz w:val="13"/>
          <w:szCs w:val="13"/>
          <w:color w:val="auto"/>
        </w:rPr>
      </w:pPr>
    </w:p>
    <w:p>
      <w:pPr>
        <w:ind w:left="2020" w:hanging="168"/>
        <w:spacing w:after="0"/>
        <w:tabs>
          <w:tab w:leader="none" w:pos="2020" w:val="left"/>
        </w:tabs>
        <w:numPr>
          <w:ilvl w:val="1"/>
          <w:numId w:val="55"/>
        </w:numPr>
        <w:rPr>
          <w:rFonts w:ascii="Arial" w:cs="Arial" w:eastAsia="Arial" w:hAnsi="Arial"/>
          <w:sz w:val="13"/>
          <w:szCs w:val="13"/>
          <w:color w:val="auto"/>
        </w:rPr>
      </w:pPr>
      <w:r>
        <w:rPr>
          <w:rFonts w:ascii="Arial" w:cs="Arial" w:eastAsia="Arial" w:hAnsi="Arial"/>
          <w:sz w:val="13"/>
          <w:szCs w:val="13"/>
          <w:color w:val="auto"/>
        </w:rPr>
        <w:t>To include any prospectus required by Section 10(a)(3) of the Securities Act;</w:t>
      </w:r>
    </w:p>
    <w:p>
      <w:pPr>
        <w:spacing w:after="0" w:line="96" w:lineRule="exact"/>
        <w:rPr>
          <w:rFonts w:ascii="Arial" w:cs="Arial" w:eastAsia="Arial" w:hAnsi="Arial"/>
          <w:sz w:val="13"/>
          <w:szCs w:val="13"/>
          <w:color w:val="auto"/>
        </w:rPr>
      </w:pPr>
    </w:p>
    <w:p>
      <w:pPr>
        <w:ind w:left="1480" w:firstLine="372"/>
        <w:spacing w:after="0" w:line="257" w:lineRule="auto"/>
        <w:tabs>
          <w:tab w:leader="none" w:pos="2030" w:val="left"/>
        </w:tabs>
        <w:numPr>
          <w:ilvl w:val="1"/>
          <w:numId w:val="55"/>
        </w:numPr>
        <w:rPr>
          <w:rFonts w:ascii="Arial" w:cs="Arial" w:eastAsia="Arial" w:hAnsi="Arial"/>
          <w:sz w:val="13"/>
          <w:szCs w:val="13"/>
          <w:color w:val="auto"/>
        </w:rPr>
      </w:pPr>
      <w:r>
        <w:rPr>
          <w:rFonts w:ascii="Arial" w:cs="Arial" w:eastAsia="Arial" w:hAnsi="Arial"/>
          <w:sz w:val="13"/>
          <w:szCs w:val="13"/>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71" w:lineRule="exact"/>
        <w:rPr>
          <w:rFonts w:ascii="Arial" w:cs="Arial" w:eastAsia="Arial" w:hAnsi="Arial"/>
          <w:sz w:val="13"/>
          <w:szCs w:val="13"/>
          <w:color w:val="auto"/>
        </w:rPr>
      </w:pPr>
    </w:p>
    <w:p>
      <w:pPr>
        <w:ind w:left="1480" w:right="260" w:firstLine="372"/>
        <w:spacing w:after="0" w:line="276" w:lineRule="auto"/>
        <w:tabs>
          <w:tab w:leader="none" w:pos="2023" w:val="left"/>
        </w:tabs>
        <w:numPr>
          <w:ilvl w:val="1"/>
          <w:numId w:val="55"/>
        </w:numPr>
        <w:rPr>
          <w:rFonts w:ascii="Arial" w:cs="Arial" w:eastAsia="Arial" w:hAnsi="Arial"/>
          <w:sz w:val="13"/>
          <w:szCs w:val="13"/>
          <w:color w:val="auto"/>
        </w:rPr>
      </w:pPr>
      <w:r>
        <w:rPr>
          <w:rFonts w:ascii="Arial" w:cs="Arial" w:eastAsia="Arial" w:hAnsi="Arial"/>
          <w:sz w:val="13"/>
          <w:szCs w:val="13"/>
          <w:color w:val="auto"/>
        </w:rPr>
        <w:t>To include any material information with respect to the plan of distribution not previously disclosed in this registration statement or any material change to the information in this registration statement;</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140"/>
        <w:spacing w:after="0" w:line="296" w:lineRule="auto"/>
        <w:rPr>
          <w:sz w:val="20"/>
          <w:szCs w:val="20"/>
          <w:color w:val="auto"/>
        </w:rPr>
      </w:pPr>
      <w:r>
        <w:rPr>
          <w:rFonts w:ascii="Arial" w:cs="Arial" w:eastAsia="Arial" w:hAnsi="Arial"/>
          <w:sz w:val="12"/>
          <w:szCs w:val="12"/>
          <w:color w:val="auto"/>
        </w:rPr>
        <w:t>provided, however, that paragraphs (l)(a), (l)(b) and (1)(c) above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this registration statement, or is contained in a form of prospectus filed pursuant to Rule 424(b) that is part of the registration statement.</w:t>
      </w:r>
    </w:p>
    <w:p>
      <w:pPr>
        <w:spacing w:after="0" w:line="50" w:lineRule="exact"/>
        <w:rPr>
          <w:sz w:val="20"/>
          <w:szCs w:val="20"/>
          <w:color w:val="auto"/>
        </w:rPr>
      </w:pPr>
    </w:p>
    <w:p>
      <w:pPr>
        <w:ind w:left="1080" w:right="380" w:firstLine="389"/>
        <w:spacing w:after="0" w:line="320" w:lineRule="auto"/>
        <w:tabs>
          <w:tab w:leader="none" w:pos="1646"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each of the post-effective amendments shall be deemed to be a new registration statement relating to the securities offered therein, and the offering of the securities at that time shall be deemed to be the initial bona fide offering thereof.</w:t>
      </w:r>
    </w:p>
    <w:p>
      <w:pPr>
        <w:spacing w:after="0" w:line="35" w:lineRule="exact"/>
        <w:rPr>
          <w:rFonts w:ascii="Arial" w:cs="Arial" w:eastAsia="Arial" w:hAnsi="Arial"/>
          <w:sz w:val="12"/>
          <w:szCs w:val="12"/>
          <w:color w:val="auto"/>
        </w:rPr>
      </w:pPr>
    </w:p>
    <w:p>
      <w:pPr>
        <w:ind w:left="1660" w:hanging="191"/>
        <w:spacing w:after="0"/>
        <w:tabs>
          <w:tab w:leader="none" w:pos="16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07" w:lineRule="exact"/>
        <w:rPr>
          <w:rFonts w:ascii="Arial" w:cs="Arial" w:eastAsia="Arial" w:hAnsi="Arial"/>
          <w:sz w:val="12"/>
          <w:szCs w:val="12"/>
          <w:color w:val="auto"/>
        </w:rPr>
      </w:pPr>
    </w:p>
    <w:p>
      <w:pPr>
        <w:ind w:left="1660" w:hanging="191"/>
        <w:spacing w:after="0"/>
        <w:tabs>
          <w:tab w:leader="none" w:pos="16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That, for the purpose of determining liability under the Securities Act to any purchaser:</w:t>
      </w:r>
    </w:p>
    <w:p>
      <w:pPr>
        <w:spacing w:after="0" w:line="96" w:lineRule="exact"/>
        <w:rPr>
          <w:rFonts w:ascii="Arial" w:cs="Arial" w:eastAsia="Arial" w:hAnsi="Arial"/>
          <w:sz w:val="13"/>
          <w:szCs w:val="13"/>
          <w:color w:val="auto"/>
        </w:rPr>
      </w:pPr>
    </w:p>
    <w:p>
      <w:pPr>
        <w:ind w:left="1480" w:right="260" w:firstLine="372"/>
        <w:spacing w:after="0" w:line="276" w:lineRule="auto"/>
        <w:tabs>
          <w:tab w:leader="none" w:pos="2025" w:val="left"/>
        </w:tabs>
        <w:numPr>
          <w:ilvl w:val="1"/>
          <w:numId w:val="56"/>
        </w:numPr>
        <w:rPr>
          <w:rFonts w:ascii="Arial" w:cs="Arial" w:eastAsia="Arial" w:hAnsi="Arial"/>
          <w:sz w:val="13"/>
          <w:szCs w:val="13"/>
          <w:color w:val="auto"/>
        </w:rPr>
      </w:pPr>
      <w:r>
        <w:rPr>
          <w:rFonts w:ascii="Arial" w:cs="Arial" w:eastAsia="Arial" w:hAnsi="Arial"/>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9" w:lineRule="exact"/>
        <w:rPr>
          <w:rFonts w:ascii="Arial" w:cs="Arial" w:eastAsia="Arial" w:hAnsi="Arial"/>
          <w:sz w:val="13"/>
          <w:szCs w:val="13"/>
          <w:color w:val="auto"/>
        </w:rPr>
      </w:pPr>
    </w:p>
    <w:p>
      <w:pPr>
        <w:ind w:left="1480" w:right="80" w:firstLine="372"/>
        <w:spacing w:after="0" w:line="279" w:lineRule="auto"/>
        <w:tabs>
          <w:tab w:leader="none" w:pos="2033" w:val="left"/>
        </w:tabs>
        <w:numPr>
          <w:ilvl w:val="1"/>
          <w:numId w:val="56"/>
        </w:numPr>
        <w:rPr>
          <w:rFonts w:ascii="Arial" w:cs="Arial" w:eastAsia="Arial" w:hAnsi="Arial"/>
          <w:sz w:val="12"/>
          <w:szCs w:val="12"/>
          <w:color w:val="auto"/>
        </w:rPr>
      </w:pPr>
      <w:r>
        <w:rPr>
          <w:rFonts w:ascii="Arial" w:cs="Arial" w:eastAsia="Arial" w:hAnsi="Arial"/>
          <w:sz w:val="12"/>
          <w:szCs w:val="12"/>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0" w:lineRule="exact"/>
        <w:rPr>
          <w:rFonts w:ascii="Arial" w:cs="Arial" w:eastAsia="Arial" w:hAnsi="Arial"/>
          <w:sz w:val="12"/>
          <w:szCs w:val="12"/>
          <w:color w:val="auto"/>
        </w:rPr>
      </w:pPr>
    </w:p>
    <w:p>
      <w:pPr>
        <w:jc w:val="both"/>
        <w:ind w:left="1080" w:right="20" w:firstLine="389"/>
        <w:spacing w:after="0" w:line="260" w:lineRule="auto"/>
        <w:tabs>
          <w:tab w:leader="none" w:pos="1646"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9" w:lineRule="exact"/>
        <w:rPr>
          <w:rFonts w:ascii="Arial" w:cs="Arial" w:eastAsia="Arial" w:hAnsi="Arial"/>
          <w:sz w:val="13"/>
          <w:szCs w:val="13"/>
          <w:color w:val="auto"/>
        </w:rPr>
      </w:pPr>
    </w:p>
    <w:p>
      <w:pPr>
        <w:ind w:left="2020" w:hanging="168"/>
        <w:spacing w:after="0"/>
        <w:tabs>
          <w:tab w:leader="none" w:pos="202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1"/>
          <w:numId w:val="56"/>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1480" w:firstLine="372"/>
        <w:spacing w:after="0" w:line="276" w:lineRule="auto"/>
        <w:tabs>
          <w:tab w:leader="none" w:pos="2023" w:val="left"/>
        </w:tabs>
        <w:numPr>
          <w:ilvl w:val="1"/>
          <w:numId w:val="56"/>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2040" w:hanging="188"/>
        <w:spacing w:after="0"/>
        <w:tabs>
          <w:tab w:leader="none" w:pos="20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B. The undersigned registrant hereby undertakes that, for purposes of determining any liability under the Securities Act, each filing of its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the securities at that time shall be deemed to be the initial bona fide offering thereof.</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C. 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that indemnification is against public policy as expressed in the Securities Act and is, therefore, unenforceable. In the event that a claim for indemnification against any liability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 The undersigned registrant hereby undertakes:</w:t>
      </w:r>
    </w:p>
    <w:p>
      <w:pPr>
        <w:spacing w:after="0" w:line="96" w:lineRule="exact"/>
        <w:rPr>
          <w:sz w:val="20"/>
          <w:szCs w:val="20"/>
          <w:color w:val="auto"/>
        </w:rPr>
      </w:pPr>
    </w:p>
    <w:p>
      <w:pPr>
        <w:ind w:left="1080" w:right="80" w:firstLine="389"/>
        <w:spacing w:after="0" w:line="264" w:lineRule="auto"/>
        <w:tabs>
          <w:tab w:leader="none" w:pos="1649" w:val="left"/>
        </w:tabs>
        <w:numPr>
          <w:ilvl w:val="1"/>
          <w:numId w:val="57"/>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or any prospectus supplement filed as part of this registration statement in reliance on Rule 430A and contained in a form of prospectus or prospectus supplement filed by the registrant pursuant to Rule 424(b)( 1)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jc w:val="both"/>
        <w:ind w:left="1080" w:right="40" w:firstLine="389"/>
        <w:spacing w:after="0" w:line="264" w:lineRule="auto"/>
        <w:tabs>
          <w:tab w:leader="none" w:pos="1649" w:val="left"/>
        </w:tabs>
        <w:numPr>
          <w:ilvl w:val="1"/>
          <w:numId w:val="57"/>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each post-effective amendment that contains a form of prospectus or prospectus supplement shall be deemed to be a new registration statement relating to the securities offered therein, and the offering of such securities at that time shall be deemed to be the initial bona fide offering thereof.</w:t>
      </w:r>
    </w:p>
    <w:p>
      <w:pPr>
        <w:spacing w:after="0" w:line="66" w:lineRule="exact"/>
        <w:rPr>
          <w:rFonts w:ascii="Arial" w:cs="Arial" w:eastAsia="Arial" w:hAnsi="Arial"/>
          <w:sz w:val="13"/>
          <w:szCs w:val="13"/>
          <w:color w:val="auto"/>
        </w:rPr>
      </w:pPr>
    </w:p>
    <w:p>
      <w:pPr>
        <w:ind w:left="680" w:right="240" w:firstLine="406"/>
        <w:spacing w:after="0" w:line="276" w:lineRule="auto"/>
        <w:tabs>
          <w:tab w:leader="none" w:pos="1222"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4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each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November 25, 2008.</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ALL AMERICAN PIPELINE, L.P.</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PAA GP LLC, its general partner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AAP,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All American GP LLC, its general partner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Greg L. Armstrong</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Chairman of the Board and 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MARKETING, L.P.</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GP Inc., its general partner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0"/>
        </w:trPr>
        <w:tc>
          <w:tcPr>
            <w:tcW w:w="42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line="140" w:lineRule="exact"/>
              <w:rPr>
                <w:sz w:val="20"/>
                <w:szCs w:val="20"/>
                <w:color w:val="auto"/>
              </w:rPr>
            </w:pPr>
            <w:r>
              <w:rPr>
                <w:rFonts w:ascii="Arial" w:cs="Arial" w:eastAsia="Arial" w:hAnsi="Arial"/>
                <w:sz w:val="13"/>
                <w:szCs w:val="13"/>
                <w:color w:val="auto"/>
              </w:rPr>
              <w:t>Greg L. Armstrong</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PIPELINE, L.P.</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GP Inc., its general partner</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GREG L. ARMSTRONG</w:t>
            </w:r>
          </w:p>
        </w:tc>
      </w:tr>
      <w:tr>
        <w:trPr>
          <w:trHeight w:val="139"/>
        </w:trPr>
        <w:tc>
          <w:tcPr>
            <w:tcW w:w="400" w:type="dxa"/>
            <w:vAlign w:val="bottom"/>
          </w:tcPr>
          <w:p>
            <w:pPr>
              <w:spacing w:after="0"/>
              <w:rPr>
                <w:sz w:val="12"/>
                <w:szCs w:val="12"/>
                <w:color w:val="auto"/>
              </w:rPr>
            </w:pPr>
          </w:p>
        </w:tc>
        <w:tc>
          <w:tcPr>
            <w:tcW w:w="42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5140" w:type="dxa"/>
            <w:vAlign w:val="bottom"/>
          </w:tcPr>
          <w:p>
            <w:pPr>
              <w:ind w:left="80"/>
              <w:spacing w:after="0" w:line="139" w:lineRule="exact"/>
              <w:rPr>
                <w:sz w:val="20"/>
                <w:szCs w:val="20"/>
                <w:color w:val="auto"/>
              </w:rPr>
            </w:pPr>
            <w:r>
              <w:rPr>
                <w:rFonts w:ascii="Arial" w:cs="Arial" w:eastAsia="Arial" w:hAnsi="Arial"/>
                <w:sz w:val="13"/>
                <w:szCs w:val="13"/>
                <w:color w:val="auto"/>
              </w:rPr>
              <w:t>Greg L. Armstrong</w:t>
            </w:r>
          </w:p>
        </w:tc>
      </w:tr>
      <w:tr>
        <w:trPr>
          <w:trHeight w:val="165"/>
        </w:trPr>
        <w:tc>
          <w:tcPr>
            <w:tcW w:w="4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r>
        <w:trPr>
          <w:trHeight w:val="482"/>
        </w:trPr>
        <w:tc>
          <w:tcPr>
            <w:tcW w:w="5960" w:type="dxa"/>
            <w:vAlign w:val="bottom"/>
            <w:gridSpan w:val="3"/>
          </w:tcPr>
          <w:p>
            <w:pPr>
              <w:spacing w:after="0"/>
              <w:rPr>
                <w:sz w:val="20"/>
                <w:szCs w:val="20"/>
                <w:color w:val="auto"/>
              </w:rPr>
            </w:pPr>
            <w:r>
              <w:rPr>
                <w:rFonts w:ascii="Arial" w:cs="Arial" w:eastAsia="Arial" w:hAnsi="Arial"/>
                <w:sz w:val="13"/>
                <w:szCs w:val="13"/>
                <w:b w:val="1"/>
                <w:bCs w:val="1"/>
                <w:color w:val="auto"/>
              </w:rPr>
              <w:t>PAA FINANCE CORP.</w:t>
            </w:r>
          </w:p>
        </w:tc>
      </w:tr>
      <w:tr>
        <w:trPr>
          <w:trHeight w:val="487"/>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GREG L. ARMSTRONG</w:t>
            </w:r>
          </w:p>
        </w:tc>
      </w:tr>
      <w:tr>
        <w:trPr>
          <w:trHeight w:val="144"/>
        </w:trPr>
        <w:tc>
          <w:tcPr>
            <w:tcW w:w="400" w:type="dxa"/>
            <w:vAlign w:val="bottom"/>
          </w:tcPr>
          <w:p>
            <w:pPr>
              <w:spacing w:after="0"/>
              <w:rPr>
                <w:sz w:val="12"/>
                <w:szCs w:val="12"/>
                <w:color w:val="auto"/>
              </w:rPr>
            </w:pPr>
          </w:p>
        </w:tc>
        <w:tc>
          <w:tcPr>
            <w:tcW w:w="420" w:type="dxa"/>
            <w:vAlign w:val="bottom"/>
          </w:tcPr>
          <w:p>
            <w:pPr>
              <w:spacing w:after="0" w:line="144" w:lineRule="exact"/>
              <w:rPr>
                <w:sz w:val="20"/>
                <w:szCs w:val="20"/>
                <w:color w:val="auto"/>
              </w:rPr>
            </w:pPr>
            <w:r>
              <w:rPr>
                <w:rFonts w:ascii="Arial" w:cs="Arial" w:eastAsia="Arial" w:hAnsi="Arial"/>
                <w:sz w:val="13"/>
                <w:szCs w:val="13"/>
                <w:color w:val="auto"/>
              </w:rPr>
              <w:t>Name:</w:t>
            </w:r>
          </w:p>
        </w:tc>
        <w:tc>
          <w:tcPr>
            <w:tcW w:w="5140" w:type="dxa"/>
            <w:vAlign w:val="bottom"/>
          </w:tcPr>
          <w:p>
            <w:pPr>
              <w:ind w:left="80"/>
              <w:spacing w:after="0" w:line="144" w:lineRule="exact"/>
              <w:rPr>
                <w:sz w:val="20"/>
                <w:szCs w:val="20"/>
                <w:color w:val="auto"/>
              </w:rPr>
            </w:pPr>
            <w:r>
              <w:rPr>
                <w:rFonts w:ascii="Arial" w:cs="Arial" w:eastAsia="Arial" w:hAnsi="Arial"/>
                <w:sz w:val="13"/>
                <w:szCs w:val="13"/>
                <w:color w:val="auto"/>
              </w:rPr>
              <w:t>Greg L. Armstrong</w:t>
            </w:r>
          </w:p>
        </w:tc>
      </w:tr>
      <w:tr>
        <w:trPr>
          <w:trHeight w:val="165"/>
        </w:trPr>
        <w:tc>
          <w:tcPr>
            <w:tcW w:w="4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27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MARKETING GP INC.</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Greg L. Armstrong</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MARKETING CANADA LLC</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GP Inc., its general partner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0"/>
        </w:trPr>
        <w:tc>
          <w:tcPr>
            <w:tcW w:w="42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line="140" w:lineRule="exact"/>
              <w:rPr>
                <w:sz w:val="20"/>
                <w:szCs w:val="20"/>
                <w:color w:val="auto"/>
              </w:rPr>
            </w:pPr>
            <w:r>
              <w:rPr>
                <w:rFonts w:ascii="Arial" w:cs="Arial" w:eastAsia="Arial" w:hAnsi="Arial"/>
                <w:sz w:val="13"/>
                <w:szCs w:val="13"/>
                <w:color w:val="auto"/>
              </w:rPr>
              <w:t>Greg L. Armstrong</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MARKETING CANADA, L.P.</w:t>
      </w:r>
    </w:p>
    <w:p>
      <w:pPr>
        <w:spacing w:after="0" w:line="179" w:lineRule="exact"/>
        <w:rPr>
          <w:sz w:val="20"/>
          <w:szCs w:val="20"/>
          <w:color w:val="auto"/>
        </w:rPr>
      </w:pPr>
    </w:p>
    <w:p>
      <w:pPr>
        <w:jc w:val="right"/>
        <w:ind w:right="3160"/>
        <w:spacing w:after="0"/>
        <w:rPr>
          <w:sz w:val="20"/>
          <w:szCs w:val="20"/>
          <w:color w:val="auto"/>
        </w:rPr>
      </w:pPr>
      <w:r>
        <w:rPr>
          <w:rFonts w:ascii="Arial" w:cs="Arial" w:eastAsia="Arial" w:hAnsi="Arial"/>
          <w:sz w:val="13"/>
          <w:szCs w:val="13"/>
          <w:color w:val="auto"/>
        </w:rPr>
        <w:t>By: PMC (Nova Scotia) Company, its general partner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353377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3"/>
          <w:szCs w:val="13"/>
          <w:color w:val="auto"/>
        </w:rPr>
        <w:t>Name: Al Swanson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Title: Vice President — Finance</w:t>
      </w:r>
    </w:p>
    <w:p>
      <w:pPr>
        <w:spacing w:after="0" w:line="32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PMC (NOVA SCOTIA) COMPANY</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AL SWANSON</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Al Swanson</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Vice President — Finance</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BASIN HOLDINGS GP LLC</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Pipeline,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GP Inc., its general partner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980" w:type="dxa"/>
            <w:vAlign w:val="bottom"/>
          </w:tcPr>
          <w:p>
            <w:pPr>
              <w:spacing w:after="0"/>
              <w:rPr>
                <w:sz w:val="12"/>
                <w:szCs w:val="12"/>
                <w:color w:val="auto"/>
              </w:rPr>
            </w:pPr>
          </w:p>
        </w:tc>
        <w:tc>
          <w:tcPr>
            <w:tcW w:w="42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gridSpan w:val="2"/>
          </w:tcPr>
          <w:p>
            <w:pPr>
              <w:ind w:left="80"/>
              <w:spacing w:after="0" w:line="140" w:lineRule="exact"/>
              <w:rPr>
                <w:sz w:val="20"/>
                <w:szCs w:val="20"/>
                <w:color w:val="auto"/>
              </w:rPr>
            </w:pPr>
            <w:r>
              <w:rPr>
                <w:rFonts w:ascii="Arial" w:cs="Arial" w:eastAsia="Arial" w:hAnsi="Arial"/>
                <w:sz w:val="13"/>
                <w:szCs w:val="13"/>
                <w:color w:val="auto"/>
              </w:rPr>
              <w:t>Greg L. Armstrong</w:t>
            </w:r>
          </w:p>
        </w:tc>
      </w:tr>
      <w:tr>
        <w:trPr>
          <w:trHeight w:val="165"/>
        </w:trPr>
        <w:tc>
          <w:tcPr>
            <w:tcW w:w="59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gridSpan w:val="2"/>
          </w:tcPr>
          <w:p>
            <w:pPr>
              <w:ind w:left="380"/>
              <w:spacing w:after="0"/>
              <w:rPr>
                <w:sz w:val="20"/>
                <w:szCs w:val="20"/>
                <w:color w:val="auto"/>
              </w:rPr>
            </w:pPr>
            <w:r>
              <w:rPr>
                <w:rFonts w:ascii="Arial" w:cs="Arial" w:eastAsia="Arial" w:hAnsi="Arial"/>
                <w:sz w:val="13"/>
                <w:szCs w:val="13"/>
                <w:color w:val="auto"/>
              </w:rPr>
              <w:t>Chief Executive Officer</w:t>
            </w:r>
          </w:p>
        </w:tc>
      </w:tr>
      <w:tr>
        <w:trPr>
          <w:trHeight w:val="442"/>
        </w:trPr>
        <w:tc>
          <w:tcPr>
            <w:tcW w:w="6400" w:type="dxa"/>
            <w:vAlign w:val="bottom"/>
            <w:gridSpan w:val="2"/>
          </w:tcPr>
          <w:p>
            <w:pPr>
              <w:ind w:left="5580"/>
              <w:spacing w:after="0"/>
              <w:rPr>
                <w:sz w:val="20"/>
                <w:szCs w:val="20"/>
                <w:color w:val="auto"/>
              </w:rPr>
            </w:pPr>
            <w:r>
              <w:rPr>
                <w:rFonts w:ascii="Arial" w:cs="Arial" w:eastAsia="Arial" w:hAnsi="Arial"/>
                <w:sz w:val="13"/>
                <w:szCs w:val="13"/>
                <w:color w:val="auto"/>
              </w:rPr>
              <w:t>II-7</w:t>
            </w:r>
          </w:p>
        </w:tc>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9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06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BASIN PIPELINE HOLDINGS, L.P.</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Basin Holdings GP LLC</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Pipeline,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GP Inc., its general partner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Greg L. Armstrong</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RANCHO LPG HOLDINGS LLC</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LPG Services,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LPG Services GP, LLC, its general partner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GP Inc., its general partner</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GREG L. ARMSTRONG</w:t>
            </w:r>
          </w:p>
        </w:tc>
      </w:tr>
      <w:tr>
        <w:trPr>
          <w:trHeight w:val="139"/>
        </w:trPr>
        <w:tc>
          <w:tcPr>
            <w:tcW w:w="400" w:type="dxa"/>
            <w:vAlign w:val="bottom"/>
          </w:tcPr>
          <w:p>
            <w:pPr>
              <w:spacing w:after="0"/>
              <w:rPr>
                <w:sz w:val="12"/>
                <w:szCs w:val="12"/>
                <w:color w:val="auto"/>
              </w:rPr>
            </w:pPr>
          </w:p>
        </w:tc>
        <w:tc>
          <w:tcPr>
            <w:tcW w:w="42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5140" w:type="dxa"/>
            <w:vAlign w:val="bottom"/>
          </w:tcPr>
          <w:p>
            <w:pPr>
              <w:ind w:left="80"/>
              <w:spacing w:after="0" w:line="139" w:lineRule="exact"/>
              <w:rPr>
                <w:sz w:val="20"/>
                <w:szCs w:val="20"/>
                <w:color w:val="auto"/>
              </w:rPr>
            </w:pPr>
            <w:r>
              <w:rPr>
                <w:rFonts w:ascii="Arial" w:cs="Arial" w:eastAsia="Arial" w:hAnsi="Arial"/>
                <w:sz w:val="13"/>
                <w:szCs w:val="13"/>
                <w:color w:val="auto"/>
              </w:rPr>
              <w:t>Greg L. Armstrong</w:t>
            </w:r>
          </w:p>
        </w:tc>
      </w:tr>
      <w:tr>
        <w:trPr>
          <w:trHeight w:val="165"/>
        </w:trPr>
        <w:tc>
          <w:tcPr>
            <w:tcW w:w="4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r>
        <w:trPr>
          <w:trHeight w:val="482"/>
        </w:trPr>
        <w:tc>
          <w:tcPr>
            <w:tcW w:w="5960" w:type="dxa"/>
            <w:vAlign w:val="bottom"/>
            <w:gridSpan w:val="3"/>
          </w:tcPr>
          <w:p>
            <w:pPr>
              <w:spacing w:after="0"/>
              <w:rPr>
                <w:sz w:val="20"/>
                <w:szCs w:val="20"/>
                <w:color w:val="auto"/>
              </w:rPr>
            </w:pPr>
            <w:r>
              <w:rPr>
                <w:rFonts w:ascii="Arial" w:cs="Arial" w:eastAsia="Arial" w:hAnsi="Arial"/>
                <w:sz w:val="13"/>
                <w:szCs w:val="13"/>
                <w:b w:val="1"/>
                <w:bCs w:val="1"/>
                <w:color w:val="auto"/>
              </w:rPr>
              <w:t>PACIFIC ENERGY GROUP LLC</w:t>
            </w:r>
          </w:p>
        </w:tc>
      </w:tr>
      <w:tr>
        <w:trPr>
          <w:trHeight w:val="482"/>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GREG L. ARMSTRONG</w:t>
            </w:r>
          </w:p>
        </w:tc>
      </w:tr>
      <w:tr>
        <w:trPr>
          <w:trHeight w:val="139"/>
        </w:trPr>
        <w:tc>
          <w:tcPr>
            <w:tcW w:w="400" w:type="dxa"/>
            <w:vAlign w:val="bottom"/>
          </w:tcPr>
          <w:p>
            <w:pPr>
              <w:spacing w:after="0"/>
              <w:rPr>
                <w:sz w:val="12"/>
                <w:szCs w:val="12"/>
                <w:color w:val="auto"/>
              </w:rPr>
            </w:pPr>
          </w:p>
        </w:tc>
        <w:tc>
          <w:tcPr>
            <w:tcW w:w="42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5140" w:type="dxa"/>
            <w:vAlign w:val="bottom"/>
          </w:tcPr>
          <w:p>
            <w:pPr>
              <w:ind w:left="80"/>
              <w:spacing w:after="0" w:line="139" w:lineRule="exact"/>
              <w:rPr>
                <w:sz w:val="20"/>
                <w:szCs w:val="20"/>
                <w:color w:val="auto"/>
              </w:rPr>
            </w:pPr>
            <w:r>
              <w:rPr>
                <w:rFonts w:ascii="Arial" w:cs="Arial" w:eastAsia="Arial" w:hAnsi="Arial"/>
                <w:sz w:val="13"/>
                <w:szCs w:val="13"/>
                <w:color w:val="auto"/>
              </w:rPr>
              <w:t>Greg L. Armstrong</w:t>
            </w:r>
          </w:p>
        </w:tc>
      </w:tr>
      <w:tr>
        <w:trPr>
          <w:trHeight w:val="165"/>
        </w:trPr>
        <w:tc>
          <w:tcPr>
            <w:tcW w:w="4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PACIFIC L.A. MARINE TERMINAL LLC</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Pacific Energy Group LLC, its sole member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Greg L. Armstrong</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27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ROCKY MOUNTAIN PIPELINE SYSTEM LLC</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Pacific Energy Group LLC its sole member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Greg L. Armstrong</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PACIFIC ATLANTIC TERMINALS LLC</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Pacific Energy Group LLC its sole member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0"/>
        </w:trPr>
        <w:tc>
          <w:tcPr>
            <w:tcW w:w="42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line="140" w:lineRule="exact"/>
              <w:rPr>
                <w:sz w:val="20"/>
                <w:szCs w:val="20"/>
                <w:color w:val="auto"/>
              </w:rPr>
            </w:pPr>
            <w:r>
              <w:rPr>
                <w:rFonts w:ascii="Arial" w:cs="Arial" w:eastAsia="Arial" w:hAnsi="Arial"/>
                <w:sz w:val="13"/>
                <w:szCs w:val="13"/>
                <w:color w:val="auto"/>
              </w:rPr>
              <w:t>Greg L. Armstrong</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TOWING LLC</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GP Inc., its general partner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5580" w:type="dxa"/>
        <w:tblCellMar>
          <w:top w:w="0" w:type="dxa"/>
          <w:left w:w="0" w:type="dxa"/>
          <w:bottom w:w="0" w:type="dxa"/>
          <w:right w:w="0" w:type="dxa"/>
        </w:tblCellMar>
      </w:tblPr>
      <w:tr>
        <w:trPr>
          <w:trHeight w:val="140"/>
        </w:trPr>
        <w:tc>
          <w:tcPr>
            <w:tcW w:w="400" w:type="dxa"/>
            <w:vAlign w:val="bottom"/>
          </w:tcPr>
          <w:p>
            <w:pPr>
              <w:spacing w:after="0"/>
              <w:rPr>
                <w:sz w:val="12"/>
                <w:szCs w:val="12"/>
                <w:color w:val="auto"/>
              </w:rPr>
            </w:pPr>
          </w:p>
        </w:tc>
        <w:tc>
          <w:tcPr>
            <w:tcW w:w="46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rPr>
              <w:t>Name:</w:t>
            </w:r>
          </w:p>
        </w:tc>
        <w:tc>
          <w:tcPr>
            <w:tcW w:w="5100" w:type="dxa"/>
            <w:vAlign w:val="bottom"/>
            <w:tcBorders>
              <w:top w:val="single" w:sz="8" w:color="auto"/>
            </w:tcBorders>
          </w:tcPr>
          <w:p>
            <w:pPr>
              <w:ind w:left="40"/>
              <w:spacing w:after="0" w:line="140" w:lineRule="exact"/>
              <w:rPr>
                <w:sz w:val="20"/>
                <w:szCs w:val="20"/>
                <w:color w:val="auto"/>
              </w:rPr>
            </w:pPr>
            <w:r>
              <w:rPr>
                <w:rFonts w:ascii="Arial" w:cs="Arial" w:eastAsia="Arial" w:hAnsi="Arial"/>
                <w:sz w:val="13"/>
                <w:szCs w:val="13"/>
                <w:color w:val="auto"/>
              </w:rPr>
              <w:t>Greg L. Armstrong</w:t>
            </w:r>
          </w:p>
        </w:tc>
      </w:tr>
      <w:tr>
        <w:trPr>
          <w:trHeight w:val="165"/>
        </w:trPr>
        <w:tc>
          <w:tcPr>
            <w:tcW w:w="4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5100" w:type="dxa"/>
            <w:vAlign w:val="bottom"/>
          </w:tcPr>
          <w:p>
            <w:pPr>
              <w:ind w:left="340"/>
              <w:spacing w:after="0"/>
              <w:rPr>
                <w:sz w:val="20"/>
                <w:szCs w:val="20"/>
                <w:color w:val="auto"/>
              </w:rPr>
            </w:pPr>
            <w:r>
              <w:rPr>
                <w:rFonts w:ascii="Arial" w:cs="Arial" w:eastAsia="Arial" w:hAnsi="Arial"/>
                <w:sz w:val="13"/>
                <w:szCs w:val="13"/>
                <w:color w:val="auto"/>
              </w:rPr>
              <w:t>Chief Executive Officer</w:t>
            </w:r>
          </w:p>
        </w:tc>
      </w:tr>
      <w:tr>
        <w:trPr>
          <w:trHeight w:val="482"/>
        </w:trPr>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PICSCO LLC</w:t>
            </w:r>
          </w:p>
        </w:tc>
        <w:tc>
          <w:tcPr>
            <w:tcW w:w="5100" w:type="dxa"/>
            <w:vAlign w:val="bottom"/>
          </w:tcPr>
          <w:p>
            <w:pPr>
              <w:spacing w:after="0"/>
              <w:rPr>
                <w:sz w:val="24"/>
                <w:szCs w:val="24"/>
                <w:color w:val="auto"/>
              </w:rPr>
            </w:pPr>
          </w:p>
        </w:tc>
      </w:tr>
    </w:tbl>
    <w:p>
      <w:pPr>
        <w:spacing w:after="0" w:line="16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GP Inc., its general partner</w:t>
      </w:r>
    </w:p>
    <w:p>
      <w:pPr>
        <w:spacing w:after="0" w:line="332"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5960" w:type="dxa"/>
            <w:vAlign w:val="bottom"/>
            <w:gridSpan w:val="3"/>
          </w:tcPr>
          <w:p>
            <w:pPr>
              <w:spacing w:after="0"/>
              <w:rPr>
                <w:sz w:val="20"/>
                <w:szCs w:val="20"/>
                <w:color w:val="auto"/>
              </w:rPr>
            </w:pPr>
            <w:r>
              <w:rPr>
                <w:rFonts w:ascii="Arial" w:cs="Arial" w:eastAsia="Arial" w:hAnsi="Arial"/>
                <w:sz w:val="13"/>
                <w:szCs w:val="13"/>
                <w:color w:val="auto"/>
              </w:rPr>
              <w:t>By:   /s/ GREG L. ARMSTRONG</w:t>
            </w:r>
          </w:p>
        </w:tc>
      </w:tr>
      <w:tr>
        <w:trPr>
          <w:trHeight w:val="144"/>
        </w:trPr>
        <w:tc>
          <w:tcPr>
            <w:tcW w:w="400" w:type="dxa"/>
            <w:vAlign w:val="bottom"/>
          </w:tcPr>
          <w:p>
            <w:pPr>
              <w:spacing w:after="0"/>
              <w:rPr>
                <w:sz w:val="12"/>
                <w:szCs w:val="12"/>
                <w:color w:val="auto"/>
              </w:rPr>
            </w:pPr>
          </w:p>
        </w:tc>
        <w:tc>
          <w:tcPr>
            <w:tcW w:w="420" w:type="dxa"/>
            <w:vAlign w:val="bottom"/>
            <w:tcBorders>
              <w:top w:val="single" w:sz="8" w:color="auto"/>
            </w:tcBorders>
          </w:tcPr>
          <w:p>
            <w:pPr>
              <w:spacing w:after="0" w:line="144" w:lineRule="exact"/>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line="144" w:lineRule="exact"/>
              <w:rPr>
                <w:sz w:val="20"/>
                <w:szCs w:val="20"/>
                <w:color w:val="auto"/>
              </w:rPr>
            </w:pPr>
            <w:r>
              <w:rPr>
                <w:rFonts w:ascii="Arial" w:cs="Arial" w:eastAsia="Arial" w:hAnsi="Arial"/>
                <w:sz w:val="13"/>
                <w:szCs w:val="13"/>
                <w:color w:val="auto"/>
              </w:rPr>
              <w:t>Greg L. Armstrong</w:t>
            </w:r>
          </w:p>
        </w:tc>
      </w:tr>
      <w:tr>
        <w:trPr>
          <w:trHeight w:val="165"/>
        </w:trPr>
        <w:tc>
          <w:tcPr>
            <w:tcW w:w="4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27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LPG SERVICES GP LLC</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L.P., its sole member</w:t>
      </w:r>
    </w:p>
    <w:p>
      <w:pPr>
        <w:spacing w:after="0" w:line="175" w:lineRule="exact"/>
        <w:rPr>
          <w:sz w:val="20"/>
          <w:szCs w:val="20"/>
          <w:color w:val="auto"/>
        </w:rPr>
      </w:pPr>
    </w:p>
    <w:tbl>
      <w:tblPr>
        <w:tblLayout w:type="fixed"/>
        <w:tblInd w:w="558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gridSpan w:val="2"/>
          </w:tcPr>
          <w:p>
            <w:pPr>
              <w:spacing w:after="0"/>
              <w:rPr>
                <w:sz w:val="20"/>
                <w:szCs w:val="20"/>
                <w:color w:val="auto"/>
              </w:rPr>
            </w:pPr>
            <w:r>
              <w:rPr>
                <w:rFonts w:ascii="Arial" w:cs="Arial" w:eastAsia="Arial" w:hAnsi="Arial"/>
                <w:sz w:val="13"/>
                <w:szCs w:val="13"/>
                <w:color w:val="auto"/>
              </w:rPr>
              <w:t>Plains Marketing GP Inc., its general partner</w:t>
            </w:r>
          </w:p>
        </w:tc>
      </w:tr>
      <w:tr>
        <w:trPr>
          <w:trHeight w:val="477"/>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GREG L. ARMSTRONG</w:t>
            </w:r>
          </w:p>
        </w:tc>
      </w:tr>
      <w:tr>
        <w:trPr>
          <w:trHeight w:val="144"/>
        </w:trPr>
        <w:tc>
          <w:tcPr>
            <w:tcW w:w="400" w:type="dxa"/>
            <w:vAlign w:val="bottom"/>
          </w:tcPr>
          <w:p>
            <w:pPr>
              <w:spacing w:after="0"/>
              <w:rPr>
                <w:sz w:val="12"/>
                <w:szCs w:val="12"/>
                <w:color w:val="auto"/>
              </w:rPr>
            </w:pPr>
          </w:p>
        </w:tc>
        <w:tc>
          <w:tcPr>
            <w:tcW w:w="420" w:type="dxa"/>
            <w:vAlign w:val="bottom"/>
          </w:tcPr>
          <w:p>
            <w:pPr>
              <w:spacing w:after="0" w:line="144" w:lineRule="exact"/>
              <w:rPr>
                <w:sz w:val="20"/>
                <w:szCs w:val="20"/>
                <w:color w:val="auto"/>
              </w:rPr>
            </w:pPr>
            <w:r>
              <w:rPr>
                <w:rFonts w:ascii="Arial" w:cs="Arial" w:eastAsia="Arial" w:hAnsi="Arial"/>
                <w:sz w:val="13"/>
                <w:szCs w:val="13"/>
                <w:color w:val="auto"/>
              </w:rPr>
              <w:t>Name:</w:t>
            </w:r>
          </w:p>
        </w:tc>
        <w:tc>
          <w:tcPr>
            <w:tcW w:w="5140" w:type="dxa"/>
            <w:vAlign w:val="bottom"/>
          </w:tcPr>
          <w:p>
            <w:pPr>
              <w:ind w:left="80"/>
              <w:spacing w:after="0" w:line="144" w:lineRule="exact"/>
              <w:rPr>
                <w:sz w:val="20"/>
                <w:szCs w:val="20"/>
                <w:color w:val="auto"/>
              </w:rPr>
            </w:pPr>
            <w:r>
              <w:rPr>
                <w:rFonts w:ascii="Arial" w:cs="Arial" w:eastAsia="Arial" w:hAnsi="Arial"/>
                <w:sz w:val="13"/>
                <w:szCs w:val="13"/>
                <w:color w:val="auto"/>
              </w:rPr>
              <w:t>Greg L. Armstrong</w:t>
            </w:r>
          </w:p>
        </w:tc>
      </w:tr>
      <w:tr>
        <w:trPr>
          <w:trHeight w:val="165"/>
        </w:trPr>
        <w:tc>
          <w:tcPr>
            <w:tcW w:w="4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LPG SERVICES, L.P.</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LPG Services GP LLC, its general partner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L.P., its sole member</w:t>
      </w:r>
    </w:p>
    <w:p>
      <w:pPr>
        <w:spacing w:after="0" w:line="175" w:lineRule="exact"/>
        <w:rPr>
          <w:sz w:val="20"/>
          <w:szCs w:val="20"/>
          <w:color w:val="auto"/>
        </w:rPr>
      </w:pPr>
    </w:p>
    <w:tbl>
      <w:tblPr>
        <w:tblLayout w:type="fixed"/>
        <w:tblInd w:w="558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gridSpan w:val="2"/>
          </w:tcPr>
          <w:p>
            <w:pPr>
              <w:spacing w:after="0"/>
              <w:rPr>
                <w:sz w:val="20"/>
                <w:szCs w:val="20"/>
                <w:color w:val="auto"/>
              </w:rPr>
            </w:pPr>
            <w:r>
              <w:rPr>
                <w:rFonts w:ascii="Arial" w:cs="Arial" w:eastAsia="Arial" w:hAnsi="Arial"/>
                <w:sz w:val="13"/>
                <w:szCs w:val="13"/>
                <w:color w:val="auto"/>
              </w:rPr>
              <w:t>Plains Marketing GP Inc., its general partner</w:t>
            </w:r>
          </w:p>
        </w:tc>
      </w:tr>
      <w:tr>
        <w:trPr>
          <w:trHeight w:val="472"/>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GREG L. ARMSTRONG</w:t>
            </w:r>
          </w:p>
        </w:tc>
      </w:tr>
      <w:tr>
        <w:trPr>
          <w:trHeight w:val="139"/>
        </w:trPr>
        <w:tc>
          <w:tcPr>
            <w:tcW w:w="400" w:type="dxa"/>
            <w:vAlign w:val="bottom"/>
          </w:tcPr>
          <w:p>
            <w:pPr>
              <w:spacing w:after="0"/>
              <w:rPr>
                <w:sz w:val="12"/>
                <w:szCs w:val="12"/>
                <w:color w:val="auto"/>
              </w:rPr>
            </w:pPr>
          </w:p>
        </w:tc>
        <w:tc>
          <w:tcPr>
            <w:tcW w:w="42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5140" w:type="dxa"/>
            <w:vAlign w:val="bottom"/>
          </w:tcPr>
          <w:p>
            <w:pPr>
              <w:ind w:left="80"/>
              <w:spacing w:after="0" w:line="139" w:lineRule="exact"/>
              <w:rPr>
                <w:sz w:val="20"/>
                <w:szCs w:val="20"/>
                <w:color w:val="auto"/>
              </w:rPr>
            </w:pPr>
            <w:r>
              <w:rPr>
                <w:rFonts w:ascii="Arial" w:cs="Arial" w:eastAsia="Arial" w:hAnsi="Arial"/>
                <w:sz w:val="13"/>
                <w:szCs w:val="13"/>
                <w:color w:val="auto"/>
              </w:rPr>
              <w:t>Greg L. Armstrong</w:t>
            </w:r>
          </w:p>
        </w:tc>
      </w:tr>
      <w:tr>
        <w:trPr>
          <w:trHeight w:val="165"/>
        </w:trPr>
        <w:tc>
          <w:tcPr>
            <w:tcW w:w="4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LONE STAR TRUCKING, LLC</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LPG Services,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LPG Services GP LLC, its general partner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L.P., its sole member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80" w:type="dxa"/>
            <w:vAlign w:val="bottom"/>
          </w:tcPr>
          <w:p>
            <w:pPr>
              <w:jc w:val="center"/>
              <w:ind w:left="5314"/>
              <w:spacing w:after="0"/>
              <w:rPr>
                <w:sz w:val="20"/>
                <w:szCs w:val="20"/>
                <w:color w:val="auto"/>
              </w:rPr>
            </w:pPr>
            <w:r>
              <w:rPr>
                <w:rFonts w:ascii="Arial" w:cs="Arial" w:eastAsia="Arial" w:hAnsi="Arial"/>
                <w:sz w:val="13"/>
                <w:szCs w:val="13"/>
                <w:color w:val="auto"/>
              </w:rPr>
              <w:t>By:</w:t>
            </w:r>
          </w:p>
        </w:tc>
        <w:tc>
          <w:tcPr>
            <w:tcW w:w="5560" w:type="dxa"/>
            <w:vAlign w:val="bottom"/>
            <w:gridSpan w:val="3"/>
          </w:tcPr>
          <w:p>
            <w:pPr>
              <w:spacing w:after="0"/>
              <w:rPr>
                <w:sz w:val="20"/>
                <w:szCs w:val="20"/>
                <w:color w:val="auto"/>
              </w:rPr>
            </w:pPr>
            <w:r>
              <w:rPr>
                <w:rFonts w:ascii="Arial" w:cs="Arial" w:eastAsia="Arial" w:hAnsi="Arial"/>
                <w:sz w:val="13"/>
                <w:szCs w:val="13"/>
                <w:color w:val="auto"/>
              </w:rPr>
              <w:t>Plains Marketing GP Inc., its general partner</w:t>
            </w:r>
          </w:p>
        </w:tc>
      </w:tr>
      <w:tr>
        <w:trPr>
          <w:trHeight w:val="472"/>
        </w:trPr>
        <w:tc>
          <w:tcPr>
            <w:tcW w:w="5980" w:type="dxa"/>
            <w:vAlign w:val="bottom"/>
          </w:tcPr>
          <w:p>
            <w:pPr>
              <w:jc w:val="center"/>
              <w:ind w:left="5314"/>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/s/ GREG L. ARMSTRONG</w:t>
            </w:r>
          </w:p>
        </w:tc>
      </w:tr>
      <w:tr>
        <w:trPr>
          <w:trHeight w:val="139"/>
        </w:trPr>
        <w:tc>
          <w:tcPr>
            <w:tcW w:w="5980" w:type="dxa"/>
            <w:vAlign w:val="bottom"/>
          </w:tcPr>
          <w:p>
            <w:pPr>
              <w:spacing w:after="0"/>
              <w:rPr>
                <w:sz w:val="12"/>
                <w:szCs w:val="12"/>
                <w:color w:val="auto"/>
              </w:rPr>
            </w:pPr>
          </w:p>
        </w:tc>
        <w:tc>
          <w:tcPr>
            <w:tcW w:w="42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514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Greg L. Armstrong</w:t>
            </w:r>
          </w:p>
        </w:tc>
      </w:tr>
      <w:tr>
        <w:trPr>
          <w:trHeight w:val="165"/>
        </w:trPr>
        <w:tc>
          <w:tcPr>
            <w:tcW w:w="59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gridSpan w:val="2"/>
          </w:tcPr>
          <w:p>
            <w:pPr>
              <w:ind w:left="380"/>
              <w:spacing w:after="0"/>
              <w:rPr>
                <w:sz w:val="20"/>
                <w:szCs w:val="20"/>
                <w:color w:val="auto"/>
              </w:rPr>
            </w:pPr>
            <w:r>
              <w:rPr>
                <w:rFonts w:ascii="Arial" w:cs="Arial" w:eastAsia="Arial" w:hAnsi="Arial"/>
                <w:sz w:val="13"/>
                <w:szCs w:val="13"/>
                <w:color w:val="auto"/>
              </w:rPr>
              <w:t>Chief Executive Officer</w:t>
            </w:r>
          </w:p>
        </w:tc>
      </w:tr>
      <w:tr>
        <w:trPr>
          <w:trHeight w:val="452"/>
        </w:trPr>
        <w:tc>
          <w:tcPr>
            <w:tcW w:w="5980" w:type="dxa"/>
            <w:vAlign w:val="bottom"/>
          </w:tcPr>
          <w:p>
            <w:pPr>
              <w:jc w:val="center"/>
              <w:ind w:left="5294"/>
              <w:spacing w:after="0"/>
              <w:rPr>
                <w:sz w:val="20"/>
                <w:szCs w:val="20"/>
                <w:color w:val="auto"/>
              </w:rPr>
            </w:pPr>
            <w:r>
              <w:rPr>
                <w:rFonts w:ascii="Arial" w:cs="Arial" w:eastAsia="Arial" w:hAnsi="Arial"/>
                <w:sz w:val="13"/>
                <w:szCs w:val="13"/>
                <w:color w:val="auto"/>
                <w:w w:val="99"/>
              </w:rPr>
              <w:t>II-10</w:t>
            </w:r>
          </w:p>
        </w:tc>
        <w:tc>
          <w:tcPr>
            <w:tcW w:w="4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9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06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MIDSTREAM GP LLC</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GP Inc., its general partner</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Greg L. Armstrong</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Chief Executive Officer</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MIDSTREAM, L.P.</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Midstream GP LLC</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L.P., its sole member</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Marketing GP Inc., its general partner</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80" w:type="dxa"/>
            <w:vAlign w:val="bottom"/>
          </w:tcPr>
          <w:p>
            <w:pPr>
              <w:ind w:left="5580"/>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/s/ GREG L. ARMSTRONG</w:t>
            </w:r>
          </w:p>
        </w:tc>
      </w:tr>
      <w:tr>
        <w:trPr>
          <w:trHeight w:val="139"/>
        </w:trPr>
        <w:tc>
          <w:tcPr>
            <w:tcW w:w="5980" w:type="dxa"/>
            <w:vAlign w:val="bottom"/>
          </w:tcPr>
          <w:p>
            <w:pPr>
              <w:spacing w:after="0"/>
              <w:rPr>
                <w:sz w:val="12"/>
                <w:szCs w:val="12"/>
                <w:color w:val="auto"/>
              </w:rPr>
            </w:pPr>
          </w:p>
        </w:tc>
        <w:tc>
          <w:tcPr>
            <w:tcW w:w="42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514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Greg L. Armstrong</w:t>
            </w:r>
          </w:p>
        </w:tc>
      </w:tr>
      <w:tr>
        <w:trPr>
          <w:trHeight w:val="165"/>
        </w:trPr>
        <w:tc>
          <w:tcPr>
            <w:tcW w:w="59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gridSpan w:val="2"/>
          </w:tcPr>
          <w:p>
            <w:pPr>
              <w:ind w:left="380"/>
              <w:spacing w:after="0"/>
              <w:rPr>
                <w:sz w:val="20"/>
                <w:szCs w:val="20"/>
                <w:color w:val="auto"/>
              </w:rPr>
            </w:pPr>
            <w:r>
              <w:rPr>
                <w:rFonts w:ascii="Arial" w:cs="Arial" w:eastAsia="Arial" w:hAnsi="Arial"/>
                <w:sz w:val="13"/>
                <w:szCs w:val="13"/>
                <w:color w:val="auto"/>
              </w:rPr>
              <w:t>Chief Executive Officer</w:t>
            </w:r>
          </w:p>
        </w:tc>
      </w:tr>
      <w:tr>
        <w:trPr>
          <w:trHeight w:val="482"/>
        </w:trPr>
        <w:tc>
          <w:tcPr>
            <w:tcW w:w="11540" w:type="dxa"/>
            <w:vAlign w:val="bottom"/>
            <w:gridSpan w:val="4"/>
          </w:tcPr>
          <w:p>
            <w:pPr>
              <w:ind w:left="5580"/>
              <w:spacing w:after="0"/>
              <w:rPr>
                <w:sz w:val="20"/>
                <w:szCs w:val="20"/>
                <w:color w:val="auto"/>
              </w:rPr>
            </w:pPr>
            <w:r>
              <w:rPr>
                <w:rFonts w:ascii="Arial" w:cs="Arial" w:eastAsia="Arial" w:hAnsi="Arial"/>
                <w:sz w:val="13"/>
                <w:szCs w:val="13"/>
                <w:b w:val="1"/>
                <w:bCs w:val="1"/>
                <w:color w:val="auto"/>
              </w:rPr>
              <w:t>PLAINS MIDSTREAM CANADA ULC</w:t>
            </w:r>
          </w:p>
        </w:tc>
      </w:tr>
      <w:tr>
        <w:trPr>
          <w:trHeight w:val="482"/>
        </w:trPr>
        <w:tc>
          <w:tcPr>
            <w:tcW w:w="5980" w:type="dxa"/>
            <w:vAlign w:val="bottom"/>
          </w:tcPr>
          <w:p>
            <w:pPr>
              <w:ind w:left="5580"/>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/s/ Al Swanson</w:t>
            </w:r>
          </w:p>
        </w:tc>
      </w:tr>
      <w:tr>
        <w:trPr>
          <w:trHeight w:val="139"/>
        </w:trPr>
        <w:tc>
          <w:tcPr>
            <w:tcW w:w="5980" w:type="dxa"/>
            <w:vAlign w:val="bottom"/>
          </w:tcPr>
          <w:p>
            <w:pPr>
              <w:spacing w:after="0"/>
              <w:rPr>
                <w:sz w:val="12"/>
                <w:szCs w:val="12"/>
                <w:color w:val="auto"/>
              </w:rPr>
            </w:pPr>
          </w:p>
        </w:tc>
        <w:tc>
          <w:tcPr>
            <w:tcW w:w="42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514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Al Swanson</w:t>
            </w:r>
          </w:p>
        </w:tc>
      </w:tr>
      <w:tr>
        <w:trPr>
          <w:trHeight w:val="165"/>
        </w:trPr>
        <w:tc>
          <w:tcPr>
            <w:tcW w:w="59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gridSpan w:val="2"/>
          </w:tcPr>
          <w:p>
            <w:pPr>
              <w:ind w:left="380"/>
              <w:spacing w:after="0"/>
              <w:rPr>
                <w:sz w:val="20"/>
                <w:szCs w:val="20"/>
                <w:color w:val="auto"/>
              </w:rPr>
            </w:pPr>
            <w:r>
              <w:rPr>
                <w:rFonts w:ascii="Arial" w:cs="Arial" w:eastAsia="Arial" w:hAnsi="Arial"/>
                <w:sz w:val="13"/>
                <w:szCs w:val="13"/>
                <w:color w:val="auto"/>
              </w:rPr>
              <w:t>Vice President — Finance</w:t>
            </w:r>
          </w:p>
        </w:tc>
      </w:tr>
      <w:tr>
        <w:trPr>
          <w:trHeight w:val="482"/>
        </w:trPr>
        <w:tc>
          <w:tcPr>
            <w:tcW w:w="11540" w:type="dxa"/>
            <w:vAlign w:val="bottom"/>
            <w:gridSpan w:val="4"/>
          </w:tcPr>
          <w:p>
            <w:pPr>
              <w:ind w:left="5580"/>
              <w:spacing w:after="0"/>
              <w:rPr>
                <w:sz w:val="20"/>
                <w:szCs w:val="20"/>
                <w:color w:val="auto"/>
              </w:rPr>
            </w:pPr>
            <w:r>
              <w:rPr>
                <w:rFonts w:ascii="Arial" w:cs="Arial" w:eastAsia="Arial" w:hAnsi="Arial"/>
                <w:sz w:val="13"/>
                <w:szCs w:val="13"/>
                <w:b w:val="1"/>
                <w:bCs w:val="1"/>
                <w:color w:val="auto"/>
              </w:rPr>
              <w:t>AURORA PIPELINE COMPANY LTD.</w:t>
            </w:r>
          </w:p>
        </w:tc>
      </w:tr>
      <w:tr>
        <w:trPr>
          <w:trHeight w:val="487"/>
        </w:trPr>
        <w:tc>
          <w:tcPr>
            <w:tcW w:w="5980" w:type="dxa"/>
            <w:vAlign w:val="bottom"/>
          </w:tcPr>
          <w:p>
            <w:pPr>
              <w:ind w:left="5580"/>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/s/ Al Swanson</w:t>
            </w:r>
          </w:p>
        </w:tc>
      </w:tr>
      <w:tr>
        <w:trPr>
          <w:trHeight w:val="144"/>
        </w:trPr>
        <w:tc>
          <w:tcPr>
            <w:tcW w:w="5980" w:type="dxa"/>
            <w:vAlign w:val="bottom"/>
          </w:tcPr>
          <w:p>
            <w:pPr>
              <w:spacing w:after="0"/>
              <w:rPr>
                <w:sz w:val="12"/>
                <w:szCs w:val="12"/>
                <w:color w:val="auto"/>
              </w:rPr>
            </w:pPr>
          </w:p>
        </w:tc>
        <w:tc>
          <w:tcPr>
            <w:tcW w:w="420" w:type="dxa"/>
            <w:vAlign w:val="bottom"/>
          </w:tcPr>
          <w:p>
            <w:pPr>
              <w:spacing w:after="0" w:line="144" w:lineRule="exact"/>
              <w:rPr>
                <w:sz w:val="20"/>
                <w:szCs w:val="20"/>
                <w:color w:val="auto"/>
              </w:rPr>
            </w:pPr>
            <w:r>
              <w:rPr>
                <w:rFonts w:ascii="Arial" w:cs="Arial" w:eastAsia="Arial" w:hAnsi="Arial"/>
                <w:sz w:val="13"/>
                <w:szCs w:val="13"/>
                <w:color w:val="auto"/>
              </w:rPr>
              <w:t>Name:</w:t>
            </w:r>
          </w:p>
        </w:tc>
        <w:tc>
          <w:tcPr>
            <w:tcW w:w="514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Al Swanson</w:t>
            </w:r>
          </w:p>
        </w:tc>
      </w:tr>
      <w:tr>
        <w:trPr>
          <w:trHeight w:val="165"/>
        </w:trPr>
        <w:tc>
          <w:tcPr>
            <w:tcW w:w="59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gridSpan w:val="2"/>
          </w:tcPr>
          <w:p>
            <w:pPr>
              <w:ind w:left="380"/>
              <w:spacing w:after="0"/>
              <w:rPr>
                <w:sz w:val="20"/>
                <w:szCs w:val="20"/>
                <w:color w:val="auto"/>
              </w:rPr>
            </w:pPr>
            <w:r>
              <w:rPr>
                <w:rFonts w:ascii="Arial" w:cs="Arial" w:eastAsia="Arial" w:hAnsi="Arial"/>
                <w:sz w:val="13"/>
                <w:szCs w:val="13"/>
                <w:color w:val="auto"/>
              </w:rPr>
              <w:t>Vice President — Finance</w:t>
            </w:r>
          </w:p>
        </w:tc>
      </w:tr>
      <w:tr>
        <w:trPr>
          <w:trHeight w:val="442"/>
        </w:trPr>
        <w:tc>
          <w:tcPr>
            <w:tcW w:w="5980" w:type="dxa"/>
            <w:vAlign w:val="bottom"/>
          </w:tcPr>
          <w:p>
            <w:pPr>
              <w:ind w:left="5540"/>
              <w:spacing w:after="0"/>
              <w:rPr>
                <w:sz w:val="20"/>
                <w:szCs w:val="20"/>
                <w:color w:val="auto"/>
              </w:rPr>
            </w:pPr>
            <w:r>
              <w:rPr>
                <w:rFonts w:ascii="Arial" w:cs="Arial" w:eastAsia="Arial" w:hAnsi="Arial"/>
                <w:sz w:val="13"/>
                <w:szCs w:val="13"/>
                <w:color w:val="auto"/>
              </w:rPr>
              <w:t>II-11</w:t>
            </w:r>
          </w:p>
        </w:tc>
        <w:tc>
          <w:tcPr>
            <w:tcW w:w="4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9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06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Each person whose signature appears below appoints Al Swanson and Tim Moore, and each of them, either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of their or his substitute and substitutes, may lawfully do or cause to be done by virtue hereof.</w:t>
      </w:r>
    </w:p>
    <w:p>
      <w:pPr>
        <w:spacing w:after="0" w:line="73"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as amended, this registration statement has been signed by the following persons in the capacities and on the dates indicated below.</w:t>
      </w:r>
    </w:p>
    <w:p>
      <w:pPr>
        <w:spacing w:after="0" w:line="55" w:lineRule="exact"/>
        <w:rPr>
          <w:sz w:val="20"/>
          <w:szCs w:val="20"/>
          <w:color w:val="auto"/>
        </w:rPr>
      </w:pPr>
    </w:p>
    <w:p>
      <w:pPr>
        <w:ind w:left="680" w:right="380"/>
        <w:spacing w:after="0" w:line="283" w:lineRule="auto"/>
        <w:rPr>
          <w:sz w:val="20"/>
          <w:szCs w:val="20"/>
          <w:color w:val="auto"/>
        </w:rPr>
      </w:pPr>
      <w:r>
        <w:rPr>
          <w:rFonts w:ascii="Arial" w:cs="Arial" w:eastAsia="Arial" w:hAnsi="Arial"/>
          <w:sz w:val="13"/>
          <w:szCs w:val="13"/>
          <w:b w:val="1"/>
          <w:bCs w:val="1"/>
          <w:color w:val="auto"/>
        </w:rPr>
        <w:t>PLAINS ALL AMERICAN GP LLC, for itself and as the general partner of PLAINS AAP, L.P., which is the sole member of PAA GP LLC, which is the general partner of PLAINS ALL AMERICAN PIPELINE, L.P.</w:t>
      </w:r>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6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GREG L. ARMSTRONG</w:t>
            </w:r>
          </w:p>
        </w:tc>
        <w:tc>
          <w:tcPr>
            <w:tcW w:w="4100" w:type="dxa"/>
            <w:vAlign w:val="bottom"/>
          </w:tcPr>
          <w:p>
            <w:pPr>
              <w:jc w:val="center"/>
              <w:ind w:left="14"/>
              <w:spacing w:after="0"/>
              <w:rPr>
                <w:sz w:val="20"/>
                <w:szCs w:val="20"/>
                <w:color w:val="auto"/>
              </w:rPr>
            </w:pPr>
            <w:r>
              <w:rPr>
                <w:rFonts w:ascii="Arial" w:cs="Arial" w:eastAsia="Arial" w:hAnsi="Arial"/>
                <w:sz w:val="13"/>
                <w:szCs w:val="13"/>
                <w:color w:val="auto"/>
                <w:w w:val="93"/>
              </w:rPr>
              <w:t>Chairman of the Board, Chief Executive Officer and 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9"/>
              </w:rPr>
              <w:t>November 25, 2008</w:t>
            </w:r>
          </w:p>
        </w:tc>
      </w:tr>
      <w:tr>
        <w:trPr>
          <w:trHeight w:val="165"/>
        </w:trPr>
        <w:tc>
          <w:tcPr>
            <w:tcW w:w="4120" w:type="dxa"/>
            <w:vAlign w:val="bottom"/>
          </w:tcPr>
          <w:p>
            <w:pPr>
              <w:spacing w:after="0"/>
              <w:rPr>
                <w:sz w:val="20"/>
                <w:szCs w:val="20"/>
                <w:color w:val="auto"/>
              </w:rPr>
            </w:pPr>
            <w:r>
              <w:rPr>
                <w:rFonts w:ascii="Arial" w:cs="Arial" w:eastAsia="Arial" w:hAnsi="Arial"/>
                <w:sz w:val="13"/>
                <w:szCs w:val="13"/>
                <w:color w:val="auto"/>
              </w:rPr>
              <w:t>Greg L. Armstrong</w:t>
            </w:r>
          </w:p>
        </w:tc>
        <w:tc>
          <w:tcPr>
            <w:tcW w:w="4100" w:type="dxa"/>
            <w:vAlign w:val="bottom"/>
          </w:tcPr>
          <w:p>
            <w:pPr>
              <w:jc w:val="center"/>
              <w:spacing w:after="0" w:line="136" w:lineRule="exact"/>
              <w:rPr>
                <w:sz w:val="20"/>
                <w:szCs w:val="20"/>
                <w:color w:val="auto"/>
              </w:rPr>
            </w:pPr>
            <w:r>
              <w:rPr>
                <w:rFonts w:ascii="Arial" w:cs="Arial" w:eastAsia="Arial" w:hAnsi="Arial"/>
                <w:sz w:val="13"/>
                <w:szCs w:val="13"/>
                <w:color w:val="auto"/>
                <w:w w:val="94"/>
              </w:rPr>
              <w:t>(Principal Executive Officer)</w:t>
            </w:r>
          </w:p>
        </w:tc>
        <w:tc>
          <w:tcPr>
            <w:tcW w:w="1440" w:type="dxa"/>
            <w:vAlign w:val="bottom"/>
          </w:tcPr>
          <w:p>
            <w:pPr>
              <w:spacing w:after="0"/>
              <w:rPr>
                <w:sz w:val="14"/>
                <w:szCs w:val="14"/>
                <w:color w:val="auto"/>
              </w:rPr>
            </w:pPr>
          </w:p>
        </w:tc>
      </w:tr>
      <w:tr>
        <w:trPr>
          <w:trHeight w:val="297"/>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 SWANSON</w:t>
            </w:r>
          </w:p>
        </w:tc>
        <w:tc>
          <w:tcPr>
            <w:tcW w:w="4100" w:type="dxa"/>
            <w:vAlign w:val="bottom"/>
          </w:tcPr>
          <w:p>
            <w:pPr>
              <w:jc w:val="center"/>
              <w:ind w:left="14"/>
              <w:spacing w:after="0"/>
              <w:rPr>
                <w:sz w:val="20"/>
                <w:szCs w:val="20"/>
                <w:color w:val="auto"/>
              </w:rPr>
            </w:pPr>
            <w:r>
              <w:rPr>
                <w:rFonts w:ascii="Arial" w:cs="Arial" w:eastAsia="Arial" w:hAnsi="Arial"/>
                <w:sz w:val="13"/>
                <w:szCs w:val="13"/>
                <w:color w:val="auto"/>
                <w:w w:val="92"/>
              </w:rPr>
              <w:t>Senior Vice President and Chief Financial Officer</w:t>
            </w:r>
          </w:p>
        </w:tc>
        <w:tc>
          <w:tcPr>
            <w:tcW w:w="1440" w:type="dxa"/>
            <w:vAlign w:val="bottom"/>
          </w:tcPr>
          <w:p>
            <w:pPr>
              <w:ind w:left="400"/>
              <w:spacing w:after="0"/>
              <w:rPr>
                <w:sz w:val="20"/>
                <w:szCs w:val="20"/>
                <w:color w:val="auto"/>
              </w:rPr>
            </w:pPr>
            <w:r>
              <w:rPr>
                <w:rFonts w:ascii="Arial" w:cs="Arial" w:eastAsia="Arial" w:hAnsi="Arial"/>
                <w:sz w:val="13"/>
                <w:szCs w:val="13"/>
                <w:color w:val="auto"/>
                <w:w w:val="89"/>
              </w:rPr>
              <w:t>November 25, 2008</w:t>
            </w:r>
          </w:p>
        </w:tc>
      </w:tr>
      <w:tr>
        <w:trPr>
          <w:trHeight w:val="165"/>
        </w:trPr>
        <w:tc>
          <w:tcPr>
            <w:tcW w:w="4120" w:type="dxa"/>
            <w:vAlign w:val="bottom"/>
          </w:tcPr>
          <w:p>
            <w:pPr>
              <w:spacing w:after="0"/>
              <w:rPr>
                <w:sz w:val="20"/>
                <w:szCs w:val="20"/>
                <w:color w:val="auto"/>
              </w:rPr>
            </w:pPr>
            <w:r>
              <w:rPr>
                <w:rFonts w:ascii="Arial" w:cs="Arial" w:eastAsia="Arial" w:hAnsi="Arial"/>
                <w:sz w:val="13"/>
                <w:szCs w:val="13"/>
                <w:color w:val="auto"/>
              </w:rPr>
              <w:t>Al Swanson</w:t>
            </w:r>
          </w:p>
        </w:tc>
        <w:tc>
          <w:tcPr>
            <w:tcW w:w="4100" w:type="dxa"/>
            <w:vAlign w:val="bottom"/>
          </w:tcPr>
          <w:p>
            <w:pPr>
              <w:jc w:val="center"/>
              <w:ind w:left="14"/>
              <w:spacing w:after="0" w:line="136" w:lineRule="exact"/>
              <w:rPr>
                <w:sz w:val="20"/>
                <w:szCs w:val="20"/>
                <w:color w:val="auto"/>
              </w:rPr>
            </w:pPr>
            <w:r>
              <w:rPr>
                <w:rFonts w:ascii="Arial" w:cs="Arial" w:eastAsia="Arial" w:hAnsi="Arial"/>
                <w:sz w:val="13"/>
                <w:szCs w:val="13"/>
                <w:color w:val="auto"/>
                <w:w w:val="96"/>
              </w:rPr>
              <w:t>(Principal Financial Officer)</w:t>
            </w:r>
          </w:p>
        </w:tc>
        <w:tc>
          <w:tcPr>
            <w:tcW w:w="1440" w:type="dxa"/>
            <w:vAlign w:val="bottom"/>
          </w:tcPr>
          <w:p>
            <w:pPr>
              <w:spacing w:after="0"/>
              <w:rPr>
                <w:sz w:val="14"/>
                <w:szCs w:val="14"/>
                <w:color w:val="auto"/>
              </w:rPr>
            </w:pPr>
          </w:p>
        </w:tc>
      </w:tr>
      <w:tr>
        <w:trPr>
          <w:trHeight w:val="297"/>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TINA L. VAL</w:t>
            </w:r>
          </w:p>
        </w:tc>
        <w:tc>
          <w:tcPr>
            <w:tcW w:w="4100" w:type="dxa"/>
            <w:vAlign w:val="bottom"/>
          </w:tcPr>
          <w:p>
            <w:pPr>
              <w:jc w:val="center"/>
              <w:spacing w:after="0"/>
              <w:rPr>
                <w:sz w:val="20"/>
                <w:szCs w:val="20"/>
                <w:color w:val="auto"/>
              </w:rPr>
            </w:pPr>
            <w:r>
              <w:rPr>
                <w:rFonts w:ascii="Arial" w:cs="Arial" w:eastAsia="Arial" w:hAnsi="Arial"/>
                <w:sz w:val="13"/>
                <w:szCs w:val="13"/>
                <w:color w:val="auto"/>
                <w:w w:val="94"/>
              </w:rPr>
              <w:t>Vice President — Accounting and Chief Accounting Officer</w:t>
            </w:r>
          </w:p>
        </w:tc>
        <w:tc>
          <w:tcPr>
            <w:tcW w:w="1440" w:type="dxa"/>
            <w:vAlign w:val="bottom"/>
          </w:tcPr>
          <w:p>
            <w:pPr>
              <w:ind w:left="400"/>
              <w:spacing w:after="0"/>
              <w:rPr>
                <w:sz w:val="20"/>
                <w:szCs w:val="20"/>
                <w:color w:val="auto"/>
              </w:rPr>
            </w:pPr>
            <w:r>
              <w:rPr>
                <w:rFonts w:ascii="Arial" w:cs="Arial" w:eastAsia="Arial" w:hAnsi="Arial"/>
                <w:sz w:val="13"/>
                <w:szCs w:val="13"/>
                <w:color w:val="auto"/>
                <w:w w:val="89"/>
              </w:rPr>
              <w:t>November 25, 2008</w:t>
            </w:r>
          </w:p>
        </w:tc>
      </w:tr>
      <w:tr>
        <w:trPr>
          <w:trHeight w:val="165"/>
        </w:trPr>
        <w:tc>
          <w:tcPr>
            <w:tcW w:w="4120" w:type="dxa"/>
            <w:vAlign w:val="bottom"/>
          </w:tcPr>
          <w:p>
            <w:pPr>
              <w:spacing w:after="0"/>
              <w:rPr>
                <w:sz w:val="20"/>
                <w:szCs w:val="20"/>
                <w:color w:val="auto"/>
              </w:rPr>
            </w:pPr>
            <w:r>
              <w:rPr>
                <w:rFonts w:ascii="Arial" w:cs="Arial" w:eastAsia="Arial" w:hAnsi="Arial"/>
                <w:sz w:val="13"/>
                <w:szCs w:val="13"/>
                <w:color w:val="auto"/>
              </w:rPr>
              <w:t>Tina L. Val</w:t>
            </w:r>
          </w:p>
        </w:tc>
        <w:tc>
          <w:tcPr>
            <w:tcW w:w="4100" w:type="dxa"/>
            <w:vAlign w:val="bottom"/>
          </w:tcPr>
          <w:p>
            <w:pPr>
              <w:jc w:val="center"/>
              <w:ind w:left="14"/>
              <w:spacing w:after="0" w:line="136" w:lineRule="exact"/>
              <w:rPr>
                <w:sz w:val="20"/>
                <w:szCs w:val="20"/>
                <w:color w:val="auto"/>
              </w:rPr>
            </w:pPr>
            <w:r>
              <w:rPr>
                <w:rFonts w:ascii="Arial" w:cs="Arial" w:eastAsia="Arial" w:hAnsi="Arial"/>
                <w:sz w:val="13"/>
                <w:szCs w:val="13"/>
                <w:color w:val="auto"/>
                <w:w w:val="96"/>
              </w:rPr>
              <w:t>(Principal Accounting Officer)</w:t>
            </w:r>
          </w:p>
        </w:tc>
        <w:tc>
          <w:tcPr>
            <w:tcW w:w="1440" w:type="dxa"/>
            <w:vAlign w:val="bottom"/>
          </w:tcPr>
          <w:p>
            <w:pPr>
              <w:spacing w:after="0"/>
              <w:rPr>
                <w:sz w:val="14"/>
                <w:szCs w:val="14"/>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 LANCE CONN</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9"/>
              </w:rPr>
              <w:t>November 25, 2008</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W. Lance Conn</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EVERARDO GOYANES</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9"/>
              </w:rPr>
              <w:t>November 25, 2008</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Everardo Goyanes</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GARY R. PETERSEN</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9"/>
              </w:rPr>
              <w:t>November 25, 2008</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Gary R. Petersen</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V. SINNOTT</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9"/>
              </w:rPr>
              <w:t>November 25, 2008</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Robert V. Sinnott</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ARTHUR L. SMITH</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9"/>
              </w:rPr>
              <w:t>November 25, 2008</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Arthur L. Smith</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1"/>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 TAFT SYMONDS</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9"/>
              </w:rPr>
              <w:t>November 25, 2008</w:t>
            </w:r>
          </w:p>
        </w:tc>
      </w:tr>
      <w:tr>
        <w:trPr>
          <w:trHeight w:val="160"/>
        </w:trPr>
        <w:tc>
          <w:tcPr>
            <w:tcW w:w="4120" w:type="dxa"/>
            <w:vAlign w:val="bottom"/>
          </w:tcPr>
          <w:p>
            <w:pPr>
              <w:spacing w:after="0"/>
              <w:rPr>
                <w:sz w:val="20"/>
                <w:szCs w:val="20"/>
                <w:color w:val="auto"/>
              </w:rPr>
            </w:pPr>
            <w:r>
              <w:rPr>
                <w:rFonts w:ascii="Arial" w:cs="Arial" w:eastAsia="Arial" w:hAnsi="Arial"/>
                <w:sz w:val="13"/>
                <w:szCs w:val="13"/>
                <w:color w:val="auto"/>
              </w:rPr>
              <w:t>J. Taft Symonds</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spacing w:after="0" w:line="58" w:lineRule="exact"/>
        <w:rPr>
          <w:sz w:val="20"/>
          <w:szCs w:val="20"/>
          <w:color w:val="auto"/>
        </w:rPr>
      </w:pPr>
    </w:p>
    <w:p>
      <w:pPr>
        <w:jc w:val="both"/>
        <w:ind w:left="680"/>
        <w:spacing w:after="0" w:line="267" w:lineRule="auto"/>
        <w:rPr>
          <w:sz w:val="20"/>
          <w:szCs w:val="20"/>
          <w:color w:val="auto"/>
        </w:rPr>
      </w:pPr>
      <w:r>
        <w:rPr>
          <w:rFonts w:ascii="Arial" w:cs="Arial" w:eastAsia="Arial" w:hAnsi="Arial"/>
          <w:sz w:val="13"/>
          <w:szCs w:val="13"/>
          <w:b w:val="1"/>
          <w:bCs w:val="1"/>
          <w:color w:val="auto"/>
        </w:rPr>
        <w:t>PLAINS MARKETING GP INC., for itself and as the general partner of each of (1) PLAINS MARKETING, L.P., which is the sole member of PLAINS MARKETING CANADA LLC, PLAINS TOWING LLC, PICSCO LLC, PLAINS MIDSTREAM GP LLC, which is the general partner of PLAINS MIDSTREAM, L.P., and PLAINS LPG SERVICES GP LLC, which is the general partner of PLAINS LPG SERVICES, L.P., which is the sole member of LONE STAR TRUCKING, LLC and</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1420"/>
        <w:spacing w:after="0" w:line="283" w:lineRule="auto"/>
        <w:rPr>
          <w:sz w:val="20"/>
          <w:szCs w:val="20"/>
          <w:color w:val="auto"/>
        </w:rPr>
      </w:pPr>
      <w:r>
        <w:rPr>
          <w:rFonts w:ascii="Arial" w:cs="Arial" w:eastAsia="Arial" w:hAnsi="Arial"/>
          <w:sz w:val="13"/>
          <w:szCs w:val="13"/>
          <w:b w:val="1"/>
          <w:bCs w:val="1"/>
          <w:color w:val="auto"/>
        </w:rPr>
        <w:t>RANCHO LPG HOLDINGS LLC, and (2) PLAINS PIPELINE, L.P., which is the sole member of BASIN HOLDINGS GP LLC, which is the general partner of BASIN PIPELINE HOLDINGS, L.P.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GREG L. ARMSTRONG</w:t>
            </w:r>
          </w:p>
        </w:tc>
        <w:tc>
          <w:tcPr>
            <w:tcW w:w="4160" w:type="dxa"/>
            <w:vAlign w:val="bottom"/>
          </w:tcPr>
          <w:p>
            <w:pPr>
              <w:jc w:val="center"/>
              <w:spacing w:after="0"/>
              <w:rPr>
                <w:sz w:val="20"/>
                <w:szCs w:val="20"/>
                <w:color w:val="auto"/>
              </w:rPr>
            </w:pPr>
            <w:r>
              <w:rPr>
                <w:rFonts w:ascii="Arial" w:cs="Arial" w:eastAsia="Arial" w:hAnsi="Arial"/>
                <w:sz w:val="13"/>
                <w:szCs w:val="13"/>
                <w:color w:val="auto"/>
                <w:w w:val="94"/>
              </w:rPr>
              <w:t>Chief Executive Officer and Director (Principal Executive Officer)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Greg L. Armstrong</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 SWANSON</w:t>
            </w:r>
          </w:p>
        </w:tc>
        <w:tc>
          <w:tcPr>
            <w:tcW w:w="4160" w:type="dxa"/>
            <w:vAlign w:val="bottom"/>
          </w:tcPr>
          <w:p>
            <w:pPr>
              <w:jc w:val="center"/>
              <w:spacing w:after="0"/>
              <w:rPr>
                <w:sz w:val="20"/>
                <w:szCs w:val="20"/>
                <w:color w:val="auto"/>
              </w:rPr>
            </w:pPr>
            <w:r>
              <w:rPr>
                <w:rFonts w:ascii="Arial" w:cs="Arial" w:eastAsia="Arial" w:hAnsi="Arial"/>
                <w:sz w:val="13"/>
                <w:szCs w:val="13"/>
                <w:color w:val="auto"/>
                <w:w w:val="92"/>
              </w:rPr>
              <w:t>Senior Vice President and Chief Financial Officer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Al Swanson</w:t>
            </w:r>
          </w:p>
        </w:tc>
        <w:tc>
          <w:tcPr>
            <w:tcW w:w="4160" w:type="dxa"/>
            <w:vAlign w:val="bottom"/>
          </w:tcPr>
          <w:p>
            <w:pPr>
              <w:jc w:val="center"/>
              <w:spacing w:after="0" w:line="136" w:lineRule="exact"/>
              <w:rPr>
                <w:sz w:val="20"/>
                <w:szCs w:val="20"/>
                <w:color w:val="auto"/>
              </w:rPr>
            </w:pPr>
            <w:r>
              <w:rPr>
                <w:rFonts w:ascii="Arial" w:cs="Arial" w:eastAsia="Arial" w:hAnsi="Arial"/>
                <w:sz w:val="13"/>
                <w:szCs w:val="13"/>
                <w:color w:val="auto"/>
                <w:w w:val="96"/>
              </w:rPr>
              <w:t>(Principal Financial Officer)</w:t>
            </w:r>
          </w:p>
        </w:tc>
        <w:tc>
          <w:tcPr>
            <w:tcW w:w="2500" w:type="dxa"/>
            <w:vAlign w:val="bottom"/>
          </w:tcPr>
          <w:p>
            <w:pPr>
              <w:spacing w:after="0"/>
              <w:rPr>
                <w:sz w:val="14"/>
                <w:szCs w:val="14"/>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TINA L. VAL</w:t>
            </w:r>
          </w:p>
        </w:tc>
        <w:tc>
          <w:tcPr>
            <w:tcW w:w="4160" w:type="dxa"/>
            <w:vAlign w:val="bottom"/>
          </w:tcPr>
          <w:p>
            <w:pPr>
              <w:jc w:val="center"/>
              <w:spacing w:after="0"/>
              <w:rPr>
                <w:sz w:val="20"/>
                <w:szCs w:val="20"/>
                <w:color w:val="auto"/>
              </w:rPr>
            </w:pPr>
            <w:r>
              <w:rPr>
                <w:rFonts w:ascii="Arial" w:cs="Arial" w:eastAsia="Arial" w:hAnsi="Arial"/>
                <w:sz w:val="13"/>
                <w:szCs w:val="13"/>
                <w:color w:val="auto"/>
                <w:w w:val="93"/>
              </w:rPr>
              <w:t>Vice President — Accounting and Chief Accounting Officer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Tina L. Val</w:t>
            </w:r>
          </w:p>
        </w:tc>
        <w:tc>
          <w:tcPr>
            <w:tcW w:w="4160" w:type="dxa"/>
            <w:vAlign w:val="bottom"/>
          </w:tcPr>
          <w:p>
            <w:pPr>
              <w:jc w:val="center"/>
              <w:spacing w:after="0" w:line="136" w:lineRule="exact"/>
              <w:rPr>
                <w:sz w:val="20"/>
                <w:szCs w:val="20"/>
                <w:color w:val="auto"/>
              </w:rPr>
            </w:pPr>
            <w:r>
              <w:rPr>
                <w:rFonts w:ascii="Arial" w:cs="Arial" w:eastAsia="Arial" w:hAnsi="Arial"/>
                <w:sz w:val="13"/>
                <w:szCs w:val="13"/>
                <w:color w:val="auto"/>
                <w:w w:val="96"/>
              </w:rPr>
              <w:t>(Principal Accounting Officer)</w:t>
            </w:r>
          </w:p>
        </w:tc>
        <w:tc>
          <w:tcPr>
            <w:tcW w:w="2500" w:type="dxa"/>
            <w:vAlign w:val="bottom"/>
          </w:tcPr>
          <w:p>
            <w:pPr>
              <w:spacing w:after="0"/>
              <w:rPr>
                <w:sz w:val="14"/>
                <w:szCs w:val="14"/>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HARRY N. PEFANIS</w:t>
            </w:r>
          </w:p>
        </w:tc>
        <w:tc>
          <w:tcPr>
            <w:tcW w:w="4160" w:type="dxa"/>
            <w:vAlign w:val="bottom"/>
          </w:tcPr>
          <w:p>
            <w:pPr>
              <w:jc w:val="center"/>
              <w:spacing w:after="0"/>
              <w:rPr>
                <w:sz w:val="20"/>
                <w:szCs w:val="20"/>
                <w:color w:val="auto"/>
              </w:rPr>
            </w:pPr>
            <w:r>
              <w:rPr>
                <w:rFonts w:ascii="Arial" w:cs="Arial" w:eastAsia="Arial" w:hAnsi="Arial"/>
                <w:sz w:val="13"/>
                <w:szCs w:val="13"/>
                <w:color w:val="auto"/>
                <w:w w:val="92"/>
              </w:rPr>
              <w:t>President, Chief Operating Officer and Director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Harry N. Pefanis</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TIM MOORE</w:t>
            </w:r>
          </w:p>
        </w:tc>
        <w:tc>
          <w:tcPr>
            <w:tcW w:w="4160" w:type="dxa"/>
            <w:vAlign w:val="bottom"/>
          </w:tcPr>
          <w:p>
            <w:pPr>
              <w:jc w:val="center"/>
              <w:spacing w:after="0"/>
              <w:rPr>
                <w:sz w:val="20"/>
                <w:szCs w:val="20"/>
                <w:color w:val="auto"/>
              </w:rPr>
            </w:pPr>
            <w:r>
              <w:rPr>
                <w:rFonts w:ascii="Arial" w:cs="Arial" w:eastAsia="Arial" w:hAnsi="Arial"/>
                <w:sz w:val="13"/>
                <w:szCs w:val="13"/>
                <w:color w:val="auto"/>
                <w:w w:val="92"/>
              </w:rPr>
              <w:t>Vice President and Director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Tim Moore</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3"/>
                <w:szCs w:val="13"/>
                <w:b w:val="1"/>
                <w:bCs w:val="1"/>
                <w:color w:val="auto"/>
              </w:rPr>
              <w:t>PAA FINANCE CORP.</w:t>
            </w:r>
          </w:p>
        </w:tc>
        <w:tc>
          <w:tcPr>
            <w:tcW w:w="4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18"/>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GREG L. ARMSTRONG</w:t>
            </w:r>
          </w:p>
        </w:tc>
        <w:tc>
          <w:tcPr>
            <w:tcW w:w="4160" w:type="dxa"/>
            <w:vAlign w:val="bottom"/>
          </w:tcPr>
          <w:p>
            <w:pPr>
              <w:jc w:val="center"/>
              <w:spacing w:after="0"/>
              <w:rPr>
                <w:sz w:val="20"/>
                <w:szCs w:val="20"/>
                <w:color w:val="auto"/>
              </w:rPr>
            </w:pPr>
            <w:r>
              <w:rPr>
                <w:rFonts w:ascii="Arial" w:cs="Arial" w:eastAsia="Arial" w:hAnsi="Arial"/>
                <w:sz w:val="13"/>
                <w:szCs w:val="13"/>
                <w:color w:val="auto"/>
                <w:w w:val="94"/>
              </w:rPr>
              <w:t>Chief Executive Officer and Director (Principal Executive Officer)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Greg L. Armstrong</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 SWANSON</w:t>
            </w:r>
          </w:p>
        </w:tc>
        <w:tc>
          <w:tcPr>
            <w:tcW w:w="4160" w:type="dxa"/>
            <w:vAlign w:val="bottom"/>
          </w:tcPr>
          <w:p>
            <w:pPr>
              <w:jc w:val="center"/>
              <w:spacing w:after="0"/>
              <w:rPr>
                <w:sz w:val="20"/>
                <w:szCs w:val="20"/>
                <w:color w:val="auto"/>
              </w:rPr>
            </w:pPr>
            <w:r>
              <w:rPr>
                <w:rFonts w:ascii="Arial" w:cs="Arial" w:eastAsia="Arial" w:hAnsi="Arial"/>
                <w:sz w:val="13"/>
                <w:szCs w:val="13"/>
                <w:color w:val="auto"/>
                <w:w w:val="92"/>
              </w:rPr>
              <w:t>Senior Vice President, Chief Financial Officer and Director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Al Swanson</w:t>
            </w:r>
          </w:p>
        </w:tc>
        <w:tc>
          <w:tcPr>
            <w:tcW w:w="4160" w:type="dxa"/>
            <w:vAlign w:val="bottom"/>
          </w:tcPr>
          <w:p>
            <w:pPr>
              <w:jc w:val="center"/>
              <w:spacing w:after="0" w:line="136" w:lineRule="exact"/>
              <w:rPr>
                <w:sz w:val="20"/>
                <w:szCs w:val="20"/>
                <w:color w:val="auto"/>
              </w:rPr>
            </w:pPr>
            <w:r>
              <w:rPr>
                <w:rFonts w:ascii="Arial" w:cs="Arial" w:eastAsia="Arial" w:hAnsi="Arial"/>
                <w:sz w:val="13"/>
                <w:szCs w:val="13"/>
                <w:color w:val="auto"/>
                <w:w w:val="96"/>
              </w:rPr>
              <w:t>(Principal Financial Officer)</w:t>
            </w:r>
          </w:p>
        </w:tc>
        <w:tc>
          <w:tcPr>
            <w:tcW w:w="2500" w:type="dxa"/>
            <w:vAlign w:val="bottom"/>
          </w:tcPr>
          <w:p>
            <w:pPr>
              <w:spacing w:after="0"/>
              <w:rPr>
                <w:sz w:val="14"/>
                <w:szCs w:val="14"/>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TINA L. VAL</w:t>
            </w:r>
          </w:p>
        </w:tc>
        <w:tc>
          <w:tcPr>
            <w:tcW w:w="4160" w:type="dxa"/>
            <w:vAlign w:val="bottom"/>
          </w:tcPr>
          <w:p>
            <w:pPr>
              <w:jc w:val="center"/>
              <w:spacing w:after="0"/>
              <w:rPr>
                <w:sz w:val="20"/>
                <w:szCs w:val="20"/>
                <w:color w:val="auto"/>
              </w:rPr>
            </w:pPr>
            <w:r>
              <w:rPr>
                <w:rFonts w:ascii="Arial" w:cs="Arial" w:eastAsia="Arial" w:hAnsi="Arial"/>
                <w:sz w:val="13"/>
                <w:szCs w:val="13"/>
                <w:color w:val="auto"/>
                <w:w w:val="94"/>
              </w:rPr>
              <w:t>Vice President — Accounting and Chief Accounting Officer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Tina L. Val</w:t>
            </w:r>
          </w:p>
        </w:tc>
        <w:tc>
          <w:tcPr>
            <w:tcW w:w="4160" w:type="dxa"/>
            <w:vAlign w:val="bottom"/>
          </w:tcPr>
          <w:p>
            <w:pPr>
              <w:jc w:val="center"/>
              <w:spacing w:after="0" w:line="136" w:lineRule="exact"/>
              <w:rPr>
                <w:sz w:val="20"/>
                <w:szCs w:val="20"/>
                <w:color w:val="auto"/>
              </w:rPr>
            </w:pPr>
            <w:r>
              <w:rPr>
                <w:rFonts w:ascii="Arial" w:cs="Arial" w:eastAsia="Arial" w:hAnsi="Arial"/>
                <w:sz w:val="13"/>
                <w:szCs w:val="13"/>
                <w:color w:val="auto"/>
                <w:w w:val="96"/>
              </w:rPr>
              <w:t>(Principal Accounting Officer)</w:t>
            </w:r>
          </w:p>
        </w:tc>
        <w:tc>
          <w:tcPr>
            <w:tcW w:w="2500" w:type="dxa"/>
            <w:vAlign w:val="bottom"/>
          </w:tcPr>
          <w:p>
            <w:pPr>
              <w:spacing w:after="0"/>
              <w:rPr>
                <w:sz w:val="14"/>
                <w:szCs w:val="14"/>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HARRY N. PEFANIS</w:t>
            </w:r>
          </w:p>
        </w:tc>
        <w:tc>
          <w:tcPr>
            <w:tcW w:w="4160" w:type="dxa"/>
            <w:vAlign w:val="bottom"/>
          </w:tcPr>
          <w:p>
            <w:pPr>
              <w:jc w:val="center"/>
              <w:spacing w:after="0"/>
              <w:rPr>
                <w:sz w:val="20"/>
                <w:szCs w:val="20"/>
                <w:color w:val="auto"/>
              </w:rPr>
            </w:pPr>
            <w:r>
              <w:rPr>
                <w:rFonts w:ascii="Arial" w:cs="Arial" w:eastAsia="Arial" w:hAnsi="Arial"/>
                <w:sz w:val="13"/>
                <w:szCs w:val="13"/>
                <w:color w:val="auto"/>
                <w:w w:val="91"/>
              </w:rPr>
              <w:t>President and Director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Harry N. Pefanis</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3"/>
                <w:szCs w:val="13"/>
                <w:b w:val="1"/>
                <w:bCs w:val="1"/>
                <w:color w:val="auto"/>
              </w:rPr>
              <w:t>PMC (NOVA SCOTIA) COMPANY, for itself and as the general partner of PLAINS MARKETING CANADA, L.P.</w:t>
            </w:r>
          </w:p>
        </w:tc>
        <w:tc>
          <w:tcPr>
            <w:tcW w:w="2500" w:type="dxa"/>
            <w:vAlign w:val="bottom"/>
          </w:tcPr>
          <w:p>
            <w:pPr>
              <w:spacing w:after="0"/>
              <w:rPr>
                <w:sz w:val="24"/>
                <w:szCs w:val="24"/>
                <w:color w:val="auto"/>
              </w:rPr>
            </w:pPr>
          </w:p>
        </w:tc>
      </w:tr>
      <w:tr>
        <w:trPr>
          <w:trHeight w:val="418"/>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 DAVID DUCKETT</w:t>
            </w:r>
          </w:p>
        </w:tc>
        <w:tc>
          <w:tcPr>
            <w:tcW w:w="4160" w:type="dxa"/>
            <w:vAlign w:val="bottom"/>
          </w:tcPr>
          <w:p>
            <w:pPr>
              <w:jc w:val="center"/>
              <w:spacing w:after="0"/>
              <w:rPr>
                <w:sz w:val="20"/>
                <w:szCs w:val="20"/>
                <w:color w:val="auto"/>
              </w:rPr>
            </w:pPr>
            <w:r>
              <w:rPr>
                <w:rFonts w:ascii="Arial" w:cs="Arial" w:eastAsia="Arial" w:hAnsi="Arial"/>
                <w:sz w:val="13"/>
                <w:szCs w:val="13"/>
                <w:color w:val="auto"/>
                <w:w w:val="93"/>
              </w:rPr>
              <w:t>President (Principal Executive Officer)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W. David Duckett</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CRAIG</w:t>
            </w:r>
          </w:p>
        </w:tc>
        <w:tc>
          <w:tcPr>
            <w:tcW w:w="4160" w:type="dxa"/>
            <w:vAlign w:val="bottom"/>
          </w:tcPr>
          <w:p>
            <w:pPr>
              <w:jc w:val="center"/>
              <w:spacing w:after="0"/>
              <w:rPr>
                <w:sz w:val="20"/>
                <w:szCs w:val="20"/>
                <w:color w:val="auto"/>
              </w:rPr>
            </w:pPr>
            <w:r>
              <w:rPr>
                <w:rFonts w:ascii="Arial" w:cs="Arial" w:eastAsia="Arial" w:hAnsi="Arial"/>
                <w:sz w:val="13"/>
                <w:szCs w:val="13"/>
                <w:color w:val="auto"/>
                <w:w w:val="93"/>
              </w:rPr>
              <w:t>Executive Vice President and Chief Financial Officer (Principal</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David Craig</w:t>
            </w:r>
          </w:p>
        </w:tc>
        <w:tc>
          <w:tcPr>
            <w:tcW w:w="4160" w:type="dxa"/>
            <w:vAlign w:val="bottom"/>
          </w:tcPr>
          <w:p>
            <w:pPr>
              <w:jc w:val="center"/>
              <w:spacing w:after="0" w:line="136" w:lineRule="exact"/>
              <w:rPr>
                <w:sz w:val="20"/>
                <w:szCs w:val="20"/>
                <w:color w:val="auto"/>
              </w:rPr>
            </w:pPr>
            <w:r>
              <w:rPr>
                <w:rFonts w:ascii="Arial" w:cs="Arial" w:eastAsia="Arial" w:hAnsi="Arial"/>
                <w:sz w:val="13"/>
                <w:szCs w:val="13"/>
                <w:color w:val="auto"/>
                <w:w w:val="93"/>
              </w:rPr>
              <w:t>Financial and Accounting Officer)</w:t>
            </w:r>
          </w:p>
        </w:tc>
        <w:tc>
          <w:tcPr>
            <w:tcW w:w="2500" w:type="dxa"/>
            <w:vAlign w:val="bottom"/>
          </w:tcPr>
          <w:p>
            <w:pPr>
              <w:spacing w:after="0"/>
              <w:rPr>
                <w:sz w:val="14"/>
                <w:szCs w:val="14"/>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TIM MOORE</w:t>
            </w:r>
          </w:p>
        </w:tc>
        <w:tc>
          <w:tcPr>
            <w:tcW w:w="4160" w:type="dxa"/>
            <w:vAlign w:val="bottom"/>
          </w:tcPr>
          <w:p>
            <w:pPr>
              <w:jc w:val="center"/>
              <w:spacing w:after="0"/>
              <w:rPr>
                <w:sz w:val="20"/>
                <w:szCs w:val="20"/>
                <w:color w:val="auto"/>
              </w:rPr>
            </w:pPr>
            <w:r>
              <w:rPr>
                <w:rFonts w:ascii="Arial" w:cs="Arial" w:eastAsia="Arial" w:hAnsi="Arial"/>
                <w:sz w:val="13"/>
                <w:szCs w:val="13"/>
                <w:color w:val="auto"/>
                <w:w w:val="92"/>
              </w:rPr>
              <w:t>Vice President and Director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Tim Moore</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GREG L. ARMSTRONG</w:t>
            </w:r>
          </w:p>
        </w:tc>
        <w:tc>
          <w:tcPr>
            <w:tcW w:w="41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GREG L. ARMSTRONG</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HARRY N. PEFANIS</w:t>
            </w:r>
          </w:p>
        </w:tc>
        <w:tc>
          <w:tcPr>
            <w:tcW w:w="41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HARRY N. PEFANIS</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160" w:type="dxa"/>
            <w:vAlign w:val="bottom"/>
          </w:tcPr>
          <w:p>
            <w:pPr>
              <w:ind w:left="740"/>
              <w:spacing w:after="0"/>
              <w:rPr>
                <w:sz w:val="20"/>
                <w:szCs w:val="20"/>
                <w:color w:val="auto"/>
              </w:rPr>
            </w:pPr>
            <w:r>
              <w:rPr>
                <w:rFonts w:ascii="Arial" w:cs="Arial" w:eastAsia="Arial" w:hAnsi="Arial"/>
                <w:sz w:val="13"/>
                <w:szCs w:val="13"/>
                <w:color w:val="auto"/>
              </w:rPr>
              <w:t>II-13</w:t>
            </w:r>
          </w:p>
        </w:tc>
        <w:tc>
          <w:tcPr>
            <w:tcW w:w="25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6">
              <w:r>
                <w:rPr>
                  <w:rFonts w:ascii="Arial" w:cs="Arial" w:eastAsia="Arial" w:hAnsi="Arial"/>
                  <w:sz w:val="13"/>
                  <w:szCs w:val="13"/>
                  <w:b w:val="1"/>
                  <w:bCs w:val="1"/>
                  <w:color w:val="0000EE"/>
                  <w:w w:val="87"/>
                </w:rPr>
                <w:t>Table of Contents</w:t>
              </w:r>
            </w:hyperlink>
          </w:p>
        </w:tc>
        <w:tc>
          <w:tcPr>
            <w:tcW w:w="38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82"/>
        </w:trPr>
        <w:tc>
          <w:tcPr>
            <w:tcW w:w="6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3"/>
                <w:szCs w:val="13"/>
                <w:b w:val="1"/>
                <w:bCs w:val="1"/>
                <w:color w:val="auto"/>
              </w:rPr>
              <w:t>AURORA PIPELINE COMPANY LTD.</w:t>
            </w:r>
          </w:p>
        </w:tc>
        <w:tc>
          <w:tcPr>
            <w:tcW w:w="4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4"/>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W. DAVID DUCKETT</w:t>
            </w: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President and Director</w:t>
            </w:r>
          </w:p>
        </w:tc>
        <w:tc>
          <w:tcPr>
            <w:tcW w:w="1420" w:type="dxa"/>
            <w:vAlign w:val="bottom"/>
          </w:tcPr>
          <w:p>
            <w:pPr>
              <w:ind w:left="380"/>
              <w:spacing w:after="0"/>
              <w:rPr>
                <w:sz w:val="20"/>
                <w:szCs w:val="20"/>
                <w:color w:val="auto"/>
              </w:rPr>
            </w:pPr>
            <w:r>
              <w:rPr>
                <w:rFonts w:ascii="Arial" w:cs="Arial" w:eastAsia="Arial" w:hAnsi="Arial"/>
                <w:sz w:val="13"/>
                <w:szCs w:val="13"/>
                <w:color w:val="auto"/>
                <w:w w:val="89"/>
              </w:rPr>
              <w:t>November 25, 2008</w:t>
            </w:r>
          </w:p>
        </w:tc>
      </w:tr>
      <w:tr>
        <w:trPr>
          <w:trHeight w:val="165"/>
        </w:trPr>
        <w:tc>
          <w:tcPr>
            <w:tcW w:w="68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W. David Duckett</w:t>
            </w:r>
          </w:p>
        </w:tc>
        <w:tc>
          <w:tcPr>
            <w:tcW w:w="4120" w:type="dxa"/>
            <w:vAlign w:val="bottom"/>
          </w:tcPr>
          <w:p>
            <w:pPr>
              <w:jc w:val="center"/>
              <w:spacing w:after="0" w:line="136" w:lineRule="exact"/>
              <w:rPr>
                <w:sz w:val="20"/>
                <w:szCs w:val="20"/>
                <w:color w:val="auto"/>
              </w:rPr>
            </w:pPr>
            <w:r>
              <w:rPr>
                <w:rFonts w:ascii="Arial" w:cs="Arial" w:eastAsia="Arial" w:hAnsi="Arial"/>
                <w:sz w:val="13"/>
                <w:szCs w:val="13"/>
                <w:color w:val="auto"/>
                <w:w w:val="94"/>
              </w:rPr>
              <w:t>(Principal Executive Officer)</w:t>
            </w:r>
          </w:p>
        </w:tc>
        <w:tc>
          <w:tcPr>
            <w:tcW w:w="1420" w:type="dxa"/>
            <w:vAlign w:val="bottom"/>
          </w:tcPr>
          <w:p>
            <w:pPr>
              <w:spacing w:after="0"/>
              <w:rPr>
                <w:sz w:val="14"/>
                <w:szCs w:val="14"/>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DAVID CRAIG</w:t>
            </w:r>
          </w:p>
        </w:tc>
        <w:tc>
          <w:tcPr>
            <w:tcW w:w="4120" w:type="dxa"/>
            <w:vAlign w:val="bottom"/>
          </w:tcPr>
          <w:p>
            <w:pPr>
              <w:jc w:val="center"/>
              <w:spacing w:after="0"/>
              <w:rPr>
                <w:sz w:val="20"/>
                <w:szCs w:val="20"/>
                <w:color w:val="auto"/>
              </w:rPr>
            </w:pPr>
            <w:r>
              <w:rPr>
                <w:rFonts w:ascii="Arial" w:cs="Arial" w:eastAsia="Arial" w:hAnsi="Arial"/>
                <w:sz w:val="13"/>
                <w:szCs w:val="13"/>
                <w:color w:val="auto"/>
                <w:w w:val="93"/>
              </w:rPr>
              <w:t>Executive Vice President and Chief Financial Officer (Principal</w:t>
            </w:r>
          </w:p>
        </w:tc>
        <w:tc>
          <w:tcPr>
            <w:tcW w:w="1420" w:type="dxa"/>
            <w:vAlign w:val="bottom"/>
          </w:tcPr>
          <w:p>
            <w:pPr>
              <w:ind w:left="380"/>
              <w:spacing w:after="0"/>
              <w:rPr>
                <w:sz w:val="20"/>
                <w:szCs w:val="20"/>
                <w:color w:val="auto"/>
              </w:rPr>
            </w:pPr>
            <w:r>
              <w:rPr>
                <w:rFonts w:ascii="Arial" w:cs="Arial" w:eastAsia="Arial" w:hAnsi="Arial"/>
                <w:sz w:val="13"/>
                <w:szCs w:val="13"/>
                <w:color w:val="auto"/>
                <w:w w:val="89"/>
              </w:rPr>
              <w:t>November 25, 2008</w:t>
            </w:r>
          </w:p>
        </w:tc>
      </w:tr>
      <w:tr>
        <w:trPr>
          <w:trHeight w:val="165"/>
        </w:trPr>
        <w:tc>
          <w:tcPr>
            <w:tcW w:w="68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David Craig</w:t>
            </w:r>
          </w:p>
        </w:tc>
        <w:tc>
          <w:tcPr>
            <w:tcW w:w="4120" w:type="dxa"/>
            <w:vAlign w:val="bottom"/>
          </w:tcPr>
          <w:p>
            <w:pPr>
              <w:jc w:val="center"/>
              <w:spacing w:after="0" w:line="136" w:lineRule="exact"/>
              <w:rPr>
                <w:sz w:val="20"/>
                <w:szCs w:val="20"/>
                <w:color w:val="auto"/>
              </w:rPr>
            </w:pPr>
            <w:r>
              <w:rPr>
                <w:rFonts w:ascii="Arial" w:cs="Arial" w:eastAsia="Arial" w:hAnsi="Arial"/>
                <w:sz w:val="13"/>
                <w:szCs w:val="13"/>
                <w:color w:val="auto"/>
                <w:w w:val="93"/>
              </w:rPr>
              <w:t>Financial and Accounting Officer)</w:t>
            </w:r>
          </w:p>
        </w:tc>
        <w:tc>
          <w:tcPr>
            <w:tcW w:w="1420" w:type="dxa"/>
            <w:vAlign w:val="bottom"/>
          </w:tcPr>
          <w:p>
            <w:pPr>
              <w:spacing w:after="0"/>
              <w:rPr>
                <w:sz w:val="14"/>
                <w:szCs w:val="14"/>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GREG L. ARMSTRONG</w:t>
            </w:r>
          </w:p>
        </w:tc>
        <w:tc>
          <w:tcPr>
            <w:tcW w:w="41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20" w:type="dxa"/>
            <w:vAlign w:val="bottom"/>
          </w:tcPr>
          <w:p>
            <w:pPr>
              <w:ind w:left="380"/>
              <w:spacing w:after="0"/>
              <w:rPr>
                <w:sz w:val="20"/>
                <w:szCs w:val="20"/>
                <w:color w:val="auto"/>
              </w:rPr>
            </w:pPr>
            <w:r>
              <w:rPr>
                <w:rFonts w:ascii="Arial" w:cs="Arial" w:eastAsia="Arial" w:hAnsi="Arial"/>
                <w:sz w:val="13"/>
                <w:szCs w:val="13"/>
                <w:color w:val="auto"/>
                <w:w w:val="89"/>
              </w:rPr>
              <w:t>November 25, 2008</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Greg L. Armstrong</w:t>
            </w:r>
          </w:p>
        </w:tc>
        <w:tc>
          <w:tcPr>
            <w:tcW w:w="41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HARRY N. PEFANIS</w:t>
            </w:r>
          </w:p>
        </w:tc>
        <w:tc>
          <w:tcPr>
            <w:tcW w:w="41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20" w:type="dxa"/>
            <w:vAlign w:val="bottom"/>
          </w:tcPr>
          <w:p>
            <w:pPr>
              <w:ind w:left="380"/>
              <w:spacing w:after="0"/>
              <w:rPr>
                <w:sz w:val="20"/>
                <w:szCs w:val="20"/>
                <w:color w:val="auto"/>
              </w:rPr>
            </w:pPr>
            <w:r>
              <w:rPr>
                <w:rFonts w:ascii="Arial" w:cs="Arial" w:eastAsia="Arial" w:hAnsi="Arial"/>
                <w:sz w:val="13"/>
                <w:szCs w:val="13"/>
                <w:color w:val="auto"/>
                <w:w w:val="89"/>
              </w:rPr>
              <w:t>November 25, 2008</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Harry N. Pefanis</w:t>
            </w:r>
          </w:p>
        </w:tc>
        <w:tc>
          <w:tcPr>
            <w:tcW w:w="41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TIM MOORE</w:t>
            </w:r>
          </w:p>
        </w:tc>
        <w:tc>
          <w:tcPr>
            <w:tcW w:w="4120" w:type="dxa"/>
            <w:vAlign w:val="bottom"/>
          </w:tcPr>
          <w:p>
            <w:pPr>
              <w:jc w:val="center"/>
              <w:spacing w:after="0"/>
              <w:rPr>
                <w:sz w:val="20"/>
                <w:szCs w:val="20"/>
                <w:color w:val="auto"/>
              </w:rPr>
            </w:pPr>
            <w:r>
              <w:rPr>
                <w:rFonts w:ascii="Arial" w:cs="Arial" w:eastAsia="Arial" w:hAnsi="Arial"/>
                <w:sz w:val="13"/>
                <w:szCs w:val="13"/>
                <w:color w:val="auto"/>
                <w:w w:val="92"/>
              </w:rPr>
              <w:t>Vice President and Director</w:t>
            </w:r>
          </w:p>
        </w:tc>
        <w:tc>
          <w:tcPr>
            <w:tcW w:w="1420" w:type="dxa"/>
            <w:vAlign w:val="bottom"/>
          </w:tcPr>
          <w:p>
            <w:pPr>
              <w:ind w:left="380"/>
              <w:spacing w:after="0"/>
              <w:rPr>
                <w:sz w:val="20"/>
                <w:szCs w:val="20"/>
                <w:color w:val="auto"/>
              </w:rPr>
            </w:pPr>
            <w:r>
              <w:rPr>
                <w:rFonts w:ascii="Arial" w:cs="Arial" w:eastAsia="Arial" w:hAnsi="Arial"/>
                <w:sz w:val="13"/>
                <w:szCs w:val="13"/>
                <w:color w:val="auto"/>
                <w:w w:val="89"/>
              </w:rPr>
              <w:t>November 25, 2008</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Tim Moore</w:t>
            </w:r>
          </w:p>
        </w:tc>
        <w:tc>
          <w:tcPr>
            <w:tcW w:w="41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3"/>
                <w:szCs w:val="13"/>
                <w:b w:val="1"/>
                <w:bCs w:val="1"/>
                <w:color w:val="auto"/>
              </w:rPr>
              <w:t>PLAINS MIDSTREAM CANADA ULC</w:t>
            </w:r>
          </w:p>
        </w:tc>
        <w:tc>
          <w:tcPr>
            <w:tcW w:w="4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4"/>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W. DAVID DUCKETT</w:t>
            </w: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President and Director</w:t>
            </w:r>
          </w:p>
        </w:tc>
        <w:tc>
          <w:tcPr>
            <w:tcW w:w="1420" w:type="dxa"/>
            <w:vAlign w:val="bottom"/>
          </w:tcPr>
          <w:p>
            <w:pPr>
              <w:ind w:left="380"/>
              <w:spacing w:after="0"/>
              <w:rPr>
                <w:sz w:val="20"/>
                <w:szCs w:val="20"/>
                <w:color w:val="auto"/>
              </w:rPr>
            </w:pPr>
            <w:r>
              <w:rPr>
                <w:rFonts w:ascii="Arial" w:cs="Arial" w:eastAsia="Arial" w:hAnsi="Arial"/>
                <w:sz w:val="13"/>
                <w:szCs w:val="13"/>
                <w:color w:val="auto"/>
                <w:w w:val="89"/>
              </w:rPr>
              <w:t>November 25, 2008</w:t>
            </w:r>
          </w:p>
        </w:tc>
      </w:tr>
      <w:tr>
        <w:trPr>
          <w:trHeight w:val="165"/>
        </w:trPr>
        <w:tc>
          <w:tcPr>
            <w:tcW w:w="68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W. David Duckett</w:t>
            </w:r>
          </w:p>
        </w:tc>
        <w:tc>
          <w:tcPr>
            <w:tcW w:w="4120" w:type="dxa"/>
            <w:vAlign w:val="bottom"/>
          </w:tcPr>
          <w:p>
            <w:pPr>
              <w:jc w:val="center"/>
              <w:spacing w:after="0" w:line="136" w:lineRule="exact"/>
              <w:rPr>
                <w:sz w:val="20"/>
                <w:szCs w:val="20"/>
                <w:color w:val="auto"/>
              </w:rPr>
            </w:pPr>
            <w:r>
              <w:rPr>
                <w:rFonts w:ascii="Arial" w:cs="Arial" w:eastAsia="Arial" w:hAnsi="Arial"/>
                <w:sz w:val="13"/>
                <w:szCs w:val="13"/>
                <w:color w:val="auto"/>
                <w:w w:val="94"/>
              </w:rPr>
              <w:t>(Principal Executive Officer)</w:t>
            </w:r>
          </w:p>
        </w:tc>
        <w:tc>
          <w:tcPr>
            <w:tcW w:w="1420" w:type="dxa"/>
            <w:vAlign w:val="bottom"/>
          </w:tcPr>
          <w:p>
            <w:pPr>
              <w:spacing w:after="0"/>
              <w:rPr>
                <w:sz w:val="14"/>
                <w:szCs w:val="14"/>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DAVID CRAIG</w:t>
            </w:r>
          </w:p>
        </w:tc>
        <w:tc>
          <w:tcPr>
            <w:tcW w:w="4120" w:type="dxa"/>
            <w:vAlign w:val="bottom"/>
          </w:tcPr>
          <w:p>
            <w:pPr>
              <w:jc w:val="center"/>
              <w:spacing w:after="0"/>
              <w:rPr>
                <w:sz w:val="20"/>
                <w:szCs w:val="20"/>
                <w:color w:val="auto"/>
              </w:rPr>
            </w:pPr>
            <w:r>
              <w:rPr>
                <w:rFonts w:ascii="Arial" w:cs="Arial" w:eastAsia="Arial" w:hAnsi="Arial"/>
                <w:sz w:val="13"/>
                <w:szCs w:val="13"/>
                <w:color w:val="auto"/>
                <w:w w:val="93"/>
              </w:rPr>
              <w:t>Executive Vice President and Chief Financial Officer (Principal</w:t>
            </w:r>
          </w:p>
        </w:tc>
        <w:tc>
          <w:tcPr>
            <w:tcW w:w="1420" w:type="dxa"/>
            <w:vAlign w:val="bottom"/>
          </w:tcPr>
          <w:p>
            <w:pPr>
              <w:ind w:left="380"/>
              <w:spacing w:after="0"/>
              <w:rPr>
                <w:sz w:val="20"/>
                <w:szCs w:val="20"/>
                <w:color w:val="auto"/>
              </w:rPr>
            </w:pPr>
            <w:r>
              <w:rPr>
                <w:rFonts w:ascii="Arial" w:cs="Arial" w:eastAsia="Arial" w:hAnsi="Arial"/>
                <w:sz w:val="13"/>
                <w:szCs w:val="13"/>
                <w:color w:val="auto"/>
                <w:w w:val="89"/>
              </w:rPr>
              <w:t>November 25, 2008</w:t>
            </w:r>
          </w:p>
        </w:tc>
      </w:tr>
      <w:tr>
        <w:trPr>
          <w:trHeight w:val="165"/>
        </w:trPr>
        <w:tc>
          <w:tcPr>
            <w:tcW w:w="68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David Craig</w:t>
            </w:r>
          </w:p>
        </w:tc>
        <w:tc>
          <w:tcPr>
            <w:tcW w:w="4120" w:type="dxa"/>
            <w:vAlign w:val="bottom"/>
          </w:tcPr>
          <w:p>
            <w:pPr>
              <w:jc w:val="center"/>
              <w:spacing w:after="0" w:line="136" w:lineRule="exact"/>
              <w:rPr>
                <w:sz w:val="20"/>
                <w:szCs w:val="20"/>
                <w:color w:val="auto"/>
              </w:rPr>
            </w:pPr>
            <w:r>
              <w:rPr>
                <w:rFonts w:ascii="Arial" w:cs="Arial" w:eastAsia="Arial" w:hAnsi="Arial"/>
                <w:sz w:val="13"/>
                <w:szCs w:val="13"/>
                <w:color w:val="auto"/>
                <w:w w:val="93"/>
              </w:rPr>
              <w:t>Financial and Accounting Officer)</w:t>
            </w:r>
          </w:p>
        </w:tc>
        <w:tc>
          <w:tcPr>
            <w:tcW w:w="1420" w:type="dxa"/>
            <w:vAlign w:val="bottom"/>
          </w:tcPr>
          <w:p>
            <w:pPr>
              <w:spacing w:after="0"/>
              <w:rPr>
                <w:sz w:val="14"/>
                <w:szCs w:val="14"/>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GREG L. ARMSTRONG</w:t>
            </w:r>
          </w:p>
        </w:tc>
        <w:tc>
          <w:tcPr>
            <w:tcW w:w="41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20" w:type="dxa"/>
            <w:vAlign w:val="bottom"/>
          </w:tcPr>
          <w:p>
            <w:pPr>
              <w:ind w:left="380"/>
              <w:spacing w:after="0"/>
              <w:rPr>
                <w:sz w:val="20"/>
                <w:szCs w:val="20"/>
                <w:color w:val="auto"/>
              </w:rPr>
            </w:pPr>
            <w:r>
              <w:rPr>
                <w:rFonts w:ascii="Arial" w:cs="Arial" w:eastAsia="Arial" w:hAnsi="Arial"/>
                <w:sz w:val="13"/>
                <w:szCs w:val="13"/>
                <w:color w:val="auto"/>
                <w:w w:val="89"/>
              </w:rPr>
              <w:t>November 25, 2008</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Greg L. Armstrong</w:t>
            </w:r>
          </w:p>
        </w:tc>
        <w:tc>
          <w:tcPr>
            <w:tcW w:w="41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HARRY N. PEFANIS</w:t>
            </w:r>
          </w:p>
        </w:tc>
        <w:tc>
          <w:tcPr>
            <w:tcW w:w="41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20" w:type="dxa"/>
            <w:vAlign w:val="bottom"/>
          </w:tcPr>
          <w:p>
            <w:pPr>
              <w:ind w:left="380"/>
              <w:spacing w:after="0"/>
              <w:rPr>
                <w:sz w:val="20"/>
                <w:szCs w:val="20"/>
                <w:color w:val="auto"/>
              </w:rPr>
            </w:pPr>
            <w:r>
              <w:rPr>
                <w:rFonts w:ascii="Arial" w:cs="Arial" w:eastAsia="Arial" w:hAnsi="Arial"/>
                <w:sz w:val="13"/>
                <w:szCs w:val="13"/>
                <w:color w:val="auto"/>
                <w:w w:val="89"/>
              </w:rPr>
              <w:t>November 25, 2008</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Harry N. Pefanis</w:t>
            </w:r>
          </w:p>
        </w:tc>
        <w:tc>
          <w:tcPr>
            <w:tcW w:w="41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TIM MOORE</w:t>
            </w:r>
          </w:p>
        </w:tc>
        <w:tc>
          <w:tcPr>
            <w:tcW w:w="4120" w:type="dxa"/>
            <w:vAlign w:val="bottom"/>
          </w:tcPr>
          <w:p>
            <w:pPr>
              <w:jc w:val="center"/>
              <w:spacing w:after="0"/>
              <w:rPr>
                <w:sz w:val="20"/>
                <w:szCs w:val="20"/>
                <w:color w:val="auto"/>
              </w:rPr>
            </w:pPr>
            <w:r>
              <w:rPr>
                <w:rFonts w:ascii="Arial" w:cs="Arial" w:eastAsia="Arial" w:hAnsi="Arial"/>
                <w:sz w:val="13"/>
                <w:szCs w:val="13"/>
                <w:color w:val="auto"/>
                <w:w w:val="92"/>
              </w:rPr>
              <w:t>Vice President and Director</w:t>
            </w:r>
          </w:p>
        </w:tc>
        <w:tc>
          <w:tcPr>
            <w:tcW w:w="1420" w:type="dxa"/>
            <w:vAlign w:val="bottom"/>
          </w:tcPr>
          <w:p>
            <w:pPr>
              <w:ind w:left="380"/>
              <w:spacing w:after="0"/>
              <w:rPr>
                <w:sz w:val="20"/>
                <w:szCs w:val="20"/>
                <w:color w:val="auto"/>
              </w:rPr>
            </w:pPr>
            <w:r>
              <w:rPr>
                <w:rFonts w:ascii="Arial" w:cs="Arial" w:eastAsia="Arial" w:hAnsi="Arial"/>
                <w:sz w:val="13"/>
                <w:szCs w:val="13"/>
                <w:color w:val="auto"/>
                <w:w w:val="89"/>
              </w:rPr>
              <w:t>November 25, 2008</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Tim Moore</w:t>
            </w:r>
          </w:p>
        </w:tc>
        <w:tc>
          <w:tcPr>
            <w:tcW w:w="4120" w:type="dxa"/>
            <w:vAlign w:val="bottom"/>
          </w:tcPr>
          <w:p>
            <w:pPr>
              <w:spacing w:after="0"/>
              <w:rPr>
                <w:sz w:val="13"/>
                <w:szCs w:val="13"/>
                <w:color w:val="auto"/>
              </w:rPr>
            </w:pPr>
          </w:p>
        </w:tc>
        <w:tc>
          <w:tcPr>
            <w:tcW w:w="1420" w:type="dxa"/>
            <w:vAlign w:val="bottom"/>
          </w:tcPr>
          <w:p>
            <w:pPr>
              <w:spacing w:after="0"/>
              <w:rPr>
                <w:sz w:val="13"/>
                <w:szCs w:val="13"/>
                <w:color w:val="auto"/>
              </w:rPr>
            </w:pPr>
          </w:p>
        </w:tc>
      </w:tr>
    </w:tbl>
    <w:p>
      <w:pPr>
        <w:spacing w:after="0" w:line="137" w:lineRule="exact"/>
        <w:rPr>
          <w:sz w:val="20"/>
          <w:szCs w:val="20"/>
          <w:color w:val="auto"/>
        </w:rPr>
      </w:pPr>
    </w:p>
    <w:p>
      <w:pPr>
        <w:ind w:left="680" w:right="1540"/>
        <w:spacing w:after="0" w:line="283" w:lineRule="auto"/>
        <w:rPr>
          <w:sz w:val="20"/>
          <w:szCs w:val="20"/>
          <w:color w:val="auto"/>
        </w:rPr>
      </w:pPr>
      <w:r>
        <w:rPr>
          <w:rFonts w:ascii="Arial" w:cs="Arial" w:eastAsia="Arial" w:hAnsi="Arial"/>
          <w:sz w:val="13"/>
          <w:szCs w:val="13"/>
          <w:b w:val="1"/>
          <w:bCs w:val="1"/>
          <w:color w:val="auto"/>
        </w:rPr>
        <w:t>PACIFIC ENERGY GROUP LLC, which is the sole member of PACIFIC L.A. MARINE TERMINAL LLC, PACIFIC ATLANTIC TERMINALS LLC and ROCKY MOUNTAIN PIPELINE SYSTEM LLC.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GREG L. ARMSTRONG</w:t>
            </w:r>
          </w:p>
        </w:tc>
        <w:tc>
          <w:tcPr>
            <w:tcW w:w="4160" w:type="dxa"/>
            <w:vAlign w:val="bottom"/>
          </w:tcPr>
          <w:p>
            <w:pPr>
              <w:jc w:val="center"/>
              <w:spacing w:after="0"/>
              <w:rPr>
                <w:sz w:val="20"/>
                <w:szCs w:val="20"/>
                <w:color w:val="auto"/>
              </w:rPr>
            </w:pPr>
            <w:r>
              <w:rPr>
                <w:rFonts w:ascii="Arial" w:cs="Arial" w:eastAsia="Arial" w:hAnsi="Arial"/>
                <w:sz w:val="13"/>
                <w:szCs w:val="13"/>
                <w:color w:val="auto"/>
                <w:w w:val="94"/>
              </w:rPr>
              <w:t>Chief Executive Officer and Director (Principal Executive Officer)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Greg L. Armstrong</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 SWANSON</w:t>
            </w:r>
          </w:p>
        </w:tc>
        <w:tc>
          <w:tcPr>
            <w:tcW w:w="4160" w:type="dxa"/>
            <w:vAlign w:val="bottom"/>
          </w:tcPr>
          <w:p>
            <w:pPr>
              <w:jc w:val="center"/>
              <w:spacing w:after="0"/>
              <w:rPr>
                <w:sz w:val="20"/>
                <w:szCs w:val="20"/>
                <w:color w:val="auto"/>
              </w:rPr>
            </w:pPr>
            <w:r>
              <w:rPr>
                <w:rFonts w:ascii="Arial" w:cs="Arial" w:eastAsia="Arial" w:hAnsi="Arial"/>
                <w:sz w:val="13"/>
                <w:szCs w:val="13"/>
                <w:color w:val="auto"/>
                <w:w w:val="92"/>
              </w:rPr>
              <w:t>Senior Vice President and Chief Financial Officer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Al Swanson</w:t>
            </w:r>
          </w:p>
        </w:tc>
        <w:tc>
          <w:tcPr>
            <w:tcW w:w="4160" w:type="dxa"/>
            <w:vAlign w:val="bottom"/>
          </w:tcPr>
          <w:p>
            <w:pPr>
              <w:jc w:val="center"/>
              <w:spacing w:after="0" w:line="136" w:lineRule="exact"/>
              <w:rPr>
                <w:sz w:val="20"/>
                <w:szCs w:val="20"/>
                <w:color w:val="auto"/>
              </w:rPr>
            </w:pPr>
            <w:r>
              <w:rPr>
                <w:rFonts w:ascii="Arial" w:cs="Arial" w:eastAsia="Arial" w:hAnsi="Arial"/>
                <w:sz w:val="13"/>
                <w:szCs w:val="13"/>
                <w:color w:val="auto"/>
                <w:w w:val="96"/>
              </w:rPr>
              <w:t>(Principal Financial Officer)</w:t>
            </w:r>
          </w:p>
        </w:tc>
        <w:tc>
          <w:tcPr>
            <w:tcW w:w="2500" w:type="dxa"/>
            <w:vAlign w:val="bottom"/>
          </w:tcPr>
          <w:p>
            <w:pPr>
              <w:spacing w:after="0"/>
              <w:rPr>
                <w:sz w:val="14"/>
                <w:szCs w:val="14"/>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TINA L. VAL</w:t>
            </w:r>
          </w:p>
        </w:tc>
        <w:tc>
          <w:tcPr>
            <w:tcW w:w="4160" w:type="dxa"/>
            <w:vAlign w:val="bottom"/>
          </w:tcPr>
          <w:p>
            <w:pPr>
              <w:jc w:val="center"/>
              <w:spacing w:after="0"/>
              <w:rPr>
                <w:sz w:val="20"/>
                <w:szCs w:val="20"/>
                <w:color w:val="auto"/>
              </w:rPr>
            </w:pPr>
            <w:r>
              <w:rPr>
                <w:rFonts w:ascii="Arial" w:cs="Arial" w:eastAsia="Arial" w:hAnsi="Arial"/>
                <w:sz w:val="13"/>
                <w:szCs w:val="13"/>
                <w:color w:val="auto"/>
                <w:w w:val="93"/>
              </w:rPr>
              <w:t>Vice President-Accounting and Chief Accounting Officer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Tina L. Val</w:t>
            </w:r>
          </w:p>
        </w:tc>
        <w:tc>
          <w:tcPr>
            <w:tcW w:w="4160" w:type="dxa"/>
            <w:vAlign w:val="bottom"/>
          </w:tcPr>
          <w:p>
            <w:pPr>
              <w:jc w:val="center"/>
              <w:spacing w:after="0" w:line="136" w:lineRule="exact"/>
              <w:rPr>
                <w:sz w:val="20"/>
                <w:szCs w:val="20"/>
                <w:color w:val="auto"/>
              </w:rPr>
            </w:pPr>
            <w:r>
              <w:rPr>
                <w:rFonts w:ascii="Arial" w:cs="Arial" w:eastAsia="Arial" w:hAnsi="Arial"/>
                <w:sz w:val="13"/>
                <w:szCs w:val="13"/>
                <w:color w:val="auto"/>
                <w:w w:val="96"/>
              </w:rPr>
              <w:t>(Principal Accounting Officer)</w:t>
            </w:r>
          </w:p>
        </w:tc>
        <w:tc>
          <w:tcPr>
            <w:tcW w:w="2500" w:type="dxa"/>
            <w:vAlign w:val="bottom"/>
          </w:tcPr>
          <w:p>
            <w:pPr>
              <w:spacing w:after="0"/>
              <w:rPr>
                <w:sz w:val="14"/>
                <w:szCs w:val="14"/>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HARRY N. PEFANIS</w:t>
            </w:r>
          </w:p>
        </w:tc>
        <w:tc>
          <w:tcPr>
            <w:tcW w:w="4160" w:type="dxa"/>
            <w:vAlign w:val="bottom"/>
          </w:tcPr>
          <w:p>
            <w:pPr>
              <w:jc w:val="center"/>
              <w:spacing w:after="0"/>
              <w:rPr>
                <w:sz w:val="20"/>
                <w:szCs w:val="20"/>
                <w:color w:val="auto"/>
              </w:rPr>
            </w:pPr>
            <w:r>
              <w:rPr>
                <w:rFonts w:ascii="Arial" w:cs="Arial" w:eastAsia="Arial" w:hAnsi="Arial"/>
                <w:sz w:val="13"/>
                <w:szCs w:val="13"/>
                <w:color w:val="auto"/>
                <w:w w:val="92"/>
              </w:rPr>
              <w:t>President, Chief Operating Officer and Director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Harry N. Pefanis</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TIM MOORE</w:t>
            </w:r>
          </w:p>
        </w:tc>
        <w:tc>
          <w:tcPr>
            <w:tcW w:w="4160" w:type="dxa"/>
            <w:vAlign w:val="bottom"/>
          </w:tcPr>
          <w:p>
            <w:pPr>
              <w:jc w:val="center"/>
              <w:spacing w:after="0"/>
              <w:rPr>
                <w:sz w:val="20"/>
                <w:szCs w:val="20"/>
                <w:color w:val="auto"/>
              </w:rPr>
            </w:pPr>
            <w:r>
              <w:rPr>
                <w:rFonts w:ascii="Arial" w:cs="Arial" w:eastAsia="Arial" w:hAnsi="Arial"/>
                <w:sz w:val="13"/>
                <w:szCs w:val="13"/>
                <w:color w:val="auto"/>
                <w:w w:val="92"/>
              </w:rPr>
              <w:t>Vice President and Director</w:t>
            </w:r>
          </w:p>
        </w:tc>
        <w:tc>
          <w:tcPr>
            <w:tcW w:w="2500" w:type="dxa"/>
            <w:vAlign w:val="bottom"/>
          </w:tcPr>
          <w:p>
            <w:pPr>
              <w:ind w:left="34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Tim Moore</w:t>
            </w:r>
          </w:p>
        </w:tc>
        <w:tc>
          <w:tcPr>
            <w:tcW w:w="416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160" w:type="dxa"/>
            <w:vAlign w:val="bottom"/>
          </w:tcPr>
          <w:p>
            <w:pPr>
              <w:ind w:left="740"/>
              <w:spacing w:after="0"/>
              <w:rPr>
                <w:sz w:val="20"/>
                <w:szCs w:val="20"/>
                <w:color w:val="auto"/>
              </w:rPr>
            </w:pPr>
            <w:r>
              <w:rPr>
                <w:rFonts w:ascii="Arial" w:cs="Arial" w:eastAsia="Arial" w:hAnsi="Arial"/>
                <w:sz w:val="13"/>
                <w:szCs w:val="13"/>
                <w:color w:val="auto"/>
              </w:rPr>
              <w:t>II-14</w:t>
            </w:r>
          </w:p>
        </w:tc>
        <w:tc>
          <w:tcPr>
            <w:tcW w:w="25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INDEX TO EXHIBITS</w:t>
      </w:r>
    </w:p>
    <w:p>
      <w:pPr>
        <w:spacing w:after="0" w:line="189"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  Form of Underwriting Agreement</w:t>
      </w:r>
    </w:p>
    <w:p>
      <w:pPr>
        <w:spacing w:after="0" w:line="15"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  Form of Senior Indenture for Senior Debt Securities (incorporated by reference to Exhibit 4.1 to the Registration Statement on Form S-3 (File No. 333-68446))</w:t>
      </w:r>
    </w:p>
    <w:p>
      <w:pPr>
        <w:spacing w:after="0" w:line="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  Form of Subordinated Indenture for Subordinated Debt Securities (incorporated by reference to Exhibit 4.2 to the Registration Statement on Form S-3 (File No.</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333-68446))</w:t>
      </w:r>
    </w:p>
    <w:p>
      <w:pPr>
        <w:spacing w:after="0" w:line="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2"/>
          <w:szCs w:val="12"/>
          <w:color w:val="auto"/>
        </w:rPr>
        <w:t>—  Form of Senior Debt Securities</w:t>
      </w:r>
    </w:p>
    <w:p>
      <w:pPr>
        <w:spacing w:after="0" w:line="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2"/>
          <w:szCs w:val="12"/>
          <w:color w:val="auto"/>
        </w:rPr>
        <w:t>—  Form of Subordinated Debt Securities</w:t>
      </w:r>
    </w:p>
    <w:p>
      <w:pPr>
        <w:spacing w:after="0" w:line="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  Opinion of Vinson &amp; Elkins L.L.P. as to the legality of the securities being registered</w:t>
      </w:r>
    </w:p>
    <w:p>
      <w:pPr>
        <w:spacing w:after="0" w:line="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color w:val="auto"/>
        </w:rPr>
        <w:t>—  Opinion of Vinson &amp; Elkins L.L.P. relating to tax matters</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2"/>
          <w:szCs w:val="12"/>
          <w:color w:val="auto"/>
        </w:rPr>
        <w:t>—  Calculation of ratio of earnings to fixed charges</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  Consent of PricewaterhouseCoopers LLP</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  Consent of Vinson &amp; Elkins L.L.P. (contained in Exhibits 5.1 and 8.1)</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  Powers of Attorney (included on the signature page)</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25.1*</w:t>
      </w:r>
      <w:r>
        <w:rPr>
          <w:sz w:val="20"/>
          <w:szCs w:val="20"/>
          <w:color w:val="auto"/>
        </w:rPr>
        <w:tab/>
      </w:r>
      <w:r>
        <w:rPr>
          <w:rFonts w:ascii="Arial" w:cs="Arial" w:eastAsia="Arial" w:hAnsi="Arial"/>
          <w:sz w:val="12"/>
          <w:szCs w:val="12"/>
          <w:color w:val="auto"/>
        </w:rPr>
        <w:t>—  Form T-1 Statement of Eligibility and Qualification under the Trust Indenture Act of 1939 of the trustee under the Senior Indenture</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25.2*</w:t>
      </w:r>
      <w:r>
        <w:rPr>
          <w:sz w:val="20"/>
          <w:szCs w:val="20"/>
          <w:color w:val="auto"/>
        </w:rPr>
        <w:tab/>
      </w:r>
      <w:r>
        <w:rPr>
          <w:rFonts w:ascii="Arial" w:cs="Arial" w:eastAsia="Arial" w:hAnsi="Arial"/>
          <w:sz w:val="12"/>
          <w:szCs w:val="12"/>
          <w:color w:val="auto"/>
        </w:rPr>
        <w:t>—  Form T-1 Statement of Eligibility and Qualification under the Trust Indenture Act of 1939 of the trustee under the Subordinated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900" w:hanging="213"/>
        <w:spacing w:after="0"/>
        <w:tabs>
          <w:tab w:leader="none" w:pos="9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900" w:hanging="213"/>
        <w:spacing w:after="0"/>
        <w:tabs>
          <w:tab w:leader="none" w:pos="900" w:val="left"/>
        </w:tabs>
        <w:numPr>
          <w:ilvl w:val="0"/>
          <w:numId w:val="60"/>
        </w:numPr>
        <w:rPr>
          <w:rFonts w:ascii="Arial" w:cs="Arial" w:eastAsia="Arial" w:hAnsi="Arial"/>
          <w:sz w:val="11"/>
          <w:szCs w:val="11"/>
          <w:color w:val="auto"/>
        </w:rPr>
      </w:pPr>
      <w:r>
        <w:rPr>
          <w:rFonts w:ascii="Arial" w:cs="Arial" w:eastAsia="Arial" w:hAnsi="Arial"/>
          <w:sz w:val="11"/>
          <w:szCs w:val="11"/>
          <w:color w:val="auto"/>
        </w:rPr>
        <w:t>To be filed as an exhibit to a report pursuant to Section 13(a) or 15(d) of the Securities Exchange Act of 1934 or in a post-effective amendment to this registration statement.</w:t>
      </w:r>
    </w:p>
    <w:p>
      <w:pPr>
        <w:sectPr>
          <w:pgSz w:w="11900" w:h="16838" w:orient="portrait"/>
          <w:cols w:equalWidth="0" w:num="1">
            <w:col w:w="10239"/>
          </w:cols>
          <w:pgMar w:left="220" w:top="343"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3"/>
          <w:szCs w:val="13"/>
          <w:b w:val="1"/>
          <w:bCs w:val="1"/>
          <w:color w:val="auto"/>
        </w:rPr>
        <w:t>Exhibit 5.1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Vinson &amp; Elkins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1001 Fannin, Suite 2500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Houston, Texas 77002-6760</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November 25,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PAA Finance Corp.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Marketing,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Pipeline,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Marketing GP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Marketing Canada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Marketing Canada,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PMC (Nova Scotia) Company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Basin Holdings GP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Basin Pipeline Holdings,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Rancho LPG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Pacific Energy Group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Pacific L.A. Marine Terminal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Rocky Mountain Pipeline System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Pacific Atlantic Terminals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Towing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LPG Services GP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PICSCO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LPG Services,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Midstream GP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Midstream, L.P.</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Lone Star Trucking,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Aurora Pipeline Company Ltd.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Plains Midstream Canada ULC</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(See attached addresses)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 Plains All American Pipeline, L.P. — Registration Statement on Form S-3</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We have acted as counsel for Plains All American Pipeline, L.P., a Delaware limited partnership (the “Partnership”), with respect to certain legal matters in connection with the registration by the Partnership under the Securities Act of 1933, as amended (the “Securities Act”), of the offer and sale by the Partnership from time to time, pursuant to Rule 415 under the Securities Act, 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common units representing limited partner interests in the Partnership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2" w:name="page63"/>
    <w:bookmarkEnd w:id="62"/>
    <w:p>
      <w:pPr>
        <w:ind w:right="300" w:firstLine="162"/>
        <w:spacing w:after="0" w:line="276" w:lineRule="auto"/>
        <w:tabs>
          <w:tab w:leader="none" w:pos="349" w:val="left"/>
        </w:tabs>
        <w:numPr>
          <w:ilvl w:val="0"/>
          <w:numId w:val="61"/>
        </w:numPr>
        <w:rPr>
          <w:rFonts w:ascii="Arial" w:cs="Arial" w:eastAsia="Arial" w:hAnsi="Arial"/>
          <w:sz w:val="13"/>
          <w:szCs w:val="13"/>
          <w:color w:val="auto"/>
        </w:rPr>
      </w:pPr>
      <w:r>
        <w:rPr>
          <w:rFonts w:ascii="Arial" w:cs="Arial" w:eastAsia="Arial" w:hAnsi="Arial"/>
          <w:sz w:val="13"/>
          <w:szCs w:val="13"/>
          <w:color w:val="auto"/>
        </w:rPr>
        <w:t>debt securities, which may be co-issued by PAA Finance Corp., a Delaware corporation (“PAA Finance”), in one or more series, consisting of notes, debentures or other evidences of indebtedness (the “Debt Securities”); and</w:t>
      </w:r>
    </w:p>
    <w:p>
      <w:pPr>
        <w:spacing w:after="0" w:line="49" w:lineRule="exact"/>
        <w:rPr>
          <w:rFonts w:ascii="Arial" w:cs="Arial" w:eastAsia="Arial" w:hAnsi="Arial"/>
          <w:sz w:val="13"/>
          <w:szCs w:val="13"/>
          <w:color w:val="auto"/>
        </w:rPr>
      </w:pPr>
    </w:p>
    <w:p>
      <w:pPr>
        <w:ind w:firstLine="162"/>
        <w:spacing w:after="0" w:line="277" w:lineRule="auto"/>
        <w:tabs>
          <w:tab w:leader="none" w:pos="349" w:val="left"/>
        </w:tabs>
        <w:numPr>
          <w:ilvl w:val="0"/>
          <w:numId w:val="61"/>
        </w:numPr>
        <w:rPr>
          <w:rFonts w:ascii="Arial" w:cs="Arial" w:eastAsia="Arial" w:hAnsi="Arial"/>
          <w:sz w:val="12"/>
          <w:szCs w:val="12"/>
          <w:color w:val="auto"/>
        </w:rPr>
      </w:pPr>
      <w:r>
        <w:rPr>
          <w:rFonts w:ascii="Arial" w:cs="Arial" w:eastAsia="Arial" w:hAnsi="Arial"/>
          <w:sz w:val="12"/>
          <w:szCs w:val="12"/>
          <w:color w:val="auto"/>
        </w:rPr>
        <w:t>guarantees (the “Guarantees”) of the Debt Securities by Plains Marketing, L.P., a Texas limited partnership (“Plains Marketing”), Plains Pipeline, L.P., a Texas limited partnership (“Plains Pipeline”), Plains Marketing GP Inc., a Delaware corporation (“Plains Marketing GP Inc.”), Plains Marketing Canada LLC, a Delaware limited liability company (“Plains Marketing Canada LLC”), Plains Marketing Canada, L.P., an Alberta limited partnership (“Plains Marketing Canada, L.P.”), PMC (Nova Scotia) Company, a Nova Scotia unlimited liability company (“PMC Nova Scotia”), Basin Holdings GP LLC, a Delaware limited liability company (“Basin Holdings”), Basin Pipeline Holdings, L.P., a Delaware limited partnership (“Basin Pipeline”), Rancho LPG Holdings LLC, a Delaware limited liability company (“Rancho Holdings”), Pacific Energy Group LLC, a Delaware limited liability company (“Pacific Energy Group”), Pacific L.A. Marine Terminal LLC, a Delaware limited liability company (“Pacific L.A. Marine”), Rocky Mountain Pipeline System LLC, a Delaware limited liability company (“Rocky Mountain Pipeline”), Pacific Atlantic Terminals LLC, a Delaware limited liability company (“Pacific Atlantic Terminals”), Plains Towing LLC, a Delaware limited liability company (“Plains Towing”), Plains LPG Services GP LLC, a Delaware limited liability company (“Plains LPG Services GP”), PICSCO LLC, a Delaware limited liability company (“PICSCO”), Plains LPG Services, L.P., a Delaware limited partnership (“Plains LPG Services”), Plains Midstream GP LLC, a Delaware limited liability company (“Plains Midstream GP”), Plains Midstream, L.P., a Delaware limited partnership (“Plains Midstream”), Lone Star Trucking, LLC, a California limited liability company (“Lone Star Trucking”), Aurora Pipeline Company Ltd., a Canadian corporation (“Aurora”) and Plains Midstream Canada ULC, an Alberta unlimited liability corporation (“Plains Midstream Canada” and, together with Plains Marketing, Plains Pipeline, Plains Marketing GP Inc., Plains Marketing Canada LLC, Plains Marketing Canada, L.P., PMC Nova Scotia, Basin Holdings, Basin Pipeline, Rancho Holdings, Pacific Energy Group, Pacific L.A. Marine, Rocky Mountain Pipeline, Pacific Atlantic Terminals, Plains Towing, Plains LPG Services GP, PICSCO, Plains LPG Services, Plains Midstream GP, Plains Midstream, Lone Star Trucking and Aurora, the “Subsidiary Guarantors”). The Units, Debt Securities and Guarantees are collectively referred to herein as the “Securities.” We have also participated in the preparation of the Prospectus (the “Prospectus”) contained in the Partnership’s Registration Statement on Form S-3 (the “Registration Statement”) to which this opinion is an exhibit. Capitalized terms not defined herein shall have the meanings ascribed to them in the Prospectus.</w:t>
      </w:r>
    </w:p>
    <w:p>
      <w:pPr>
        <w:spacing w:after="0" w:line="51"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We have examined the Registration Statement, the Prospectus, the Third Amended and Restated Agreement of Limited Partnership of the Partnership, as amended (the “Partnership Agreement”), the Certificate of Limited Partnership of the Partnership (the “Certificate”) filed with the Secretary of State of Delaware pursuant to the Delaware Revised Uniform Limited Partnership Act in connection with the formation of the Partnership, other formation documents and agreements of limited partnership, as applicable, of PAA Finance and the Subsidiary Guarantors and such other documents as we have deemed necessary or appropriate for purposes of this opinion. In addition, we have reviewed certain certificates of officers of the general partner of the Partnership and of public officials, and we have relied on such certificates with respect to certain factual matters that we have not independently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3" w:name="page64"/>
    <w:bookmarkEnd w:id="63"/>
    <w:p>
      <w:pPr>
        <w:ind w:left="160"/>
        <w:spacing w:after="0"/>
        <w:rPr>
          <w:sz w:val="20"/>
          <w:szCs w:val="20"/>
          <w:color w:val="auto"/>
        </w:rPr>
      </w:pPr>
      <w:r>
        <w:rPr>
          <w:rFonts w:ascii="Arial" w:cs="Arial" w:eastAsia="Arial" w:hAnsi="Arial"/>
          <w:sz w:val="13"/>
          <w:szCs w:val="13"/>
          <w:color w:val="auto"/>
        </w:rPr>
        <w:t>In connection with this opinion, we have assumed that</w:t>
      </w:r>
    </w:p>
    <w:p>
      <w:pPr>
        <w:spacing w:after="0" w:line="86" w:lineRule="exact"/>
        <w:rPr>
          <w:sz w:val="20"/>
          <w:szCs w:val="20"/>
          <w:color w:val="auto"/>
        </w:rPr>
      </w:pPr>
    </w:p>
    <w:p>
      <w:pPr>
        <w:ind w:left="340" w:hanging="178"/>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Registration Statement, and any amendments thereto (including post-effective amendments), will have become effective;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 Prospectus Supplement will have been prepared and filed with the Commission describing the Securities offered thereby;</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all Securities will be issued and sold in compliance with applicable federal and state securities laws and in the manner stated in the Registration Statement and the appropriate Prospectus Supplement;</w:t>
      </w:r>
    </w:p>
    <w:p>
      <w:pPr>
        <w:spacing w:after="0" w:line="97" w:lineRule="exact"/>
        <w:rPr>
          <w:rFonts w:ascii="Arial" w:cs="Arial" w:eastAsia="Arial" w:hAnsi="Arial"/>
          <w:sz w:val="12"/>
          <w:szCs w:val="12"/>
          <w:color w:val="auto"/>
        </w:rPr>
      </w:pPr>
    </w:p>
    <w:p>
      <w:pPr>
        <w:ind w:left="340" w:hanging="178"/>
        <w:spacing w:after="0"/>
        <w:tabs>
          <w:tab w:leader="none" w:pos="3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 definitive purchase, underwriting or similar agreement with respect to any Securities offered will have been duly authorized and validly executed and delivered by the Partnership and the other parties thereto;</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and</w:t>
      </w:r>
    </w:p>
    <w:p>
      <w:pPr>
        <w:spacing w:after="0" w:line="78" w:lineRule="exact"/>
        <w:rPr>
          <w:rFonts w:ascii="Arial" w:cs="Arial" w:eastAsia="Arial" w:hAnsi="Arial"/>
          <w:sz w:val="12"/>
          <w:szCs w:val="12"/>
          <w:color w:val="auto"/>
        </w:rPr>
      </w:pPr>
    </w:p>
    <w:p>
      <w:pPr>
        <w:ind w:left="160" w:firstLine="2"/>
        <w:spacing w:after="0" w:line="378" w:lineRule="auto"/>
        <w:tabs>
          <w:tab w:leader="none" w:pos="345"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any Securities issuable upon conversion, exchange or exercise of any Security being offered will be duly authorized, created and, if appropriate, reserved for issuance upon such conversion, exchange or exercise. Based upon and subject to the foregoing, we are of the opinion that:</w:t>
      </w:r>
    </w:p>
    <w:p>
      <w:pPr>
        <w:spacing w:after="0" w:line="1" w:lineRule="exact"/>
        <w:rPr>
          <w:sz w:val="20"/>
          <w:szCs w:val="20"/>
          <w:color w:val="auto"/>
        </w:rPr>
      </w:pPr>
    </w:p>
    <w:p>
      <w:pPr>
        <w:ind w:right="20" w:firstLine="162"/>
        <w:spacing w:after="0" w:line="264" w:lineRule="auto"/>
        <w:tabs>
          <w:tab w:leader="none" w:pos="347" w:val="left"/>
        </w:tabs>
        <w:numPr>
          <w:ilvl w:val="0"/>
          <w:numId w:val="63"/>
        </w:numPr>
        <w:rPr>
          <w:rFonts w:ascii="Arial" w:cs="Arial" w:eastAsia="Arial" w:hAnsi="Arial"/>
          <w:sz w:val="13"/>
          <w:szCs w:val="13"/>
          <w:color w:val="auto"/>
        </w:rPr>
      </w:pPr>
      <w:r>
        <w:rPr>
          <w:rFonts w:ascii="Arial" w:cs="Arial" w:eastAsia="Arial" w:hAnsi="Arial"/>
          <w:sz w:val="13"/>
          <w:szCs w:val="13"/>
          <w:color w:val="auto"/>
        </w:rPr>
        <w:t>With respect to the Units, when (i) the Partnership has taken all necessary action to approve the issuance of such Units, the terms of the offering thereof and related matters and (ii) the Units have been issued and delivered in accordance with the terms of the applicable definitive purchase, underwriting or similar agreement approved by the Partnership upon payment of the consideration thereof or provided for therein, then the Units will be validly issued, fully paid and non-assessable.</w:t>
      </w:r>
    </w:p>
    <w:p>
      <w:pPr>
        <w:spacing w:after="0" w:line="57" w:lineRule="exact"/>
        <w:rPr>
          <w:rFonts w:ascii="Arial" w:cs="Arial" w:eastAsia="Arial" w:hAnsi="Arial"/>
          <w:sz w:val="13"/>
          <w:szCs w:val="13"/>
          <w:color w:val="auto"/>
        </w:rPr>
      </w:pPr>
    </w:p>
    <w:p>
      <w:pPr>
        <w:ind w:right="20" w:firstLine="162"/>
        <w:spacing w:after="0" w:line="256" w:lineRule="auto"/>
        <w:tabs>
          <w:tab w:leader="none" w:pos="347" w:val="left"/>
        </w:tabs>
        <w:numPr>
          <w:ilvl w:val="0"/>
          <w:numId w:val="63"/>
        </w:numPr>
        <w:rPr>
          <w:rFonts w:ascii="Arial" w:cs="Arial" w:eastAsia="Arial" w:hAnsi="Arial"/>
          <w:sz w:val="13"/>
          <w:szCs w:val="13"/>
          <w:color w:val="auto"/>
        </w:rPr>
      </w:pPr>
      <w:r>
        <w:rPr>
          <w:rFonts w:ascii="Arial" w:cs="Arial" w:eastAsia="Arial" w:hAnsi="Arial"/>
          <w:sz w:val="13"/>
          <w:szCs w:val="13"/>
          <w:color w:val="auto"/>
        </w:rPr>
        <w:t>With respect to the Debt Securities and the Guarantees, when (i) the applicable Indenture has been duly qualified under the Trust Indenture Act of 1939, as amended; (ii) the Partnership, PAA Finance and the Subsidiary Guarantors, as applicable, have taken all necessary action to approve the issuance and terms of such Debt Securities and Guarantees, the terms of the offering thereof and related matters; and (iii) such Debt Securities have been duly executed, authenticated, issued and delivered in accordance with the provisions of the applicable Indenture and the applicable definitive purchase, underwriting or similar agreement approved by the Partnership, PAA Finance and the Subsidiary Guarantors, as applicable, upon payment of the consideration thereof or provided for therein, such Debt Securities and Guarantees will be legally issued and will constitute valid and legally binding obligations of the Partnership, PAA Finance and the Subsidiary Guarantors, as applicable, enforceable against the Partnership, PAA Finance and the Subsidiary Guarantors, as applicable, in accordance with their terms, except as such enforcement may be subject to any applicable bankruptcy, insolvency, reorganization, fraudulent conveyance or other law relating to or affecting creditors’ rights generally and general principles of equity.</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opinions expressed herein are qualified in the following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64" w:name="page65"/>
    <w:bookmarkEnd w:id="64"/>
    <w:p>
      <w:pPr>
        <w:ind w:right="40" w:firstLine="162"/>
        <w:spacing w:after="0" w:line="276" w:lineRule="auto"/>
        <w:tabs>
          <w:tab w:leader="none" w:pos="347" w:val="left"/>
        </w:tabs>
        <w:numPr>
          <w:ilvl w:val="0"/>
          <w:numId w:val="64"/>
        </w:numPr>
        <w:rPr>
          <w:rFonts w:ascii="Arial" w:cs="Arial" w:eastAsia="Arial" w:hAnsi="Arial"/>
          <w:sz w:val="13"/>
          <w:szCs w:val="13"/>
          <w:color w:val="auto"/>
        </w:rPr>
      </w:pPr>
      <w:r>
        <w:rPr>
          <w:rFonts w:ascii="Arial" w:cs="Arial" w:eastAsia="Arial" w:hAnsi="Arial"/>
          <w:sz w:val="13"/>
          <w:szCs w:val="13"/>
          <w:color w:val="auto"/>
        </w:rPr>
        <w:t>We have assumed, without independent verification, that the certificates for the Units will conform to the specimens thereof examined by us and will have been duly countersigned by a transfer agent and duly registered by a registrar of the Units.</w:t>
      </w:r>
    </w:p>
    <w:p>
      <w:pPr>
        <w:spacing w:after="0" w:line="49" w:lineRule="exact"/>
        <w:rPr>
          <w:rFonts w:ascii="Arial" w:cs="Arial" w:eastAsia="Arial" w:hAnsi="Arial"/>
          <w:sz w:val="13"/>
          <w:szCs w:val="13"/>
          <w:color w:val="auto"/>
        </w:rPr>
      </w:pPr>
    </w:p>
    <w:p>
      <w:pPr>
        <w:ind w:right="100" w:firstLine="162"/>
        <w:spacing w:after="0" w:line="264" w:lineRule="auto"/>
        <w:tabs>
          <w:tab w:leader="none" w:pos="347" w:val="left"/>
        </w:tabs>
        <w:numPr>
          <w:ilvl w:val="0"/>
          <w:numId w:val="64"/>
        </w:numPr>
        <w:rPr>
          <w:rFonts w:ascii="Arial" w:cs="Arial" w:eastAsia="Arial" w:hAnsi="Arial"/>
          <w:sz w:val="13"/>
          <w:szCs w:val="13"/>
          <w:color w:val="auto"/>
        </w:rPr>
      </w:pPr>
      <w:r>
        <w:rPr>
          <w:rFonts w:ascii="Arial" w:cs="Arial" w:eastAsia="Arial" w:hAnsi="Arial"/>
          <w:sz w:val="13"/>
          <w:szCs w:val="13"/>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57" w:lineRule="exact"/>
        <w:rPr>
          <w:rFonts w:ascii="Arial" w:cs="Arial" w:eastAsia="Arial" w:hAnsi="Arial"/>
          <w:sz w:val="13"/>
          <w:szCs w:val="13"/>
          <w:color w:val="auto"/>
        </w:rPr>
      </w:pPr>
    </w:p>
    <w:p>
      <w:pPr>
        <w:ind w:firstLine="162"/>
        <w:spacing w:after="0" w:line="276" w:lineRule="auto"/>
        <w:tabs>
          <w:tab w:leader="none" w:pos="347"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This opinion is limited in all respects to federal laws, the Delaware Revised Uniform Limited Partnership Act and the Constitution of the State of Delaware, as interpreted by the courts of the State of Delaware and of the United States.</w:t>
      </w:r>
    </w:p>
    <w:p>
      <w:pPr>
        <w:spacing w:after="0" w:line="49" w:lineRule="exact"/>
        <w:rPr>
          <w:sz w:val="20"/>
          <w:szCs w:val="20"/>
          <w:color w:val="auto"/>
        </w:rPr>
      </w:pPr>
    </w:p>
    <w:p>
      <w:pPr>
        <w:ind w:right="60" w:firstLine="161"/>
        <w:spacing w:after="0" w:line="320" w:lineRule="auto"/>
        <w:rPr>
          <w:sz w:val="20"/>
          <w:szCs w:val="20"/>
          <w:color w:val="auto"/>
        </w:rPr>
      </w:pPr>
      <w:r>
        <w:rPr>
          <w:rFonts w:ascii="Arial" w:cs="Arial" w:eastAsia="Arial" w:hAnsi="Arial"/>
          <w:sz w:val="12"/>
          <w:szCs w:val="12"/>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Securities and Exchange Commission issued thereunder.</w:t>
      </w:r>
    </w:p>
    <w:p>
      <w:pPr>
        <w:spacing w:after="0" w:line="10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VINSON &amp; ELKINS L.L.P.</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220" w:top="720" w:right="399" w:bottom="1440" w:gutter="0" w:footer="0" w:header="0"/>
        </w:sectPr>
      </w:pPr>
    </w:p>
    <w:bookmarkStart w:id="65" w:name="page66"/>
    <w:bookmarkEnd w:id="65"/>
    <w:p>
      <w:pPr>
        <w:spacing w:after="0"/>
        <w:rPr>
          <w:sz w:val="20"/>
          <w:szCs w:val="20"/>
          <w:color w:val="auto"/>
        </w:rPr>
      </w:pPr>
      <w:r>
        <w:rPr>
          <w:rFonts w:ascii="Arial" w:cs="Arial" w:eastAsia="Arial" w:hAnsi="Arial"/>
          <w:sz w:val="13"/>
          <w:szCs w:val="13"/>
          <w:u w:val="single" w:color="auto"/>
          <w:color w:val="auto"/>
        </w:rPr>
        <w:t>Addresses</w:t>
      </w:r>
      <w:r>
        <w:rPr>
          <w:rFonts w:ascii="Arial" w:cs="Arial" w:eastAsia="Arial" w:hAnsi="Arial"/>
          <w:sz w:val="13"/>
          <w:szCs w:val="13"/>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Plains All American Pipeline, L.P.</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PAA Finance Corp.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Plains Marketing,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Plains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Plains Marketing GP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Plains Marketing Canada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Plains Marketing Canada,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607 Eighth Avenue, S.W.</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Suite 1400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Calgary, Alberta T2P 0A7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Canada</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PMC (Nova Scotia) Company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607 Eighth Avenue, S.W.</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Suite 1400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Calgary, Alberta T2P 0A7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1035" w:right="1440" w:bottom="1440" w:gutter="0" w:footer="0" w:header="0"/>
        </w:sectPr>
      </w:pPr>
    </w:p>
    <w:bookmarkStart w:id="66" w:name="page67"/>
    <w:bookmarkEnd w:id="66"/>
    <w:p>
      <w:pPr>
        <w:spacing w:after="0"/>
        <w:rPr>
          <w:sz w:val="20"/>
          <w:szCs w:val="20"/>
          <w:color w:val="auto"/>
        </w:rPr>
      </w:pPr>
      <w:r>
        <w:rPr>
          <w:rFonts w:ascii="Arial" w:cs="Arial" w:eastAsia="Arial" w:hAnsi="Arial"/>
          <w:sz w:val="13"/>
          <w:szCs w:val="13"/>
          <w:color w:val="auto"/>
        </w:rPr>
        <w:t>Basin Holdings GP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Basin Pipeline Holdings,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Rancho LPG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Pacific Energy Group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Pacific L.A. Marine Terminal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Rocky Mountain Pipeline System LLC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Pacific Atlantic Terminals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67" w:name="page68"/>
    <w:bookmarkEnd w:id="67"/>
    <w:p>
      <w:pPr>
        <w:spacing w:after="0"/>
        <w:rPr>
          <w:sz w:val="20"/>
          <w:szCs w:val="20"/>
          <w:color w:val="auto"/>
        </w:rPr>
      </w:pPr>
      <w:r>
        <w:rPr>
          <w:rFonts w:ascii="Arial" w:cs="Arial" w:eastAsia="Arial" w:hAnsi="Arial"/>
          <w:sz w:val="13"/>
          <w:szCs w:val="13"/>
          <w:color w:val="auto"/>
        </w:rPr>
        <w:t>Plains Towing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Plains LPG Services GP LLC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PICSCO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Plains LPG Services,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Plains Midstream GP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Plains Midstream,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Lone Star Trucking, LLC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Phone: (713) 646-4100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Fax: (713) 646-4572</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Aurora Pipeline Company Ltd.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607 Eighth Avenue, S.W.</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Suite 1400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Calgary, Alberta T2P 0A7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68" w:name="page69"/>
    <w:bookmarkEnd w:id="68"/>
    <w:p>
      <w:pPr>
        <w:spacing w:after="0"/>
        <w:rPr>
          <w:sz w:val="20"/>
          <w:szCs w:val="20"/>
          <w:color w:val="auto"/>
        </w:rPr>
      </w:pPr>
      <w:r>
        <w:rPr>
          <w:rFonts w:ascii="Arial" w:cs="Arial" w:eastAsia="Arial" w:hAnsi="Arial"/>
          <w:sz w:val="11"/>
          <w:szCs w:val="11"/>
          <w:color w:val="auto"/>
        </w:rPr>
        <w:t>Plains Midstream Canada ULC</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607 Eighth Avenue, S.W.</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Suite 1400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Calgary, Alberta T2P 0A7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Canada</w:t>
      </w:r>
    </w:p>
    <w:p>
      <w:pPr>
        <w:sectPr>
          <w:pgSz w:w="11900" w:h="16838" w:orient="portrait"/>
          <w:cols w:equalWidth="0" w:num="1">
            <w:col w:w="10239"/>
          </w:cols>
          <w:pgMar w:left="220" w:top="720"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3"/>
          <w:szCs w:val="13"/>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1073785" cy="2311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73785" cy="23114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November 25,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158"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2"/>
          <w:szCs w:val="12"/>
          <w:color w:val="auto"/>
        </w:rPr>
        <w:t>PLAINS ALL AMERICAN PIPELINE, L.P. REGISTRATION STATEMENT ON FORM S-3</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40" w:firstLine="161"/>
        <w:spacing w:after="0" w:line="264" w:lineRule="auto"/>
        <w:rPr>
          <w:sz w:val="20"/>
          <w:szCs w:val="20"/>
          <w:color w:val="auto"/>
        </w:rPr>
      </w:pPr>
      <w:r>
        <w:rPr>
          <w:rFonts w:ascii="Arial" w:cs="Arial" w:eastAsia="Arial" w:hAnsi="Arial"/>
          <w:sz w:val="13"/>
          <w:szCs w:val="13"/>
          <w:color w:val="auto"/>
        </w:rPr>
        <w:t>We have acted as counsel for Plains All American Pipeline, L.P. (the “Partnership”), a Delaware limited partnership, with respect to the preparation of the Registration Statement on Form S-3 (the “Registration Statement”) filed on the date hereof with the Securities and Exchange Commission (the “Commission”) in connection with the registration by the Company under the Securities Act of 1933, as amended (the “Securities Act”), of the offer and sale by the Company from time to time, pursuant to Rule 415 under the Securities Act, of</w:t>
      </w:r>
    </w:p>
    <w:p>
      <w:pPr>
        <w:spacing w:after="0" w:line="57" w:lineRule="exact"/>
        <w:rPr>
          <w:sz w:val="20"/>
          <w:szCs w:val="20"/>
          <w:color w:val="auto"/>
        </w:rPr>
      </w:pPr>
    </w:p>
    <w:p>
      <w:pPr>
        <w:ind w:left="340" w:hanging="178"/>
        <w:spacing w:after="0"/>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limited partnership units representing limited partner interests in the Partnership (the “Units”);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unsecured debt securities, which may be issued in one or more series, consisting of notes, debentures or other evidences of indebtedness (the “Debt Securities”).</w:t>
      </w:r>
    </w:p>
    <w:p>
      <w:pPr>
        <w:spacing w:after="0" w:line="86" w:lineRule="exact"/>
        <w:rPr>
          <w:sz w:val="20"/>
          <w:szCs w:val="20"/>
          <w:color w:val="auto"/>
        </w:rPr>
      </w:pPr>
    </w:p>
    <w:p>
      <w:pPr>
        <w:ind w:right="220" w:firstLine="161"/>
        <w:spacing w:after="0" w:line="276" w:lineRule="auto"/>
        <w:rPr>
          <w:sz w:val="20"/>
          <w:szCs w:val="20"/>
          <w:color w:val="auto"/>
        </w:rPr>
      </w:pPr>
      <w:r>
        <w:rPr>
          <w:rFonts w:ascii="Arial" w:cs="Arial" w:eastAsia="Arial" w:hAnsi="Arial"/>
          <w:sz w:val="13"/>
          <w:szCs w:val="13"/>
          <w:color w:val="auto"/>
        </w:rPr>
        <w:t>We have also participated in the preparation of a Prospectus (the “Prospectus”) contained in the Registration Statement to which this opinion is an exhibit. In connection therewith, we prepared the discussion (the “Discussion”) set forth under the caption “Material Income Tax Considerations” in the Prospectus.</w:t>
      </w:r>
    </w:p>
    <w:p>
      <w:pPr>
        <w:spacing w:after="0" w:line="49" w:lineRule="exact"/>
        <w:rPr>
          <w:sz w:val="20"/>
          <w:szCs w:val="20"/>
          <w:color w:val="auto"/>
        </w:rPr>
      </w:pPr>
    </w:p>
    <w:p>
      <w:pPr>
        <w:ind w:right="80" w:firstLine="157"/>
        <w:spacing w:after="0" w:line="296" w:lineRule="auto"/>
        <w:rPr>
          <w:sz w:val="20"/>
          <w:szCs w:val="20"/>
          <w:color w:val="auto"/>
        </w:rPr>
      </w:pPr>
      <w:r>
        <w:rPr>
          <w:rFonts w:ascii="Arial" w:cs="Arial" w:eastAsia="Arial" w:hAnsi="Arial"/>
          <w:sz w:val="12"/>
          <w:szCs w:val="12"/>
          <w:color w:val="auto"/>
        </w:rPr>
        <w:t>All statements of legal conclusions contained in the Discussion, unless otherwise noted, are our opinion with respect to the matters set forth therein as of the effective date of the Prospectus, qualified by the limitations contained in the Discussion. In addition, we are of the opinion that the Discussion with respect to those matters as to which no legal conclusions are provided is an accurate discussion of such federal income tax matters (except for the representations and statements of fact by the Partnership and its general partner, included in the Discussion, as to which we express no opinion).</w:t>
      </w:r>
    </w:p>
    <w:p>
      <w:pPr>
        <w:spacing w:after="0" w:line="40"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We hereby consent to the filing of this opinion as an exhibit to the Registration Statement and to the use of our name in the Registration Statement. This consent does not constitute an admission that we are “experts” within the meaning of such term as used in the Securities Act, or the regulations promulgated thereunder by the Commission.</w:t>
      </w:r>
    </w:p>
    <w:p>
      <w:pPr>
        <w:spacing w:after="0" w:line="49"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Very truly yours,</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 VINSON &amp; ELKINS L.L.P.</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Vinson &amp; Elkins L.L.P.</w:t>
      </w:r>
    </w:p>
    <w:p>
      <w:pPr>
        <w:sectPr>
          <w:pgSz w:w="11900" w:h="16838" w:orient="portrait"/>
          <w:cols w:equalWidth="0" w:num="1">
            <w:col w:w="11460"/>
          </w:cols>
          <w:pgMar w:left="220" w:top="127" w:right="219" w:bottom="1440" w:gutter="0" w:footer="0" w:header="0"/>
        </w:sectPr>
      </w:pPr>
    </w:p>
    <w:p>
      <w:pPr>
        <w:spacing w:after="0" w:line="155" w:lineRule="exact"/>
        <w:rPr>
          <w:sz w:val="20"/>
          <w:szCs w:val="20"/>
          <w:color w:val="auto"/>
        </w:rPr>
      </w:pPr>
    </w:p>
    <w:p>
      <w:pPr>
        <w:ind w:right="1760"/>
        <w:spacing w:after="0" w:line="326" w:lineRule="auto"/>
        <w:rPr>
          <w:sz w:val="20"/>
          <w:szCs w:val="20"/>
          <w:color w:val="auto"/>
        </w:rPr>
      </w:pPr>
      <w:r>
        <w:rPr>
          <w:rFonts w:ascii="Arial" w:cs="Arial" w:eastAsia="Arial" w:hAnsi="Arial"/>
          <w:sz w:val="11"/>
          <w:szCs w:val="11"/>
          <w:b w:val="1"/>
          <w:bCs w:val="1"/>
          <w:color w:val="auto"/>
        </w:rPr>
        <w:t xml:space="preserve">Vinson &amp; Elkins LLP Attorneys at Law </w:t>
      </w:r>
      <w:r>
        <w:rPr>
          <w:rFonts w:ascii="Arial" w:cs="Arial" w:eastAsia="Arial" w:hAnsi="Arial"/>
          <w:sz w:val="11"/>
          <w:szCs w:val="11"/>
          <w:color w:val="auto"/>
        </w:rPr>
        <w:t>Austin Beijing Dallas Dubai</w:t>
      </w:r>
      <w:r>
        <w:rPr>
          <w:rFonts w:ascii="Arial" w:cs="Arial" w:eastAsia="Arial" w:hAnsi="Arial"/>
          <w:sz w:val="11"/>
          <w:szCs w:val="11"/>
          <w:b w:val="1"/>
          <w:bCs w:val="1"/>
          <w:color w:val="auto"/>
        </w:rPr>
        <w:t xml:space="preserve"> </w:t>
      </w:r>
      <w:r>
        <w:rPr>
          <w:rFonts w:ascii="Arial" w:cs="Arial" w:eastAsia="Arial" w:hAnsi="Arial"/>
          <w:sz w:val="11"/>
          <w:szCs w:val="11"/>
          <w:color w:val="auto"/>
        </w:rPr>
        <w:t>Houston London Moscow New York Shanghai Tokyo Washington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9"/>
          <w:szCs w:val="9"/>
          <w:color w:val="auto"/>
        </w:rPr>
        <w:t>First City Tower, 1001 Fannin Street, Suite 2300, Houston, TX 77002</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713.758.2222</w:t>
      </w:r>
      <w:r>
        <w:rPr>
          <w:rFonts w:ascii="Arial" w:cs="Arial" w:eastAsia="Arial" w:hAnsi="Arial"/>
          <w:sz w:val="12"/>
          <w:szCs w:val="12"/>
          <w:b w:val="1"/>
          <w:bCs w:val="1"/>
          <w:color w:val="auto"/>
        </w:rPr>
        <w:t xml:space="preserve"> Fax </w:t>
      </w:r>
      <w:r>
        <w:rPr>
          <w:rFonts w:ascii="Arial" w:cs="Arial" w:eastAsia="Arial" w:hAnsi="Arial"/>
          <w:sz w:val="12"/>
          <w:szCs w:val="12"/>
          <w:color w:val="auto"/>
        </w:rPr>
        <w:t>713.758.2346</w:t>
      </w:r>
      <w:r>
        <w:rPr>
          <w:rFonts w:ascii="Arial" w:cs="Arial" w:eastAsia="Arial" w:hAnsi="Arial"/>
          <w:sz w:val="12"/>
          <w:szCs w:val="12"/>
          <w:b w:val="1"/>
          <w:bCs w:val="1"/>
          <w:color w:val="auto"/>
        </w:rPr>
        <w:t xml:space="preserve"> www.velaw.com</w:t>
      </w:r>
    </w:p>
    <w:p>
      <w:pPr>
        <w:sectPr>
          <w:pgSz w:w="11900" w:h="16838" w:orient="portrait"/>
          <w:cols w:equalWidth="0" w:num="2">
            <w:col w:w="5120" w:space="720"/>
            <w:col w:w="5620"/>
          </w:cols>
          <w:pgMar w:left="220" w:top="127" w:right="21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auto"/>
        </w:rPr>
        <w:t>Exhibit 12.1</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Plains All American Pipeline, L.P.</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Statement of Computation of Ratio of Earnings to Fixed Charges</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(in thousands)</w:t>
      </w:r>
    </w:p>
    <w:p>
      <w:pPr>
        <w:spacing w:after="0" w:line="149" w:lineRule="exact"/>
        <w:rPr>
          <w:sz w:val="20"/>
          <w:szCs w:val="20"/>
          <w:color w:val="auto"/>
        </w:rPr>
      </w:pPr>
    </w:p>
    <w:tbl>
      <w:tblPr>
        <w:tblLayout w:type="fixed"/>
        <w:tblInd w:w="1"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6"/>
              </w:rPr>
              <w:t>Nine Months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gridSpan w:val="4"/>
            <w:vMerge w:val="restart"/>
          </w:tcPr>
          <w:p>
            <w:pPr>
              <w:jc w:val="right"/>
              <w:ind w:right="460"/>
              <w:spacing w:after="0"/>
              <w:rPr>
                <w:sz w:val="20"/>
                <w:szCs w:val="20"/>
                <w:color w:val="auto"/>
              </w:rPr>
            </w:pPr>
            <w:r>
              <w:rPr>
                <w:rFonts w:ascii="Arial" w:cs="Arial" w:eastAsia="Arial" w:hAnsi="Arial"/>
                <w:sz w:val="10"/>
                <w:szCs w:val="10"/>
                <w:b w:val="1"/>
                <w:bCs w:val="1"/>
                <w:color w:val="auto"/>
              </w:rPr>
              <w:t>Year Ended December 31,</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4"/>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08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rPr>
              <w:t>September 30,</w:t>
            </w: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56"/>
              <w:spacing w:after="0"/>
              <w:rPr>
                <w:sz w:val="20"/>
                <w:szCs w:val="20"/>
                <w:color w:val="auto"/>
              </w:rPr>
            </w:pPr>
            <w:r>
              <w:rPr>
                <w:rFonts w:ascii="Arial" w:cs="Arial" w:eastAsia="Arial" w:hAnsi="Arial"/>
                <w:sz w:val="10"/>
                <w:szCs w:val="10"/>
                <w:b w:val="1"/>
                <w:bCs w:val="1"/>
                <w:color w:val="auto"/>
              </w:rPr>
              <w:t>2005</w:t>
            </w: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jc w:val="right"/>
              <w:ind w:right="156"/>
              <w:spacing w:after="0"/>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jc w:val="right"/>
              <w:ind w:right="176"/>
              <w:spacing w:after="0"/>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77"/>
              <w:spacing w:after="0"/>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EARNINGS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ind w:left="120"/>
              <w:spacing w:after="0" w:line="149" w:lineRule="exact"/>
              <w:rPr>
                <w:sz w:val="20"/>
                <w:szCs w:val="20"/>
                <w:color w:val="auto"/>
              </w:rPr>
            </w:pPr>
            <w:r>
              <w:rPr>
                <w:rFonts w:ascii="Arial" w:cs="Arial" w:eastAsia="Arial" w:hAnsi="Arial"/>
                <w:sz w:val="13"/>
                <w:szCs w:val="13"/>
                <w:color w:val="auto"/>
              </w:rPr>
              <w:t>Income from continuing operations before income from</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tcPr>
          <w:p>
            <w:pPr>
              <w:ind w:left="280"/>
              <w:spacing w:after="0"/>
              <w:rPr>
                <w:sz w:val="20"/>
                <w:szCs w:val="20"/>
                <w:color w:val="auto"/>
              </w:rPr>
            </w:pPr>
            <w:r>
              <w:rPr>
                <w:rFonts w:ascii="Arial" w:cs="Arial" w:eastAsia="Arial" w:hAnsi="Arial"/>
                <w:sz w:val="13"/>
                <w:szCs w:val="13"/>
                <w:color w:val="auto"/>
              </w:rPr>
              <w:t>equity investees (1)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328</w:t>
            </w:r>
          </w:p>
        </w:tc>
        <w:tc>
          <w:tcPr>
            <w:tcW w:w="46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350</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278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216</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130</w:t>
            </w:r>
          </w:p>
        </w:tc>
        <w:tc>
          <w:tcPr>
            <w:tcW w:w="4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 Fixed charges</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194</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149</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Pr>
          <w:p>
            <w:pPr>
              <w:ind w:left="120"/>
              <w:spacing w:after="0"/>
              <w:rPr>
                <w:sz w:val="20"/>
                <w:szCs w:val="20"/>
                <w:color w:val="auto"/>
              </w:rPr>
            </w:pPr>
            <w:r>
              <w:rPr>
                <w:rFonts w:ascii="Arial" w:cs="Arial" w:eastAsia="Arial" w:hAnsi="Arial"/>
                <w:sz w:val="13"/>
                <w:szCs w:val="13"/>
                <w:color w:val="auto"/>
              </w:rPr>
              <w:t>Distributed income of equity investees</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1</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capitalized interest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Pr>
          <w:p>
            <w:pPr>
              <w:ind w:left="120"/>
              <w:spacing w:after="0"/>
              <w:rPr>
                <w:sz w:val="20"/>
                <w:szCs w:val="20"/>
                <w:color w:val="auto"/>
              </w:rPr>
            </w:pPr>
            <w:r>
              <w:rPr>
                <w:rFonts w:ascii="Arial" w:cs="Arial" w:eastAsia="Arial" w:hAnsi="Arial"/>
                <w:sz w:val="13"/>
                <w:szCs w:val="13"/>
                <w:color w:val="auto"/>
              </w:rPr>
              <w:t>less: Capitalized interest</w:t>
            </w:r>
          </w:p>
        </w:tc>
        <w:tc>
          <w:tcPr>
            <w:tcW w:w="12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(14)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(6)</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Earnings (1)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w:t>
            </w: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422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307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4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314"/>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FIXED CHARGES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expensed and capitalized (2)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172</w:t>
            </w:r>
          </w:p>
        </w:tc>
        <w:tc>
          <w:tcPr>
            <w:tcW w:w="4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141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85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4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Pr>
          <w:p>
            <w:pPr>
              <w:ind w:left="120"/>
              <w:spacing w:after="0"/>
              <w:rPr>
                <w:sz w:val="20"/>
                <w:szCs w:val="20"/>
                <w:color w:val="auto"/>
              </w:rPr>
            </w:pPr>
            <w:r>
              <w:rPr>
                <w:rFonts w:ascii="Arial" w:cs="Arial" w:eastAsia="Arial" w:hAnsi="Arial"/>
                <w:sz w:val="13"/>
                <w:szCs w:val="13"/>
                <w:color w:val="auto"/>
              </w:rPr>
              <w:t>Amortization of debt expense</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3</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Portion of rent expense related to interest (33%)</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120"/>
              <w:spacing w:after="0"/>
              <w:rPr>
                <w:sz w:val="20"/>
                <w:szCs w:val="20"/>
                <w:color w:val="auto"/>
              </w:rPr>
            </w:pPr>
            <w:r>
              <w:rPr>
                <w:rFonts w:ascii="Arial" w:cs="Arial" w:eastAsia="Arial" w:hAnsi="Arial"/>
                <w:sz w:val="13"/>
                <w:szCs w:val="13"/>
                <w:color w:val="auto"/>
              </w:rPr>
              <w:t>Total Fixed Charges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194</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149</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92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RATIO OF EARNINGS TO FIXED CHARGES (3)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2.66 x</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2.45 x</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2.83 x</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3.34 x</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3.37 x</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2.35 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31064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37" w:lineRule="exact"/>
        <w:rPr>
          <w:sz w:val="20"/>
          <w:szCs w:val="20"/>
          <w:color w:val="auto"/>
        </w:rPr>
      </w:pPr>
    </w:p>
    <w:p>
      <w:pPr>
        <w:ind w:left="461" w:hanging="461"/>
        <w:spacing w:after="0" w:line="264" w:lineRule="auto"/>
        <w:tabs>
          <w:tab w:leader="none" w:pos="461" w:val="left"/>
        </w:tabs>
        <w:numPr>
          <w:ilvl w:val="0"/>
          <w:numId w:val="66"/>
        </w:numPr>
        <w:rPr>
          <w:rFonts w:ascii="Arial" w:cs="Arial" w:eastAsia="Arial" w:hAnsi="Arial"/>
          <w:sz w:val="13"/>
          <w:szCs w:val="13"/>
          <w:color w:val="auto"/>
        </w:rPr>
      </w:pPr>
      <w:r>
        <w:rPr>
          <w:rFonts w:ascii="Arial" w:cs="Arial" w:eastAsia="Arial" w:hAnsi="Arial"/>
          <w:sz w:val="13"/>
          <w:szCs w:val="13"/>
          <w:color w:val="auto"/>
        </w:rPr>
        <w:t>For purposes of computing the ratio of earnings to fixed charges, “earnings” consists of pretax income from continuing operations plus fixed charges (excluding capitalized interest), distributed income of equity investees and amortization of capitalized interest. “Fixed charges” represents interest incurred (whether expensed or capitalized), amortization of debt expense and that portion of rental expense on operating leases deemed to be the equivalent of interest.</w:t>
      </w:r>
    </w:p>
    <w:p>
      <w:pPr>
        <w:spacing w:after="0" w:line="27" w:lineRule="exact"/>
        <w:rPr>
          <w:rFonts w:ascii="Arial" w:cs="Arial" w:eastAsia="Arial" w:hAnsi="Arial"/>
          <w:sz w:val="13"/>
          <w:szCs w:val="13"/>
          <w:color w:val="auto"/>
        </w:rPr>
      </w:pPr>
    </w:p>
    <w:p>
      <w:pPr>
        <w:ind w:left="461" w:right="160" w:hanging="461"/>
        <w:spacing w:after="0" w:line="276" w:lineRule="auto"/>
        <w:tabs>
          <w:tab w:leader="none" w:pos="461"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Includes interest costs attributable to borrowings for inventory stored in a contango market of $15 million for the nine months ended September 30, 2008 and $44 million, $49 million, $24 million, $2 million and $1 million for each of the years ended December 31, 2007, 2006, 2005, 2004 and 2003, respectively.</w:t>
      </w:r>
    </w:p>
    <w:p>
      <w:pPr>
        <w:spacing w:after="0" w:line="19" w:lineRule="exact"/>
        <w:rPr>
          <w:rFonts w:ascii="Arial" w:cs="Arial" w:eastAsia="Arial" w:hAnsi="Arial"/>
          <w:sz w:val="13"/>
          <w:szCs w:val="13"/>
          <w:color w:val="auto"/>
        </w:rPr>
      </w:pPr>
    </w:p>
    <w:p>
      <w:pPr>
        <w:ind w:left="461" w:hanging="461"/>
        <w:spacing w:after="0"/>
        <w:tabs>
          <w:tab w:leader="none" w:pos="461" w:val="left"/>
        </w:tabs>
        <w:numPr>
          <w:ilvl w:val="0"/>
          <w:numId w:val="66"/>
        </w:numPr>
        <w:rPr>
          <w:rFonts w:ascii="Arial" w:cs="Arial" w:eastAsia="Arial" w:hAnsi="Arial"/>
          <w:sz w:val="13"/>
          <w:szCs w:val="13"/>
          <w:color w:val="auto"/>
        </w:rPr>
      </w:pPr>
      <w:r>
        <w:rPr>
          <w:rFonts w:ascii="Arial" w:cs="Arial" w:eastAsia="Arial" w:hAnsi="Arial"/>
          <w:sz w:val="13"/>
          <w:szCs w:val="13"/>
          <w:color w:val="auto"/>
        </w:rPr>
        <w:t>Ratios may not recalculate due to rounding.</w:t>
      </w:r>
    </w:p>
    <w:p>
      <w:pPr>
        <w:sectPr>
          <w:pgSz w:w="11900" w:h="16838" w:orient="portrait"/>
          <w:cols w:equalWidth="0" w:num="1">
            <w:col w:w="11461"/>
          </w:cols>
          <w:pgMar w:left="219" w:top="127"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140"/>
        <w:spacing w:after="0" w:line="260" w:lineRule="auto"/>
        <w:rPr>
          <w:sz w:val="20"/>
          <w:szCs w:val="20"/>
          <w:color w:val="auto"/>
        </w:rPr>
      </w:pPr>
      <w:r>
        <w:rPr>
          <w:rFonts w:ascii="Arial" w:cs="Arial" w:eastAsia="Arial" w:hAnsi="Arial"/>
          <w:sz w:val="13"/>
          <w:szCs w:val="13"/>
          <w:color w:val="auto"/>
        </w:rPr>
        <w:t>We hereby consent to the incorporation by reference in this Registration Statement on Form S-3 of our report dated February 28, 2008 relating to the financial statements and the effectiveness of internal control over financial reporting, which appears in Plains All American Pipeline, L.P.’s Annual Report on Form 10-K for the year ended December 31, 2007. We also consent to the incorporation by reference of our report dated March 7, 2008 relating to the balance sheet of PAA GP, LLC, which appears in Plains All American Pipeline, L.P.’s Current Report on Form 8-K filed on March 10, 2008. We also consent to the references to us under the headings “Experts” in such Registration Statement.</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25, 2008</w:t>
      </w:r>
    </w:p>
    <w:p>
      <w:pPr>
        <w:sectPr>
          <w:pgSz w:w="11900" w:h="16838" w:orient="portrait"/>
          <w:cols w:equalWidth="0" w:num="1">
            <w:col w:w="11460"/>
          </w:cols>
          <w:pgMar w:left="220" w:top="127" w:right="219" w:bottom="1440" w:gutter="0" w:footer="0" w:header="0"/>
        </w:sectPr>
      </w:pPr>
    </w:p>
    <w:bookmarkStart w:id="72" w:name="page73"/>
    <w:bookmarkEnd w:id="72"/>
    <w:p>
      <w:pPr>
        <w:jc w:val="right"/>
        <w:spacing w:after="0"/>
        <w:rPr>
          <w:sz w:val="20"/>
          <w:szCs w:val="20"/>
          <w:color w:val="auto"/>
        </w:rPr>
      </w:pPr>
      <w:r>
        <w:rPr>
          <w:rFonts w:ascii="Arial" w:cs="Arial" w:eastAsia="Arial" w:hAnsi="Arial"/>
          <w:sz w:val="13"/>
          <w:szCs w:val="13"/>
          <w:b w:val="1"/>
          <w:bCs w:val="1"/>
          <w:color w:val="auto"/>
        </w:rPr>
        <w:t>Exhibit 25.1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rPr>
              <w:t>SECURITIES AND EXCHANGE COMMISSION</w:t>
            </w:r>
          </w:p>
        </w:tc>
        <w:tc>
          <w:tcPr>
            <w:tcW w:w="3920" w:type="dxa"/>
            <w:vAlign w:val="bottom"/>
          </w:tcPr>
          <w:p>
            <w:pPr>
              <w:spacing w:after="0"/>
              <w:rPr>
                <w:sz w:val="13"/>
                <w:szCs w:val="13"/>
                <w:color w:val="auto"/>
              </w:rPr>
            </w:pPr>
          </w:p>
        </w:tc>
      </w:tr>
      <w:tr>
        <w:trPr>
          <w:trHeight w:val="169"/>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0"/>
              </w:rPr>
              <w:t>Washington, D.C. 20549</w:t>
            </w:r>
          </w:p>
        </w:tc>
        <w:tc>
          <w:tcPr>
            <w:tcW w:w="3920" w:type="dxa"/>
            <w:vAlign w:val="bottom"/>
          </w:tcPr>
          <w:p>
            <w:pPr>
              <w:spacing w:after="0"/>
              <w:rPr>
                <w:sz w:val="14"/>
                <w:szCs w:val="14"/>
                <w:color w:val="auto"/>
              </w:rPr>
            </w:pPr>
          </w:p>
        </w:tc>
      </w:tr>
      <w:tr>
        <w:trPr>
          <w:trHeight w:val="208"/>
        </w:trPr>
        <w:tc>
          <w:tcPr>
            <w:tcW w:w="42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74"/>
        </w:trPr>
        <w:tc>
          <w:tcPr>
            <w:tcW w:w="4240" w:type="dxa"/>
            <w:vAlign w:val="bottom"/>
          </w:tcPr>
          <w:p>
            <w:pPr>
              <w:spacing w:after="0"/>
              <w:rPr>
                <w:sz w:val="23"/>
                <w:szCs w:val="2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rPr>
              <w:t>FORM T-1</w:t>
            </w:r>
          </w:p>
        </w:tc>
        <w:tc>
          <w:tcPr>
            <w:tcW w:w="3920" w:type="dxa"/>
            <w:vAlign w:val="bottom"/>
          </w:tcPr>
          <w:p>
            <w:pPr>
              <w:spacing w:after="0"/>
              <w:rPr>
                <w:sz w:val="23"/>
                <w:szCs w:val="23"/>
                <w:color w:val="auto"/>
              </w:rPr>
            </w:pPr>
          </w:p>
        </w:tc>
      </w:tr>
      <w:tr>
        <w:trPr>
          <w:trHeight w:val="224"/>
        </w:trPr>
        <w:tc>
          <w:tcPr>
            <w:tcW w:w="4240" w:type="dxa"/>
            <w:vAlign w:val="bottom"/>
          </w:tcPr>
          <w:p>
            <w:pPr>
              <w:spacing w:after="0"/>
              <w:rPr>
                <w:sz w:val="19"/>
                <w:szCs w:val="19"/>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rPr>
              <w:t>STATEMENT OF ELIGIBILITY UNDER</w:t>
            </w:r>
          </w:p>
        </w:tc>
        <w:tc>
          <w:tcPr>
            <w:tcW w:w="3920" w:type="dxa"/>
            <w:vAlign w:val="bottom"/>
          </w:tcPr>
          <w:p>
            <w:pPr>
              <w:spacing w:after="0"/>
              <w:rPr>
                <w:sz w:val="19"/>
                <w:szCs w:val="19"/>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rPr>
              <w:t>THE TRUST INDENTURE ACT OF 1939 OF A</w:t>
            </w:r>
          </w:p>
        </w:tc>
        <w:tc>
          <w:tcPr>
            <w:tcW w:w="3920" w:type="dxa"/>
            <w:vAlign w:val="bottom"/>
          </w:tcPr>
          <w:p>
            <w:pPr>
              <w:spacing w:after="0"/>
              <w:rPr>
                <w:sz w:val="13"/>
                <w:szCs w:val="13"/>
                <w:color w:val="auto"/>
              </w:rPr>
            </w:pPr>
          </w:p>
        </w:tc>
      </w:tr>
      <w:tr>
        <w:trPr>
          <w:trHeight w:val="161"/>
        </w:trPr>
        <w:tc>
          <w:tcPr>
            <w:tcW w:w="7540" w:type="dxa"/>
            <w:vAlign w:val="bottom"/>
            <w:gridSpan w:val="7"/>
          </w:tcPr>
          <w:p>
            <w:pPr>
              <w:jc w:val="center"/>
              <w:ind w:left="3854"/>
              <w:spacing w:after="0"/>
              <w:rPr>
                <w:sz w:val="20"/>
                <w:szCs w:val="20"/>
                <w:color w:val="auto"/>
              </w:rPr>
            </w:pPr>
            <w:r>
              <w:rPr>
                <w:rFonts w:ascii="Arial" w:cs="Arial" w:eastAsia="Arial" w:hAnsi="Arial"/>
                <w:sz w:val="13"/>
                <w:szCs w:val="13"/>
                <w:b w:val="1"/>
                <w:bCs w:val="1"/>
                <w:color w:val="auto"/>
              </w:rPr>
              <w:t>CORPORATION DESIGNATED TO ACT AS TRUSTEE</w:t>
            </w:r>
          </w:p>
        </w:tc>
        <w:tc>
          <w:tcPr>
            <w:tcW w:w="3920" w:type="dxa"/>
            <w:vAlign w:val="bottom"/>
          </w:tcPr>
          <w:p>
            <w:pPr>
              <w:spacing w:after="0"/>
              <w:rPr>
                <w:sz w:val="14"/>
                <w:szCs w:val="14"/>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6"/>
              </w:rPr>
              <w:t>Check if an Application to Determine Eligibility of</w:t>
            </w:r>
          </w:p>
        </w:tc>
        <w:tc>
          <w:tcPr>
            <w:tcW w:w="3920" w:type="dxa"/>
            <w:vAlign w:val="bottom"/>
          </w:tcPr>
          <w:p>
            <w:pPr>
              <w:spacing w:after="0"/>
              <w:rPr>
                <w:sz w:val="13"/>
                <w:szCs w:val="13"/>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89"/>
              </w:rPr>
              <w:t>a Trustee Pursuant to Section 305(b)(2)</w:t>
            </w:r>
          </w:p>
        </w:tc>
        <w:tc>
          <w:tcPr>
            <w:tcW w:w="3920" w:type="dxa"/>
            <w:vAlign w:val="bottom"/>
          </w:tcPr>
          <w:p>
            <w:pPr>
              <w:spacing w:after="0"/>
              <w:rPr>
                <w:sz w:val="14"/>
                <w:szCs w:val="14"/>
                <w:color w:val="auto"/>
              </w:rPr>
            </w:pPr>
          </w:p>
        </w:tc>
      </w:tr>
      <w:tr>
        <w:trPr>
          <w:trHeight w:val="218"/>
        </w:trPr>
        <w:tc>
          <w:tcPr>
            <w:tcW w:w="42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66"/>
        </w:trPr>
        <w:tc>
          <w:tcPr>
            <w:tcW w:w="4240" w:type="dxa"/>
            <w:vAlign w:val="bottom"/>
          </w:tcPr>
          <w:p>
            <w:pPr>
              <w:spacing w:after="0"/>
              <w:rPr>
                <w:sz w:val="23"/>
                <w:szCs w:val="2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rPr>
              <w:t>U.S. BANK NATIONAL ASSOCIATION</w:t>
            </w:r>
          </w:p>
        </w:tc>
        <w:tc>
          <w:tcPr>
            <w:tcW w:w="3920" w:type="dxa"/>
            <w:vAlign w:val="bottom"/>
          </w:tcPr>
          <w:p>
            <w:pPr>
              <w:spacing w:after="0"/>
              <w:rPr>
                <w:sz w:val="23"/>
                <w:szCs w:val="23"/>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0"/>
              </w:rPr>
              <w:t>(Exact name of Trustee as specified in its charter)</w:t>
            </w:r>
          </w:p>
        </w:tc>
        <w:tc>
          <w:tcPr>
            <w:tcW w:w="3920" w:type="dxa"/>
            <w:vAlign w:val="bottom"/>
          </w:tcPr>
          <w:p>
            <w:pPr>
              <w:spacing w:after="0"/>
              <w:rPr>
                <w:sz w:val="14"/>
                <w:szCs w:val="14"/>
                <w:color w:val="auto"/>
              </w:rPr>
            </w:pPr>
          </w:p>
        </w:tc>
      </w:tr>
      <w:tr>
        <w:trPr>
          <w:trHeight w:val="228"/>
        </w:trPr>
        <w:tc>
          <w:tcPr>
            <w:tcW w:w="7220" w:type="dxa"/>
            <w:vAlign w:val="bottom"/>
            <w:gridSpan w:val="6"/>
          </w:tcPr>
          <w:p>
            <w:pPr>
              <w:jc w:val="right"/>
              <w:ind w:right="1160"/>
              <w:spacing w:after="0"/>
              <w:rPr>
                <w:sz w:val="20"/>
                <w:szCs w:val="20"/>
                <w:color w:val="auto"/>
              </w:rPr>
            </w:pPr>
            <w:r>
              <w:rPr>
                <w:rFonts w:ascii="Arial" w:cs="Arial" w:eastAsia="Arial" w:hAnsi="Arial"/>
                <w:sz w:val="13"/>
                <w:szCs w:val="13"/>
                <w:b w:val="1"/>
                <w:bCs w:val="1"/>
                <w:color w:val="auto"/>
              </w:rPr>
              <w:t>31-0841368</w:t>
            </w:r>
          </w:p>
        </w:tc>
        <w:tc>
          <w:tcPr>
            <w:tcW w:w="32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5"/>
              </w:rPr>
              <w:t>I.R.S. Employer Identification No.</w:t>
            </w:r>
          </w:p>
        </w:tc>
        <w:tc>
          <w:tcPr>
            <w:tcW w:w="3920" w:type="dxa"/>
            <w:vAlign w:val="bottom"/>
          </w:tcPr>
          <w:p>
            <w:pPr>
              <w:spacing w:after="0"/>
              <w:rPr>
                <w:sz w:val="14"/>
                <w:szCs w:val="14"/>
                <w:color w:val="auto"/>
              </w:rPr>
            </w:pPr>
          </w:p>
        </w:tc>
      </w:tr>
      <w:tr>
        <w:trPr>
          <w:trHeight w:val="307"/>
        </w:trPr>
        <w:tc>
          <w:tcPr>
            <w:tcW w:w="7540" w:type="dxa"/>
            <w:vAlign w:val="bottom"/>
            <w:gridSpan w:val="7"/>
          </w:tcPr>
          <w:p>
            <w:pPr>
              <w:jc w:val="center"/>
              <w:ind w:right="2100"/>
              <w:spacing w:after="0"/>
              <w:rPr>
                <w:sz w:val="20"/>
                <w:szCs w:val="20"/>
                <w:color w:val="auto"/>
              </w:rPr>
            </w:pPr>
            <w:r>
              <w:rPr>
                <w:rFonts w:ascii="Arial" w:cs="Arial" w:eastAsia="Arial" w:hAnsi="Arial"/>
                <w:sz w:val="13"/>
                <w:szCs w:val="13"/>
                <w:color w:val="auto"/>
                <w:w w:val="96"/>
              </w:rPr>
              <w:t>800 Nicollet Mall</w:t>
            </w:r>
          </w:p>
        </w:tc>
        <w:tc>
          <w:tcPr>
            <w:tcW w:w="3920" w:type="dxa"/>
            <w:vAlign w:val="bottom"/>
          </w:tcPr>
          <w:p>
            <w:pPr>
              <w:spacing w:after="0"/>
              <w:rPr>
                <w:sz w:val="24"/>
                <w:szCs w:val="24"/>
                <w:color w:val="auto"/>
              </w:rPr>
            </w:pPr>
          </w:p>
        </w:tc>
      </w:tr>
      <w:tr>
        <w:trPr>
          <w:trHeight w:val="165"/>
        </w:trPr>
        <w:tc>
          <w:tcPr>
            <w:tcW w:w="7540" w:type="dxa"/>
            <w:vAlign w:val="bottom"/>
            <w:gridSpan w:val="7"/>
          </w:tcPr>
          <w:p>
            <w:pPr>
              <w:jc w:val="center"/>
              <w:ind w:right="2100"/>
              <w:spacing w:after="0"/>
              <w:rPr>
                <w:sz w:val="20"/>
                <w:szCs w:val="20"/>
                <w:color w:val="auto"/>
              </w:rPr>
            </w:pPr>
            <w:r>
              <w:rPr>
                <w:rFonts w:ascii="Arial" w:cs="Arial" w:eastAsia="Arial" w:hAnsi="Arial"/>
                <w:sz w:val="13"/>
                <w:szCs w:val="13"/>
                <w:color w:val="auto"/>
                <w:w w:val="93"/>
              </w:rPr>
              <w:t>Minneapolis, Minnesota</w:t>
            </w:r>
          </w:p>
        </w:tc>
        <w:tc>
          <w:tcPr>
            <w:tcW w:w="3920" w:type="dxa"/>
            <w:vAlign w:val="bottom"/>
          </w:tcPr>
          <w:p>
            <w:pPr>
              <w:jc w:val="center"/>
              <w:ind w:right="1454"/>
              <w:spacing w:after="0"/>
              <w:rPr>
                <w:sz w:val="20"/>
                <w:szCs w:val="20"/>
                <w:color w:val="auto"/>
              </w:rPr>
            </w:pPr>
            <w:r>
              <w:rPr>
                <w:rFonts w:ascii="Arial" w:cs="Arial" w:eastAsia="Arial" w:hAnsi="Arial"/>
                <w:sz w:val="13"/>
                <w:szCs w:val="13"/>
                <w:color w:val="auto"/>
                <w:w w:val="88"/>
              </w:rPr>
              <w:t>55402</w:t>
            </w:r>
          </w:p>
        </w:tc>
      </w:tr>
      <w:tr>
        <w:trPr>
          <w:trHeight w:val="155"/>
        </w:trPr>
        <w:tc>
          <w:tcPr>
            <w:tcW w:w="54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3"/>
              </w:rPr>
              <w:t>(Address of principal executive offices)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top w:val="single" w:sz="8" w:color="auto"/>
            </w:tcBorders>
            <w:gridSpan w:val="2"/>
          </w:tcPr>
          <w:p>
            <w:pPr>
              <w:spacing w:after="0"/>
              <w:rPr>
                <w:sz w:val="13"/>
                <w:szCs w:val="13"/>
                <w:color w:val="auto"/>
              </w:rPr>
            </w:pPr>
          </w:p>
        </w:tc>
        <w:tc>
          <w:tcPr>
            <w:tcW w:w="3920" w:type="dxa"/>
            <w:vAlign w:val="bottom"/>
            <w:tcBorders>
              <w:top w:val="single" w:sz="8" w:color="auto"/>
            </w:tcBorders>
          </w:tcPr>
          <w:p>
            <w:pPr>
              <w:jc w:val="center"/>
              <w:ind w:right="1434"/>
              <w:spacing w:after="0"/>
              <w:rPr>
                <w:sz w:val="20"/>
                <w:szCs w:val="20"/>
                <w:color w:val="auto"/>
              </w:rPr>
            </w:pPr>
            <w:r>
              <w:rPr>
                <w:rFonts w:ascii="Arial" w:cs="Arial" w:eastAsia="Arial" w:hAnsi="Arial"/>
                <w:sz w:val="13"/>
                <w:szCs w:val="13"/>
                <w:color w:val="auto"/>
                <w:w w:val="94"/>
              </w:rPr>
              <w:t>(Zip Code)</w:t>
            </w:r>
          </w:p>
        </w:tc>
      </w:tr>
      <w:tr>
        <w:trPr>
          <w:trHeight w:val="377"/>
        </w:trPr>
        <w:tc>
          <w:tcPr>
            <w:tcW w:w="4240" w:type="dxa"/>
            <w:vAlign w:val="bottom"/>
          </w:tcPr>
          <w:p>
            <w:pPr>
              <w:spacing w:after="0"/>
              <w:rPr>
                <w:sz w:val="24"/>
                <w:szCs w:val="2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2"/>
              </w:rPr>
              <w:t>Steven A. Finklea</w:t>
            </w:r>
          </w:p>
        </w:tc>
        <w:tc>
          <w:tcPr>
            <w:tcW w:w="3920" w:type="dxa"/>
            <w:vAlign w:val="bottom"/>
          </w:tcPr>
          <w:p>
            <w:pPr>
              <w:spacing w:after="0"/>
              <w:rPr>
                <w:sz w:val="24"/>
                <w:szCs w:val="24"/>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3"/>
              </w:rPr>
              <w:t>U.S. Bank National Association</w:t>
            </w:r>
          </w:p>
        </w:tc>
        <w:tc>
          <w:tcPr>
            <w:tcW w:w="3920" w:type="dxa"/>
            <w:vAlign w:val="bottom"/>
          </w:tcPr>
          <w:p>
            <w:pPr>
              <w:spacing w:after="0"/>
              <w:rPr>
                <w:sz w:val="13"/>
                <w:szCs w:val="13"/>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89"/>
              </w:rPr>
              <w:t>5555 San Felipe Street, Suite 1150</w:t>
            </w:r>
          </w:p>
        </w:tc>
        <w:tc>
          <w:tcPr>
            <w:tcW w:w="3920" w:type="dxa"/>
            <w:vAlign w:val="bottom"/>
          </w:tcPr>
          <w:p>
            <w:pPr>
              <w:spacing w:after="0"/>
              <w:rPr>
                <w:sz w:val="13"/>
                <w:szCs w:val="13"/>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0"/>
              </w:rPr>
              <w:t>Houston, Texas 77056</w:t>
            </w:r>
          </w:p>
        </w:tc>
        <w:tc>
          <w:tcPr>
            <w:tcW w:w="3920" w:type="dxa"/>
            <w:vAlign w:val="bottom"/>
          </w:tcPr>
          <w:p>
            <w:pPr>
              <w:spacing w:after="0"/>
              <w:rPr>
                <w:sz w:val="13"/>
                <w:szCs w:val="13"/>
                <w:color w:val="auto"/>
              </w:rPr>
            </w:pPr>
          </w:p>
        </w:tc>
      </w:tr>
      <w:tr>
        <w:trPr>
          <w:trHeight w:val="157"/>
        </w:trPr>
        <w:tc>
          <w:tcPr>
            <w:tcW w:w="7220" w:type="dxa"/>
            <w:vAlign w:val="bottom"/>
            <w:gridSpan w:val="6"/>
          </w:tcPr>
          <w:p>
            <w:pPr>
              <w:jc w:val="right"/>
              <w:ind w:right="1080"/>
              <w:spacing w:after="0"/>
              <w:rPr>
                <w:sz w:val="20"/>
                <w:szCs w:val="20"/>
                <w:color w:val="auto"/>
              </w:rPr>
            </w:pPr>
            <w:r>
              <w:rPr>
                <w:rFonts w:ascii="Arial" w:cs="Arial" w:eastAsia="Arial" w:hAnsi="Arial"/>
                <w:sz w:val="13"/>
                <w:szCs w:val="13"/>
                <w:color w:val="auto"/>
              </w:rPr>
              <w:t>(713) 235-9208</w:t>
            </w:r>
          </w:p>
        </w:tc>
        <w:tc>
          <w:tcPr>
            <w:tcW w:w="32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165"/>
        </w:trPr>
        <w:tc>
          <w:tcPr>
            <w:tcW w:w="7540" w:type="dxa"/>
            <w:vAlign w:val="bottom"/>
            <w:gridSpan w:val="7"/>
          </w:tcPr>
          <w:p>
            <w:pPr>
              <w:jc w:val="center"/>
              <w:ind w:left="3854"/>
              <w:spacing w:after="0"/>
              <w:rPr>
                <w:sz w:val="20"/>
                <w:szCs w:val="20"/>
                <w:color w:val="auto"/>
              </w:rPr>
            </w:pPr>
            <w:r>
              <w:rPr>
                <w:rFonts w:ascii="Arial" w:cs="Arial" w:eastAsia="Arial" w:hAnsi="Arial"/>
                <w:sz w:val="13"/>
                <w:szCs w:val="13"/>
                <w:color w:val="auto"/>
                <w:w w:val="89"/>
              </w:rPr>
              <w:t>(Name, address and telephone number of agent for service)</w:t>
            </w:r>
          </w:p>
        </w:tc>
        <w:tc>
          <w:tcPr>
            <w:tcW w:w="3920" w:type="dxa"/>
            <w:vAlign w:val="bottom"/>
          </w:tcPr>
          <w:p>
            <w:pPr>
              <w:spacing w:after="0"/>
              <w:rPr>
                <w:sz w:val="14"/>
                <w:szCs w:val="14"/>
                <w:color w:val="auto"/>
              </w:rPr>
            </w:pPr>
          </w:p>
        </w:tc>
      </w:tr>
      <w:tr>
        <w:trPr>
          <w:trHeight w:val="224"/>
        </w:trPr>
        <w:tc>
          <w:tcPr>
            <w:tcW w:w="4240" w:type="dxa"/>
            <w:vAlign w:val="bottom"/>
          </w:tcPr>
          <w:p>
            <w:pPr>
              <w:spacing w:after="0"/>
              <w:rPr>
                <w:sz w:val="19"/>
                <w:szCs w:val="19"/>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2"/>
              </w:rPr>
              <w:t>Plains All American Pipeline, L.P.</w:t>
            </w:r>
          </w:p>
        </w:tc>
        <w:tc>
          <w:tcPr>
            <w:tcW w:w="3920" w:type="dxa"/>
            <w:vAlign w:val="bottom"/>
          </w:tcPr>
          <w:p>
            <w:pPr>
              <w:spacing w:after="0"/>
              <w:rPr>
                <w:sz w:val="19"/>
                <w:szCs w:val="19"/>
                <w:color w:val="auto"/>
              </w:rPr>
            </w:pPr>
          </w:p>
        </w:tc>
      </w:tr>
      <w:tr>
        <w:trPr>
          <w:trHeight w:val="161"/>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3"/>
              </w:rPr>
              <w:t>PAA Finance Corp.</w:t>
            </w:r>
          </w:p>
        </w:tc>
        <w:tc>
          <w:tcPr>
            <w:tcW w:w="3920" w:type="dxa"/>
            <w:vAlign w:val="bottom"/>
          </w:tcPr>
          <w:p>
            <w:pPr>
              <w:spacing w:after="0"/>
              <w:rPr>
                <w:sz w:val="14"/>
                <w:szCs w:val="14"/>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0"/>
              </w:rPr>
              <w:t>(Issuer with respect to the Securities)</w:t>
            </w:r>
          </w:p>
        </w:tc>
        <w:tc>
          <w:tcPr>
            <w:tcW w:w="3920" w:type="dxa"/>
            <w:vAlign w:val="bottom"/>
          </w:tcPr>
          <w:p>
            <w:pPr>
              <w:spacing w:after="0"/>
              <w:rPr>
                <w:sz w:val="14"/>
                <w:szCs w:val="14"/>
                <w:color w:val="auto"/>
              </w:rPr>
            </w:pPr>
          </w:p>
        </w:tc>
      </w:tr>
      <w:tr>
        <w:trPr>
          <w:trHeight w:val="307"/>
        </w:trPr>
        <w:tc>
          <w:tcPr>
            <w:tcW w:w="7540" w:type="dxa"/>
            <w:vAlign w:val="bottom"/>
            <w:gridSpan w:val="7"/>
          </w:tcPr>
          <w:p>
            <w:pPr>
              <w:jc w:val="center"/>
              <w:ind w:right="2000"/>
              <w:spacing w:after="0"/>
              <w:rPr>
                <w:sz w:val="20"/>
                <w:szCs w:val="20"/>
                <w:color w:val="auto"/>
              </w:rPr>
            </w:pPr>
            <w:r>
              <w:rPr>
                <w:rFonts w:ascii="Arial" w:cs="Arial" w:eastAsia="Arial" w:hAnsi="Arial"/>
                <w:sz w:val="13"/>
                <w:szCs w:val="13"/>
                <w:color w:val="auto"/>
                <w:w w:val="90"/>
              </w:rPr>
              <w:t>Delaware</w:t>
            </w:r>
          </w:p>
        </w:tc>
        <w:tc>
          <w:tcPr>
            <w:tcW w:w="3920" w:type="dxa"/>
            <w:vAlign w:val="bottom"/>
          </w:tcPr>
          <w:p>
            <w:pPr>
              <w:jc w:val="center"/>
              <w:ind w:right="1574"/>
              <w:spacing w:after="0"/>
              <w:rPr>
                <w:sz w:val="20"/>
                <w:szCs w:val="20"/>
                <w:color w:val="auto"/>
              </w:rPr>
            </w:pPr>
            <w:r>
              <w:rPr>
                <w:rFonts w:ascii="Arial" w:cs="Arial" w:eastAsia="Arial" w:hAnsi="Arial"/>
                <w:sz w:val="13"/>
                <w:szCs w:val="13"/>
                <w:color w:val="auto"/>
                <w:w w:val="92"/>
              </w:rPr>
              <w:t>76-0582150</w:t>
            </w:r>
          </w:p>
        </w:tc>
      </w:tr>
      <w:tr>
        <w:trPr>
          <w:trHeight w:val="165"/>
        </w:trPr>
        <w:tc>
          <w:tcPr>
            <w:tcW w:w="7540" w:type="dxa"/>
            <w:vAlign w:val="bottom"/>
            <w:gridSpan w:val="7"/>
          </w:tcPr>
          <w:p>
            <w:pPr>
              <w:jc w:val="center"/>
              <w:ind w:right="2000"/>
              <w:spacing w:after="0"/>
              <w:rPr>
                <w:sz w:val="20"/>
                <w:szCs w:val="20"/>
                <w:color w:val="auto"/>
              </w:rPr>
            </w:pPr>
            <w:r>
              <w:rPr>
                <w:rFonts w:ascii="Arial" w:cs="Arial" w:eastAsia="Arial" w:hAnsi="Arial"/>
                <w:sz w:val="13"/>
                <w:szCs w:val="13"/>
                <w:color w:val="auto"/>
                <w:w w:val="90"/>
              </w:rPr>
              <w:t>Delaware</w:t>
            </w:r>
          </w:p>
        </w:tc>
        <w:tc>
          <w:tcPr>
            <w:tcW w:w="3920" w:type="dxa"/>
            <w:vAlign w:val="bottom"/>
          </w:tcPr>
          <w:p>
            <w:pPr>
              <w:jc w:val="center"/>
              <w:ind w:right="1574"/>
              <w:spacing w:after="0"/>
              <w:rPr>
                <w:sz w:val="20"/>
                <w:szCs w:val="20"/>
                <w:color w:val="auto"/>
              </w:rPr>
            </w:pPr>
            <w:r>
              <w:rPr>
                <w:rFonts w:ascii="Arial" w:cs="Arial" w:eastAsia="Arial" w:hAnsi="Arial"/>
                <w:sz w:val="13"/>
                <w:szCs w:val="13"/>
                <w:color w:val="auto"/>
                <w:w w:val="92"/>
              </w:rPr>
              <w:t>56-2464313</w:t>
            </w:r>
          </w:p>
        </w:tc>
      </w:tr>
      <w:tr>
        <w:trPr>
          <w:trHeight w:val="155"/>
        </w:trPr>
        <w:tc>
          <w:tcPr>
            <w:tcW w:w="55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color w:val="auto"/>
                <w:w w:val="93"/>
              </w:rPr>
              <w:t>(State or other jurisdiction of incorporation or organization)</w:t>
            </w:r>
          </w:p>
        </w:tc>
        <w:tc>
          <w:tcPr>
            <w:tcW w:w="340" w:type="dxa"/>
            <w:vAlign w:val="bottom"/>
          </w:tcPr>
          <w:p>
            <w:pPr>
              <w:spacing w:after="0"/>
              <w:rPr>
                <w:sz w:val="13"/>
                <w:szCs w:val="13"/>
                <w:color w:val="auto"/>
              </w:rPr>
            </w:pPr>
          </w:p>
        </w:tc>
        <w:tc>
          <w:tcPr>
            <w:tcW w:w="1640" w:type="dxa"/>
            <w:vAlign w:val="bottom"/>
            <w:tcBorders>
              <w:top w:val="single" w:sz="8" w:color="auto"/>
            </w:tcBorders>
            <w:gridSpan w:val="3"/>
          </w:tcPr>
          <w:p>
            <w:pPr>
              <w:spacing w:after="0"/>
              <w:rPr>
                <w:sz w:val="13"/>
                <w:szCs w:val="13"/>
                <w:color w:val="auto"/>
              </w:rPr>
            </w:pPr>
          </w:p>
        </w:tc>
        <w:tc>
          <w:tcPr>
            <w:tcW w:w="3920" w:type="dxa"/>
            <w:vAlign w:val="bottom"/>
            <w:tcBorders>
              <w:top w:val="single" w:sz="8" w:color="auto"/>
            </w:tcBorders>
          </w:tcPr>
          <w:p>
            <w:pPr>
              <w:jc w:val="center"/>
              <w:ind w:right="1554"/>
              <w:spacing w:after="0"/>
              <w:rPr>
                <w:sz w:val="20"/>
                <w:szCs w:val="20"/>
                <w:color w:val="auto"/>
              </w:rPr>
            </w:pPr>
            <w:r>
              <w:rPr>
                <w:rFonts w:ascii="Arial" w:cs="Arial" w:eastAsia="Arial" w:hAnsi="Arial"/>
                <w:sz w:val="13"/>
                <w:szCs w:val="13"/>
                <w:color w:val="auto"/>
                <w:w w:val="94"/>
              </w:rPr>
              <w:t>(I.R.S. Employer Identification No.)</w:t>
            </w:r>
          </w:p>
        </w:tc>
      </w:tr>
      <w:tr>
        <w:trPr>
          <w:trHeight w:val="298"/>
        </w:trPr>
        <w:tc>
          <w:tcPr>
            <w:tcW w:w="7540" w:type="dxa"/>
            <w:vAlign w:val="bottom"/>
            <w:gridSpan w:val="7"/>
          </w:tcPr>
          <w:p>
            <w:pPr>
              <w:jc w:val="center"/>
              <w:ind w:right="2100"/>
              <w:spacing w:after="0"/>
              <w:rPr>
                <w:sz w:val="20"/>
                <w:szCs w:val="20"/>
                <w:color w:val="auto"/>
              </w:rPr>
            </w:pPr>
            <w:r>
              <w:rPr>
                <w:rFonts w:ascii="Arial" w:cs="Arial" w:eastAsia="Arial" w:hAnsi="Arial"/>
                <w:sz w:val="13"/>
                <w:szCs w:val="13"/>
                <w:color w:val="auto"/>
                <w:w w:val="90"/>
              </w:rPr>
              <w:t>333 Clay Street, Suite 1600</w:t>
            </w:r>
          </w:p>
        </w:tc>
        <w:tc>
          <w:tcPr>
            <w:tcW w:w="3920" w:type="dxa"/>
            <w:vAlign w:val="bottom"/>
          </w:tcPr>
          <w:p>
            <w:pPr>
              <w:spacing w:after="0"/>
              <w:rPr>
                <w:sz w:val="24"/>
                <w:szCs w:val="24"/>
                <w:color w:val="auto"/>
              </w:rPr>
            </w:pPr>
          </w:p>
        </w:tc>
      </w:tr>
      <w:tr>
        <w:trPr>
          <w:trHeight w:val="165"/>
        </w:trPr>
        <w:tc>
          <w:tcPr>
            <w:tcW w:w="7540" w:type="dxa"/>
            <w:vAlign w:val="bottom"/>
            <w:gridSpan w:val="7"/>
          </w:tcPr>
          <w:p>
            <w:pPr>
              <w:jc w:val="center"/>
              <w:ind w:right="2100"/>
              <w:spacing w:after="0"/>
              <w:rPr>
                <w:sz w:val="20"/>
                <w:szCs w:val="20"/>
                <w:color w:val="auto"/>
              </w:rPr>
            </w:pPr>
            <w:r>
              <w:rPr>
                <w:rFonts w:ascii="Arial" w:cs="Arial" w:eastAsia="Arial" w:hAnsi="Arial"/>
                <w:sz w:val="13"/>
                <w:szCs w:val="13"/>
                <w:color w:val="auto"/>
                <w:w w:val="87"/>
              </w:rPr>
              <w:t>Houston, Texas</w:t>
            </w:r>
          </w:p>
        </w:tc>
        <w:tc>
          <w:tcPr>
            <w:tcW w:w="3920" w:type="dxa"/>
            <w:vAlign w:val="bottom"/>
          </w:tcPr>
          <w:p>
            <w:pPr>
              <w:jc w:val="center"/>
              <w:ind w:right="1454"/>
              <w:spacing w:after="0"/>
              <w:rPr>
                <w:sz w:val="20"/>
                <w:szCs w:val="20"/>
                <w:color w:val="auto"/>
              </w:rPr>
            </w:pPr>
            <w:r>
              <w:rPr>
                <w:rFonts w:ascii="Arial" w:cs="Arial" w:eastAsia="Arial" w:hAnsi="Arial"/>
                <w:sz w:val="13"/>
                <w:szCs w:val="13"/>
                <w:color w:val="auto"/>
                <w:w w:val="88"/>
              </w:rPr>
              <w:t>77002</w:t>
            </w:r>
          </w:p>
        </w:tc>
      </w:tr>
      <w:tr>
        <w:trPr>
          <w:trHeight w:val="155"/>
        </w:trPr>
        <w:tc>
          <w:tcPr>
            <w:tcW w:w="54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2"/>
              </w:rPr>
              <w:t>(Address of Principal Executive Offices)</w:t>
            </w:r>
          </w:p>
        </w:tc>
        <w:tc>
          <w:tcPr>
            <w:tcW w:w="580" w:type="dxa"/>
            <w:vAlign w:val="bottom"/>
            <w:gridSpan w:val="3"/>
          </w:tcPr>
          <w:p>
            <w:pPr>
              <w:spacing w:after="0"/>
              <w:rPr>
                <w:sz w:val="13"/>
                <w:szCs w:val="13"/>
                <w:color w:val="auto"/>
              </w:rPr>
            </w:pPr>
          </w:p>
        </w:tc>
        <w:tc>
          <w:tcPr>
            <w:tcW w:w="1520" w:type="dxa"/>
            <w:vAlign w:val="bottom"/>
            <w:tcBorders>
              <w:top w:val="single" w:sz="8" w:color="auto"/>
            </w:tcBorders>
            <w:gridSpan w:val="2"/>
          </w:tcPr>
          <w:p>
            <w:pPr>
              <w:spacing w:after="0"/>
              <w:rPr>
                <w:sz w:val="13"/>
                <w:szCs w:val="13"/>
                <w:color w:val="auto"/>
              </w:rPr>
            </w:pPr>
          </w:p>
        </w:tc>
        <w:tc>
          <w:tcPr>
            <w:tcW w:w="3920" w:type="dxa"/>
            <w:vAlign w:val="bottom"/>
            <w:tcBorders>
              <w:top w:val="single" w:sz="8" w:color="auto"/>
            </w:tcBorders>
          </w:tcPr>
          <w:p>
            <w:pPr>
              <w:jc w:val="center"/>
              <w:ind w:right="1434"/>
              <w:spacing w:after="0"/>
              <w:rPr>
                <w:sz w:val="20"/>
                <w:szCs w:val="20"/>
                <w:color w:val="auto"/>
              </w:rPr>
            </w:pPr>
            <w:r>
              <w:rPr>
                <w:rFonts w:ascii="Arial" w:cs="Arial" w:eastAsia="Arial" w:hAnsi="Arial"/>
                <w:sz w:val="13"/>
                <w:szCs w:val="13"/>
                <w:color w:val="auto"/>
                <w:w w:val="94"/>
              </w:rPr>
              <w:t>(Zip Code)</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Senior Debt Securities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73" w:name="page74"/>
    <w:bookmarkEnd w:id="73"/>
    <w:p>
      <w:pPr>
        <w:ind w:left="5421"/>
        <w:spacing w:after="0"/>
        <w:rPr>
          <w:sz w:val="20"/>
          <w:szCs w:val="20"/>
          <w:color w:val="auto"/>
        </w:rPr>
      </w:pPr>
      <w:r>
        <w:rPr>
          <w:rFonts w:ascii="Arial" w:cs="Arial" w:eastAsia="Arial" w:hAnsi="Arial"/>
          <w:sz w:val="13"/>
          <w:szCs w:val="13"/>
          <w:b w:val="1"/>
          <w:bCs w:val="1"/>
          <w:u w:val="single" w:color="auto"/>
          <w:color w:val="auto"/>
        </w:rPr>
        <w:t>FORM T-1</w:t>
      </w:r>
    </w:p>
    <w:p>
      <w:pPr>
        <w:spacing w:after="0" w:line="86" w:lineRule="exact"/>
        <w:rPr>
          <w:sz w:val="20"/>
          <w:szCs w:val="20"/>
          <w:color w:val="auto"/>
        </w:rPr>
      </w:pPr>
    </w:p>
    <w:p>
      <w:pPr>
        <w:ind w:left="1"/>
        <w:spacing w:after="0"/>
        <w:tabs>
          <w:tab w:leader="none" w:pos="481"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GENERAL INFORMATION</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Furnish the following information as to the Trustee.</w:t>
      </w:r>
    </w:p>
    <w:p>
      <w:pPr>
        <w:spacing w:after="0" w:line="90" w:lineRule="exact"/>
        <w:rPr>
          <w:sz w:val="20"/>
          <w:szCs w:val="20"/>
          <w:color w:val="auto"/>
        </w:rPr>
      </w:pPr>
    </w:p>
    <w:p>
      <w:pPr>
        <w:ind w:left="1241" w:hanging="445"/>
        <w:spacing w:after="0"/>
        <w:tabs>
          <w:tab w:leader="none" w:pos="1241" w:val="left"/>
        </w:tabs>
        <w:numPr>
          <w:ilvl w:val="0"/>
          <w:numId w:val="67"/>
        </w:numPr>
        <w:rPr>
          <w:rFonts w:ascii="Arial" w:cs="Arial" w:eastAsia="Arial" w:hAnsi="Arial"/>
          <w:sz w:val="13"/>
          <w:szCs w:val="13"/>
          <w:color w:val="auto"/>
        </w:rPr>
      </w:pPr>
      <w:r>
        <w:rPr>
          <w:rFonts w:ascii="Arial" w:cs="Arial" w:eastAsia="Arial" w:hAnsi="Arial"/>
          <w:sz w:val="13"/>
          <w:szCs w:val="13"/>
          <w:i w:val="1"/>
          <w:iCs w:val="1"/>
          <w:color w:val="auto"/>
        </w:rPr>
        <w:t>Name and address of each examining or supervising authority to which it is subject.</w:t>
      </w:r>
    </w:p>
    <w:p>
      <w:pPr>
        <w:spacing w:after="0" w:line="200" w:lineRule="exact"/>
        <w:rPr>
          <w:sz w:val="20"/>
          <w:szCs w:val="20"/>
          <w:color w:val="auto"/>
        </w:rPr>
      </w:pPr>
    </w:p>
    <w:p>
      <w:pPr>
        <w:spacing w:after="0" w:line="280" w:lineRule="exact"/>
        <w:rPr>
          <w:sz w:val="20"/>
          <w:szCs w:val="20"/>
          <w:color w:val="auto"/>
        </w:rPr>
      </w:pPr>
    </w:p>
    <w:p>
      <w:pPr>
        <w:ind w:left="1721" w:right="5879" w:hanging="925"/>
        <w:spacing w:after="0" w:line="375" w:lineRule="auto"/>
        <w:tabs>
          <w:tab w:leader="none" w:pos="1249"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 xml:space="preserve">Whether it is authorized to exercise corporate trust powers. </w:t>
      </w:r>
      <w:r>
        <w:rPr>
          <w:rFonts w:ascii="Arial" w:cs="Arial" w:eastAsia="Arial" w:hAnsi="Arial"/>
          <w:sz w:val="13"/>
          <w:szCs w:val="13"/>
          <w:color w:val="auto"/>
        </w:rPr>
        <w:t>Yes</w:t>
      </w:r>
    </w:p>
    <w:p>
      <w:pPr>
        <w:spacing w:after="0" w:line="1" w:lineRule="exact"/>
        <w:rPr>
          <w:sz w:val="20"/>
          <w:szCs w:val="20"/>
          <w:color w:val="auto"/>
        </w:rPr>
      </w:pPr>
    </w:p>
    <w:p>
      <w:pPr>
        <w:ind w:left="1"/>
        <w:spacing w:after="0"/>
        <w:tabs>
          <w:tab w:leader="none" w:pos="481"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 xml:space="preserve">AFFILIATIONS WITH OBLIGOR. </w:t>
      </w:r>
      <w:r>
        <w:rPr>
          <w:rFonts w:ascii="Arial" w:cs="Arial" w:eastAsia="Arial" w:hAnsi="Arial"/>
          <w:sz w:val="12"/>
          <w:szCs w:val="12"/>
          <w:i w:val="1"/>
          <w:iCs w:val="1"/>
          <w:color w:val="auto"/>
        </w:rPr>
        <w:t>If the obligor is an affiliate of the Trustee, describe each such affiliation.</w:t>
      </w:r>
    </w:p>
    <w:p>
      <w:pPr>
        <w:spacing w:after="0" w:line="90" w:lineRule="exact"/>
        <w:rPr>
          <w:sz w:val="20"/>
          <w:szCs w:val="20"/>
          <w:color w:val="auto"/>
        </w:rPr>
      </w:pPr>
    </w:p>
    <w:p>
      <w:pPr>
        <w:ind w:left="1141"/>
        <w:spacing w:after="0"/>
        <w:rPr>
          <w:sz w:val="20"/>
          <w:szCs w:val="20"/>
          <w:color w:val="auto"/>
        </w:rPr>
      </w:pPr>
      <w:r>
        <w:rPr>
          <w:rFonts w:ascii="Arial" w:cs="Arial" w:eastAsia="Arial" w:hAnsi="Arial"/>
          <w:sz w:val="13"/>
          <w:szCs w:val="13"/>
          <w:color w:val="auto"/>
        </w:rPr>
        <w:t>None</w:t>
      </w:r>
    </w:p>
    <w:p>
      <w:pPr>
        <w:spacing w:after="0" w:line="82" w:lineRule="exact"/>
        <w:rPr>
          <w:sz w:val="20"/>
          <w:szCs w:val="20"/>
          <w:color w:val="auto"/>
        </w:rPr>
      </w:pPr>
    </w:p>
    <w:p>
      <w:pPr>
        <w:ind w:left="1"/>
        <w:spacing w:after="0"/>
        <w:tabs>
          <w:tab w:leader="none" w:pos="681" w:val="left"/>
        </w:tabs>
        <w:rPr>
          <w:sz w:val="20"/>
          <w:szCs w:val="20"/>
          <w:color w:val="auto"/>
        </w:rPr>
      </w:pPr>
      <w:r>
        <w:rPr>
          <w:rFonts w:ascii="Arial" w:cs="Arial" w:eastAsia="Arial" w:hAnsi="Arial"/>
          <w:sz w:val="13"/>
          <w:szCs w:val="13"/>
          <w:b w:val="1"/>
          <w:bCs w:val="1"/>
          <w:color w:val="auto"/>
        </w:rPr>
        <w:t>Items 3-15</w:t>
      </w:r>
      <w:r>
        <w:rPr>
          <w:sz w:val="20"/>
          <w:szCs w:val="20"/>
          <w:color w:val="auto"/>
        </w:rPr>
        <w:tab/>
      </w:r>
      <w:r>
        <w:rPr>
          <w:rFonts w:ascii="Arial" w:cs="Arial" w:eastAsia="Arial" w:hAnsi="Arial"/>
          <w:sz w:val="11"/>
          <w:szCs w:val="11"/>
          <w:i w:val="1"/>
          <w:iCs w:val="1"/>
          <w:color w:val="auto"/>
        </w:rPr>
        <w:t>Items 3-15 are not applicable because to the best of the Trustee’s knowledge, the obligor is not in default under any Indenture for which the Trustee acts as Trustee.</w:t>
      </w:r>
    </w:p>
    <w:p>
      <w:pPr>
        <w:spacing w:after="0" w:line="86" w:lineRule="exact"/>
        <w:rPr>
          <w:sz w:val="20"/>
          <w:szCs w:val="20"/>
          <w:color w:val="auto"/>
        </w:rPr>
      </w:pPr>
    </w:p>
    <w:p>
      <w:pPr>
        <w:ind w:left="1"/>
        <w:spacing w:after="0"/>
        <w:tabs>
          <w:tab w:leader="none" w:pos="541"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2"/>
          <w:szCs w:val="12"/>
          <w:b w:val="1"/>
          <w:bCs w:val="1"/>
          <w:color w:val="auto"/>
        </w:rPr>
        <w:t xml:space="preserve">LIST OF EXHIBITS: </w:t>
      </w:r>
      <w:r>
        <w:rPr>
          <w:rFonts w:ascii="Arial" w:cs="Arial" w:eastAsia="Arial" w:hAnsi="Arial"/>
          <w:sz w:val="12"/>
          <w:szCs w:val="12"/>
          <w:i w:val="1"/>
          <w:iCs w:val="1"/>
          <w:color w:val="auto"/>
        </w:rPr>
        <w:t>List below all exhibits filed as a part of this statement of eligibility and qualification.</w:t>
      </w:r>
    </w:p>
    <w:p>
      <w:pPr>
        <w:spacing w:after="0" w:line="90" w:lineRule="exact"/>
        <w:rPr>
          <w:sz w:val="20"/>
          <w:szCs w:val="20"/>
          <w:color w:val="auto"/>
        </w:rPr>
      </w:pPr>
    </w:p>
    <w:p>
      <w:pPr>
        <w:ind w:left="1241" w:hanging="445"/>
        <w:spacing w:after="0"/>
        <w:tabs>
          <w:tab w:leader="none" w:pos="1241" w:val="left"/>
        </w:tabs>
        <w:numPr>
          <w:ilvl w:val="1"/>
          <w:numId w:val="69"/>
        </w:numPr>
        <w:rPr>
          <w:rFonts w:ascii="Arial" w:cs="Arial" w:eastAsia="Arial" w:hAnsi="Arial"/>
          <w:sz w:val="13"/>
          <w:szCs w:val="13"/>
          <w:color w:val="auto"/>
        </w:rPr>
      </w:pPr>
      <w:r>
        <w:rPr>
          <w:rFonts w:ascii="Arial" w:cs="Arial" w:eastAsia="Arial" w:hAnsi="Arial"/>
          <w:sz w:val="13"/>
          <w:szCs w:val="13"/>
          <w:color w:val="auto"/>
        </w:rPr>
        <w:t>A copy of the Articles of Association of the Trustee.*</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69"/>
        </w:numPr>
        <w:rPr>
          <w:rFonts w:ascii="Arial" w:cs="Arial" w:eastAsia="Arial" w:hAnsi="Arial"/>
          <w:sz w:val="13"/>
          <w:szCs w:val="13"/>
          <w:color w:val="auto"/>
        </w:rPr>
      </w:pPr>
      <w:r>
        <w:rPr>
          <w:rFonts w:ascii="Arial" w:cs="Arial" w:eastAsia="Arial" w:hAnsi="Arial"/>
          <w:sz w:val="13"/>
          <w:szCs w:val="13"/>
          <w:color w:val="auto"/>
        </w:rPr>
        <w:t>A copy of the certificate of authority of the Trustee to commence business.*</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69"/>
        </w:numPr>
        <w:rPr>
          <w:rFonts w:ascii="Arial" w:cs="Arial" w:eastAsia="Arial" w:hAnsi="Arial"/>
          <w:sz w:val="13"/>
          <w:szCs w:val="13"/>
          <w:color w:val="auto"/>
        </w:rPr>
      </w:pPr>
      <w:r>
        <w:rPr>
          <w:rFonts w:ascii="Arial" w:cs="Arial" w:eastAsia="Arial" w:hAnsi="Arial"/>
          <w:sz w:val="13"/>
          <w:szCs w:val="13"/>
          <w:color w:val="auto"/>
        </w:rPr>
        <w:t>A copy of the certificate of authority of the Trustee to exercise corporate trust powers.*</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69"/>
        </w:numPr>
        <w:rPr>
          <w:rFonts w:ascii="Arial" w:cs="Arial" w:eastAsia="Arial" w:hAnsi="Arial"/>
          <w:sz w:val="13"/>
          <w:szCs w:val="13"/>
          <w:color w:val="auto"/>
        </w:rPr>
      </w:pPr>
      <w:r>
        <w:rPr>
          <w:rFonts w:ascii="Arial" w:cs="Arial" w:eastAsia="Arial" w:hAnsi="Arial"/>
          <w:sz w:val="13"/>
          <w:szCs w:val="13"/>
          <w:color w:val="auto"/>
        </w:rPr>
        <w:t>A copy of the existing bylaws of the Trustee.**</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69"/>
        </w:numPr>
        <w:rPr>
          <w:rFonts w:ascii="Arial" w:cs="Arial" w:eastAsia="Arial" w:hAnsi="Arial"/>
          <w:sz w:val="13"/>
          <w:szCs w:val="13"/>
          <w:color w:val="auto"/>
        </w:rPr>
      </w:pPr>
      <w:r>
        <w:rPr>
          <w:rFonts w:ascii="Arial" w:cs="Arial" w:eastAsia="Arial" w:hAnsi="Arial"/>
          <w:sz w:val="13"/>
          <w:szCs w:val="13"/>
          <w:color w:val="auto"/>
        </w:rPr>
        <w:t>A copy of each Indenture referred to in Item 4. Not applicable.</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69"/>
        </w:numPr>
        <w:rPr>
          <w:rFonts w:ascii="Arial" w:cs="Arial" w:eastAsia="Arial" w:hAnsi="Arial"/>
          <w:sz w:val="13"/>
          <w:szCs w:val="13"/>
          <w:color w:val="auto"/>
        </w:rPr>
      </w:pPr>
      <w:r>
        <w:rPr>
          <w:rFonts w:ascii="Arial" w:cs="Arial" w:eastAsia="Arial" w:hAnsi="Arial"/>
          <w:sz w:val="13"/>
          <w:szCs w:val="13"/>
          <w:color w:val="auto"/>
        </w:rPr>
        <w:t>The consent of the Trustee required by Section 321(b) of the Trust Indenture Act of 1939, attached as Exhibit 6.</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69"/>
        </w:numPr>
        <w:rPr>
          <w:rFonts w:ascii="Arial" w:cs="Arial" w:eastAsia="Arial" w:hAnsi="Arial"/>
          <w:sz w:val="11"/>
          <w:szCs w:val="11"/>
          <w:color w:val="auto"/>
        </w:rPr>
      </w:pPr>
      <w:r>
        <w:rPr>
          <w:rFonts w:ascii="Arial" w:cs="Arial" w:eastAsia="Arial" w:hAnsi="Arial"/>
          <w:sz w:val="11"/>
          <w:szCs w:val="11"/>
          <w:color w:val="auto"/>
        </w:rPr>
        <w:t>Report of Condition of the Trustee as of June 30, 2008 published pursuant to law or the requirements of its supervising or examining authority, attached as Exhibit 7.</w:t>
      </w:r>
    </w:p>
    <w:p>
      <w:pPr>
        <w:spacing w:after="0" w:line="306"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3"/>
          <w:szCs w:val="13"/>
          <w:color w:val="auto"/>
        </w:rPr>
        <w:t>*</w:t>
      </w:r>
      <w:r>
        <w:rPr>
          <w:rFonts w:ascii="Arial" w:cs="Arial" w:eastAsia="Arial" w:hAnsi="Arial"/>
          <w:sz w:val="11"/>
          <w:szCs w:val="11"/>
          <w:color w:val="auto"/>
        </w:rPr>
        <w:t>Incorporated by reference to Exhibit 25.1 to Amendment No. 2 to registration statement on S-4, Registration Number 333-128217 filed on November 15, 2005.</w:t>
      </w:r>
    </w:p>
    <w:p>
      <w:pPr>
        <w:spacing w:after="0" w:line="56" w:lineRule="exact"/>
        <w:rPr>
          <w:rFonts w:ascii="Arial" w:cs="Arial" w:eastAsia="Arial" w:hAnsi="Arial"/>
          <w:sz w:val="11"/>
          <w:szCs w:val="11"/>
          <w:color w:val="auto"/>
        </w:rPr>
      </w:pPr>
    </w:p>
    <w:p>
      <w:pPr>
        <w:ind w:left="461" w:hanging="461"/>
        <w:spacing w:after="0"/>
        <w:tabs>
          <w:tab w:leader="none" w:pos="461"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Incorporated by reference to Exhibit 25.1 to registration statement on S-4, Registration Number 333-145601 filed on August 21,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131064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116" w:lineRule="exact"/>
        <w:rPr>
          <w:sz w:val="20"/>
          <w:szCs w:val="20"/>
          <w:color w:val="auto"/>
        </w:rPr>
      </w:pPr>
    </w:p>
    <w:p>
      <w:pPr>
        <w:ind w:left="5701"/>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36" w:right="1440" w:bottom="1440" w:gutter="0" w:footer="0" w:header="0"/>
        </w:sectPr>
      </w:pPr>
    </w:p>
    <w:bookmarkStart w:id="74" w:name="page75"/>
    <w:bookmarkEnd w:id="74"/>
    <w:p>
      <w:pPr>
        <w:jc w:val="center"/>
        <w:ind w:right="-139"/>
        <w:spacing w:after="0"/>
        <w:rPr>
          <w:sz w:val="20"/>
          <w:szCs w:val="20"/>
          <w:color w:val="auto"/>
        </w:rPr>
      </w:pPr>
      <w:r>
        <w:rPr>
          <w:rFonts w:ascii="Arial" w:cs="Arial" w:eastAsia="Arial" w:hAnsi="Arial"/>
          <w:sz w:val="13"/>
          <w:szCs w:val="13"/>
          <w:b w:val="1"/>
          <w:bCs w:val="1"/>
          <w:color w:val="auto"/>
        </w:rPr>
        <w:t>SIGNATURE</w:t>
      </w:r>
    </w:p>
    <w:p>
      <w:pPr>
        <w:spacing w:after="0" w:line="90"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24th of November, 2008.</w:t>
      </w:r>
    </w:p>
    <w:p>
      <w:pPr>
        <w:spacing w:after="0" w:line="293"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Steven A. Finklea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Steven A. Finklea</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w:t>
      </w:r>
    </w:p>
    <w:p>
      <w:pPr>
        <w:spacing w:after="0" w:line="315"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By:</w:t>
        <w:tab/>
        <w:t>/s/ Kevin Roberson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5463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Kevin Roberson</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Assistant Vice President</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36" w:right="339" w:bottom="1440" w:gutter="0" w:footer="0" w:header="0"/>
        </w:sectPr>
      </w:pPr>
    </w:p>
    <w:bookmarkStart w:id="75" w:name="page76"/>
    <w:bookmarkEnd w:id="75"/>
    <w:p>
      <w:pPr>
        <w:jc w:val="center"/>
        <w:ind w:right="-199"/>
        <w:spacing w:after="0"/>
        <w:rPr>
          <w:sz w:val="20"/>
          <w:szCs w:val="20"/>
          <w:color w:val="auto"/>
        </w:rPr>
      </w:pPr>
      <w:r>
        <w:rPr>
          <w:rFonts w:ascii="Arial" w:cs="Arial" w:eastAsia="Arial" w:hAnsi="Arial"/>
          <w:sz w:val="13"/>
          <w:szCs w:val="13"/>
          <w:b w:val="1"/>
          <w:bCs w:val="1"/>
          <w:u w:val="single" w:color="auto"/>
          <w:color w:val="auto"/>
        </w:rPr>
        <w:t>Exhibit 6</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CONSENT</w:t>
      </w:r>
    </w:p>
    <w:p>
      <w:pPr>
        <w:spacing w:after="0" w:line="9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24, 2008</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Steven A. Finklea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Steven A. Finklea</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w:t>
      </w:r>
    </w:p>
    <w:p>
      <w:pPr>
        <w:spacing w:after="0" w:line="315"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By:</w:t>
        <w:tab/>
        <w:t>/s/ Kevin Roberson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54635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Kevin Roberson</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Assistant Vice President</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220" w:top="736" w:right="4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57"/>
        </w:trPr>
        <w:tc>
          <w:tcPr>
            <w:tcW w:w="3880" w:type="dxa"/>
            <w:vAlign w:val="bottom"/>
          </w:tcPr>
          <w:p>
            <w:pPr>
              <w:spacing w:after="0"/>
              <w:rPr>
                <w:sz w:val="13"/>
                <w:szCs w:val="13"/>
                <w:color w:val="auto"/>
              </w:rPr>
            </w:pPr>
          </w:p>
        </w:tc>
        <w:tc>
          <w:tcPr>
            <w:tcW w:w="6800" w:type="dxa"/>
            <w:vAlign w:val="bottom"/>
            <w:gridSpan w:val="2"/>
          </w:tcPr>
          <w:p>
            <w:pPr>
              <w:jc w:val="center"/>
              <w:ind w:right="3080"/>
              <w:spacing w:after="0"/>
              <w:rPr>
                <w:sz w:val="20"/>
                <w:szCs w:val="20"/>
                <w:color w:val="auto"/>
              </w:rPr>
            </w:pPr>
            <w:r>
              <w:rPr>
                <w:rFonts w:ascii="Arial" w:cs="Arial" w:eastAsia="Arial" w:hAnsi="Arial"/>
                <w:sz w:val="13"/>
                <w:szCs w:val="13"/>
                <w:b w:val="1"/>
                <w:bCs w:val="1"/>
                <w:color w:val="auto"/>
                <w:w w:val="95"/>
              </w:rPr>
              <w:t>Exhibit 7</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880" w:type="dxa"/>
            <w:vAlign w:val="bottom"/>
          </w:tcPr>
          <w:p>
            <w:pPr>
              <w:spacing w:after="0"/>
              <w:rPr>
                <w:sz w:val="13"/>
                <w:szCs w:val="13"/>
                <w:color w:val="auto"/>
              </w:rPr>
            </w:pPr>
          </w:p>
        </w:tc>
        <w:tc>
          <w:tcPr>
            <w:tcW w:w="6800" w:type="dxa"/>
            <w:vAlign w:val="bottom"/>
            <w:gridSpan w:val="2"/>
          </w:tcPr>
          <w:p>
            <w:pPr>
              <w:jc w:val="center"/>
              <w:ind w:right="3100"/>
              <w:spacing w:after="0"/>
              <w:rPr>
                <w:sz w:val="20"/>
                <w:szCs w:val="20"/>
                <w:color w:val="auto"/>
              </w:rPr>
            </w:pPr>
            <w:r>
              <w:rPr>
                <w:rFonts w:ascii="Arial" w:cs="Arial" w:eastAsia="Arial" w:hAnsi="Arial"/>
                <w:sz w:val="13"/>
                <w:szCs w:val="13"/>
                <w:b w:val="1"/>
                <w:bCs w:val="1"/>
                <w:color w:val="auto"/>
                <w:w w:val="90"/>
              </w:rPr>
              <w:t>U.S. Bank National Association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880" w:type="dxa"/>
            <w:vAlign w:val="bottom"/>
          </w:tcPr>
          <w:p>
            <w:pPr>
              <w:spacing w:after="0"/>
              <w:rPr>
                <w:sz w:val="13"/>
                <w:szCs w:val="13"/>
                <w:color w:val="auto"/>
              </w:rPr>
            </w:pPr>
          </w:p>
        </w:tc>
        <w:tc>
          <w:tcPr>
            <w:tcW w:w="6800" w:type="dxa"/>
            <w:vAlign w:val="bottom"/>
            <w:gridSpan w:val="2"/>
          </w:tcPr>
          <w:p>
            <w:pPr>
              <w:jc w:val="center"/>
              <w:ind w:right="3100"/>
              <w:spacing w:after="0"/>
              <w:rPr>
                <w:sz w:val="20"/>
                <w:szCs w:val="20"/>
                <w:color w:val="auto"/>
              </w:rPr>
            </w:pPr>
            <w:r>
              <w:rPr>
                <w:rFonts w:ascii="Arial" w:cs="Arial" w:eastAsia="Arial" w:hAnsi="Arial"/>
                <w:sz w:val="13"/>
                <w:szCs w:val="13"/>
                <w:b w:val="1"/>
                <w:bCs w:val="1"/>
                <w:color w:val="auto"/>
                <w:w w:val="91"/>
              </w:rPr>
              <w:t>Statement of Financial Condition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3880" w:type="dxa"/>
            <w:vAlign w:val="bottom"/>
          </w:tcPr>
          <w:p>
            <w:pPr>
              <w:spacing w:after="0"/>
              <w:rPr>
                <w:sz w:val="14"/>
                <w:szCs w:val="14"/>
                <w:color w:val="auto"/>
              </w:rPr>
            </w:pPr>
          </w:p>
        </w:tc>
        <w:tc>
          <w:tcPr>
            <w:tcW w:w="6800" w:type="dxa"/>
            <w:vAlign w:val="bottom"/>
            <w:gridSpan w:val="2"/>
          </w:tcPr>
          <w:p>
            <w:pPr>
              <w:jc w:val="center"/>
              <w:ind w:right="3100"/>
              <w:spacing w:after="0"/>
              <w:rPr>
                <w:sz w:val="20"/>
                <w:szCs w:val="20"/>
                <w:color w:val="auto"/>
              </w:rPr>
            </w:pPr>
            <w:r>
              <w:rPr>
                <w:rFonts w:ascii="Arial" w:cs="Arial" w:eastAsia="Arial" w:hAnsi="Arial"/>
                <w:sz w:val="13"/>
                <w:szCs w:val="13"/>
                <w:b w:val="1"/>
                <w:bCs w:val="1"/>
                <w:color w:val="auto"/>
                <w:w w:val="91"/>
              </w:rPr>
              <w:t>As of 9/30/2008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3880" w:type="dxa"/>
            <w:vAlign w:val="bottom"/>
          </w:tcPr>
          <w:p>
            <w:pPr>
              <w:spacing w:after="0"/>
              <w:rPr>
                <w:sz w:val="20"/>
                <w:szCs w:val="20"/>
                <w:color w:val="auto"/>
              </w:rPr>
            </w:pPr>
          </w:p>
        </w:tc>
        <w:tc>
          <w:tcPr>
            <w:tcW w:w="6800" w:type="dxa"/>
            <w:vAlign w:val="bottom"/>
            <w:gridSpan w:val="2"/>
          </w:tcPr>
          <w:p>
            <w:pPr>
              <w:jc w:val="center"/>
              <w:ind w:right="3080"/>
              <w:spacing w:after="0"/>
              <w:rPr>
                <w:sz w:val="20"/>
                <w:szCs w:val="20"/>
                <w:color w:val="auto"/>
              </w:rPr>
            </w:pPr>
            <w:r>
              <w:rPr>
                <w:rFonts w:ascii="Arial" w:cs="Arial" w:eastAsia="Arial" w:hAnsi="Arial"/>
                <w:sz w:val="13"/>
                <w:szCs w:val="13"/>
                <w:b w:val="1"/>
                <w:bCs w:val="1"/>
                <w:color w:val="auto"/>
                <w:w w:val="90"/>
              </w:rPr>
              <w:t>($000’s)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7"/>
        </w:trPr>
        <w:tc>
          <w:tcPr>
            <w:tcW w:w="388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b w:val="1"/>
                <w:bCs w:val="1"/>
                <w:color w:val="auto"/>
              </w:rPr>
              <w:t>9/30/2008</w:t>
            </w:r>
          </w:p>
        </w:tc>
        <w:tc>
          <w:tcPr>
            <w:tcW w:w="100" w:type="dxa"/>
            <w:vAlign w:val="bottom"/>
          </w:tcPr>
          <w:p>
            <w:pPr>
              <w:spacing w:after="0"/>
              <w:rPr>
                <w:sz w:val="23"/>
                <w:szCs w:val="23"/>
                <w:color w:val="auto"/>
              </w:rPr>
            </w:pPr>
          </w:p>
        </w:tc>
      </w:tr>
      <w:tr>
        <w:trPr>
          <w:trHeight w:val="147"/>
        </w:trPr>
        <w:tc>
          <w:tcPr>
            <w:tcW w:w="38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Assets</w:t>
            </w:r>
          </w:p>
        </w:tc>
        <w:tc>
          <w:tcPr>
            <w:tcW w:w="6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Cash and Balances Due From Depository Institutions</w:t>
            </w:r>
          </w:p>
        </w:tc>
        <w:tc>
          <w:tcPr>
            <w:tcW w:w="68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7,232,911</w:t>
            </w: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Securities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36,927,854</w:t>
            </w: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Federal Funds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3,517,817</w:t>
            </w:r>
          </w:p>
        </w:tc>
        <w:tc>
          <w:tcPr>
            <w:tcW w:w="100" w:type="dxa"/>
            <w:vAlign w:val="bottom"/>
          </w:tcPr>
          <w:p>
            <w:pPr>
              <w:spacing w:after="0"/>
              <w:rPr>
                <w:sz w:val="13"/>
                <w:szCs w:val="13"/>
                <w:color w:val="auto"/>
              </w:rPr>
            </w:pP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Loans &amp; Lease Financing Receivables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165,651,532</w:t>
            </w:r>
          </w:p>
        </w:tc>
        <w:tc>
          <w:tcPr>
            <w:tcW w:w="100" w:type="dxa"/>
            <w:vAlign w:val="bottom"/>
            <w:shd w:val="clear" w:color="auto" w:fill="CCEEFF"/>
          </w:tcPr>
          <w:p>
            <w:pPr>
              <w:spacing w:after="0"/>
              <w:rPr>
                <w:sz w:val="13"/>
                <w:szCs w:val="13"/>
                <w:color w:val="auto"/>
              </w:rPr>
            </w:pP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Fixed Assets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3,030,773</w:t>
            </w:r>
          </w:p>
        </w:tc>
        <w:tc>
          <w:tcPr>
            <w:tcW w:w="100" w:type="dxa"/>
            <w:vAlign w:val="bottom"/>
          </w:tcPr>
          <w:p>
            <w:pPr>
              <w:spacing w:after="0"/>
              <w:rPr>
                <w:sz w:val="13"/>
                <w:szCs w:val="13"/>
                <w:color w:val="auto"/>
              </w:rPr>
            </w:pP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12,172,606</w:t>
            </w: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14,063,317</w:t>
            </w:r>
          </w:p>
        </w:tc>
      </w:tr>
      <w:tr>
        <w:trPr>
          <w:trHeight w:val="20"/>
        </w:trPr>
        <w:tc>
          <w:tcPr>
            <w:tcW w:w="38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Assets</w:t>
            </w:r>
          </w:p>
        </w:tc>
        <w:tc>
          <w:tcPr>
            <w:tcW w:w="6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242,596,810</w:t>
            </w:r>
          </w:p>
        </w:tc>
        <w:tc>
          <w:tcPr>
            <w:tcW w:w="100" w:type="dxa"/>
            <w:vAlign w:val="bottom"/>
            <w:shd w:val="clear" w:color="auto" w:fill="CCEEFF"/>
          </w:tcPr>
          <w:p>
            <w:pPr>
              <w:spacing w:after="0"/>
              <w:rPr>
                <w:sz w:val="13"/>
                <w:szCs w:val="13"/>
                <w:color w:val="auto"/>
              </w:rPr>
            </w:pPr>
          </w:p>
        </w:tc>
      </w:tr>
      <w:tr>
        <w:trPr>
          <w:trHeight w:val="314"/>
        </w:trPr>
        <w:tc>
          <w:tcPr>
            <w:tcW w:w="388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6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Deposits</w:t>
            </w:r>
          </w:p>
        </w:tc>
        <w:tc>
          <w:tcPr>
            <w:tcW w:w="6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147,640,677</w:t>
            </w:r>
          </w:p>
        </w:tc>
        <w:tc>
          <w:tcPr>
            <w:tcW w:w="100" w:type="dxa"/>
            <w:vAlign w:val="bottom"/>
            <w:shd w:val="clear" w:color="auto" w:fill="CCEEFF"/>
          </w:tcPr>
          <w:p>
            <w:pPr>
              <w:spacing w:after="0"/>
              <w:rPr>
                <w:sz w:val="13"/>
                <w:szCs w:val="13"/>
                <w:color w:val="auto"/>
              </w:rPr>
            </w:pP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Fed Funds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13,500,584</w:t>
            </w: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Demand Notes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Trading Liabilities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488,249</w:t>
            </w:r>
          </w:p>
        </w:tc>
        <w:tc>
          <w:tcPr>
            <w:tcW w:w="100" w:type="dxa"/>
            <w:vAlign w:val="bottom"/>
          </w:tcPr>
          <w:p>
            <w:pPr>
              <w:spacing w:after="0"/>
              <w:rPr>
                <w:sz w:val="13"/>
                <w:szCs w:val="13"/>
                <w:color w:val="auto"/>
              </w:rPr>
            </w:pP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Borrowed Money</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43,752,578</w:t>
            </w: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Acceptances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Subordinated Notes and Debentures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7,379,967</w:t>
            </w:r>
          </w:p>
        </w:tc>
        <w:tc>
          <w:tcPr>
            <w:tcW w:w="100" w:type="dxa"/>
            <w:vAlign w:val="bottom"/>
            <w:shd w:val="clear" w:color="auto" w:fill="CCEEFF"/>
          </w:tcPr>
          <w:p>
            <w:pPr>
              <w:spacing w:after="0"/>
              <w:rPr>
                <w:sz w:val="13"/>
                <w:szCs w:val="13"/>
                <w:color w:val="auto"/>
              </w:rPr>
            </w:pP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67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6,540,570</w:t>
            </w:r>
          </w:p>
        </w:tc>
        <w:tc>
          <w:tcPr>
            <w:tcW w:w="100" w:type="dxa"/>
            <w:vAlign w:val="bottom"/>
          </w:tcPr>
          <w:p>
            <w:pPr>
              <w:spacing w:after="0"/>
              <w:rPr>
                <w:sz w:val="13"/>
                <w:szCs w:val="13"/>
                <w:color w:val="auto"/>
              </w:rPr>
            </w:pP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Liabilities</w:t>
            </w:r>
          </w:p>
        </w:tc>
        <w:tc>
          <w:tcPr>
            <w:tcW w:w="6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219,302,625</w:t>
            </w:r>
          </w:p>
        </w:tc>
        <w:tc>
          <w:tcPr>
            <w:tcW w:w="100" w:type="dxa"/>
            <w:vAlign w:val="bottom"/>
            <w:shd w:val="clear" w:color="auto" w:fill="CCEEFF"/>
          </w:tcPr>
          <w:p>
            <w:pPr>
              <w:spacing w:after="0"/>
              <w:rPr>
                <w:sz w:val="13"/>
                <w:szCs w:val="13"/>
                <w:color w:val="auto"/>
              </w:rPr>
            </w:pPr>
          </w:p>
        </w:tc>
      </w:tr>
      <w:tr>
        <w:trPr>
          <w:trHeight w:val="314"/>
        </w:trPr>
        <w:tc>
          <w:tcPr>
            <w:tcW w:w="3880" w:type="dxa"/>
            <w:vAlign w:val="bottom"/>
          </w:tcPr>
          <w:p>
            <w:pPr>
              <w:spacing w:after="0"/>
              <w:rPr>
                <w:sz w:val="20"/>
                <w:szCs w:val="20"/>
                <w:color w:val="auto"/>
              </w:rPr>
            </w:pPr>
            <w:r>
              <w:rPr>
                <w:rFonts w:ascii="Arial" w:cs="Arial" w:eastAsia="Arial" w:hAnsi="Arial"/>
                <w:sz w:val="13"/>
                <w:szCs w:val="13"/>
                <w:b w:val="1"/>
                <w:bCs w:val="1"/>
                <w:color w:val="auto"/>
              </w:rPr>
              <w:t>Equity</w:t>
            </w:r>
          </w:p>
        </w:tc>
        <w:tc>
          <w:tcPr>
            <w:tcW w:w="6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 in Subsidiaries</w:t>
            </w:r>
          </w:p>
        </w:tc>
        <w:tc>
          <w:tcPr>
            <w:tcW w:w="6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1,679,593</w:t>
            </w:r>
          </w:p>
        </w:tc>
        <w:tc>
          <w:tcPr>
            <w:tcW w:w="100" w:type="dxa"/>
            <w:vAlign w:val="bottom"/>
            <w:shd w:val="clear" w:color="auto" w:fill="CCEEFF"/>
          </w:tcPr>
          <w:p>
            <w:pPr>
              <w:spacing w:after="0"/>
              <w:rPr>
                <w:sz w:val="13"/>
                <w:szCs w:val="13"/>
                <w:color w:val="auto"/>
              </w:rPr>
            </w:pP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Common and Preferred Stock</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18,200</w:t>
            </w: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Surplus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12,057,621</w:t>
            </w: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Undivided Profits</w:t>
            </w:r>
          </w:p>
        </w:tc>
        <w:tc>
          <w:tcPr>
            <w:tcW w:w="67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9,538,771</w:t>
            </w:r>
          </w:p>
        </w:tc>
        <w:tc>
          <w:tcPr>
            <w:tcW w:w="100" w:type="dxa"/>
            <w:vAlign w:val="bottom"/>
          </w:tcPr>
          <w:p>
            <w:pPr>
              <w:spacing w:after="0"/>
              <w:rPr>
                <w:sz w:val="13"/>
                <w:szCs w:val="13"/>
                <w:color w:val="auto"/>
              </w:rPr>
            </w:pPr>
          </w:p>
        </w:tc>
      </w:tr>
      <w:tr>
        <w:trPr>
          <w:trHeight w:val="157"/>
        </w:trPr>
        <w:tc>
          <w:tcPr>
            <w:tcW w:w="388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Total Equity Capital</w:t>
            </w:r>
          </w:p>
        </w:tc>
        <w:tc>
          <w:tcPr>
            <w:tcW w:w="6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23,294,185</w:t>
            </w:r>
          </w:p>
        </w:tc>
      </w:tr>
      <w:tr>
        <w:trPr>
          <w:trHeight w:val="313"/>
        </w:trPr>
        <w:tc>
          <w:tcPr>
            <w:tcW w:w="3880" w:type="dxa"/>
            <w:vAlign w:val="bottom"/>
          </w:tcPr>
          <w:p>
            <w:pPr>
              <w:spacing w:after="0"/>
              <w:rPr>
                <w:sz w:val="20"/>
                <w:szCs w:val="20"/>
                <w:color w:val="auto"/>
              </w:rPr>
            </w:pPr>
            <w:r>
              <w:rPr>
                <w:rFonts w:ascii="Arial" w:cs="Arial" w:eastAsia="Arial" w:hAnsi="Arial"/>
                <w:sz w:val="13"/>
                <w:szCs w:val="13"/>
                <w:b w:val="1"/>
                <w:bCs w:val="1"/>
                <w:color w:val="auto"/>
              </w:rPr>
              <w:t>Total Liabilities and Equity Capital</w:t>
            </w:r>
          </w:p>
        </w:tc>
        <w:tc>
          <w:tcPr>
            <w:tcW w:w="68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1"/>
              </w:rPr>
              <w:t>242,596,810</w:t>
            </w:r>
          </w:p>
        </w:tc>
        <w:tc>
          <w:tcPr>
            <w:tcW w:w="100" w:type="dxa"/>
            <w:vAlign w:val="bottom"/>
          </w:tcPr>
          <w:p>
            <w:pPr>
              <w:spacing w:after="0"/>
              <w:rPr>
                <w:sz w:val="24"/>
                <w:szCs w:val="24"/>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To the best of the undersigned’s determination, as of the date hereof, the above financial information is true and correct.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 Bank National Association</w:t>
      </w:r>
    </w:p>
    <w:p>
      <w:pPr>
        <w:spacing w:after="0" w:line="169" w:lineRule="exact"/>
        <w:rPr>
          <w:sz w:val="20"/>
          <w:szCs w:val="20"/>
          <w:color w:val="auto"/>
        </w:rPr>
      </w:pPr>
    </w:p>
    <w:p>
      <w:pPr>
        <w:jc w:val="center"/>
        <w:ind w:right="10000"/>
        <w:spacing w:after="0"/>
        <w:tabs>
          <w:tab w:leader="none" w:pos="160" w:val="left"/>
        </w:tabs>
        <w:rPr>
          <w:sz w:val="20"/>
          <w:szCs w:val="20"/>
          <w:color w:val="auto"/>
        </w:rPr>
      </w:pPr>
      <w:r>
        <w:rPr>
          <w:rFonts w:ascii="Arial" w:cs="Arial" w:eastAsia="Arial" w:hAnsi="Arial"/>
          <w:sz w:val="13"/>
          <w:szCs w:val="13"/>
          <w:color w:val="auto"/>
        </w:rPr>
        <w:t>By:</w:t>
        <w:tab/>
        <w:t>/s/ Steven A. Finklea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54635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jc w:val="center"/>
        <w:ind w:right="10000"/>
        <w:spacing w:after="0"/>
        <w:rPr>
          <w:sz w:val="20"/>
          <w:szCs w:val="20"/>
          <w:color w:val="auto"/>
        </w:rPr>
      </w:pPr>
      <w:r>
        <w:rPr>
          <w:rFonts w:ascii="Arial" w:cs="Arial" w:eastAsia="Arial" w:hAnsi="Arial"/>
          <w:sz w:val="13"/>
          <w:szCs w:val="13"/>
          <w:color w:val="auto"/>
        </w:rPr>
        <w:t>Vice President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November 24, 2008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60"/>
          </w:cols>
          <w:pgMar w:left="220" w:top="736" w:right="219" w:bottom="1440" w:gutter="0" w:footer="0" w:header="0"/>
        </w:sectPr>
      </w:pPr>
    </w:p>
    <w:bookmarkStart w:id="77" w:name="page78"/>
    <w:bookmarkEnd w:id="77"/>
    <w:p>
      <w:pPr>
        <w:jc w:val="right"/>
        <w:spacing w:after="0"/>
        <w:rPr>
          <w:sz w:val="20"/>
          <w:szCs w:val="20"/>
          <w:color w:val="auto"/>
        </w:rPr>
      </w:pPr>
      <w:r>
        <w:rPr>
          <w:rFonts w:ascii="Arial" w:cs="Arial" w:eastAsia="Arial" w:hAnsi="Arial"/>
          <w:sz w:val="13"/>
          <w:szCs w:val="13"/>
          <w:b w:val="1"/>
          <w:bCs w:val="1"/>
          <w:color w:val="auto"/>
        </w:rPr>
        <w:t>Exhibit 25.2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rPr>
              <w:t>SECURITIES AND EXCHANGE COMMISSION</w:t>
            </w:r>
          </w:p>
        </w:tc>
        <w:tc>
          <w:tcPr>
            <w:tcW w:w="3920" w:type="dxa"/>
            <w:vAlign w:val="bottom"/>
          </w:tcPr>
          <w:p>
            <w:pPr>
              <w:spacing w:after="0"/>
              <w:rPr>
                <w:sz w:val="13"/>
                <w:szCs w:val="13"/>
                <w:color w:val="auto"/>
              </w:rPr>
            </w:pPr>
          </w:p>
        </w:tc>
      </w:tr>
      <w:tr>
        <w:trPr>
          <w:trHeight w:val="169"/>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0"/>
              </w:rPr>
              <w:t>Washington, D.C. 20549</w:t>
            </w:r>
          </w:p>
        </w:tc>
        <w:tc>
          <w:tcPr>
            <w:tcW w:w="3920" w:type="dxa"/>
            <w:vAlign w:val="bottom"/>
          </w:tcPr>
          <w:p>
            <w:pPr>
              <w:spacing w:after="0"/>
              <w:rPr>
                <w:sz w:val="14"/>
                <w:szCs w:val="14"/>
                <w:color w:val="auto"/>
              </w:rPr>
            </w:pPr>
          </w:p>
        </w:tc>
      </w:tr>
      <w:tr>
        <w:trPr>
          <w:trHeight w:val="208"/>
        </w:trPr>
        <w:tc>
          <w:tcPr>
            <w:tcW w:w="42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74"/>
        </w:trPr>
        <w:tc>
          <w:tcPr>
            <w:tcW w:w="4240" w:type="dxa"/>
            <w:vAlign w:val="bottom"/>
          </w:tcPr>
          <w:p>
            <w:pPr>
              <w:spacing w:after="0"/>
              <w:rPr>
                <w:sz w:val="23"/>
                <w:szCs w:val="2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rPr>
              <w:t>FORM T-1</w:t>
            </w:r>
          </w:p>
        </w:tc>
        <w:tc>
          <w:tcPr>
            <w:tcW w:w="3920" w:type="dxa"/>
            <w:vAlign w:val="bottom"/>
          </w:tcPr>
          <w:p>
            <w:pPr>
              <w:spacing w:after="0"/>
              <w:rPr>
                <w:sz w:val="23"/>
                <w:szCs w:val="23"/>
                <w:color w:val="auto"/>
              </w:rPr>
            </w:pPr>
          </w:p>
        </w:tc>
      </w:tr>
      <w:tr>
        <w:trPr>
          <w:trHeight w:val="224"/>
        </w:trPr>
        <w:tc>
          <w:tcPr>
            <w:tcW w:w="4240" w:type="dxa"/>
            <w:vAlign w:val="bottom"/>
          </w:tcPr>
          <w:p>
            <w:pPr>
              <w:spacing w:after="0"/>
              <w:rPr>
                <w:sz w:val="19"/>
                <w:szCs w:val="19"/>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rPr>
              <w:t>STATEMENT OF ELIGIBILITY UNDER</w:t>
            </w:r>
          </w:p>
        </w:tc>
        <w:tc>
          <w:tcPr>
            <w:tcW w:w="3920" w:type="dxa"/>
            <w:vAlign w:val="bottom"/>
          </w:tcPr>
          <w:p>
            <w:pPr>
              <w:spacing w:after="0"/>
              <w:rPr>
                <w:sz w:val="19"/>
                <w:szCs w:val="19"/>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rPr>
              <w:t>THE TRUST INDENTURE ACT OF 1939 OF A</w:t>
            </w:r>
          </w:p>
        </w:tc>
        <w:tc>
          <w:tcPr>
            <w:tcW w:w="3920" w:type="dxa"/>
            <w:vAlign w:val="bottom"/>
          </w:tcPr>
          <w:p>
            <w:pPr>
              <w:spacing w:after="0"/>
              <w:rPr>
                <w:sz w:val="13"/>
                <w:szCs w:val="13"/>
                <w:color w:val="auto"/>
              </w:rPr>
            </w:pPr>
          </w:p>
        </w:tc>
      </w:tr>
      <w:tr>
        <w:trPr>
          <w:trHeight w:val="161"/>
        </w:trPr>
        <w:tc>
          <w:tcPr>
            <w:tcW w:w="7540" w:type="dxa"/>
            <w:vAlign w:val="bottom"/>
            <w:gridSpan w:val="7"/>
          </w:tcPr>
          <w:p>
            <w:pPr>
              <w:jc w:val="center"/>
              <w:ind w:left="3854"/>
              <w:spacing w:after="0"/>
              <w:rPr>
                <w:sz w:val="20"/>
                <w:szCs w:val="20"/>
                <w:color w:val="auto"/>
              </w:rPr>
            </w:pPr>
            <w:r>
              <w:rPr>
                <w:rFonts w:ascii="Arial" w:cs="Arial" w:eastAsia="Arial" w:hAnsi="Arial"/>
                <w:sz w:val="13"/>
                <w:szCs w:val="13"/>
                <w:b w:val="1"/>
                <w:bCs w:val="1"/>
                <w:color w:val="auto"/>
              </w:rPr>
              <w:t>CORPORATION DESIGNATED TO ACT AS TRUSTEE</w:t>
            </w:r>
          </w:p>
        </w:tc>
        <w:tc>
          <w:tcPr>
            <w:tcW w:w="3920" w:type="dxa"/>
            <w:vAlign w:val="bottom"/>
          </w:tcPr>
          <w:p>
            <w:pPr>
              <w:spacing w:after="0"/>
              <w:rPr>
                <w:sz w:val="14"/>
                <w:szCs w:val="14"/>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6"/>
              </w:rPr>
              <w:t>Check if an Application to Determine Eligibility of</w:t>
            </w:r>
          </w:p>
        </w:tc>
        <w:tc>
          <w:tcPr>
            <w:tcW w:w="3920" w:type="dxa"/>
            <w:vAlign w:val="bottom"/>
          </w:tcPr>
          <w:p>
            <w:pPr>
              <w:spacing w:after="0"/>
              <w:rPr>
                <w:sz w:val="13"/>
                <w:szCs w:val="13"/>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89"/>
              </w:rPr>
              <w:t>a Trustee Pursuant to Section 305(b)(2)</w:t>
            </w:r>
          </w:p>
        </w:tc>
        <w:tc>
          <w:tcPr>
            <w:tcW w:w="3920" w:type="dxa"/>
            <w:vAlign w:val="bottom"/>
          </w:tcPr>
          <w:p>
            <w:pPr>
              <w:spacing w:after="0"/>
              <w:rPr>
                <w:sz w:val="14"/>
                <w:szCs w:val="14"/>
                <w:color w:val="auto"/>
              </w:rPr>
            </w:pPr>
          </w:p>
        </w:tc>
      </w:tr>
      <w:tr>
        <w:trPr>
          <w:trHeight w:val="218"/>
        </w:trPr>
        <w:tc>
          <w:tcPr>
            <w:tcW w:w="42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66"/>
        </w:trPr>
        <w:tc>
          <w:tcPr>
            <w:tcW w:w="4240" w:type="dxa"/>
            <w:vAlign w:val="bottom"/>
          </w:tcPr>
          <w:p>
            <w:pPr>
              <w:spacing w:after="0"/>
              <w:rPr>
                <w:sz w:val="23"/>
                <w:szCs w:val="2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rPr>
              <w:t>U.S. BANK NATIONAL ASSOCIATION</w:t>
            </w:r>
          </w:p>
        </w:tc>
        <w:tc>
          <w:tcPr>
            <w:tcW w:w="3920" w:type="dxa"/>
            <w:vAlign w:val="bottom"/>
          </w:tcPr>
          <w:p>
            <w:pPr>
              <w:spacing w:after="0"/>
              <w:rPr>
                <w:sz w:val="23"/>
                <w:szCs w:val="23"/>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0"/>
              </w:rPr>
              <w:t>(Exact name of Trustee as specified in its charter)</w:t>
            </w:r>
          </w:p>
        </w:tc>
        <w:tc>
          <w:tcPr>
            <w:tcW w:w="3920" w:type="dxa"/>
            <w:vAlign w:val="bottom"/>
          </w:tcPr>
          <w:p>
            <w:pPr>
              <w:spacing w:after="0"/>
              <w:rPr>
                <w:sz w:val="14"/>
                <w:szCs w:val="14"/>
                <w:color w:val="auto"/>
              </w:rPr>
            </w:pPr>
          </w:p>
        </w:tc>
      </w:tr>
      <w:tr>
        <w:trPr>
          <w:trHeight w:val="228"/>
        </w:trPr>
        <w:tc>
          <w:tcPr>
            <w:tcW w:w="7220" w:type="dxa"/>
            <w:vAlign w:val="bottom"/>
            <w:gridSpan w:val="6"/>
          </w:tcPr>
          <w:p>
            <w:pPr>
              <w:jc w:val="right"/>
              <w:ind w:right="1160"/>
              <w:spacing w:after="0"/>
              <w:rPr>
                <w:sz w:val="20"/>
                <w:szCs w:val="20"/>
                <w:color w:val="auto"/>
              </w:rPr>
            </w:pPr>
            <w:r>
              <w:rPr>
                <w:rFonts w:ascii="Arial" w:cs="Arial" w:eastAsia="Arial" w:hAnsi="Arial"/>
                <w:sz w:val="13"/>
                <w:szCs w:val="13"/>
                <w:b w:val="1"/>
                <w:bCs w:val="1"/>
                <w:color w:val="auto"/>
              </w:rPr>
              <w:t>31-0841368</w:t>
            </w:r>
          </w:p>
        </w:tc>
        <w:tc>
          <w:tcPr>
            <w:tcW w:w="32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5"/>
              </w:rPr>
              <w:t>I.R.S. Employer Identification No.</w:t>
            </w:r>
          </w:p>
        </w:tc>
        <w:tc>
          <w:tcPr>
            <w:tcW w:w="3920" w:type="dxa"/>
            <w:vAlign w:val="bottom"/>
          </w:tcPr>
          <w:p>
            <w:pPr>
              <w:spacing w:after="0"/>
              <w:rPr>
                <w:sz w:val="14"/>
                <w:szCs w:val="14"/>
                <w:color w:val="auto"/>
              </w:rPr>
            </w:pPr>
          </w:p>
        </w:tc>
      </w:tr>
      <w:tr>
        <w:trPr>
          <w:trHeight w:val="307"/>
        </w:trPr>
        <w:tc>
          <w:tcPr>
            <w:tcW w:w="7540" w:type="dxa"/>
            <w:vAlign w:val="bottom"/>
            <w:gridSpan w:val="7"/>
          </w:tcPr>
          <w:p>
            <w:pPr>
              <w:jc w:val="center"/>
              <w:ind w:right="2100"/>
              <w:spacing w:after="0"/>
              <w:rPr>
                <w:sz w:val="20"/>
                <w:szCs w:val="20"/>
                <w:color w:val="auto"/>
              </w:rPr>
            </w:pPr>
            <w:r>
              <w:rPr>
                <w:rFonts w:ascii="Arial" w:cs="Arial" w:eastAsia="Arial" w:hAnsi="Arial"/>
                <w:sz w:val="13"/>
                <w:szCs w:val="13"/>
                <w:color w:val="auto"/>
                <w:w w:val="96"/>
              </w:rPr>
              <w:t>800 Nicollet Mall</w:t>
            </w:r>
          </w:p>
        </w:tc>
        <w:tc>
          <w:tcPr>
            <w:tcW w:w="3920" w:type="dxa"/>
            <w:vAlign w:val="bottom"/>
          </w:tcPr>
          <w:p>
            <w:pPr>
              <w:spacing w:after="0"/>
              <w:rPr>
                <w:sz w:val="24"/>
                <w:szCs w:val="24"/>
                <w:color w:val="auto"/>
              </w:rPr>
            </w:pPr>
          </w:p>
        </w:tc>
      </w:tr>
      <w:tr>
        <w:trPr>
          <w:trHeight w:val="165"/>
        </w:trPr>
        <w:tc>
          <w:tcPr>
            <w:tcW w:w="7540" w:type="dxa"/>
            <w:vAlign w:val="bottom"/>
            <w:gridSpan w:val="7"/>
          </w:tcPr>
          <w:p>
            <w:pPr>
              <w:jc w:val="center"/>
              <w:ind w:right="2100"/>
              <w:spacing w:after="0"/>
              <w:rPr>
                <w:sz w:val="20"/>
                <w:szCs w:val="20"/>
                <w:color w:val="auto"/>
              </w:rPr>
            </w:pPr>
            <w:r>
              <w:rPr>
                <w:rFonts w:ascii="Arial" w:cs="Arial" w:eastAsia="Arial" w:hAnsi="Arial"/>
                <w:sz w:val="13"/>
                <w:szCs w:val="13"/>
                <w:color w:val="auto"/>
                <w:w w:val="93"/>
              </w:rPr>
              <w:t>Minneapolis, Minnesota</w:t>
            </w:r>
          </w:p>
        </w:tc>
        <w:tc>
          <w:tcPr>
            <w:tcW w:w="3920" w:type="dxa"/>
            <w:vAlign w:val="bottom"/>
          </w:tcPr>
          <w:p>
            <w:pPr>
              <w:jc w:val="center"/>
              <w:ind w:right="1454"/>
              <w:spacing w:after="0"/>
              <w:rPr>
                <w:sz w:val="20"/>
                <w:szCs w:val="20"/>
                <w:color w:val="auto"/>
              </w:rPr>
            </w:pPr>
            <w:r>
              <w:rPr>
                <w:rFonts w:ascii="Arial" w:cs="Arial" w:eastAsia="Arial" w:hAnsi="Arial"/>
                <w:sz w:val="13"/>
                <w:szCs w:val="13"/>
                <w:color w:val="auto"/>
                <w:w w:val="88"/>
              </w:rPr>
              <w:t>55402</w:t>
            </w:r>
          </w:p>
        </w:tc>
      </w:tr>
      <w:tr>
        <w:trPr>
          <w:trHeight w:val="155"/>
        </w:trPr>
        <w:tc>
          <w:tcPr>
            <w:tcW w:w="54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3"/>
              </w:rPr>
              <w:t>(Address of principal executive offices)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top w:val="single" w:sz="8" w:color="auto"/>
            </w:tcBorders>
            <w:gridSpan w:val="2"/>
          </w:tcPr>
          <w:p>
            <w:pPr>
              <w:spacing w:after="0"/>
              <w:rPr>
                <w:sz w:val="13"/>
                <w:szCs w:val="13"/>
                <w:color w:val="auto"/>
              </w:rPr>
            </w:pPr>
          </w:p>
        </w:tc>
        <w:tc>
          <w:tcPr>
            <w:tcW w:w="3920" w:type="dxa"/>
            <w:vAlign w:val="bottom"/>
            <w:tcBorders>
              <w:top w:val="single" w:sz="8" w:color="auto"/>
            </w:tcBorders>
          </w:tcPr>
          <w:p>
            <w:pPr>
              <w:jc w:val="center"/>
              <w:ind w:right="1434"/>
              <w:spacing w:after="0"/>
              <w:rPr>
                <w:sz w:val="20"/>
                <w:szCs w:val="20"/>
                <w:color w:val="auto"/>
              </w:rPr>
            </w:pPr>
            <w:r>
              <w:rPr>
                <w:rFonts w:ascii="Arial" w:cs="Arial" w:eastAsia="Arial" w:hAnsi="Arial"/>
                <w:sz w:val="13"/>
                <w:szCs w:val="13"/>
                <w:color w:val="auto"/>
                <w:w w:val="94"/>
              </w:rPr>
              <w:t>(Zip Code)</w:t>
            </w:r>
          </w:p>
        </w:tc>
      </w:tr>
      <w:tr>
        <w:trPr>
          <w:trHeight w:val="377"/>
        </w:trPr>
        <w:tc>
          <w:tcPr>
            <w:tcW w:w="4240" w:type="dxa"/>
            <w:vAlign w:val="bottom"/>
          </w:tcPr>
          <w:p>
            <w:pPr>
              <w:spacing w:after="0"/>
              <w:rPr>
                <w:sz w:val="24"/>
                <w:szCs w:val="2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2"/>
              </w:rPr>
              <w:t>Steven A. Finklea</w:t>
            </w:r>
          </w:p>
        </w:tc>
        <w:tc>
          <w:tcPr>
            <w:tcW w:w="3920" w:type="dxa"/>
            <w:vAlign w:val="bottom"/>
          </w:tcPr>
          <w:p>
            <w:pPr>
              <w:spacing w:after="0"/>
              <w:rPr>
                <w:sz w:val="24"/>
                <w:szCs w:val="24"/>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00"/>
              <w:spacing w:after="0"/>
              <w:rPr>
                <w:sz w:val="20"/>
                <w:szCs w:val="20"/>
                <w:color w:val="auto"/>
              </w:rPr>
            </w:pPr>
            <w:r>
              <w:rPr>
                <w:rFonts w:ascii="Arial" w:cs="Arial" w:eastAsia="Arial" w:hAnsi="Arial"/>
                <w:sz w:val="13"/>
                <w:szCs w:val="13"/>
                <w:color w:val="auto"/>
                <w:w w:val="93"/>
              </w:rPr>
              <w:t>U.S. Bank National Association</w:t>
            </w:r>
          </w:p>
        </w:tc>
        <w:tc>
          <w:tcPr>
            <w:tcW w:w="3920" w:type="dxa"/>
            <w:vAlign w:val="bottom"/>
          </w:tcPr>
          <w:p>
            <w:pPr>
              <w:spacing w:after="0"/>
              <w:rPr>
                <w:sz w:val="13"/>
                <w:szCs w:val="13"/>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89"/>
              </w:rPr>
              <w:t>5555 San Felipe Street, Suite 1150</w:t>
            </w:r>
          </w:p>
        </w:tc>
        <w:tc>
          <w:tcPr>
            <w:tcW w:w="3920" w:type="dxa"/>
            <w:vAlign w:val="bottom"/>
          </w:tcPr>
          <w:p>
            <w:pPr>
              <w:spacing w:after="0"/>
              <w:rPr>
                <w:sz w:val="13"/>
                <w:szCs w:val="13"/>
                <w:color w:val="auto"/>
              </w:rPr>
            </w:pPr>
          </w:p>
        </w:tc>
      </w:tr>
      <w:tr>
        <w:trPr>
          <w:trHeight w:val="157"/>
        </w:trPr>
        <w:tc>
          <w:tcPr>
            <w:tcW w:w="4240" w:type="dxa"/>
            <w:vAlign w:val="bottom"/>
          </w:tcPr>
          <w:p>
            <w:pPr>
              <w:spacing w:after="0"/>
              <w:rPr>
                <w:sz w:val="13"/>
                <w:szCs w:val="13"/>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0"/>
              </w:rPr>
              <w:t>Houston, Texas 77056</w:t>
            </w:r>
          </w:p>
        </w:tc>
        <w:tc>
          <w:tcPr>
            <w:tcW w:w="3920" w:type="dxa"/>
            <w:vAlign w:val="bottom"/>
          </w:tcPr>
          <w:p>
            <w:pPr>
              <w:spacing w:after="0"/>
              <w:rPr>
                <w:sz w:val="13"/>
                <w:szCs w:val="13"/>
                <w:color w:val="auto"/>
              </w:rPr>
            </w:pPr>
          </w:p>
        </w:tc>
      </w:tr>
      <w:tr>
        <w:trPr>
          <w:trHeight w:val="157"/>
        </w:trPr>
        <w:tc>
          <w:tcPr>
            <w:tcW w:w="7220" w:type="dxa"/>
            <w:vAlign w:val="bottom"/>
            <w:gridSpan w:val="6"/>
          </w:tcPr>
          <w:p>
            <w:pPr>
              <w:jc w:val="right"/>
              <w:ind w:right="1080"/>
              <w:spacing w:after="0"/>
              <w:rPr>
                <w:sz w:val="20"/>
                <w:szCs w:val="20"/>
                <w:color w:val="auto"/>
              </w:rPr>
            </w:pPr>
            <w:r>
              <w:rPr>
                <w:rFonts w:ascii="Arial" w:cs="Arial" w:eastAsia="Arial" w:hAnsi="Arial"/>
                <w:sz w:val="13"/>
                <w:szCs w:val="13"/>
                <w:color w:val="auto"/>
              </w:rPr>
              <w:t>(713) 235-9208</w:t>
            </w:r>
          </w:p>
        </w:tc>
        <w:tc>
          <w:tcPr>
            <w:tcW w:w="32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165"/>
        </w:trPr>
        <w:tc>
          <w:tcPr>
            <w:tcW w:w="7540" w:type="dxa"/>
            <w:vAlign w:val="bottom"/>
            <w:gridSpan w:val="7"/>
          </w:tcPr>
          <w:p>
            <w:pPr>
              <w:jc w:val="center"/>
              <w:ind w:left="3854"/>
              <w:spacing w:after="0"/>
              <w:rPr>
                <w:sz w:val="20"/>
                <w:szCs w:val="20"/>
                <w:color w:val="auto"/>
              </w:rPr>
            </w:pPr>
            <w:r>
              <w:rPr>
                <w:rFonts w:ascii="Arial" w:cs="Arial" w:eastAsia="Arial" w:hAnsi="Arial"/>
                <w:sz w:val="13"/>
                <w:szCs w:val="13"/>
                <w:color w:val="auto"/>
                <w:w w:val="89"/>
              </w:rPr>
              <w:t>(Name, address and telephone number of agent for service)</w:t>
            </w:r>
          </w:p>
        </w:tc>
        <w:tc>
          <w:tcPr>
            <w:tcW w:w="3920" w:type="dxa"/>
            <w:vAlign w:val="bottom"/>
          </w:tcPr>
          <w:p>
            <w:pPr>
              <w:spacing w:after="0"/>
              <w:rPr>
                <w:sz w:val="14"/>
                <w:szCs w:val="14"/>
                <w:color w:val="auto"/>
              </w:rPr>
            </w:pPr>
          </w:p>
        </w:tc>
      </w:tr>
      <w:tr>
        <w:trPr>
          <w:trHeight w:val="224"/>
        </w:trPr>
        <w:tc>
          <w:tcPr>
            <w:tcW w:w="4240" w:type="dxa"/>
            <w:vAlign w:val="bottom"/>
          </w:tcPr>
          <w:p>
            <w:pPr>
              <w:spacing w:after="0"/>
              <w:rPr>
                <w:sz w:val="19"/>
                <w:szCs w:val="19"/>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2"/>
              </w:rPr>
              <w:t>Plains All American Pipeline, L.P.</w:t>
            </w:r>
          </w:p>
        </w:tc>
        <w:tc>
          <w:tcPr>
            <w:tcW w:w="3920" w:type="dxa"/>
            <w:vAlign w:val="bottom"/>
          </w:tcPr>
          <w:p>
            <w:pPr>
              <w:spacing w:after="0"/>
              <w:rPr>
                <w:sz w:val="19"/>
                <w:szCs w:val="19"/>
                <w:color w:val="auto"/>
              </w:rPr>
            </w:pPr>
          </w:p>
        </w:tc>
      </w:tr>
      <w:tr>
        <w:trPr>
          <w:trHeight w:val="161"/>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3"/>
              </w:rPr>
              <w:t>PAA Finance Corp.</w:t>
            </w:r>
          </w:p>
        </w:tc>
        <w:tc>
          <w:tcPr>
            <w:tcW w:w="3920" w:type="dxa"/>
            <w:vAlign w:val="bottom"/>
          </w:tcPr>
          <w:p>
            <w:pPr>
              <w:spacing w:after="0"/>
              <w:rPr>
                <w:sz w:val="14"/>
                <w:szCs w:val="14"/>
                <w:color w:val="auto"/>
              </w:rPr>
            </w:pPr>
          </w:p>
        </w:tc>
      </w:tr>
      <w:tr>
        <w:trPr>
          <w:trHeight w:val="165"/>
        </w:trPr>
        <w:tc>
          <w:tcPr>
            <w:tcW w:w="4240" w:type="dxa"/>
            <w:vAlign w:val="bottom"/>
          </w:tcPr>
          <w:p>
            <w:pPr>
              <w:spacing w:after="0"/>
              <w:rPr>
                <w:sz w:val="14"/>
                <w:szCs w:val="14"/>
                <w:color w:val="auto"/>
              </w:rPr>
            </w:pPr>
          </w:p>
        </w:tc>
        <w:tc>
          <w:tcPr>
            <w:tcW w:w="3300" w:type="dxa"/>
            <w:vAlign w:val="bottom"/>
            <w:gridSpan w:val="6"/>
          </w:tcPr>
          <w:p>
            <w:pPr>
              <w:jc w:val="center"/>
              <w:ind w:right="320"/>
              <w:spacing w:after="0"/>
              <w:rPr>
                <w:sz w:val="20"/>
                <w:szCs w:val="20"/>
                <w:color w:val="auto"/>
              </w:rPr>
            </w:pPr>
            <w:r>
              <w:rPr>
                <w:rFonts w:ascii="Arial" w:cs="Arial" w:eastAsia="Arial" w:hAnsi="Arial"/>
                <w:sz w:val="13"/>
                <w:szCs w:val="13"/>
                <w:color w:val="auto"/>
                <w:w w:val="90"/>
              </w:rPr>
              <w:t>(Issuer with respect to the Securities)</w:t>
            </w:r>
          </w:p>
        </w:tc>
        <w:tc>
          <w:tcPr>
            <w:tcW w:w="3920" w:type="dxa"/>
            <w:vAlign w:val="bottom"/>
          </w:tcPr>
          <w:p>
            <w:pPr>
              <w:spacing w:after="0"/>
              <w:rPr>
                <w:sz w:val="14"/>
                <w:szCs w:val="14"/>
                <w:color w:val="auto"/>
              </w:rPr>
            </w:pPr>
          </w:p>
        </w:tc>
      </w:tr>
      <w:tr>
        <w:trPr>
          <w:trHeight w:val="307"/>
        </w:trPr>
        <w:tc>
          <w:tcPr>
            <w:tcW w:w="7540" w:type="dxa"/>
            <w:vAlign w:val="bottom"/>
            <w:gridSpan w:val="7"/>
          </w:tcPr>
          <w:p>
            <w:pPr>
              <w:jc w:val="center"/>
              <w:ind w:right="2000"/>
              <w:spacing w:after="0"/>
              <w:rPr>
                <w:sz w:val="20"/>
                <w:szCs w:val="20"/>
                <w:color w:val="auto"/>
              </w:rPr>
            </w:pPr>
            <w:r>
              <w:rPr>
                <w:rFonts w:ascii="Arial" w:cs="Arial" w:eastAsia="Arial" w:hAnsi="Arial"/>
                <w:sz w:val="13"/>
                <w:szCs w:val="13"/>
                <w:color w:val="auto"/>
                <w:w w:val="90"/>
              </w:rPr>
              <w:t>Delaware</w:t>
            </w:r>
          </w:p>
        </w:tc>
        <w:tc>
          <w:tcPr>
            <w:tcW w:w="3920" w:type="dxa"/>
            <w:vAlign w:val="bottom"/>
          </w:tcPr>
          <w:p>
            <w:pPr>
              <w:jc w:val="center"/>
              <w:ind w:right="1574"/>
              <w:spacing w:after="0"/>
              <w:rPr>
                <w:sz w:val="20"/>
                <w:szCs w:val="20"/>
                <w:color w:val="auto"/>
              </w:rPr>
            </w:pPr>
            <w:r>
              <w:rPr>
                <w:rFonts w:ascii="Arial" w:cs="Arial" w:eastAsia="Arial" w:hAnsi="Arial"/>
                <w:sz w:val="13"/>
                <w:szCs w:val="13"/>
                <w:color w:val="auto"/>
                <w:w w:val="92"/>
              </w:rPr>
              <w:t>76-0582150</w:t>
            </w:r>
          </w:p>
        </w:tc>
      </w:tr>
      <w:tr>
        <w:trPr>
          <w:trHeight w:val="165"/>
        </w:trPr>
        <w:tc>
          <w:tcPr>
            <w:tcW w:w="7540" w:type="dxa"/>
            <w:vAlign w:val="bottom"/>
            <w:gridSpan w:val="7"/>
          </w:tcPr>
          <w:p>
            <w:pPr>
              <w:jc w:val="center"/>
              <w:ind w:right="2000"/>
              <w:spacing w:after="0"/>
              <w:rPr>
                <w:sz w:val="20"/>
                <w:szCs w:val="20"/>
                <w:color w:val="auto"/>
              </w:rPr>
            </w:pPr>
            <w:r>
              <w:rPr>
                <w:rFonts w:ascii="Arial" w:cs="Arial" w:eastAsia="Arial" w:hAnsi="Arial"/>
                <w:sz w:val="13"/>
                <w:szCs w:val="13"/>
                <w:color w:val="auto"/>
                <w:w w:val="90"/>
              </w:rPr>
              <w:t>Delaware</w:t>
            </w:r>
          </w:p>
        </w:tc>
        <w:tc>
          <w:tcPr>
            <w:tcW w:w="3920" w:type="dxa"/>
            <w:vAlign w:val="bottom"/>
          </w:tcPr>
          <w:p>
            <w:pPr>
              <w:jc w:val="center"/>
              <w:ind w:right="1574"/>
              <w:spacing w:after="0"/>
              <w:rPr>
                <w:sz w:val="20"/>
                <w:szCs w:val="20"/>
                <w:color w:val="auto"/>
              </w:rPr>
            </w:pPr>
            <w:r>
              <w:rPr>
                <w:rFonts w:ascii="Arial" w:cs="Arial" w:eastAsia="Arial" w:hAnsi="Arial"/>
                <w:sz w:val="13"/>
                <w:szCs w:val="13"/>
                <w:color w:val="auto"/>
                <w:w w:val="92"/>
              </w:rPr>
              <w:t>56-2464313</w:t>
            </w:r>
          </w:p>
        </w:tc>
      </w:tr>
      <w:tr>
        <w:trPr>
          <w:trHeight w:val="155"/>
        </w:trPr>
        <w:tc>
          <w:tcPr>
            <w:tcW w:w="55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color w:val="auto"/>
                <w:w w:val="93"/>
              </w:rPr>
              <w:t>(State or other jurisdiction of incorporation or organization)</w:t>
            </w:r>
          </w:p>
        </w:tc>
        <w:tc>
          <w:tcPr>
            <w:tcW w:w="340" w:type="dxa"/>
            <w:vAlign w:val="bottom"/>
          </w:tcPr>
          <w:p>
            <w:pPr>
              <w:spacing w:after="0"/>
              <w:rPr>
                <w:sz w:val="13"/>
                <w:szCs w:val="13"/>
                <w:color w:val="auto"/>
              </w:rPr>
            </w:pPr>
          </w:p>
        </w:tc>
        <w:tc>
          <w:tcPr>
            <w:tcW w:w="1640" w:type="dxa"/>
            <w:vAlign w:val="bottom"/>
            <w:tcBorders>
              <w:top w:val="single" w:sz="8" w:color="auto"/>
            </w:tcBorders>
            <w:gridSpan w:val="3"/>
          </w:tcPr>
          <w:p>
            <w:pPr>
              <w:spacing w:after="0"/>
              <w:rPr>
                <w:sz w:val="13"/>
                <w:szCs w:val="13"/>
                <w:color w:val="auto"/>
              </w:rPr>
            </w:pPr>
          </w:p>
        </w:tc>
        <w:tc>
          <w:tcPr>
            <w:tcW w:w="3920" w:type="dxa"/>
            <w:vAlign w:val="bottom"/>
            <w:tcBorders>
              <w:top w:val="single" w:sz="8" w:color="auto"/>
            </w:tcBorders>
          </w:tcPr>
          <w:p>
            <w:pPr>
              <w:jc w:val="center"/>
              <w:ind w:right="1554"/>
              <w:spacing w:after="0"/>
              <w:rPr>
                <w:sz w:val="20"/>
                <w:szCs w:val="20"/>
                <w:color w:val="auto"/>
              </w:rPr>
            </w:pPr>
            <w:r>
              <w:rPr>
                <w:rFonts w:ascii="Arial" w:cs="Arial" w:eastAsia="Arial" w:hAnsi="Arial"/>
                <w:sz w:val="13"/>
                <w:szCs w:val="13"/>
                <w:color w:val="auto"/>
                <w:w w:val="94"/>
              </w:rPr>
              <w:t>(I.R.S. Employer Identification No.)</w:t>
            </w:r>
          </w:p>
        </w:tc>
      </w:tr>
      <w:tr>
        <w:trPr>
          <w:trHeight w:val="298"/>
        </w:trPr>
        <w:tc>
          <w:tcPr>
            <w:tcW w:w="7540" w:type="dxa"/>
            <w:vAlign w:val="bottom"/>
            <w:gridSpan w:val="7"/>
          </w:tcPr>
          <w:p>
            <w:pPr>
              <w:jc w:val="center"/>
              <w:ind w:right="2100"/>
              <w:spacing w:after="0"/>
              <w:rPr>
                <w:sz w:val="20"/>
                <w:szCs w:val="20"/>
                <w:color w:val="auto"/>
              </w:rPr>
            </w:pPr>
            <w:r>
              <w:rPr>
                <w:rFonts w:ascii="Arial" w:cs="Arial" w:eastAsia="Arial" w:hAnsi="Arial"/>
                <w:sz w:val="13"/>
                <w:szCs w:val="13"/>
                <w:color w:val="auto"/>
                <w:w w:val="90"/>
              </w:rPr>
              <w:t>333 Clay Street, Suite 1600</w:t>
            </w:r>
          </w:p>
        </w:tc>
        <w:tc>
          <w:tcPr>
            <w:tcW w:w="3920" w:type="dxa"/>
            <w:vAlign w:val="bottom"/>
          </w:tcPr>
          <w:p>
            <w:pPr>
              <w:spacing w:after="0"/>
              <w:rPr>
                <w:sz w:val="24"/>
                <w:szCs w:val="24"/>
                <w:color w:val="auto"/>
              </w:rPr>
            </w:pPr>
          </w:p>
        </w:tc>
      </w:tr>
      <w:tr>
        <w:trPr>
          <w:trHeight w:val="165"/>
        </w:trPr>
        <w:tc>
          <w:tcPr>
            <w:tcW w:w="7540" w:type="dxa"/>
            <w:vAlign w:val="bottom"/>
            <w:gridSpan w:val="7"/>
          </w:tcPr>
          <w:p>
            <w:pPr>
              <w:jc w:val="center"/>
              <w:ind w:right="2100"/>
              <w:spacing w:after="0"/>
              <w:rPr>
                <w:sz w:val="20"/>
                <w:szCs w:val="20"/>
                <w:color w:val="auto"/>
              </w:rPr>
            </w:pPr>
            <w:r>
              <w:rPr>
                <w:rFonts w:ascii="Arial" w:cs="Arial" w:eastAsia="Arial" w:hAnsi="Arial"/>
                <w:sz w:val="13"/>
                <w:szCs w:val="13"/>
                <w:color w:val="auto"/>
                <w:w w:val="87"/>
              </w:rPr>
              <w:t>Houston, Texas</w:t>
            </w:r>
          </w:p>
        </w:tc>
        <w:tc>
          <w:tcPr>
            <w:tcW w:w="3920" w:type="dxa"/>
            <w:vAlign w:val="bottom"/>
          </w:tcPr>
          <w:p>
            <w:pPr>
              <w:jc w:val="center"/>
              <w:ind w:right="1454"/>
              <w:spacing w:after="0"/>
              <w:rPr>
                <w:sz w:val="20"/>
                <w:szCs w:val="20"/>
                <w:color w:val="auto"/>
              </w:rPr>
            </w:pPr>
            <w:r>
              <w:rPr>
                <w:rFonts w:ascii="Arial" w:cs="Arial" w:eastAsia="Arial" w:hAnsi="Arial"/>
                <w:sz w:val="13"/>
                <w:szCs w:val="13"/>
                <w:color w:val="auto"/>
                <w:w w:val="88"/>
              </w:rPr>
              <w:t>77002</w:t>
            </w:r>
          </w:p>
        </w:tc>
      </w:tr>
      <w:tr>
        <w:trPr>
          <w:trHeight w:val="155"/>
        </w:trPr>
        <w:tc>
          <w:tcPr>
            <w:tcW w:w="54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2"/>
              </w:rPr>
              <w:t>(Address of Principal Executive Offices)</w:t>
            </w:r>
          </w:p>
        </w:tc>
        <w:tc>
          <w:tcPr>
            <w:tcW w:w="580" w:type="dxa"/>
            <w:vAlign w:val="bottom"/>
            <w:gridSpan w:val="3"/>
          </w:tcPr>
          <w:p>
            <w:pPr>
              <w:spacing w:after="0"/>
              <w:rPr>
                <w:sz w:val="13"/>
                <w:szCs w:val="13"/>
                <w:color w:val="auto"/>
              </w:rPr>
            </w:pPr>
          </w:p>
        </w:tc>
        <w:tc>
          <w:tcPr>
            <w:tcW w:w="1520" w:type="dxa"/>
            <w:vAlign w:val="bottom"/>
            <w:tcBorders>
              <w:top w:val="single" w:sz="8" w:color="auto"/>
            </w:tcBorders>
            <w:gridSpan w:val="2"/>
          </w:tcPr>
          <w:p>
            <w:pPr>
              <w:spacing w:after="0"/>
              <w:rPr>
                <w:sz w:val="13"/>
                <w:szCs w:val="13"/>
                <w:color w:val="auto"/>
              </w:rPr>
            </w:pPr>
          </w:p>
        </w:tc>
        <w:tc>
          <w:tcPr>
            <w:tcW w:w="3920" w:type="dxa"/>
            <w:vAlign w:val="bottom"/>
            <w:tcBorders>
              <w:top w:val="single" w:sz="8" w:color="auto"/>
            </w:tcBorders>
          </w:tcPr>
          <w:p>
            <w:pPr>
              <w:jc w:val="center"/>
              <w:ind w:right="1434"/>
              <w:spacing w:after="0"/>
              <w:rPr>
                <w:sz w:val="20"/>
                <w:szCs w:val="20"/>
                <w:color w:val="auto"/>
              </w:rPr>
            </w:pPr>
            <w:r>
              <w:rPr>
                <w:rFonts w:ascii="Arial" w:cs="Arial" w:eastAsia="Arial" w:hAnsi="Arial"/>
                <w:sz w:val="13"/>
                <w:szCs w:val="13"/>
                <w:color w:val="auto"/>
                <w:w w:val="94"/>
              </w:rPr>
              <w:t>(Zip Code)</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Subordinated Debt Securities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78" w:name="page79"/>
    <w:bookmarkEnd w:id="78"/>
    <w:p>
      <w:pPr>
        <w:ind w:left="5421"/>
        <w:spacing w:after="0"/>
        <w:rPr>
          <w:sz w:val="20"/>
          <w:szCs w:val="20"/>
          <w:color w:val="auto"/>
        </w:rPr>
      </w:pPr>
      <w:r>
        <w:rPr>
          <w:rFonts w:ascii="Arial" w:cs="Arial" w:eastAsia="Arial" w:hAnsi="Arial"/>
          <w:sz w:val="13"/>
          <w:szCs w:val="13"/>
          <w:b w:val="1"/>
          <w:bCs w:val="1"/>
          <w:u w:val="single" w:color="auto"/>
          <w:color w:val="auto"/>
        </w:rPr>
        <w:t>FORM T-1</w:t>
      </w:r>
    </w:p>
    <w:p>
      <w:pPr>
        <w:spacing w:after="0" w:line="86" w:lineRule="exact"/>
        <w:rPr>
          <w:sz w:val="20"/>
          <w:szCs w:val="20"/>
          <w:color w:val="auto"/>
        </w:rPr>
      </w:pPr>
    </w:p>
    <w:p>
      <w:pPr>
        <w:ind w:left="1"/>
        <w:spacing w:after="0"/>
        <w:tabs>
          <w:tab w:leader="none" w:pos="481"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GENERAL INFORMATION</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Furnish the following information as to the Trustee.</w:t>
      </w:r>
    </w:p>
    <w:p>
      <w:pPr>
        <w:spacing w:after="0" w:line="90" w:lineRule="exact"/>
        <w:rPr>
          <w:sz w:val="20"/>
          <w:szCs w:val="20"/>
          <w:color w:val="auto"/>
        </w:rPr>
      </w:pPr>
    </w:p>
    <w:p>
      <w:pPr>
        <w:ind w:left="1241" w:hanging="445"/>
        <w:spacing w:after="0"/>
        <w:tabs>
          <w:tab w:leader="none" w:pos="1241" w:val="left"/>
        </w:tabs>
        <w:numPr>
          <w:ilvl w:val="0"/>
          <w:numId w:val="71"/>
        </w:numPr>
        <w:rPr>
          <w:rFonts w:ascii="Arial" w:cs="Arial" w:eastAsia="Arial" w:hAnsi="Arial"/>
          <w:sz w:val="13"/>
          <w:szCs w:val="13"/>
          <w:color w:val="auto"/>
        </w:rPr>
      </w:pPr>
      <w:r>
        <w:rPr>
          <w:rFonts w:ascii="Arial" w:cs="Arial" w:eastAsia="Arial" w:hAnsi="Arial"/>
          <w:sz w:val="13"/>
          <w:szCs w:val="13"/>
          <w:i w:val="1"/>
          <w:iCs w:val="1"/>
          <w:color w:val="auto"/>
        </w:rPr>
        <w:t>Name and address of each examining or supervising authority to which it is subject.</w:t>
      </w:r>
    </w:p>
    <w:p>
      <w:pPr>
        <w:spacing w:after="0" w:line="200" w:lineRule="exact"/>
        <w:rPr>
          <w:sz w:val="20"/>
          <w:szCs w:val="20"/>
          <w:color w:val="auto"/>
        </w:rPr>
      </w:pPr>
    </w:p>
    <w:p>
      <w:pPr>
        <w:spacing w:after="0" w:line="280" w:lineRule="exact"/>
        <w:rPr>
          <w:sz w:val="20"/>
          <w:szCs w:val="20"/>
          <w:color w:val="auto"/>
        </w:rPr>
      </w:pPr>
    </w:p>
    <w:p>
      <w:pPr>
        <w:ind w:left="1241" w:hanging="445"/>
        <w:spacing w:after="0"/>
        <w:tabs>
          <w:tab w:leader="none" w:pos="1241" w:val="left"/>
        </w:tabs>
        <w:numPr>
          <w:ilvl w:val="0"/>
          <w:numId w:val="72"/>
        </w:numPr>
        <w:rPr>
          <w:rFonts w:ascii="Arial" w:cs="Arial" w:eastAsia="Arial" w:hAnsi="Arial"/>
          <w:sz w:val="13"/>
          <w:szCs w:val="13"/>
          <w:color w:val="auto"/>
        </w:rPr>
      </w:pPr>
      <w:r>
        <w:rPr>
          <w:rFonts w:ascii="Arial" w:cs="Arial" w:eastAsia="Arial" w:hAnsi="Arial"/>
          <w:sz w:val="13"/>
          <w:szCs w:val="13"/>
          <w:i w:val="1"/>
          <w:iCs w:val="1"/>
          <w:color w:val="auto"/>
        </w:rPr>
        <w:t>Whether it is authorized to exercise corporate trust powers.</w:t>
      </w:r>
    </w:p>
    <w:p>
      <w:pPr>
        <w:spacing w:after="0" w:line="318" w:lineRule="exact"/>
        <w:rPr>
          <w:sz w:val="20"/>
          <w:szCs w:val="20"/>
          <w:color w:val="auto"/>
        </w:rPr>
      </w:pPr>
    </w:p>
    <w:p>
      <w:pPr>
        <w:ind w:left="1"/>
        <w:spacing w:after="0"/>
        <w:tabs>
          <w:tab w:leader="none" w:pos="481"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 xml:space="preserve">AFFILIATIONS WITH OBLIGOR. </w:t>
      </w:r>
      <w:r>
        <w:rPr>
          <w:rFonts w:ascii="Arial" w:cs="Arial" w:eastAsia="Arial" w:hAnsi="Arial"/>
          <w:sz w:val="12"/>
          <w:szCs w:val="12"/>
          <w:i w:val="1"/>
          <w:iCs w:val="1"/>
          <w:color w:val="auto"/>
        </w:rPr>
        <w:t>If the obligor is an affiliate of the Trustee, describe each such affiliation.</w:t>
      </w:r>
    </w:p>
    <w:p>
      <w:pPr>
        <w:spacing w:after="0" w:line="90" w:lineRule="exact"/>
        <w:rPr>
          <w:sz w:val="20"/>
          <w:szCs w:val="20"/>
          <w:color w:val="auto"/>
        </w:rPr>
      </w:pPr>
    </w:p>
    <w:p>
      <w:pPr>
        <w:ind w:left="1141"/>
        <w:spacing w:after="0"/>
        <w:rPr>
          <w:sz w:val="20"/>
          <w:szCs w:val="20"/>
          <w:color w:val="auto"/>
        </w:rPr>
      </w:pPr>
      <w:r>
        <w:rPr>
          <w:rFonts w:ascii="Arial" w:cs="Arial" w:eastAsia="Arial" w:hAnsi="Arial"/>
          <w:sz w:val="13"/>
          <w:szCs w:val="13"/>
          <w:color w:val="auto"/>
        </w:rPr>
        <w:t>None</w:t>
      </w:r>
    </w:p>
    <w:p>
      <w:pPr>
        <w:spacing w:after="0" w:line="82" w:lineRule="exact"/>
        <w:rPr>
          <w:sz w:val="20"/>
          <w:szCs w:val="20"/>
          <w:color w:val="auto"/>
        </w:rPr>
      </w:pPr>
    </w:p>
    <w:p>
      <w:pPr>
        <w:ind w:left="1"/>
        <w:spacing w:after="0"/>
        <w:tabs>
          <w:tab w:leader="none" w:pos="681" w:val="left"/>
        </w:tabs>
        <w:rPr>
          <w:sz w:val="20"/>
          <w:szCs w:val="20"/>
          <w:color w:val="auto"/>
        </w:rPr>
      </w:pPr>
      <w:r>
        <w:rPr>
          <w:rFonts w:ascii="Arial" w:cs="Arial" w:eastAsia="Arial" w:hAnsi="Arial"/>
          <w:sz w:val="13"/>
          <w:szCs w:val="13"/>
          <w:b w:val="1"/>
          <w:bCs w:val="1"/>
          <w:color w:val="auto"/>
        </w:rPr>
        <w:t>Items 3-15</w:t>
      </w:r>
      <w:r>
        <w:rPr>
          <w:sz w:val="20"/>
          <w:szCs w:val="20"/>
          <w:color w:val="auto"/>
        </w:rPr>
        <w:tab/>
      </w:r>
      <w:r>
        <w:rPr>
          <w:rFonts w:ascii="Arial" w:cs="Arial" w:eastAsia="Arial" w:hAnsi="Arial"/>
          <w:sz w:val="11"/>
          <w:szCs w:val="11"/>
          <w:i w:val="1"/>
          <w:iCs w:val="1"/>
          <w:color w:val="auto"/>
        </w:rPr>
        <w:t>Items 3-15 are not applicable because to the best of the Trustee’s knowledge, the obligor is not in default under any Indenture for which the Trustee acts as Trustee.</w:t>
      </w:r>
    </w:p>
    <w:p>
      <w:pPr>
        <w:spacing w:after="0" w:line="86" w:lineRule="exact"/>
        <w:rPr>
          <w:sz w:val="20"/>
          <w:szCs w:val="20"/>
          <w:color w:val="auto"/>
        </w:rPr>
      </w:pPr>
    </w:p>
    <w:p>
      <w:pPr>
        <w:ind w:left="1"/>
        <w:spacing w:after="0"/>
        <w:tabs>
          <w:tab w:leader="none" w:pos="541"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2"/>
          <w:szCs w:val="12"/>
          <w:b w:val="1"/>
          <w:bCs w:val="1"/>
          <w:color w:val="auto"/>
        </w:rPr>
        <w:t xml:space="preserve">LIST OF EXHIBITS: </w:t>
      </w:r>
      <w:r>
        <w:rPr>
          <w:rFonts w:ascii="Arial" w:cs="Arial" w:eastAsia="Arial" w:hAnsi="Arial"/>
          <w:sz w:val="12"/>
          <w:szCs w:val="12"/>
          <w:i w:val="1"/>
          <w:iCs w:val="1"/>
          <w:color w:val="auto"/>
        </w:rPr>
        <w:t>List below all exhibits filed as a part of this statement of eligibility and qualification.</w:t>
      </w:r>
    </w:p>
    <w:p>
      <w:pPr>
        <w:spacing w:after="0" w:line="90" w:lineRule="exact"/>
        <w:rPr>
          <w:sz w:val="20"/>
          <w:szCs w:val="20"/>
          <w:color w:val="auto"/>
        </w:rPr>
      </w:pPr>
    </w:p>
    <w:p>
      <w:pPr>
        <w:ind w:left="1241" w:hanging="445"/>
        <w:spacing w:after="0"/>
        <w:tabs>
          <w:tab w:leader="none" w:pos="1241" w:val="left"/>
        </w:tabs>
        <w:numPr>
          <w:ilvl w:val="1"/>
          <w:numId w:val="73"/>
        </w:numPr>
        <w:rPr>
          <w:rFonts w:ascii="Arial" w:cs="Arial" w:eastAsia="Arial" w:hAnsi="Arial"/>
          <w:sz w:val="13"/>
          <w:szCs w:val="13"/>
          <w:color w:val="auto"/>
        </w:rPr>
      </w:pPr>
      <w:r>
        <w:rPr>
          <w:rFonts w:ascii="Arial" w:cs="Arial" w:eastAsia="Arial" w:hAnsi="Arial"/>
          <w:sz w:val="13"/>
          <w:szCs w:val="13"/>
          <w:color w:val="auto"/>
        </w:rPr>
        <w:t>A copy of the Articles of Association of the Trustee.*</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73"/>
        </w:numPr>
        <w:rPr>
          <w:rFonts w:ascii="Arial" w:cs="Arial" w:eastAsia="Arial" w:hAnsi="Arial"/>
          <w:sz w:val="13"/>
          <w:szCs w:val="13"/>
          <w:color w:val="auto"/>
        </w:rPr>
      </w:pPr>
      <w:r>
        <w:rPr>
          <w:rFonts w:ascii="Arial" w:cs="Arial" w:eastAsia="Arial" w:hAnsi="Arial"/>
          <w:sz w:val="13"/>
          <w:szCs w:val="13"/>
          <w:color w:val="auto"/>
        </w:rPr>
        <w:t>A copy of the certificate of authority of the Trustee to commence business.*</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73"/>
        </w:numPr>
        <w:rPr>
          <w:rFonts w:ascii="Arial" w:cs="Arial" w:eastAsia="Arial" w:hAnsi="Arial"/>
          <w:sz w:val="13"/>
          <w:szCs w:val="13"/>
          <w:color w:val="auto"/>
        </w:rPr>
      </w:pPr>
      <w:r>
        <w:rPr>
          <w:rFonts w:ascii="Arial" w:cs="Arial" w:eastAsia="Arial" w:hAnsi="Arial"/>
          <w:sz w:val="13"/>
          <w:szCs w:val="13"/>
          <w:color w:val="auto"/>
        </w:rPr>
        <w:t>A copy of the certificate of authority of the Trustee to exercise corporate trust powers.*</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73"/>
        </w:numPr>
        <w:rPr>
          <w:rFonts w:ascii="Arial" w:cs="Arial" w:eastAsia="Arial" w:hAnsi="Arial"/>
          <w:sz w:val="13"/>
          <w:szCs w:val="13"/>
          <w:color w:val="auto"/>
        </w:rPr>
      </w:pPr>
      <w:r>
        <w:rPr>
          <w:rFonts w:ascii="Arial" w:cs="Arial" w:eastAsia="Arial" w:hAnsi="Arial"/>
          <w:sz w:val="13"/>
          <w:szCs w:val="13"/>
          <w:color w:val="auto"/>
        </w:rPr>
        <w:t>A copy of the existing bylaws of the Trustee.**</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73"/>
        </w:numPr>
        <w:rPr>
          <w:rFonts w:ascii="Arial" w:cs="Arial" w:eastAsia="Arial" w:hAnsi="Arial"/>
          <w:sz w:val="13"/>
          <w:szCs w:val="13"/>
          <w:color w:val="auto"/>
        </w:rPr>
      </w:pPr>
      <w:r>
        <w:rPr>
          <w:rFonts w:ascii="Arial" w:cs="Arial" w:eastAsia="Arial" w:hAnsi="Arial"/>
          <w:sz w:val="13"/>
          <w:szCs w:val="13"/>
          <w:color w:val="auto"/>
        </w:rPr>
        <w:t>A copy of each Indenture referred to in Item 4. Not applicable.</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73"/>
        </w:numPr>
        <w:rPr>
          <w:rFonts w:ascii="Arial" w:cs="Arial" w:eastAsia="Arial" w:hAnsi="Arial"/>
          <w:sz w:val="13"/>
          <w:szCs w:val="13"/>
          <w:color w:val="auto"/>
        </w:rPr>
      </w:pPr>
      <w:r>
        <w:rPr>
          <w:rFonts w:ascii="Arial" w:cs="Arial" w:eastAsia="Arial" w:hAnsi="Arial"/>
          <w:sz w:val="13"/>
          <w:szCs w:val="13"/>
          <w:color w:val="auto"/>
        </w:rPr>
        <w:t>The consent of the Trustee required by Section 321(b) of the Trust Indenture Act of 1939, attached as Exhibit 6.</w:t>
      </w:r>
    </w:p>
    <w:p>
      <w:pPr>
        <w:spacing w:after="0" w:line="96" w:lineRule="exact"/>
        <w:rPr>
          <w:rFonts w:ascii="Arial" w:cs="Arial" w:eastAsia="Arial" w:hAnsi="Arial"/>
          <w:sz w:val="13"/>
          <w:szCs w:val="13"/>
          <w:color w:val="auto"/>
        </w:rPr>
      </w:pPr>
    </w:p>
    <w:p>
      <w:pPr>
        <w:ind w:left="1241" w:hanging="445"/>
        <w:spacing w:after="0"/>
        <w:tabs>
          <w:tab w:leader="none" w:pos="1241" w:val="left"/>
        </w:tabs>
        <w:numPr>
          <w:ilvl w:val="1"/>
          <w:numId w:val="73"/>
        </w:numPr>
        <w:rPr>
          <w:rFonts w:ascii="Arial" w:cs="Arial" w:eastAsia="Arial" w:hAnsi="Arial"/>
          <w:sz w:val="11"/>
          <w:szCs w:val="11"/>
          <w:color w:val="auto"/>
        </w:rPr>
      </w:pPr>
      <w:r>
        <w:rPr>
          <w:rFonts w:ascii="Arial" w:cs="Arial" w:eastAsia="Arial" w:hAnsi="Arial"/>
          <w:sz w:val="11"/>
          <w:szCs w:val="11"/>
          <w:color w:val="auto"/>
        </w:rPr>
        <w:t>Report of Condition of the Trustee as of June 30, 2008 published pursuant to law or the requirements of its supervising or examining authority, attached as Exhibit 7.</w:t>
      </w:r>
    </w:p>
    <w:p>
      <w:pPr>
        <w:spacing w:after="0" w:line="306"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3"/>
          <w:szCs w:val="13"/>
          <w:color w:val="auto"/>
        </w:rPr>
        <w:t>*</w:t>
      </w:r>
      <w:r>
        <w:rPr>
          <w:rFonts w:ascii="Arial" w:cs="Arial" w:eastAsia="Arial" w:hAnsi="Arial"/>
          <w:sz w:val="11"/>
          <w:szCs w:val="11"/>
          <w:color w:val="auto"/>
        </w:rPr>
        <w:t>Incorporated by reference to Exhibit 25.1 to Amendment No. 2 to registration statement on S-4, Registration Number 333-128217 filed on November 15, 2005.</w:t>
      </w:r>
    </w:p>
    <w:p>
      <w:pPr>
        <w:spacing w:after="0" w:line="56" w:lineRule="exact"/>
        <w:rPr>
          <w:rFonts w:ascii="Arial" w:cs="Arial" w:eastAsia="Arial" w:hAnsi="Arial"/>
          <w:sz w:val="11"/>
          <w:szCs w:val="11"/>
          <w:color w:val="auto"/>
        </w:rPr>
      </w:pPr>
    </w:p>
    <w:p>
      <w:pPr>
        <w:ind w:left="461" w:hanging="461"/>
        <w:spacing w:after="0"/>
        <w:tabs>
          <w:tab w:leader="none" w:pos="461"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Incorporated by reference to Exhibit 25.1 to registration statement on S-4, Registration Number 333-145601 filed on August 21,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131064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116" w:lineRule="exact"/>
        <w:rPr>
          <w:sz w:val="20"/>
          <w:szCs w:val="20"/>
          <w:color w:val="auto"/>
        </w:rPr>
      </w:pPr>
    </w:p>
    <w:p>
      <w:pPr>
        <w:ind w:left="5701"/>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36" w:right="1440" w:bottom="1440" w:gutter="0" w:footer="0" w:header="0"/>
        </w:sectPr>
      </w:pPr>
    </w:p>
    <w:bookmarkStart w:id="79" w:name="page80"/>
    <w:bookmarkEnd w:id="79"/>
    <w:p>
      <w:pPr>
        <w:jc w:val="center"/>
        <w:ind w:right="-139"/>
        <w:spacing w:after="0"/>
        <w:rPr>
          <w:sz w:val="20"/>
          <w:szCs w:val="20"/>
          <w:color w:val="auto"/>
        </w:rPr>
      </w:pPr>
      <w:r>
        <w:rPr>
          <w:rFonts w:ascii="Arial" w:cs="Arial" w:eastAsia="Arial" w:hAnsi="Arial"/>
          <w:sz w:val="13"/>
          <w:szCs w:val="13"/>
          <w:b w:val="1"/>
          <w:bCs w:val="1"/>
          <w:color w:val="auto"/>
        </w:rPr>
        <w:t>SIGNATURE</w:t>
      </w:r>
    </w:p>
    <w:p>
      <w:pPr>
        <w:spacing w:after="0" w:line="90"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24th of November, 2008.</w:t>
      </w:r>
    </w:p>
    <w:p>
      <w:pPr>
        <w:spacing w:after="0" w:line="293"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Steven A. Finklea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Steven A. Finklea</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w:t>
      </w:r>
    </w:p>
    <w:p>
      <w:pPr>
        <w:spacing w:after="0" w:line="315"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Kevin Roberson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253428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Kevin Roberson</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Assistant Vice President</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36" w:right="339" w:bottom="1440" w:gutter="0" w:footer="0" w:header="0"/>
        </w:sectPr>
      </w:pPr>
    </w:p>
    <w:bookmarkStart w:id="80" w:name="page81"/>
    <w:bookmarkEnd w:id="80"/>
    <w:p>
      <w:pPr>
        <w:jc w:val="center"/>
        <w:ind w:right="-199"/>
        <w:spacing w:after="0"/>
        <w:rPr>
          <w:sz w:val="20"/>
          <w:szCs w:val="20"/>
          <w:color w:val="auto"/>
        </w:rPr>
      </w:pPr>
      <w:r>
        <w:rPr>
          <w:rFonts w:ascii="Arial" w:cs="Arial" w:eastAsia="Arial" w:hAnsi="Arial"/>
          <w:sz w:val="13"/>
          <w:szCs w:val="13"/>
          <w:b w:val="1"/>
          <w:bCs w:val="1"/>
          <w:u w:val="single" w:color="auto"/>
          <w:color w:val="auto"/>
        </w:rPr>
        <w:t>Exhibit 6</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CONSENT</w:t>
      </w:r>
    </w:p>
    <w:p>
      <w:pPr>
        <w:spacing w:after="0" w:line="9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24, 2008</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Steven A. Finklea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Steven A. Finklea</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Vice President</w:t>
      </w:r>
    </w:p>
    <w:p>
      <w:pPr>
        <w:spacing w:after="0" w:line="315"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Kevin Roberson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253428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Kevin Roberson</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Assistant Vice President</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220" w:top="736" w:right="4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57"/>
        </w:trPr>
        <w:tc>
          <w:tcPr>
            <w:tcW w:w="3880" w:type="dxa"/>
            <w:vAlign w:val="bottom"/>
          </w:tcPr>
          <w:p>
            <w:pPr>
              <w:spacing w:after="0"/>
              <w:rPr>
                <w:sz w:val="13"/>
                <w:szCs w:val="13"/>
                <w:color w:val="auto"/>
              </w:rPr>
            </w:pPr>
          </w:p>
        </w:tc>
        <w:tc>
          <w:tcPr>
            <w:tcW w:w="6800" w:type="dxa"/>
            <w:vAlign w:val="bottom"/>
            <w:gridSpan w:val="2"/>
          </w:tcPr>
          <w:p>
            <w:pPr>
              <w:jc w:val="center"/>
              <w:ind w:right="3080"/>
              <w:spacing w:after="0"/>
              <w:rPr>
                <w:sz w:val="20"/>
                <w:szCs w:val="20"/>
                <w:color w:val="auto"/>
              </w:rPr>
            </w:pPr>
            <w:r>
              <w:rPr>
                <w:rFonts w:ascii="Arial" w:cs="Arial" w:eastAsia="Arial" w:hAnsi="Arial"/>
                <w:sz w:val="13"/>
                <w:szCs w:val="13"/>
                <w:b w:val="1"/>
                <w:bCs w:val="1"/>
                <w:color w:val="auto"/>
                <w:w w:val="95"/>
              </w:rPr>
              <w:t>Exhibit 7</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880" w:type="dxa"/>
            <w:vAlign w:val="bottom"/>
          </w:tcPr>
          <w:p>
            <w:pPr>
              <w:spacing w:after="0"/>
              <w:rPr>
                <w:sz w:val="13"/>
                <w:szCs w:val="13"/>
                <w:color w:val="auto"/>
              </w:rPr>
            </w:pPr>
          </w:p>
        </w:tc>
        <w:tc>
          <w:tcPr>
            <w:tcW w:w="6800" w:type="dxa"/>
            <w:vAlign w:val="bottom"/>
            <w:gridSpan w:val="2"/>
          </w:tcPr>
          <w:p>
            <w:pPr>
              <w:jc w:val="center"/>
              <w:ind w:right="3100"/>
              <w:spacing w:after="0"/>
              <w:rPr>
                <w:sz w:val="20"/>
                <w:szCs w:val="20"/>
                <w:color w:val="auto"/>
              </w:rPr>
            </w:pPr>
            <w:r>
              <w:rPr>
                <w:rFonts w:ascii="Arial" w:cs="Arial" w:eastAsia="Arial" w:hAnsi="Arial"/>
                <w:sz w:val="13"/>
                <w:szCs w:val="13"/>
                <w:b w:val="1"/>
                <w:bCs w:val="1"/>
                <w:color w:val="auto"/>
                <w:w w:val="90"/>
              </w:rPr>
              <w:t>U.S. Bank National Association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880" w:type="dxa"/>
            <w:vAlign w:val="bottom"/>
          </w:tcPr>
          <w:p>
            <w:pPr>
              <w:spacing w:after="0"/>
              <w:rPr>
                <w:sz w:val="13"/>
                <w:szCs w:val="13"/>
                <w:color w:val="auto"/>
              </w:rPr>
            </w:pPr>
          </w:p>
        </w:tc>
        <w:tc>
          <w:tcPr>
            <w:tcW w:w="6800" w:type="dxa"/>
            <w:vAlign w:val="bottom"/>
            <w:gridSpan w:val="2"/>
          </w:tcPr>
          <w:p>
            <w:pPr>
              <w:jc w:val="center"/>
              <w:ind w:right="3100"/>
              <w:spacing w:after="0"/>
              <w:rPr>
                <w:sz w:val="20"/>
                <w:szCs w:val="20"/>
                <w:color w:val="auto"/>
              </w:rPr>
            </w:pPr>
            <w:r>
              <w:rPr>
                <w:rFonts w:ascii="Arial" w:cs="Arial" w:eastAsia="Arial" w:hAnsi="Arial"/>
                <w:sz w:val="13"/>
                <w:szCs w:val="13"/>
                <w:b w:val="1"/>
                <w:bCs w:val="1"/>
                <w:color w:val="auto"/>
                <w:w w:val="91"/>
              </w:rPr>
              <w:t>Statement of Financial Condition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3880" w:type="dxa"/>
            <w:vAlign w:val="bottom"/>
          </w:tcPr>
          <w:p>
            <w:pPr>
              <w:spacing w:after="0"/>
              <w:rPr>
                <w:sz w:val="14"/>
                <w:szCs w:val="14"/>
                <w:color w:val="auto"/>
              </w:rPr>
            </w:pPr>
          </w:p>
        </w:tc>
        <w:tc>
          <w:tcPr>
            <w:tcW w:w="6800" w:type="dxa"/>
            <w:vAlign w:val="bottom"/>
            <w:gridSpan w:val="2"/>
          </w:tcPr>
          <w:p>
            <w:pPr>
              <w:jc w:val="center"/>
              <w:ind w:right="3100"/>
              <w:spacing w:after="0"/>
              <w:rPr>
                <w:sz w:val="20"/>
                <w:szCs w:val="20"/>
                <w:color w:val="auto"/>
              </w:rPr>
            </w:pPr>
            <w:r>
              <w:rPr>
                <w:rFonts w:ascii="Arial" w:cs="Arial" w:eastAsia="Arial" w:hAnsi="Arial"/>
                <w:sz w:val="13"/>
                <w:szCs w:val="13"/>
                <w:b w:val="1"/>
                <w:bCs w:val="1"/>
                <w:color w:val="auto"/>
                <w:w w:val="91"/>
              </w:rPr>
              <w:t>As of 9/30/2008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3880" w:type="dxa"/>
            <w:vAlign w:val="bottom"/>
          </w:tcPr>
          <w:p>
            <w:pPr>
              <w:spacing w:after="0"/>
              <w:rPr>
                <w:sz w:val="20"/>
                <w:szCs w:val="20"/>
                <w:color w:val="auto"/>
              </w:rPr>
            </w:pPr>
          </w:p>
        </w:tc>
        <w:tc>
          <w:tcPr>
            <w:tcW w:w="6800" w:type="dxa"/>
            <w:vAlign w:val="bottom"/>
            <w:gridSpan w:val="2"/>
          </w:tcPr>
          <w:p>
            <w:pPr>
              <w:jc w:val="center"/>
              <w:ind w:right="3080"/>
              <w:spacing w:after="0"/>
              <w:rPr>
                <w:sz w:val="20"/>
                <w:szCs w:val="20"/>
                <w:color w:val="auto"/>
              </w:rPr>
            </w:pPr>
            <w:r>
              <w:rPr>
                <w:rFonts w:ascii="Arial" w:cs="Arial" w:eastAsia="Arial" w:hAnsi="Arial"/>
                <w:sz w:val="13"/>
                <w:szCs w:val="13"/>
                <w:b w:val="1"/>
                <w:bCs w:val="1"/>
                <w:color w:val="auto"/>
                <w:w w:val="90"/>
              </w:rPr>
              <w:t>($000’s)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7"/>
        </w:trPr>
        <w:tc>
          <w:tcPr>
            <w:tcW w:w="388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b w:val="1"/>
                <w:bCs w:val="1"/>
                <w:color w:val="auto"/>
              </w:rPr>
              <w:t>9/30/2008</w:t>
            </w:r>
          </w:p>
        </w:tc>
        <w:tc>
          <w:tcPr>
            <w:tcW w:w="100" w:type="dxa"/>
            <w:vAlign w:val="bottom"/>
          </w:tcPr>
          <w:p>
            <w:pPr>
              <w:spacing w:after="0"/>
              <w:rPr>
                <w:sz w:val="23"/>
                <w:szCs w:val="23"/>
                <w:color w:val="auto"/>
              </w:rPr>
            </w:pPr>
          </w:p>
        </w:tc>
      </w:tr>
      <w:tr>
        <w:trPr>
          <w:trHeight w:val="147"/>
        </w:trPr>
        <w:tc>
          <w:tcPr>
            <w:tcW w:w="38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Assets</w:t>
            </w:r>
          </w:p>
        </w:tc>
        <w:tc>
          <w:tcPr>
            <w:tcW w:w="6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Cash and Balances Due From Depository Institutions</w:t>
            </w:r>
          </w:p>
        </w:tc>
        <w:tc>
          <w:tcPr>
            <w:tcW w:w="68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7,232,911</w:t>
            </w: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Securities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36,927,854</w:t>
            </w: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Federal Funds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3,517,817</w:t>
            </w:r>
          </w:p>
        </w:tc>
        <w:tc>
          <w:tcPr>
            <w:tcW w:w="100" w:type="dxa"/>
            <w:vAlign w:val="bottom"/>
          </w:tcPr>
          <w:p>
            <w:pPr>
              <w:spacing w:after="0"/>
              <w:rPr>
                <w:sz w:val="13"/>
                <w:szCs w:val="13"/>
                <w:color w:val="auto"/>
              </w:rPr>
            </w:pP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Loans &amp; Lease Financing Receivables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165,651,532</w:t>
            </w:r>
          </w:p>
        </w:tc>
        <w:tc>
          <w:tcPr>
            <w:tcW w:w="100" w:type="dxa"/>
            <w:vAlign w:val="bottom"/>
            <w:shd w:val="clear" w:color="auto" w:fill="CCEEFF"/>
          </w:tcPr>
          <w:p>
            <w:pPr>
              <w:spacing w:after="0"/>
              <w:rPr>
                <w:sz w:val="13"/>
                <w:szCs w:val="13"/>
                <w:color w:val="auto"/>
              </w:rPr>
            </w:pP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Fixed Assets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3,030,773</w:t>
            </w:r>
          </w:p>
        </w:tc>
        <w:tc>
          <w:tcPr>
            <w:tcW w:w="100" w:type="dxa"/>
            <w:vAlign w:val="bottom"/>
          </w:tcPr>
          <w:p>
            <w:pPr>
              <w:spacing w:after="0"/>
              <w:rPr>
                <w:sz w:val="13"/>
                <w:szCs w:val="13"/>
                <w:color w:val="auto"/>
              </w:rPr>
            </w:pP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12,172,606</w:t>
            </w: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14,063,317</w:t>
            </w:r>
          </w:p>
        </w:tc>
      </w:tr>
      <w:tr>
        <w:trPr>
          <w:trHeight w:val="20"/>
        </w:trPr>
        <w:tc>
          <w:tcPr>
            <w:tcW w:w="38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Assets</w:t>
            </w:r>
          </w:p>
        </w:tc>
        <w:tc>
          <w:tcPr>
            <w:tcW w:w="6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242,596,810</w:t>
            </w:r>
          </w:p>
        </w:tc>
        <w:tc>
          <w:tcPr>
            <w:tcW w:w="100" w:type="dxa"/>
            <w:vAlign w:val="bottom"/>
            <w:shd w:val="clear" w:color="auto" w:fill="CCEEFF"/>
          </w:tcPr>
          <w:p>
            <w:pPr>
              <w:spacing w:after="0"/>
              <w:rPr>
                <w:sz w:val="13"/>
                <w:szCs w:val="13"/>
                <w:color w:val="auto"/>
              </w:rPr>
            </w:pPr>
          </w:p>
        </w:tc>
      </w:tr>
      <w:tr>
        <w:trPr>
          <w:trHeight w:val="314"/>
        </w:trPr>
        <w:tc>
          <w:tcPr>
            <w:tcW w:w="388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6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Deposits</w:t>
            </w:r>
          </w:p>
        </w:tc>
        <w:tc>
          <w:tcPr>
            <w:tcW w:w="6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147,640,677</w:t>
            </w:r>
          </w:p>
        </w:tc>
        <w:tc>
          <w:tcPr>
            <w:tcW w:w="100" w:type="dxa"/>
            <w:vAlign w:val="bottom"/>
            <w:shd w:val="clear" w:color="auto" w:fill="CCEEFF"/>
          </w:tcPr>
          <w:p>
            <w:pPr>
              <w:spacing w:after="0"/>
              <w:rPr>
                <w:sz w:val="13"/>
                <w:szCs w:val="13"/>
                <w:color w:val="auto"/>
              </w:rPr>
            </w:pP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Fed Funds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13,500,584</w:t>
            </w: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Demand Notes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Trading Liabilities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488,249</w:t>
            </w:r>
          </w:p>
        </w:tc>
        <w:tc>
          <w:tcPr>
            <w:tcW w:w="100" w:type="dxa"/>
            <w:vAlign w:val="bottom"/>
          </w:tcPr>
          <w:p>
            <w:pPr>
              <w:spacing w:after="0"/>
              <w:rPr>
                <w:sz w:val="13"/>
                <w:szCs w:val="13"/>
                <w:color w:val="auto"/>
              </w:rPr>
            </w:pP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Borrowed Money</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43,752,578</w:t>
            </w: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Acceptances</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Subordinated Notes and Debentures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7,379,967</w:t>
            </w:r>
          </w:p>
        </w:tc>
        <w:tc>
          <w:tcPr>
            <w:tcW w:w="100" w:type="dxa"/>
            <w:vAlign w:val="bottom"/>
            <w:shd w:val="clear" w:color="auto" w:fill="CCEEFF"/>
          </w:tcPr>
          <w:p>
            <w:pPr>
              <w:spacing w:after="0"/>
              <w:rPr>
                <w:sz w:val="13"/>
                <w:szCs w:val="13"/>
                <w:color w:val="auto"/>
              </w:rPr>
            </w:pP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67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6,540,570</w:t>
            </w:r>
          </w:p>
        </w:tc>
        <w:tc>
          <w:tcPr>
            <w:tcW w:w="100" w:type="dxa"/>
            <w:vAlign w:val="bottom"/>
          </w:tcPr>
          <w:p>
            <w:pPr>
              <w:spacing w:after="0"/>
              <w:rPr>
                <w:sz w:val="13"/>
                <w:szCs w:val="13"/>
                <w:color w:val="auto"/>
              </w:rPr>
            </w:pP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Liabilities</w:t>
            </w:r>
          </w:p>
        </w:tc>
        <w:tc>
          <w:tcPr>
            <w:tcW w:w="6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219,302,625</w:t>
            </w:r>
          </w:p>
        </w:tc>
        <w:tc>
          <w:tcPr>
            <w:tcW w:w="100" w:type="dxa"/>
            <w:vAlign w:val="bottom"/>
            <w:shd w:val="clear" w:color="auto" w:fill="CCEEFF"/>
          </w:tcPr>
          <w:p>
            <w:pPr>
              <w:spacing w:after="0"/>
              <w:rPr>
                <w:sz w:val="13"/>
                <w:szCs w:val="13"/>
                <w:color w:val="auto"/>
              </w:rPr>
            </w:pPr>
          </w:p>
        </w:tc>
      </w:tr>
      <w:tr>
        <w:trPr>
          <w:trHeight w:val="314"/>
        </w:trPr>
        <w:tc>
          <w:tcPr>
            <w:tcW w:w="3880" w:type="dxa"/>
            <w:vAlign w:val="bottom"/>
          </w:tcPr>
          <w:p>
            <w:pPr>
              <w:spacing w:after="0"/>
              <w:rPr>
                <w:sz w:val="20"/>
                <w:szCs w:val="20"/>
                <w:color w:val="auto"/>
              </w:rPr>
            </w:pPr>
            <w:r>
              <w:rPr>
                <w:rFonts w:ascii="Arial" w:cs="Arial" w:eastAsia="Arial" w:hAnsi="Arial"/>
                <w:sz w:val="13"/>
                <w:szCs w:val="13"/>
                <w:b w:val="1"/>
                <w:bCs w:val="1"/>
                <w:color w:val="auto"/>
              </w:rPr>
              <w:t>Equity</w:t>
            </w:r>
          </w:p>
        </w:tc>
        <w:tc>
          <w:tcPr>
            <w:tcW w:w="6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 in Subsidiaries</w:t>
            </w:r>
          </w:p>
        </w:tc>
        <w:tc>
          <w:tcPr>
            <w:tcW w:w="6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1,679,593</w:t>
            </w:r>
          </w:p>
        </w:tc>
        <w:tc>
          <w:tcPr>
            <w:tcW w:w="100" w:type="dxa"/>
            <w:vAlign w:val="bottom"/>
            <w:shd w:val="clear" w:color="auto" w:fill="CCEEFF"/>
          </w:tcPr>
          <w:p>
            <w:pPr>
              <w:spacing w:after="0"/>
              <w:rPr>
                <w:sz w:val="13"/>
                <w:szCs w:val="13"/>
                <w:color w:val="auto"/>
              </w:rPr>
            </w:pP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Common and Preferred Stock</w:t>
            </w:r>
          </w:p>
        </w:tc>
        <w:tc>
          <w:tcPr>
            <w:tcW w:w="6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18,200</w:t>
            </w:r>
          </w:p>
        </w:tc>
      </w:tr>
      <w:tr>
        <w:trPr>
          <w:trHeight w:val="157"/>
        </w:trPr>
        <w:tc>
          <w:tcPr>
            <w:tcW w:w="38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Surplus</w:t>
            </w:r>
          </w:p>
        </w:tc>
        <w:tc>
          <w:tcPr>
            <w:tcW w:w="6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12,057,621</w:t>
            </w:r>
          </w:p>
        </w:tc>
      </w:tr>
      <w:tr>
        <w:trPr>
          <w:trHeight w:val="157"/>
        </w:trPr>
        <w:tc>
          <w:tcPr>
            <w:tcW w:w="3880" w:type="dxa"/>
            <w:vAlign w:val="bottom"/>
          </w:tcPr>
          <w:p>
            <w:pPr>
              <w:ind w:left="140"/>
              <w:spacing w:after="0"/>
              <w:rPr>
                <w:sz w:val="20"/>
                <w:szCs w:val="20"/>
                <w:color w:val="auto"/>
              </w:rPr>
            </w:pPr>
            <w:r>
              <w:rPr>
                <w:rFonts w:ascii="Arial" w:cs="Arial" w:eastAsia="Arial" w:hAnsi="Arial"/>
                <w:sz w:val="13"/>
                <w:szCs w:val="13"/>
                <w:color w:val="auto"/>
              </w:rPr>
              <w:t>Undivided Profits</w:t>
            </w:r>
          </w:p>
        </w:tc>
        <w:tc>
          <w:tcPr>
            <w:tcW w:w="67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9,538,771</w:t>
            </w:r>
          </w:p>
        </w:tc>
        <w:tc>
          <w:tcPr>
            <w:tcW w:w="100" w:type="dxa"/>
            <w:vAlign w:val="bottom"/>
          </w:tcPr>
          <w:p>
            <w:pPr>
              <w:spacing w:after="0"/>
              <w:rPr>
                <w:sz w:val="13"/>
                <w:szCs w:val="13"/>
                <w:color w:val="auto"/>
              </w:rPr>
            </w:pPr>
          </w:p>
        </w:tc>
      </w:tr>
      <w:tr>
        <w:trPr>
          <w:trHeight w:val="157"/>
        </w:trPr>
        <w:tc>
          <w:tcPr>
            <w:tcW w:w="388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Total Equity Capital</w:t>
            </w:r>
          </w:p>
        </w:tc>
        <w:tc>
          <w:tcPr>
            <w:tcW w:w="6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23,294,185</w:t>
            </w:r>
          </w:p>
        </w:tc>
      </w:tr>
      <w:tr>
        <w:trPr>
          <w:trHeight w:val="313"/>
        </w:trPr>
        <w:tc>
          <w:tcPr>
            <w:tcW w:w="3880" w:type="dxa"/>
            <w:vAlign w:val="bottom"/>
          </w:tcPr>
          <w:p>
            <w:pPr>
              <w:spacing w:after="0"/>
              <w:rPr>
                <w:sz w:val="20"/>
                <w:szCs w:val="20"/>
                <w:color w:val="auto"/>
              </w:rPr>
            </w:pPr>
            <w:r>
              <w:rPr>
                <w:rFonts w:ascii="Arial" w:cs="Arial" w:eastAsia="Arial" w:hAnsi="Arial"/>
                <w:sz w:val="13"/>
                <w:szCs w:val="13"/>
                <w:b w:val="1"/>
                <w:bCs w:val="1"/>
                <w:color w:val="auto"/>
              </w:rPr>
              <w:t>Total Liabilities and Equity Capital</w:t>
            </w:r>
          </w:p>
        </w:tc>
        <w:tc>
          <w:tcPr>
            <w:tcW w:w="68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1"/>
              </w:rPr>
              <w:t>242,596,810</w:t>
            </w:r>
          </w:p>
        </w:tc>
        <w:tc>
          <w:tcPr>
            <w:tcW w:w="100" w:type="dxa"/>
            <w:vAlign w:val="bottom"/>
          </w:tcPr>
          <w:p>
            <w:pPr>
              <w:spacing w:after="0"/>
              <w:rPr>
                <w:sz w:val="24"/>
                <w:szCs w:val="24"/>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To the best of the undersigned’s determination, as of the date hereof, the above financial information is true and correct.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 Bank National Association</w:t>
      </w:r>
    </w:p>
    <w:p>
      <w:pPr>
        <w:spacing w:after="0" w:line="169"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Steven A. Finklea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253428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3428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Vice President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November 24, 2008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sectPr>
      <w:pgSz w:w="11900" w:h="16838" w:orient="portrait"/>
      <w:cols w:equalWidth="0" w:num="1">
        <w:col w:w="11460"/>
      </w:cols>
      <w:pgMar w:left="220" w:top="73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lowerRoman"/>
      <w:start w:val="3"/>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lowerLetter"/>
      <w:start w:val="1"/>
    </w:lvl>
    <w:lvl w:ilvl="1">
      <w:lvlJc w:val="left"/>
      <w:lvlText w:val="(%2)"/>
      <w:numFmt w:val="decimal"/>
      <w:start w:val="1"/>
    </w:lvl>
  </w:abstractNum>
  <w:abstractNum w:abstractNumId="21">
    <w:nsid w:val="7644A45C"/>
    <w:multiLevelType w:val="hybridMultilevel"/>
    <w:lvl w:ilvl="0">
      <w:lvlJc w:val="left"/>
      <w:lvlText w:val="(%1)"/>
      <w:numFmt w:val="lowerLetter"/>
      <w:start w:val="2"/>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lowerRoman"/>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lvl w:ilvl="1">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1)"/>
      <w:numFmt w:val="lowerRoman"/>
      <w:start w:val="2"/>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1)"/>
      <w:numFmt w:val="decimal"/>
      <w:start w:val="1"/>
    </w:lvl>
    <w:lvl w:ilvl="1">
      <w:lvlJc w:val="left"/>
      <w:lvlText w:val="(%2)"/>
      <w:numFmt w:val="lowerLetter"/>
      <w:start w:val="1"/>
    </w:lvl>
  </w:abstractNum>
  <w:abstractNum w:abstractNumId="55">
    <w:nsid w:val="2F305DEF"/>
    <w:multiLevelType w:val="hybridMultilevel"/>
    <w:lvl w:ilvl="0">
      <w:lvlJc w:val="left"/>
      <w:lvlText w:val="(%1)"/>
      <w:numFmt w:val="decimal"/>
      <w:start w:val="2"/>
    </w:lvl>
    <w:lvl w:ilvl="1">
      <w:lvlJc w:val="left"/>
      <w:lvlText w:val="(%2)"/>
      <w:numFmt w:val="lowerLetter"/>
      <w:start w:val="1"/>
    </w:lvl>
  </w:abstractNum>
  <w:abstractNum w:abstractNumId="56">
    <w:nsid w:val="25A70BF7"/>
    <w:multiLevelType w:val="hybridMultilevel"/>
    <w:lvl w:ilvl="0">
      <w:lvlJc w:val="left"/>
      <w:lvlText w:val="%1"/>
      <w:numFmt w:val="upperLetter"/>
      <w:start w:val="1"/>
    </w:lvl>
    <w:lvl w:ilvl="1">
      <w:lvlJc w:val="left"/>
      <w:lvlText w:val="(%2)"/>
      <w:numFmt w:val="decimal"/>
      <w:start w:val="1"/>
    </w:lvl>
  </w:abstractNum>
  <w:abstractNum w:abstractNumId="57">
    <w:nsid w:val="1DBABF00"/>
    <w:multiLevelType w:val="hybridMultilevel"/>
    <w:lvl w:ilvl="0">
      <w:lvlJc w:val="left"/>
      <w:lvlText w:val="%1."/>
      <w:numFmt w:val="upperLetter"/>
      <w:start w:val="5"/>
    </w:lvl>
    <w:lvl w:ilvl="1">
      <w:lvlJc w:val="left"/>
      <w:lvlText w:val="%2"/>
      <w:numFmt w:val="decimal"/>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decimal"/>
      <w:start w:val="2"/>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lowerLetter"/>
      <w:start w:val="1"/>
    </w:lvl>
  </w:abstractNum>
  <w:abstractNum w:abstractNumId="67">
    <w:nsid w:val="799D0247"/>
    <w:multiLevelType w:val="hybridMultilevel"/>
    <w:lvl w:ilvl="0">
      <w:lvlJc w:val="left"/>
      <w:lvlText w:val="%1)"/>
      <w:numFmt w:val="lowerLetter"/>
      <w:start w:val="2"/>
    </w:lvl>
  </w:abstractNum>
  <w:abstractNum w:abstractNumId="68">
    <w:nsid w:val="6B94764"/>
    <w:multiLevelType w:val="hybridMultilevel"/>
    <w:lvl w:ilvl="0">
      <w:lvlJc w:val="left"/>
      <w:lvlText w:val="*"/>
      <w:numFmt w:val="bullet"/>
      <w:start w:val="1"/>
    </w:lvl>
    <w:lvl w:ilvl="1">
      <w:lvlJc w:val="left"/>
      <w:lvlText w:val="%2."/>
      <w:numFmt w:val="decimal"/>
      <w:start w:val="1"/>
    </w:lvl>
  </w:abstractNum>
  <w:abstractNum w:abstractNumId="69">
    <w:nsid w:val="42C296BD"/>
    <w:multiLevelType w:val="hybridMultilevel"/>
    <w:lvl w:ilvl="0">
      <w:lvlJc w:val="left"/>
      <w:lvlText w:val="**"/>
      <w:numFmt w:val="bullet"/>
      <w:start w:val="1"/>
    </w:lvl>
    <w:lvl w:ilvl="1">
      <w:lvlJc w:val="left"/>
      <w:lvlText w:val="%2"/>
      <w:numFmt w:val="decimal"/>
      <w:start w:val="1"/>
    </w:lvl>
  </w:abstractNum>
  <w:abstractNum w:abstractNumId="70">
    <w:nsid w:val="168E121F"/>
    <w:multiLevelType w:val="hybridMultilevel"/>
    <w:lvl w:ilvl="0">
      <w:lvlJc w:val="left"/>
      <w:lvlText w:val="%1)"/>
      <w:numFmt w:val="lowerLetter"/>
      <w:start w:val="1"/>
    </w:lvl>
  </w:abstractNum>
  <w:abstractNum w:abstractNumId="71">
    <w:nsid w:val="1EBA5D23"/>
    <w:multiLevelType w:val="hybridMultilevel"/>
    <w:lvl w:ilvl="0">
      <w:lvlJc w:val="left"/>
      <w:lvlText w:val="%1)"/>
      <w:numFmt w:val="lowerLetter"/>
      <w:start w:val="2"/>
    </w:lvl>
  </w:abstractNum>
  <w:abstractNum w:abstractNumId="72">
    <w:nsid w:val="661E3F1E"/>
    <w:multiLevelType w:val="hybridMultilevel"/>
    <w:lvl w:ilvl="0">
      <w:lvlJc w:val="left"/>
      <w:lvlText w:val="*"/>
      <w:numFmt w:val="bullet"/>
      <w:start w:val="1"/>
    </w:lvl>
    <w:lvl w:ilvl="1">
      <w:lvlJc w:val="left"/>
      <w:lvlText w:val="%2."/>
      <w:numFmt w:val="decimal"/>
      <w:start w:val="1"/>
    </w:lvl>
  </w:abstractNum>
  <w:abstractNum w:abstractNumId="73">
    <w:nsid w:val="5DC79EA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2020-02-01T03:54:29Z</dcterms:created>
  <dcterms:modified xsi:type="dcterms:W3CDTF">2020-02-01T03:54:29Z</dcterms:modified>
</cp:coreProperties>
</file>