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4,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00"/>
          </w:cols>
          <w:pgMar w:left="240" w:top="544" w:right="259" w:bottom="0" w:gutter="0" w:footer="0" w:header="0"/>
          <w:type w:val="continuous"/>
        </w:sectPr>
      </w:pPr>
    </w:p>
    <w:p>
      <w:pPr>
        <w:spacing w:after="0" w:line="2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May 4,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first-quarter 2016 results. We are furnishing the press release, attached as Exhibit 99.1, pursuant to Item 2.02 and Item 7.01 of Form 8-K. Pursuant to Item 7.01, we are also providing detailed guidance of financial performance for the second quarter and second half of 2016.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Second-Quarter and Second-Half 2016 Guidance</w:t>
      </w:r>
    </w:p>
    <w:p>
      <w:pPr>
        <w:spacing w:after="0" w:line="229"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We based our guidance for the three-month period ending June 30, 2016 and six-month period ending December 31, 2016 on assumptions and estimates that we believe are reasonable, given our assessment of historical trends (modified for changes in market conditions, including an assumption that U.S. onshore oil production continues to decline in 2016 as well as a continuation of a competitive crude oil market),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included in this document. These risks and uncertainties, as well as other unforeseeable risks and uncertainties, could cause our actual results to differ materially from those in the following table. The operating and financial guidance provided in the following pages is given as of the date hereof, based on information known to us as of May 3, 2016. We undertake no obligation to publicly update or revise any forward-looking statements.</w:t>
      </w:r>
    </w:p>
    <w:p>
      <w:pPr>
        <w:spacing w:after="0" w:line="178" w:lineRule="exact"/>
        <w:rPr>
          <w:sz w:val="24"/>
          <w:szCs w:val="24"/>
          <w:color w:val="auto"/>
        </w:rPr>
      </w:pPr>
    </w:p>
    <w:p>
      <w:pPr>
        <w:ind w:right="4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7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EBITDA (as defined in Note 1 to the “Operating and Financial Guidance” table) is a non-GAAP financial measure. Net income represents one of the two most directly comparable GAAP measures to EBITDA. In Note 10, we reconcile net income to EBITDA and adjusted EBITDA for the 2016 guidance periods presented. Cash flows from operating activities is the other most comparable GAAP measure. We do not, however, reconcile cash flows from operating activities to EBITDA, because such reconciliations are impractical for forecasted periods. We encourage you to visit our website at </w:t>
      </w:r>
      <w:r>
        <w:rPr>
          <w:rFonts w:ascii="Arial" w:cs="Arial" w:eastAsia="Arial" w:hAnsi="Arial"/>
          <w:sz w:val="17"/>
          <w:szCs w:val="17"/>
          <w:i w:val="1"/>
          <w:iCs w:val="1"/>
          <w:color w:val="auto"/>
        </w:rPr>
        <w:t xml:space="preserve">www.plainsallamerican.com </w:t>
      </w:r>
      <w:r>
        <w:rPr>
          <w:rFonts w:ascii="Arial" w:cs="Arial" w:eastAsia="Arial" w:hAnsi="Arial"/>
          <w:sz w:val="17"/>
          <w:szCs w:val="17"/>
          <w:color w:val="auto"/>
        </w:rPr>
        <w:t>(in particular the section under “Financial Information” entitled “Non-GAAP Reconciliations” within the “Investor Relations”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tab), which presents a historical reconciliation of EBITDA as well as certain other commonly used non-GAAP and supplemental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t>
      </w:r>
      <w:r>
        <w:rPr>
          <w:rFonts w:ascii="Arial" w:cs="Arial" w:eastAsia="Arial" w:hAnsi="Arial"/>
          <w:sz w:val="16"/>
          <w:szCs w:val="16"/>
          <w:color w:val="auto"/>
        </w:rPr>
        <w:t>These measures may further be adjusted to include amounts related to deficiencies</w:t>
      </w:r>
      <w:r>
        <w:rPr>
          <w:rFonts w:ascii="Arial" w:cs="Arial" w:eastAsia="Arial" w:hAnsi="Arial"/>
          <w:sz w:val="17"/>
          <w:szCs w:val="17"/>
          <w:color w:val="auto"/>
        </w:rPr>
        <w:t xml:space="preserve"> </w:t>
      </w:r>
      <w:r>
        <w:rPr>
          <w:rFonts w:ascii="Arial" w:cs="Arial" w:eastAsia="Arial" w:hAnsi="Arial"/>
          <w:sz w:val="16"/>
          <w:szCs w:val="16"/>
          <w:color w:val="auto"/>
        </w:rPr>
        <w:t xml:space="preserve">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t>
      </w:r>
      <w:r>
        <w:rPr>
          <w:rFonts w:ascii="Arial" w:cs="Arial" w:eastAsia="Arial" w:hAnsi="Arial"/>
          <w:sz w:val="17"/>
          <w:szCs w:val="17"/>
          <w:color w:val="auto"/>
        </w:rPr>
        <w:t>We have defined all such items as “Selected Items Impacting Comparability.” Due to the nature of</w:t>
      </w:r>
      <w:r>
        <w:rPr>
          <w:rFonts w:ascii="Arial" w:cs="Arial" w:eastAsia="Arial" w:hAnsi="Arial"/>
          <w:sz w:val="16"/>
          <w:szCs w:val="16"/>
          <w:color w:val="auto"/>
        </w:rPr>
        <w:t xml:space="preserve"> </w:t>
      </w:r>
      <w:r>
        <w:rPr>
          <w:rFonts w:ascii="Arial" w:cs="Arial" w:eastAsia="Arial" w:hAnsi="Arial"/>
          <w:sz w:val="17"/>
          <w:szCs w:val="17"/>
          <w:color w:val="auto"/>
        </w:rPr>
        <w:t>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Actual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0"/>
              </w:rPr>
              <w:t xml:space="preserve">Guidance </w:t>
            </w:r>
            <w:r>
              <w:rPr>
                <w:rFonts w:ascii="Arial" w:cs="Arial" w:eastAsia="Arial" w:hAnsi="Arial"/>
                <w:sz w:val="17"/>
                <w:szCs w:val="17"/>
                <w:b w:val="1"/>
                <w:bCs w:val="1"/>
                <w:color w:val="auto"/>
                <w:w w:val="90"/>
                <w:vertAlign w:val="superscript"/>
              </w:rPr>
              <w:t>(a)</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8"/>
              <w:spacing w:after="0" w:line="119" w:lineRule="exact"/>
              <w:rPr>
                <w:sz w:val="20"/>
                <w:szCs w:val="20"/>
                <w:color w:val="auto"/>
              </w:rPr>
            </w:pPr>
            <w:r>
              <w:rPr>
                <w:rFonts w:ascii="Arial" w:cs="Arial" w:eastAsia="Arial" w:hAnsi="Arial"/>
                <w:sz w:val="13"/>
                <w:szCs w:val="13"/>
                <w:b w:val="1"/>
                <w:bCs w:val="1"/>
                <w:color w:val="auto"/>
              </w:rPr>
              <w:t>3 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3"/>
          </w:tcPr>
          <w:p>
            <w:pPr>
              <w:jc w:val="right"/>
              <w:ind w:right="168"/>
              <w:spacing w:after="0" w:line="119" w:lineRule="exact"/>
              <w:rPr>
                <w:sz w:val="20"/>
                <w:szCs w:val="20"/>
                <w:color w:val="auto"/>
              </w:rPr>
            </w:pPr>
            <w:r>
              <w:rPr>
                <w:rFonts w:ascii="Arial" w:cs="Arial" w:eastAsia="Arial" w:hAnsi="Arial"/>
                <w:sz w:val="13"/>
                <w:szCs w:val="13"/>
                <w:b w:val="1"/>
                <w:bCs w:val="1"/>
                <w:color w:val="auto"/>
              </w:rPr>
              <w:t>3 Months Ending</w:t>
            </w: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40" w:type="dxa"/>
            <w:vAlign w:val="bottom"/>
            <w:tcBorders>
              <w:top w:val="single" w:sz="8" w:color="auto"/>
            </w:tcBorders>
            <w:gridSpan w:val="6"/>
          </w:tcPr>
          <w:p>
            <w:pPr>
              <w:jc w:val="right"/>
              <w:ind w:right="700"/>
              <w:spacing w:after="0" w:line="119" w:lineRule="exact"/>
              <w:rPr>
                <w:sz w:val="20"/>
                <w:szCs w:val="20"/>
                <w:color w:val="auto"/>
              </w:rPr>
            </w:pPr>
            <w:r>
              <w:rPr>
                <w:rFonts w:ascii="Arial" w:cs="Arial" w:eastAsia="Arial" w:hAnsi="Arial"/>
                <w:sz w:val="13"/>
                <w:szCs w:val="13"/>
                <w:b w:val="1"/>
                <w:bCs w:val="1"/>
                <w:color w:val="auto"/>
              </w:rPr>
              <w:t>6 Months Ending</w:t>
            </w:r>
          </w:p>
        </w:tc>
        <w:tc>
          <w:tcPr>
            <w:tcW w:w="20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5"/>
          </w:tcPr>
          <w:p>
            <w:pPr>
              <w:jc w:val="right"/>
              <w:ind w:right="388"/>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 30, 2016</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Dec 31, 2016</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 31, 2016</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Mar 31, 2016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w w:val="89"/>
              </w:rPr>
              <w:t>High</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Borders>
              <w:top w:val="single" w:sz="8" w:color="CCEEFF"/>
              <w:left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Segment Profit</w:t>
            </w: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80"/>
              <w:spacing w:after="0" w:line="130" w:lineRule="exact"/>
              <w:rPr>
                <w:sz w:val="20"/>
                <w:szCs w:val="20"/>
                <w:color w:val="auto"/>
              </w:rPr>
            </w:pPr>
            <w:r>
              <w:rPr>
                <w:rFonts w:ascii="Arial" w:cs="Arial" w:eastAsia="Arial" w:hAnsi="Arial"/>
                <w:sz w:val="14"/>
                <w:szCs w:val="14"/>
                <w:color w:val="auto"/>
              </w:rPr>
              <w:t>Net revenues (including equity earnings in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360"/>
              <w:spacing w:after="0"/>
              <w:rPr>
                <w:sz w:val="20"/>
                <w:szCs w:val="20"/>
                <w:color w:val="auto"/>
              </w:rPr>
            </w:pPr>
            <w:r>
              <w:rPr>
                <w:rFonts w:ascii="Arial" w:cs="Arial" w:eastAsia="Arial" w:hAnsi="Arial"/>
                <w:sz w:val="14"/>
                <w:szCs w:val="14"/>
                <w:color w:val="auto"/>
              </w:rPr>
              <w:t>unconsolidated entities)</w:t>
            </w: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810</w:t>
            </w:r>
          </w:p>
        </w:tc>
        <w:tc>
          <w:tcPr>
            <w:tcW w:w="1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801</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841</w:t>
            </w:r>
          </w:p>
        </w:tc>
        <w:tc>
          <w:tcPr>
            <w:tcW w:w="580" w:type="dxa"/>
            <w:vAlign w:val="bottom"/>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1,812</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1,892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3,423</w:t>
            </w:r>
          </w:p>
        </w:tc>
        <w:tc>
          <w:tcPr>
            <w:tcW w:w="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3,543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Field operating costs</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(320)</w:t>
            </w: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(312)</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(634)</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80"/>
              <w:spacing w:after="0" w:line="149" w:lineRule="exact"/>
              <w:rPr>
                <w:sz w:val="20"/>
                <w:szCs w:val="20"/>
                <w:color w:val="auto"/>
              </w:rPr>
            </w:pPr>
            <w:r>
              <w:rPr>
                <w:rFonts w:ascii="Arial" w:cs="Arial" w:eastAsia="Arial" w:hAnsi="Arial"/>
                <w:sz w:val="14"/>
                <w:szCs w:val="14"/>
                <w:color w:val="auto"/>
              </w:rPr>
              <w:t>General and administrative expenses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w:t>
            </w:r>
          </w:p>
        </w:tc>
        <w:tc>
          <w:tcPr>
            <w:tcW w:w="66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w:t>
            </w:r>
          </w:p>
        </w:tc>
        <w:tc>
          <w:tcPr>
            <w:tcW w:w="5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3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(132)</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left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1,041</w:t>
            </w: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1,141</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w:t>
            </w:r>
          </w:p>
        </w:tc>
        <w:tc>
          <w:tcPr>
            <w:tcW w:w="66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(127)</w:t>
            </w:r>
          </w:p>
        </w:tc>
        <w:tc>
          <w:tcPr>
            <w:tcW w:w="5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(223)</w:t>
            </w:r>
          </w:p>
        </w:tc>
        <w:tc>
          <w:tcPr>
            <w:tcW w:w="3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(215)</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w:t>
            </w: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(109)</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(226)</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(218)</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66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5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w:t>
            </w:r>
          </w:p>
        </w:tc>
        <w:tc>
          <w:tcPr>
            <w:tcW w:w="3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income / (expense), net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155</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217</w:t>
            </w:r>
          </w:p>
        </w:tc>
        <w:tc>
          <w:tcPr>
            <w:tcW w:w="2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532</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656</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Borders>
              <w:left w:val="single" w:sz="8" w:color="CCEEFF"/>
            </w:tcBorders>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Income Attributable to PAA</w:t>
            </w:r>
          </w:p>
        </w:tc>
        <w:tc>
          <w:tcPr>
            <w:tcW w:w="3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154</w:t>
            </w:r>
          </w:p>
        </w:tc>
        <w:tc>
          <w:tcPr>
            <w:tcW w:w="2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216</w:t>
            </w:r>
          </w:p>
        </w:tc>
        <w:tc>
          <w:tcPr>
            <w:tcW w:w="24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530</w:t>
            </w:r>
          </w:p>
        </w:tc>
        <w:tc>
          <w:tcPr>
            <w:tcW w:w="2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654</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886</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1,072</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040" w:type="dxa"/>
            <w:vAlign w:val="bottom"/>
            <w:tcBorders>
              <w:lef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360" w:type="dxa"/>
            <w:vAlign w:val="bottom"/>
            <w:gridSpan w:val="2"/>
          </w:tcPr>
          <w:p>
            <w:pPr>
              <w:spacing w:after="0" w:line="122" w:lineRule="exact"/>
              <w:rPr>
                <w:sz w:val="20"/>
                <w:szCs w:val="20"/>
                <w:color w:val="auto"/>
              </w:rPr>
            </w:pPr>
            <w:r>
              <w:rPr>
                <w:rFonts w:ascii="Arial" w:cs="Arial" w:eastAsia="Arial" w:hAnsi="Arial"/>
                <w:sz w:val="14"/>
                <w:szCs w:val="14"/>
                <w:color w:val="auto"/>
              </w:rPr>
              <w:t>Net income/(loss) attributable to common unitholders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0"/>
                <w:szCs w:val="10"/>
                <w:color w:val="auto"/>
              </w:rPr>
            </w:pPr>
          </w:p>
        </w:tc>
        <w:tc>
          <w:tcPr>
            <w:tcW w:w="2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(29)</w:t>
            </w:r>
          </w:p>
        </w:tc>
        <w:tc>
          <w:tcPr>
            <w:tcW w:w="660" w:type="dxa"/>
            <w:vAlign w:val="bottom"/>
            <w:vMerge w:val="restart"/>
          </w:tcPr>
          <w:p>
            <w:pPr>
              <w:jc w:val="right"/>
              <w:ind w:right="508"/>
              <w:spacing w:after="0"/>
              <w:rPr>
                <w:sz w:val="20"/>
                <w:szCs w:val="20"/>
                <w:color w:val="auto"/>
              </w:rPr>
            </w:pPr>
            <w:r>
              <w:rPr>
                <w:rFonts w:ascii="Arial" w:cs="Arial" w:eastAsia="Arial" w:hAnsi="Arial"/>
                <w:sz w:val="14"/>
                <w:szCs w:val="14"/>
                <w:color w:val="auto"/>
                <w:w w:val="76"/>
              </w:rPr>
              <w:t>$</w:t>
            </w: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32</w:t>
            </w:r>
          </w:p>
        </w:tc>
        <w:tc>
          <w:tcPr>
            <w:tcW w:w="580" w:type="dxa"/>
            <w:vAlign w:val="bottom"/>
            <w:vMerge w:val="restart"/>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157</w:t>
            </w: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200" w:type="dxa"/>
            <w:vAlign w:val="bottom"/>
          </w:tcPr>
          <w:p>
            <w:pPr>
              <w:spacing w:after="0"/>
              <w:rPr>
                <w:sz w:val="10"/>
                <w:szCs w:val="10"/>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156</w:t>
            </w:r>
          </w:p>
        </w:tc>
        <w:tc>
          <w:tcPr>
            <w:tcW w:w="38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40" w:type="dxa"/>
            <w:vAlign w:val="bottom"/>
          </w:tcPr>
          <w:p>
            <w:pPr>
              <w:ind w:left="160"/>
              <w:spacing w:after="0"/>
              <w:rPr>
                <w:sz w:val="20"/>
                <w:szCs w:val="20"/>
                <w:color w:val="auto"/>
              </w:rPr>
            </w:pPr>
            <w:r>
              <w:rPr>
                <w:rFonts w:ascii="Arial" w:cs="Arial" w:eastAsia="Arial" w:hAnsi="Arial"/>
                <w:sz w:val="9"/>
                <w:szCs w:val="9"/>
                <w:b w:val="1"/>
                <w:bCs w:val="1"/>
                <w:color w:val="auto"/>
              </w:rPr>
              <w:t>(b)</w:t>
            </w:r>
          </w:p>
        </w:tc>
        <w:tc>
          <w:tcPr>
            <w:tcW w:w="3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 xml:space="preserve">Basic net income/(loss) per common unit </w:t>
            </w:r>
            <w:r>
              <w:rPr>
                <w:rFonts w:ascii="Arial" w:cs="Arial" w:eastAsia="Arial" w:hAnsi="Arial"/>
                <w:sz w:val="17"/>
                <w:szCs w:val="17"/>
                <w:b w:val="1"/>
                <w:bCs w:val="1"/>
                <w:color w:val="auto"/>
                <w:vertAlign w:val="superscript"/>
              </w:rPr>
              <w:t>(b)</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80"/>
              <w:spacing w:after="0" w:line="149" w:lineRule="exact"/>
              <w:rPr>
                <w:sz w:val="20"/>
                <w:szCs w:val="20"/>
                <w:color w:val="auto"/>
              </w:rPr>
            </w:pPr>
            <w:r>
              <w:rPr>
                <w:rFonts w:ascii="Arial" w:cs="Arial" w:eastAsia="Arial" w:hAnsi="Arial"/>
                <w:sz w:val="14"/>
                <w:szCs w:val="14"/>
                <w:color w:val="auto"/>
              </w:rPr>
              <w:t>Weighted average common units 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w:t>
            </w:r>
          </w:p>
        </w:tc>
        <w:tc>
          <w:tcPr>
            <w:tcW w:w="6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398</w:t>
            </w:r>
          </w:p>
        </w:tc>
        <w:tc>
          <w:tcPr>
            <w:tcW w:w="58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income/(loss) per common unit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0.07</w:t>
            </w: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(0.07)</w:t>
            </w:r>
          </w:p>
        </w:tc>
        <w:tc>
          <w:tcPr>
            <w:tcW w:w="6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0.08</w:t>
            </w:r>
          </w:p>
        </w:tc>
        <w:tc>
          <w:tcPr>
            <w:tcW w:w="580" w:type="dxa"/>
            <w:vAlign w:val="bottom"/>
            <w:shd w:val="clear" w:color="auto" w:fill="CCEEFF"/>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0.39</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0.70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0.39</w:t>
            </w:r>
          </w:p>
        </w:tc>
        <w:tc>
          <w:tcPr>
            <w:tcW w:w="3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Diluted net income/(loss) per common unit</w:t>
            </w:r>
            <w:r>
              <w:rPr>
                <w:rFonts w:ascii="Arial" w:cs="Arial" w:eastAsia="Arial" w:hAnsi="Arial"/>
                <w:sz w:val="17"/>
                <w:szCs w:val="17"/>
                <w:b w:val="1"/>
                <w:bCs w:val="1"/>
                <w:color w:val="auto"/>
                <w:vertAlign w:val="superscript"/>
              </w:rPr>
              <w:t>(b)(c)</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ind w:left="180"/>
              <w:spacing w:after="0" w:line="149" w:lineRule="exact"/>
              <w:rPr>
                <w:sz w:val="20"/>
                <w:szCs w:val="20"/>
                <w:color w:val="auto"/>
              </w:rPr>
            </w:pPr>
            <w:r>
              <w:rPr>
                <w:rFonts w:ascii="Arial" w:cs="Arial" w:eastAsia="Arial" w:hAnsi="Arial"/>
                <w:sz w:val="14"/>
                <w:szCs w:val="14"/>
                <w:color w:val="auto"/>
                <w:w w:val="95"/>
              </w:rPr>
              <w:t xml:space="preserve">Weighted average common units outstanding </w:t>
            </w:r>
            <w:r>
              <w:rPr>
                <w:rFonts w:ascii="Arial" w:cs="Arial" w:eastAsia="Arial" w:hAnsi="Arial"/>
                <w:sz w:val="17"/>
                <w:szCs w:val="17"/>
                <w:b w:val="1"/>
                <w:bCs w:val="1"/>
                <w:color w:val="auto"/>
                <w:w w:val="95"/>
                <w:vertAlign w:val="superscript"/>
              </w:rPr>
              <w:t>(c)</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399</w:t>
            </w:r>
          </w:p>
        </w:tc>
        <w:tc>
          <w:tcPr>
            <w:tcW w:w="6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399</w:t>
            </w:r>
          </w:p>
        </w:tc>
        <w:tc>
          <w:tcPr>
            <w:tcW w:w="58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399</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CCEEFF"/>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income/(loss) per common unit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0.07</w:t>
            </w: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(0.07)</w:t>
            </w:r>
          </w:p>
        </w:tc>
        <w:tc>
          <w:tcPr>
            <w:tcW w:w="6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0.08</w:t>
            </w:r>
          </w:p>
        </w:tc>
        <w:tc>
          <w:tcPr>
            <w:tcW w:w="580" w:type="dxa"/>
            <w:vAlign w:val="bottom"/>
            <w:shd w:val="clear" w:color="auto" w:fill="CCEEFF"/>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0.39</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0.70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0.39</w:t>
            </w:r>
          </w:p>
        </w:tc>
        <w:tc>
          <w:tcPr>
            <w:tcW w:w="3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EBITDA</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448</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410</w:t>
            </w:r>
          </w:p>
        </w:tc>
        <w:tc>
          <w:tcPr>
            <w:tcW w:w="6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460</w:t>
            </w:r>
          </w:p>
        </w:tc>
        <w:tc>
          <w:tcPr>
            <w:tcW w:w="580" w:type="dxa"/>
            <w:vAlign w:val="bottom"/>
            <w:shd w:val="clear" w:color="auto" w:fill="CCEEFF"/>
          </w:tcPr>
          <w:p>
            <w:pPr>
              <w:jc w:val="right"/>
              <w:ind w:right="466"/>
              <w:spacing w:after="0"/>
              <w:rPr>
                <w:sz w:val="20"/>
                <w:szCs w:val="20"/>
                <w:color w:val="auto"/>
              </w:rPr>
            </w:pPr>
            <w:r>
              <w:rPr>
                <w:rFonts w:ascii="Arial" w:cs="Arial" w:eastAsia="Arial" w:hAnsi="Arial"/>
                <w:sz w:val="10"/>
                <w:szCs w:val="10"/>
                <w:b w:val="1"/>
                <w:bCs w:val="1"/>
                <w:color w:val="auto"/>
                <w:w w:val="71"/>
              </w:rPr>
              <w:t>$</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1,041</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1,141</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1,899</w:t>
            </w:r>
          </w:p>
        </w:tc>
        <w:tc>
          <w:tcPr>
            <w:tcW w:w="3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2,049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left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Selected items impacting comparability</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Borders>
              <w:left w:val="single" w:sz="8" w:color="auto"/>
            </w:tcBorders>
          </w:tcPr>
          <w:p>
            <w:pPr>
              <w:ind w:left="180"/>
              <w:spacing w:after="0" w:line="130" w:lineRule="exact"/>
              <w:rPr>
                <w:sz w:val="20"/>
                <w:szCs w:val="20"/>
                <w:color w:val="auto"/>
              </w:rPr>
            </w:pPr>
            <w:r>
              <w:rPr>
                <w:rFonts w:ascii="Arial" w:cs="Arial" w:eastAsia="Arial" w:hAnsi="Arial"/>
                <w:sz w:val="14"/>
                <w:szCs w:val="14"/>
                <w:color w:val="auto"/>
              </w:rPr>
              <w:t>Gains/(losses) from derivative activities net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Borders>
              <w:left w:val="single" w:sz="8" w:color="auto"/>
            </w:tcBorders>
          </w:tcPr>
          <w:p>
            <w:pPr>
              <w:ind w:left="360"/>
              <w:spacing w:after="0"/>
              <w:rPr>
                <w:sz w:val="20"/>
                <w:szCs w:val="20"/>
                <w:color w:val="auto"/>
              </w:rPr>
            </w:pPr>
            <w:r>
              <w:rPr>
                <w:rFonts w:ascii="Arial" w:cs="Arial" w:eastAsia="Arial" w:hAnsi="Arial"/>
                <w:sz w:val="14"/>
                <w:szCs w:val="14"/>
                <w:color w:val="auto"/>
              </w:rPr>
              <w:t>inventory valuation adjustments</w:t>
            </w: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(122)</w:t>
            </w: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(122)</w:t>
            </w:r>
          </w:p>
        </w:tc>
        <w:tc>
          <w:tcPr>
            <w:tcW w:w="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(122)</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60" w:type="dxa"/>
            <w:vAlign w:val="bottom"/>
            <w:tcBorders>
              <w:left w:val="single" w:sz="8" w:color="auto"/>
            </w:tcBorders>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Deficiencies under minimum volume commitments,</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net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6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w:t>
            </w:r>
          </w:p>
        </w:tc>
        <w:tc>
          <w:tcPr>
            <w:tcW w:w="5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rPr>
              <w:t>Long-term inventory costing adjustments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Equity-indexed compensation expense</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w w:val="99"/>
              </w:rPr>
              <w:t>Net gain/(loss) on foreign currency revaluation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Borders>
              <w:left w:val="single" w:sz="8" w:color="auto"/>
            </w:tcBorders>
            <w:shd w:val="clear" w:color="auto" w:fill="CCEEFF"/>
          </w:tcPr>
          <w:p>
            <w:pPr>
              <w:ind w:left="180"/>
              <w:spacing w:after="0" w:line="130" w:lineRule="exact"/>
              <w:rPr>
                <w:sz w:val="20"/>
                <w:szCs w:val="20"/>
                <w:color w:val="auto"/>
              </w:rPr>
            </w:pPr>
            <w:r>
              <w:rPr>
                <w:rFonts w:ascii="Arial" w:cs="Arial" w:eastAsia="Arial" w:hAnsi="Arial"/>
                <w:sz w:val="14"/>
                <w:szCs w:val="14"/>
                <w:color w:val="auto"/>
              </w:rPr>
              <w:t>Tax effect on selected items impacting</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comparability</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left w:val="single" w:sz="8" w:color="auto"/>
            </w:tcBorders>
            <w:vMerge w:val="restart"/>
          </w:tcPr>
          <w:p>
            <w:pPr>
              <w:ind w:left="360"/>
              <w:spacing w:after="0" w:line="130" w:lineRule="exact"/>
              <w:rPr>
                <w:sz w:val="20"/>
                <w:szCs w:val="20"/>
                <w:color w:val="auto"/>
              </w:rPr>
            </w:pPr>
            <w:r>
              <w:rPr>
                <w:rFonts w:ascii="Arial" w:cs="Arial" w:eastAsia="Arial" w:hAnsi="Arial"/>
                <w:sz w:val="14"/>
                <w:szCs w:val="14"/>
                <w:color w:val="auto"/>
                <w:w w:val="94"/>
              </w:rPr>
              <w:t>Selected items impacting comparability of net</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Borders>
              <w:lef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(153)</w:t>
            </w:r>
          </w:p>
        </w:tc>
        <w:tc>
          <w:tcPr>
            <w:tcW w:w="2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w:t>
            </w:r>
          </w:p>
        </w:tc>
        <w:tc>
          <w:tcPr>
            <w:tcW w:w="660" w:type="dxa"/>
            <w:vAlign w:val="bottom"/>
            <w:vMerge w:val="restart"/>
          </w:tcPr>
          <w:p>
            <w:pPr>
              <w:jc w:val="right"/>
              <w:ind w:right="508"/>
              <w:spacing w:after="0"/>
              <w:rPr>
                <w:sz w:val="20"/>
                <w:szCs w:val="20"/>
                <w:color w:val="auto"/>
              </w:rPr>
            </w:pPr>
            <w:r>
              <w:rPr>
                <w:rFonts w:ascii="Arial" w:cs="Arial" w:eastAsia="Arial" w:hAnsi="Arial"/>
                <w:sz w:val="14"/>
                <w:szCs w:val="14"/>
                <w:color w:val="auto"/>
                <w:w w:val="76"/>
              </w:rPr>
              <w:t>$</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w:t>
            </w:r>
          </w:p>
        </w:tc>
        <w:tc>
          <w:tcPr>
            <w:tcW w:w="580" w:type="dxa"/>
            <w:vAlign w:val="bottom"/>
            <w:vMerge w:val="restart"/>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(23)</w:t>
            </w: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(23)</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(181)</w:t>
            </w:r>
          </w:p>
        </w:tc>
        <w:tc>
          <w:tcPr>
            <w:tcW w:w="38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(181)</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40" w:type="dxa"/>
            <w:vAlign w:val="bottom"/>
            <w:tcBorders>
              <w:left w:val="single" w:sz="8" w:color="auto"/>
            </w:tcBorders>
          </w:tcPr>
          <w:p>
            <w:pPr>
              <w:ind w:left="540"/>
              <w:spacing w:after="0" w:line="154" w:lineRule="exact"/>
              <w:rPr>
                <w:sz w:val="20"/>
                <w:szCs w:val="20"/>
                <w:color w:val="auto"/>
              </w:rPr>
            </w:pPr>
            <w:r>
              <w:rPr>
                <w:rFonts w:ascii="Arial" w:cs="Arial" w:eastAsia="Arial" w:hAnsi="Arial"/>
                <w:sz w:val="14"/>
                <w:szCs w:val="14"/>
                <w:color w:val="auto"/>
              </w:rPr>
              <w:t>income attributable to PAA</w:t>
            </w:r>
          </w:p>
        </w:tc>
        <w:tc>
          <w:tcPr>
            <w:tcW w:w="3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left w:val="single" w:sz="8" w:color="CCEEFF"/>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left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Excluding selected items impacting comparability</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segment profit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rPr>
              <w:t>Transportation</w:t>
            </w:r>
          </w:p>
        </w:tc>
        <w:tc>
          <w:tcPr>
            <w:tcW w:w="3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14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w:t>
            </w:r>
          </w:p>
        </w:tc>
        <w:tc>
          <w:tcPr>
            <w:tcW w:w="660" w:type="dxa"/>
            <w:vAlign w:val="bottom"/>
          </w:tcPr>
          <w:p>
            <w:pPr>
              <w:jc w:val="right"/>
              <w:ind w:right="50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259</w:t>
            </w:r>
          </w:p>
        </w:tc>
        <w:tc>
          <w:tcPr>
            <w:tcW w:w="580" w:type="dxa"/>
            <w:vAlign w:val="bottom"/>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572</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1,085</w:t>
            </w:r>
          </w:p>
        </w:tc>
        <w:tc>
          <w:tcPr>
            <w:tcW w:w="3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1,130</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Facilities</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w:t>
            </w: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301</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641</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color w:val="auto"/>
              </w:rPr>
              <w:t>Supply and Logistics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6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478</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left w:val="single" w:sz="8" w:color="auto"/>
            </w:tcBorders>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income / (expense), net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tcBorders>
              <w:left w:val="single" w:sz="8" w:color="auto"/>
              <w:bottom w:val="single" w:sz="8" w:color="CCEEFF"/>
            </w:tcBorders>
          </w:tcPr>
          <w:p>
            <w:pPr>
              <w:spacing w:after="0" w:line="142" w:lineRule="exact"/>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621</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w:t>
            </w:r>
          </w:p>
        </w:tc>
        <w:tc>
          <w:tcPr>
            <w:tcW w:w="2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465</w:t>
            </w:r>
          </w:p>
        </w:tc>
        <w:tc>
          <w:tcPr>
            <w:tcW w:w="24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1,064</w:t>
            </w:r>
          </w:p>
        </w:tc>
        <w:tc>
          <w:tcPr>
            <w:tcW w:w="2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1,164</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2,250</w:t>
            </w:r>
          </w:p>
        </w:tc>
        <w:tc>
          <w:tcPr>
            <w:tcW w:w="10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Borders>
              <w:left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Adjusted net income attributable to PAA</w:t>
            </w:r>
          </w:p>
        </w:tc>
        <w:tc>
          <w:tcPr>
            <w:tcW w:w="3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355</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159</w:t>
            </w:r>
          </w:p>
        </w:tc>
        <w:tc>
          <w:tcPr>
            <w:tcW w:w="2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508"/>
              <w:spacing w:after="0" w:line="129"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221</w:t>
            </w:r>
          </w:p>
        </w:tc>
        <w:tc>
          <w:tcPr>
            <w:tcW w:w="2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553</w:t>
            </w:r>
          </w:p>
        </w:tc>
        <w:tc>
          <w:tcPr>
            <w:tcW w:w="2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4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677</w:t>
            </w:r>
          </w:p>
        </w:tc>
        <w:tc>
          <w:tcPr>
            <w:tcW w:w="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1,067</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4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1,253</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left w:val="single" w:sz="8" w:color="auto"/>
            </w:tcBorders>
            <w:vMerge w:val="restart"/>
          </w:tcPr>
          <w:p>
            <w:pPr>
              <w:spacing w:after="0" w:line="169" w:lineRule="exact"/>
              <w:rPr>
                <w:sz w:val="20"/>
                <w:szCs w:val="20"/>
                <w:color w:val="auto"/>
              </w:rPr>
            </w:pPr>
            <w:r>
              <w:rPr>
                <w:rFonts w:ascii="Arial" w:cs="Arial" w:eastAsia="Arial" w:hAnsi="Arial"/>
                <w:sz w:val="14"/>
                <w:szCs w:val="14"/>
                <w:color w:val="auto"/>
                <w:w w:val="92"/>
              </w:rPr>
              <w:t xml:space="preserve">Basic adjusted net income/(loss) per common unit </w:t>
            </w:r>
            <w:r>
              <w:rPr>
                <w:rFonts w:ascii="Arial" w:cs="Arial" w:eastAsia="Arial" w:hAnsi="Arial"/>
                <w:sz w:val="17"/>
                <w:szCs w:val="17"/>
                <w:b w:val="1"/>
                <w:bCs w:val="1"/>
                <w:color w:val="auto"/>
                <w:w w:val="92"/>
                <w:vertAlign w:val="superscript"/>
              </w:rPr>
              <w:t>(b)</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tcBorders>
              <w:left w:val="single" w:sz="8" w:color="auto"/>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0.45</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(0.06)</w:t>
            </w:r>
          </w:p>
        </w:tc>
        <w:tc>
          <w:tcPr>
            <w:tcW w:w="2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508"/>
              <w:spacing w:after="0" w:line="129"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0.09</w:t>
            </w:r>
          </w:p>
        </w:tc>
        <w:tc>
          <w:tcPr>
            <w:tcW w:w="24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0.45</w:t>
            </w:r>
          </w:p>
        </w:tc>
        <w:tc>
          <w:tcPr>
            <w:tcW w:w="22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0.76</w:t>
            </w:r>
          </w:p>
        </w:tc>
        <w:tc>
          <w:tcPr>
            <w:tcW w:w="2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040" w:type="dxa"/>
            <w:vAlign w:val="bottom"/>
            <w:tcBorders>
              <w:left w:val="single" w:sz="8" w:color="auto"/>
            </w:tcBorders>
            <w:shd w:val="clear" w:color="auto" w:fill="CCEEFF"/>
          </w:tcPr>
          <w:p>
            <w:pPr>
              <w:spacing w:after="0" w:line="75" w:lineRule="exact"/>
              <w:rPr>
                <w:sz w:val="20"/>
                <w:szCs w:val="20"/>
                <w:color w:val="auto"/>
              </w:rPr>
            </w:pPr>
            <w:r>
              <w:rPr>
                <w:rFonts w:ascii="Arial" w:cs="Arial" w:eastAsia="Arial" w:hAnsi="Arial"/>
                <w:sz w:val="8"/>
                <w:szCs w:val="8"/>
                <w:color w:val="auto"/>
              </w:rPr>
              <w:t>Diluted adjusted net income/(loss) per common unit</w:t>
            </w:r>
          </w:p>
        </w:tc>
        <w:tc>
          <w:tcPr>
            <w:tcW w:w="320" w:type="dxa"/>
            <w:vAlign w:val="bottom"/>
            <w:shd w:val="clear" w:color="auto" w:fill="CCEEFF"/>
          </w:tcPr>
          <w:p>
            <w:pPr>
              <w:spacing w:after="0" w:line="75" w:lineRule="exact"/>
              <w:rPr>
                <w:sz w:val="20"/>
                <w:szCs w:val="20"/>
                <w:color w:val="auto"/>
              </w:rPr>
            </w:pPr>
            <w:r>
              <w:rPr>
                <w:rFonts w:ascii="Arial" w:cs="Arial" w:eastAsia="Arial" w:hAnsi="Arial"/>
                <w:sz w:val="8"/>
                <w:szCs w:val="8"/>
                <w:b w:val="1"/>
                <w:bCs w:val="1"/>
                <w:color w:val="auto"/>
              </w:rPr>
              <w:t>(b)</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0.45</w:t>
            </w:r>
          </w:p>
        </w:tc>
        <w:tc>
          <w:tcPr>
            <w:tcW w:w="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(0.06)</w:t>
            </w:r>
          </w:p>
        </w:tc>
        <w:tc>
          <w:tcPr>
            <w:tcW w:w="6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95"/>
              </w:rPr>
              <w:t>0.09</w:t>
            </w:r>
          </w:p>
        </w:tc>
        <w:tc>
          <w:tcPr>
            <w:tcW w:w="580" w:type="dxa"/>
            <w:vAlign w:val="bottom"/>
            <w:vMerge w:val="restart"/>
            <w:shd w:val="clear" w:color="auto" w:fill="CCEEFF"/>
          </w:tcPr>
          <w:p>
            <w:pPr>
              <w:jc w:val="right"/>
              <w:ind w:right="466"/>
              <w:spacing w:after="0"/>
              <w:rPr>
                <w:sz w:val="20"/>
                <w:szCs w:val="20"/>
                <w:color w:val="auto"/>
              </w:rPr>
            </w:pPr>
            <w:r>
              <w:rPr>
                <w:rFonts w:ascii="Arial" w:cs="Arial" w:eastAsia="Arial" w:hAnsi="Arial"/>
                <w:sz w:val="10"/>
                <w:szCs w:val="10"/>
                <w:color w:val="auto"/>
                <w:w w:val="71"/>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0.45</w:t>
            </w: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0.75</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0.84</w:t>
            </w:r>
          </w:p>
        </w:tc>
        <w:tc>
          <w:tcPr>
            <w:tcW w:w="38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1.29</w:t>
            </w: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9"/>
                <w:szCs w:val="9"/>
                <w:b w:val="1"/>
                <w:bCs w:val="1"/>
                <w:color w:val="auto"/>
              </w:rPr>
              <w:t>(c)</w:t>
            </w:r>
          </w:p>
        </w:tc>
        <w:tc>
          <w:tcPr>
            <w:tcW w:w="32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520" w:type="dxa"/>
            <w:vAlign w:val="bottom"/>
            <w:gridSpan w:val="2"/>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380" w:type="dxa"/>
            <w:vAlign w:val="bottom"/>
            <w:gridSpan w:val="2"/>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left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60" w:hanging="652"/>
        <w:spacing w:after="0" w:line="217" w:lineRule="auto"/>
        <w:tabs>
          <w:tab w:leader="none" w:pos="665"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The assumed average foreign exchange rate is $1.30 Canadian dollar (CAD) to $1.00 U.S. dollar (USD) for the three-month period ending June 30, 2016 and the six-month period ending December 31, 2016. The rate as of May 3, 2016 was $1.27 CAD to $1.00 USD. We do not anticipate that fluctuations in the foreign exchange rate will have significant impact on aggregate reported financial results, but such fluctuations will result in variations between segments.</w:t>
      </w:r>
    </w:p>
    <w:p>
      <w:pPr>
        <w:spacing w:after="0" w:line="115" w:lineRule="exact"/>
        <w:rPr>
          <w:rFonts w:ascii="Arial" w:cs="Arial" w:eastAsia="Arial" w:hAnsi="Arial"/>
          <w:sz w:val="18"/>
          <w:szCs w:val="18"/>
          <w:color w:val="auto"/>
          <w:vertAlign w:val="superscript"/>
        </w:rPr>
      </w:pPr>
    </w:p>
    <w:p>
      <w:pPr>
        <w:ind w:left="660" w:right="60" w:hanging="652"/>
        <w:spacing w:after="0" w:line="238" w:lineRule="auto"/>
        <w:tabs>
          <w:tab w:leader="none" w:pos="657"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We allocate Net Income Attributable to PAA among our Series A Preferred Unitholders, Common Unitholders and General Partner interest using the two-class method in accordance with applicable authoritative accounting guidance. Under the two-class method, we allocate Net Income Attributable to PAA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spacing w:after="0" w:line="115" w:lineRule="exact"/>
        <w:rPr>
          <w:rFonts w:ascii="Arial" w:cs="Arial" w:eastAsia="Arial" w:hAnsi="Arial"/>
          <w:sz w:val="16"/>
          <w:szCs w:val="16"/>
          <w:color w:val="auto"/>
          <w:vertAlign w:val="superscript"/>
        </w:rPr>
      </w:pPr>
    </w:p>
    <w:p>
      <w:pPr>
        <w:ind w:left="660" w:right="260" w:hanging="652"/>
        <w:spacing w:after="0" w:line="215" w:lineRule="auto"/>
        <w:tabs>
          <w:tab w:leader="none" w:pos="665"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Diluted net income per common unit is computed based on the weighted average number of common units outstanding plus the effect of dilutive potential units outstanding during the period using the two-class method, unless the effects of such units are anti-dilutive.</w:t>
      </w:r>
    </w:p>
    <w:p>
      <w:pPr>
        <w:sectPr>
          <w:pgSz w:w="11900" w:h="16911" w:orient="portrait"/>
          <w:cols w:equalWidth="0" w:num="1">
            <w:col w:w="11440"/>
          </w:cols>
          <w:pgMar w:left="240" w:top="125" w:right="21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Definitions.</w:t>
      </w:r>
    </w:p>
    <w:p>
      <w:pPr>
        <w:sectPr>
          <w:pgSz w:w="11900" w:h="16838" w:orient="portrait"/>
          <w:cols w:equalWidth="0" w:num="1">
            <w:col w:w="11400"/>
          </w:cols>
          <w:pgMar w:left="240" w:top="341" w:right="259" w:bottom="129"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Mcf 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(including equity earnings in unconsolidated entities, as applicable) less segment field operating costs and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cubic feet 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including ethane and natural gasoline products as well as propane and butane, which are often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the context requires, “general partner” or “GP” refers to any or all of (i) PAA GP LLC, the owner of our 2%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(ii) Plains AAP, L.P., the sole member of PAA GP LLC and owner of our incentive distribution rights and (iii) Plains 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American GP LLC, the general partner of Plains AAP, L.P.</w:t>
      </w:r>
    </w:p>
    <w:p>
      <w:pPr>
        <w:spacing w:after="0" w:line="200" w:lineRule="exact"/>
        <w:rPr>
          <w:sz w:val="20"/>
          <w:szCs w:val="20"/>
          <w:color w:val="auto"/>
        </w:rPr>
      </w:pPr>
    </w:p>
    <w:p>
      <w:pPr>
        <w:sectPr>
          <w:pgSz w:w="11900" w:h="16838" w:orient="portrait"/>
          <w:cols w:equalWidth="0" w:num="2">
            <w:col w:w="1520" w:space="300"/>
            <w:col w:w="9580"/>
          </w:cols>
          <w:pgMar w:left="240" w:top="341" w:right="259" w:bottom="129" w:gutter="0" w:footer="0" w:header="0"/>
          <w:type w:val="continuous"/>
        </w:sectPr>
      </w:pPr>
    </w:p>
    <w:p>
      <w:pPr>
        <w:spacing w:after="0" w:line="227" w:lineRule="exact"/>
        <w:rPr>
          <w:sz w:val="20"/>
          <w:szCs w:val="20"/>
          <w:color w:val="auto"/>
        </w:rPr>
      </w:pPr>
    </w:p>
    <w:p>
      <w:pPr>
        <w:ind w:left="340" w:right="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 following is</w:t>
      </w:r>
      <w:r>
        <w:rPr>
          <w:rFonts w:ascii="Arial" w:cs="Arial" w:eastAsia="Arial" w:hAnsi="Arial"/>
          <w:sz w:val="18"/>
          <w:szCs w:val="18"/>
          <w:i w:val="1"/>
          <w:iCs w:val="1"/>
          <w:color w:val="auto"/>
        </w:rPr>
        <w:t xml:space="preserve"> </w:t>
      </w:r>
      <w:r>
        <w:rPr>
          <w:rFonts w:ascii="Arial" w:cs="Arial" w:eastAsia="Arial" w:hAnsi="Arial"/>
          <w:sz w:val="18"/>
          <w:szCs w:val="18"/>
          <w:color w:val="auto"/>
        </w:rPr>
        <w:t>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hanging="324"/>
        <w:spacing w:after="0" w:line="297" w:lineRule="auto"/>
        <w:tabs>
          <w:tab w:leader="none" w:pos="97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Our Transportation segment operations generally consist of fee-based activities associated with transporting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on pipelines, gathering systems, trucks and barges. The Transportation segment generates revenue through a combination of tariffs, third-party pipeline capacity agreements and other transportation fees. Our transportation segment also includes equity earnings from our investments in the entities that own BridgeTex, Eagle Ford, Frontier, Saddlehorn, White Cliffs, and Butte pipeline systems as well as Settoon Towing, in which we own interests ranging from 22% to 50%. We account for these investments under the equity method of accounting.</w:t>
      </w:r>
    </w:p>
    <w:p>
      <w:pPr>
        <w:spacing w:after="0" w:line="158" w:lineRule="exact"/>
        <w:rPr>
          <w:rFonts w:ascii="Arial" w:cs="Arial" w:eastAsia="Arial" w:hAnsi="Arial"/>
          <w:sz w:val="16"/>
          <w:szCs w:val="16"/>
          <w:color w:val="auto"/>
        </w:rPr>
      </w:pPr>
    </w:p>
    <w:p>
      <w:pPr>
        <w:ind w:left="980" w:right="40"/>
        <w:spacing w:after="0" w:line="290" w:lineRule="auto"/>
        <w:rPr>
          <w:rFonts w:ascii="Arial" w:cs="Arial" w:eastAsia="Arial" w:hAnsi="Arial"/>
          <w:sz w:val="16"/>
          <w:szCs w:val="16"/>
          <w:color w:val="auto"/>
        </w:rPr>
      </w:pPr>
      <w:r>
        <w:rPr>
          <w:rFonts w:ascii="Arial" w:cs="Arial" w:eastAsia="Arial" w:hAnsi="Arial"/>
          <w:sz w:val="16"/>
          <w:szCs w:val="16"/>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following table, priced at forecasted tariff rates, less estimated field operating costs and G&amp;A expenses. Field operating costs do not include depreciation. Actual adjusted segment profit could vary materially depending on the level and mix of volumes transported or expenses incurred during the period, as well as any differences between forecasted and actual recognition of minimum ship or pay commitments. The following table summarizes our total transportation volumes and is broken down by crude oil geographic area as well as total NGL and trucking volumes.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Actual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Guidance</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Six Months</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Twelve Months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Ending</w:t>
            </w: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 31, 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Jun 30, 2016</w:t>
            </w: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 31, 2016</w:t>
            </w:r>
          </w:p>
        </w:tc>
        <w:tc>
          <w:tcPr>
            <w:tcW w:w="8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 31, 2016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Average daily volumes (MBbls/d)</w:t>
            </w: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Volumes from tariff activities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Crude oil pipelines (by region):</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340"/>
              <w:spacing w:after="0" w:line="149" w:lineRule="exact"/>
              <w:rPr>
                <w:sz w:val="20"/>
                <w:szCs w:val="20"/>
                <w:color w:val="auto"/>
              </w:rPr>
            </w:pPr>
            <w:r>
              <w:rPr>
                <w:rFonts w:ascii="Arial" w:cs="Arial" w:eastAsia="Arial" w:hAnsi="Arial"/>
                <w:sz w:val="14"/>
                <w:szCs w:val="14"/>
                <w:color w:val="auto"/>
              </w:rPr>
              <w:t xml:space="preserve">Permian Basin </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2,180</w:t>
            </w:r>
          </w:p>
        </w:tc>
        <w:tc>
          <w:tcPr>
            <w:tcW w:w="14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2,300</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 xml:space="preserve">South Texas / Eagle Ford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340"/>
              <w:spacing w:after="0" w:line="149" w:lineRule="exact"/>
              <w:rPr>
                <w:sz w:val="20"/>
                <w:szCs w:val="20"/>
                <w:color w:val="auto"/>
              </w:rPr>
            </w:pPr>
            <w:r>
              <w:rPr>
                <w:rFonts w:ascii="Arial" w:cs="Arial" w:eastAsia="Arial" w:hAnsi="Arial"/>
                <w:sz w:val="14"/>
                <w:szCs w:val="14"/>
                <w:color w:val="auto"/>
              </w:rPr>
              <w:t>Western</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195</w:t>
            </w:r>
          </w:p>
        </w:tc>
        <w:tc>
          <w:tcPr>
            <w:tcW w:w="14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240</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 xml:space="preserve">Rocky Mountain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340"/>
              <w:spacing w:after="0" w:line="149" w:lineRule="exact"/>
              <w:rPr>
                <w:sz w:val="20"/>
                <w:szCs w:val="20"/>
                <w:color w:val="auto"/>
              </w:rPr>
            </w:pPr>
            <w:r>
              <w:rPr>
                <w:rFonts w:ascii="Arial" w:cs="Arial" w:eastAsia="Arial" w:hAnsi="Arial"/>
                <w:sz w:val="14"/>
                <w:szCs w:val="14"/>
                <w:color w:val="auto"/>
              </w:rPr>
              <w:t>Gulf Coast</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615</w:t>
            </w:r>
          </w:p>
        </w:tc>
        <w:tc>
          <w:tcPr>
            <w:tcW w:w="14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385</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Central</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380</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340"/>
              <w:spacing w:after="0" w:line="149" w:lineRule="exact"/>
              <w:rPr>
                <w:sz w:val="20"/>
                <w:szCs w:val="20"/>
                <w:color w:val="auto"/>
              </w:rPr>
            </w:pPr>
            <w:r>
              <w:rPr>
                <w:rFonts w:ascii="Arial" w:cs="Arial" w:eastAsia="Arial" w:hAnsi="Arial"/>
                <w:sz w:val="14"/>
                <w:szCs w:val="14"/>
                <w:color w:val="auto"/>
              </w:rPr>
              <w:t>Canada</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390</w:t>
            </w:r>
          </w:p>
        </w:tc>
        <w:tc>
          <w:tcPr>
            <w:tcW w:w="14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395</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Crude oil pipelines</w:t>
            </w: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4,324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4,470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4,436</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NGL pipelines</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w:t>
            </w:r>
          </w:p>
        </w:tc>
        <w:tc>
          <w:tcPr>
            <w:tcW w:w="14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volumes from tariff activities</w:t>
            </w: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4,502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4,635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4,645</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4,607</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Trucking</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14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Transportation segment volumes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4,735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segment profit per barrel ($/Bbl)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0.64</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0.58</w:t>
            </w:r>
            <w:r>
              <w:rPr>
                <w:rFonts w:ascii="Arial" w:cs="Arial" w:eastAsia="Arial" w:hAnsi="Arial"/>
                <w:sz w:val="8"/>
                <w:szCs w:val="8"/>
                <w:color w:val="auto"/>
              </w:rPr>
              <w:t>(2)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0.67</w:t>
            </w:r>
            <w:r>
              <w:rPr>
                <w:rFonts w:ascii="Arial" w:cs="Arial" w:eastAsia="Arial" w:hAnsi="Arial"/>
                <w:sz w:val="8"/>
                <w:szCs w:val="8"/>
                <w:color w:val="auto"/>
              </w:rPr>
              <w:t>(2)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0.64</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segment profit (excluding MVC selected item) per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0.59</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0.59</w:t>
            </w:r>
            <w:r>
              <w:rPr>
                <w:rFonts w:ascii="Arial" w:cs="Arial" w:eastAsia="Arial" w:hAnsi="Arial"/>
                <w:sz w:val="17"/>
                <w:szCs w:val="17"/>
                <w:color w:val="auto"/>
                <w:vertAlign w:val="superscript"/>
              </w:rPr>
              <w:t>(2)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0.65</w:t>
            </w:r>
            <w:r>
              <w:rPr>
                <w:rFonts w:ascii="Arial" w:cs="Arial" w:eastAsia="Arial" w:hAnsi="Arial"/>
                <w:sz w:val="17"/>
                <w:szCs w:val="17"/>
                <w:color w:val="auto"/>
                <w:vertAlign w:val="superscript"/>
              </w:rPr>
              <w:t>(2)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0.62</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8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color w:val="auto"/>
              </w:rPr>
              <w:t>barrel ($/Bbl)</w:t>
            </w:r>
          </w:p>
        </w:tc>
        <w:tc>
          <w:tcPr>
            <w:tcW w:w="100" w:type="dxa"/>
            <w:vAlign w:val="bottom"/>
            <w:vMerge w:val="continue"/>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18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2" w:lineRule="exact"/>
        <w:rPr>
          <w:sz w:val="20"/>
          <w:szCs w:val="20"/>
          <w:color w:val="auto"/>
        </w:rPr>
      </w:pPr>
    </w:p>
    <w:p>
      <w:pPr>
        <w:ind w:left="1300" w:hanging="320"/>
        <w:spacing w:after="0"/>
        <w:tabs>
          <w:tab w:leader="none" w:pos="1300" w:val="left"/>
        </w:tabs>
        <w:numPr>
          <w:ilvl w:val="1"/>
          <w:numId w:val="4"/>
        </w:numPr>
        <w:rPr>
          <w:rFonts w:ascii="Arial" w:cs="Arial" w:eastAsia="Arial" w:hAnsi="Arial"/>
          <w:sz w:val="18"/>
          <w:szCs w:val="18"/>
          <w:color w:val="auto"/>
          <w:vertAlign w:val="superscript"/>
        </w:rPr>
      </w:pPr>
      <w:r>
        <w:rPr>
          <w:rFonts w:ascii="Arial" w:cs="Arial" w:eastAsia="Arial" w:hAnsi="Arial"/>
          <w:sz w:val="14"/>
          <w:szCs w:val="14"/>
          <w:color w:val="auto"/>
        </w:rPr>
        <w:t>Region includes volumes (attributable to our interest) from pipelines owned by unconsolidated entities.</w:t>
      </w:r>
    </w:p>
    <w:p>
      <w:pPr>
        <w:spacing w:after="0" w:line="90" w:lineRule="exact"/>
        <w:rPr>
          <w:rFonts w:ascii="Arial" w:cs="Arial" w:eastAsia="Arial" w:hAnsi="Arial"/>
          <w:sz w:val="18"/>
          <w:szCs w:val="18"/>
          <w:color w:val="auto"/>
          <w:vertAlign w:val="superscript"/>
        </w:rPr>
      </w:pPr>
    </w:p>
    <w:p>
      <w:pPr>
        <w:ind w:left="1300" w:hanging="320"/>
        <w:spacing w:after="0"/>
        <w:tabs>
          <w:tab w:leader="none" w:pos="1300" w:val="left"/>
        </w:tabs>
        <w:numPr>
          <w:ilvl w:val="1"/>
          <w:numId w:val="4"/>
        </w:numPr>
        <w:rPr>
          <w:rFonts w:ascii="Arial" w:cs="Arial" w:eastAsia="Arial" w:hAnsi="Arial"/>
          <w:sz w:val="18"/>
          <w:szCs w:val="18"/>
          <w:color w:val="auto"/>
          <w:vertAlign w:val="superscript"/>
        </w:rPr>
      </w:pPr>
      <w:r>
        <w:rPr>
          <w:rFonts w:ascii="Arial" w:cs="Arial" w:eastAsia="Arial" w:hAnsi="Arial"/>
          <w:sz w:val="14"/>
          <w:szCs w:val="14"/>
          <w:color w:val="auto"/>
        </w:rPr>
        <w:t>Represents the midpoint of guidance.</w:t>
      </w:r>
    </w:p>
    <w:p>
      <w:pPr>
        <w:spacing w:after="0" w:line="186" w:lineRule="exact"/>
        <w:rPr>
          <w:rFonts w:ascii="Arial" w:cs="Arial" w:eastAsia="Arial" w:hAnsi="Arial"/>
          <w:sz w:val="18"/>
          <w:szCs w:val="18"/>
          <w:color w:val="auto"/>
          <w:vertAlign w:val="superscript"/>
        </w:rPr>
      </w:pPr>
    </w:p>
    <w:p>
      <w:pPr>
        <w:ind w:left="980" w:right="24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ectPr>
          <w:pgSz w:w="11900" w:h="16838" w:orient="portrait"/>
          <w:cols w:equalWidth="0" w:num="1">
            <w:col w:w="11400"/>
          </w:cols>
          <w:pgMar w:left="240" w:top="341" w:right="259" w:bottom="129" w:gutter="0" w:footer="0" w:header="0"/>
          <w:type w:val="continuous"/>
        </w:sectPr>
      </w:pPr>
    </w:p>
    <w:bookmarkStart w:id="3" w:name="page4"/>
    <w:bookmarkEnd w:id="3"/>
    <w:p>
      <w:pPr>
        <w:ind w:left="980"/>
        <w:spacing w:after="0" w:line="293" w:lineRule="auto"/>
        <w:rPr>
          <w:sz w:val="20"/>
          <w:szCs w:val="20"/>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 Adjusted segment profit is forecasted using the volume assumptions in the following table, priced at forecasted rates, less estimated field operating costs and G&amp;A expenses. Field operating costs do not include depreciation.</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Guidance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48"/>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Three Months</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Six Months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Twelve Months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 31, 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Jun 30, 2016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 31,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 31, 2016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Operating Data</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tcPr>
          <w:p>
            <w:pPr>
              <w:ind w:left="340"/>
              <w:spacing w:after="0" w:line="130" w:lineRule="exact"/>
              <w:rPr>
                <w:sz w:val="20"/>
                <w:szCs w:val="20"/>
                <w:color w:val="auto"/>
              </w:rPr>
            </w:pPr>
            <w:r>
              <w:rPr>
                <w:rFonts w:ascii="Arial" w:cs="Arial" w:eastAsia="Arial" w:hAnsi="Arial"/>
                <w:sz w:val="14"/>
                <w:szCs w:val="14"/>
                <w:color w:val="auto"/>
              </w:rPr>
              <w:t>Crude oil, refined products and NGL terminalling and storage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40" w:type="dxa"/>
            <w:vAlign w:val="bottom"/>
          </w:tcPr>
          <w:p>
            <w:pPr>
              <w:ind w:left="520"/>
              <w:spacing w:after="0" w:line="154" w:lineRule="exact"/>
              <w:rPr>
                <w:sz w:val="20"/>
                <w:szCs w:val="20"/>
                <w:color w:val="auto"/>
              </w:rPr>
            </w:pPr>
            <w:r>
              <w:rPr>
                <w:rFonts w:ascii="Arial" w:cs="Arial" w:eastAsia="Arial" w:hAnsi="Arial"/>
                <w:sz w:val="14"/>
                <w:szCs w:val="14"/>
                <w:color w:val="auto"/>
              </w:rPr>
              <w:t>capacity (MMBbls/Mo.)</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Borders>
              <w:top w:val="single" w:sz="8" w:color="CCEEFF"/>
              <w:bottom w:val="single" w:sz="8" w:color="CCEEFF"/>
            </w:tcBorders>
            <w:shd w:val="clear" w:color="auto" w:fill="CCEEFF"/>
          </w:tcPr>
          <w:p>
            <w:pPr>
              <w:ind w:left="340"/>
              <w:spacing w:after="0" w:line="129" w:lineRule="exact"/>
              <w:rPr>
                <w:sz w:val="20"/>
                <w:szCs w:val="20"/>
                <w:color w:val="auto"/>
              </w:rPr>
            </w:pPr>
            <w:r>
              <w:rPr>
                <w:rFonts w:ascii="Arial" w:cs="Arial" w:eastAsia="Arial" w:hAnsi="Arial"/>
                <w:sz w:val="14"/>
                <w:szCs w:val="14"/>
                <w:color w:val="auto"/>
              </w:rPr>
              <w:t>Rail load / unload volumes (MBbls/d)</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140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105</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ind w:left="340"/>
              <w:spacing w:after="0"/>
              <w:rPr>
                <w:sz w:val="20"/>
                <w:szCs w:val="20"/>
                <w:color w:val="auto"/>
              </w:rPr>
            </w:pPr>
            <w:r>
              <w:rPr>
                <w:rFonts w:ascii="Arial" w:cs="Arial" w:eastAsia="Arial" w:hAnsi="Arial"/>
                <w:sz w:val="14"/>
                <w:szCs w:val="14"/>
                <w:color w:val="auto"/>
              </w:rPr>
              <w:t>Natural gas storage capacity (Bcf/Mo.)</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1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97</w:t>
            </w:r>
          </w:p>
        </w:tc>
        <w:tc>
          <w:tcPr>
            <w:tcW w:w="16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97</w:t>
            </w:r>
          </w:p>
        </w:tc>
        <w:tc>
          <w:tcPr>
            <w:tcW w:w="16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Borders>
              <w:bottom w:val="single" w:sz="8" w:color="CCEEFF"/>
            </w:tcBorders>
            <w:shd w:val="clear" w:color="auto" w:fill="CCEEFF"/>
          </w:tcPr>
          <w:p>
            <w:pPr>
              <w:ind w:left="340"/>
              <w:spacing w:after="0" w:line="129" w:lineRule="exact"/>
              <w:rPr>
                <w:sz w:val="20"/>
                <w:szCs w:val="20"/>
                <w:color w:val="auto"/>
              </w:rPr>
            </w:pPr>
            <w:r>
              <w:rPr>
                <w:rFonts w:ascii="Arial" w:cs="Arial" w:eastAsia="Arial" w:hAnsi="Arial"/>
                <w:sz w:val="14"/>
                <w:szCs w:val="14"/>
                <w:color w:val="auto"/>
              </w:rPr>
              <w:t>NGL fractionation volumes (MBbls/d)</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105</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120</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115</w:t>
            </w: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ind w:left="160"/>
              <w:spacing w:after="0" w:line="142" w:lineRule="exact"/>
              <w:rPr>
                <w:sz w:val="20"/>
                <w:szCs w:val="20"/>
                <w:color w:val="auto"/>
              </w:rPr>
            </w:pPr>
            <w:r>
              <w:rPr>
                <w:rFonts w:ascii="Arial" w:cs="Arial" w:eastAsia="Arial" w:hAnsi="Arial"/>
                <w:sz w:val="14"/>
                <w:szCs w:val="14"/>
                <w:color w:val="auto"/>
              </w:rPr>
              <w:t>Total Facilities segment volumes</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 xml:space="preserve">Avg. Capacity (MMBbls/Mo.) </w:t>
            </w:r>
            <w:r>
              <w:rPr>
                <w:rFonts w:ascii="Arial" w:cs="Arial" w:eastAsia="Arial" w:hAnsi="Arial"/>
                <w:sz w:val="17"/>
                <w:szCs w:val="17"/>
                <w:color w:val="auto"/>
                <w:vertAlign w:val="superscript"/>
              </w:rPr>
              <w:t>(1)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Adjusted segment profit per barrel ($/Bbl)</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0.44</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0.38</w:t>
            </w:r>
            <w:r>
              <w:rPr>
                <w:rFonts w:ascii="Arial" w:cs="Arial" w:eastAsia="Arial" w:hAnsi="Arial"/>
                <w:sz w:val="8"/>
                <w:szCs w:val="8"/>
                <w:color w:val="auto"/>
              </w:rPr>
              <w:t>(2)</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0.40</w:t>
            </w:r>
            <w:r>
              <w:rPr>
                <w:rFonts w:ascii="Arial" w:cs="Arial" w:eastAsia="Arial" w:hAnsi="Arial"/>
                <w:sz w:val="8"/>
                <w:szCs w:val="8"/>
                <w:color w:val="auto"/>
              </w:rPr>
              <w:t>(2)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0.40</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segment profit (excluding MVC selected item) per barrel</w:t>
            </w:r>
          </w:p>
        </w:tc>
        <w:tc>
          <w:tcPr>
            <w:tcW w:w="3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0.42</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0.38</w:t>
            </w:r>
            <w:r>
              <w:rPr>
                <w:rFonts w:ascii="Arial" w:cs="Arial" w:eastAsia="Arial" w:hAnsi="Arial"/>
                <w:sz w:val="17"/>
                <w:szCs w:val="17"/>
                <w:color w:val="auto"/>
                <w:vertAlign w:val="superscript"/>
              </w:rPr>
              <w:t>(2)</w:t>
            </w:r>
          </w:p>
        </w:tc>
        <w:tc>
          <w:tcPr>
            <w:tcW w:w="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0.40</w:t>
            </w:r>
            <w:r>
              <w:rPr>
                <w:rFonts w:ascii="Arial" w:cs="Arial" w:eastAsia="Arial" w:hAnsi="Arial"/>
                <w:sz w:val="17"/>
                <w:szCs w:val="17"/>
                <w:color w:val="auto"/>
                <w:vertAlign w:val="superscript"/>
              </w:rPr>
              <w:t>(2)</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0.40</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4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color w:val="auto"/>
              </w:rPr>
              <w:t>($/Bbl)</w:t>
            </w:r>
          </w:p>
        </w:tc>
        <w:tc>
          <w:tcPr>
            <w:tcW w:w="34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300" w:right="140" w:hanging="320"/>
        <w:spacing w:after="0" w:line="210" w:lineRule="auto"/>
        <w:tabs>
          <w:tab w:leader="none" w:pos="1297"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18"/>
          <w:szCs w:val="18"/>
          <w:color w:val="auto"/>
          <w:vertAlign w:val="superscript"/>
        </w:rPr>
      </w:pPr>
    </w:p>
    <w:p>
      <w:pPr>
        <w:ind w:left="1300" w:hanging="320"/>
        <w:spacing w:after="0" w:line="197" w:lineRule="auto"/>
        <w:tabs>
          <w:tab w:leader="none" w:pos="13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the midpoint of guidance.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Supply and Logistics</w:t>
      </w:r>
      <w:r>
        <w:rPr>
          <w:rFonts w:ascii="Arial" w:cs="Arial" w:eastAsia="Arial" w:hAnsi="Arial"/>
          <w:sz w:val="18"/>
          <w:szCs w:val="18"/>
          <w:color w:val="auto"/>
        </w:rPr>
        <w:t>. Our Supply and Logistics segment operations generally consist of the following merchant-related activities:</w:t>
      </w:r>
    </w:p>
    <w:p>
      <w:pPr>
        <w:spacing w:after="0" w:line="225" w:lineRule="exact"/>
        <w:rPr>
          <w:rFonts w:ascii="Arial" w:cs="Arial" w:eastAsia="Arial" w:hAnsi="Arial"/>
          <w:sz w:val="18"/>
          <w:szCs w:val="18"/>
          <w:color w:val="auto"/>
        </w:rPr>
      </w:pPr>
    </w:p>
    <w:p>
      <w:pPr>
        <w:ind w:left="1220" w:right="380" w:hanging="321"/>
        <w:spacing w:after="0" w:line="277"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1220" w:right="280" w:hanging="321"/>
        <w:spacing w:after="0" w:line="277"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left="980" w:right="60"/>
        <w:spacing w:after="0" w:line="253" w:lineRule="auto"/>
        <w:rPr>
          <w:sz w:val="20"/>
          <w:szCs w:val="20"/>
          <w:color w:val="auto"/>
        </w:rPr>
      </w:pPr>
      <w:r>
        <w:rPr>
          <w:rFonts w:ascii="Arial" w:cs="Arial" w:eastAsia="Arial" w:hAnsi="Arial"/>
          <w:sz w:val="18"/>
          <w:szCs w:val="18"/>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June 30, 2016 and for the six-month period ending December 31, 2016 reflect current market structure as well as seasonal, weather-related and other anticipated variations in crude oil, NGL and natural gas sales. Variations in weather, market structure or volatility could cause actual results to differ materially from forecasted results.</w:t>
      </w:r>
    </w:p>
    <w:p>
      <w:pPr>
        <w:spacing w:after="0" w:line="197" w:lineRule="exact"/>
        <w:rPr>
          <w:sz w:val="20"/>
          <w:szCs w:val="20"/>
          <w:color w:val="auto"/>
        </w:rPr>
      </w:pPr>
    </w:p>
    <w:p>
      <w:pPr>
        <w:ind w:left="980" w:right="20"/>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adjusted segment profit per barrel can vary significantly even if aggregate volumes are in line with the forecasted levels.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Actual</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Guidance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Three Months</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Six Months</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Twelve Months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Mar 31, 2016</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Jun 30, 2016</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 31, 2016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895</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Waterborne cargos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Supply and Logistics segment volumes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w:t>
            </w:r>
            <w:r>
              <w:rPr>
                <w:rFonts w:ascii="Arial" w:cs="Arial" w:eastAsia="Arial" w:hAnsi="Arial"/>
                <w:sz w:val="11"/>
                <w:szCs w:val="11"/>
                <w:color w:val="auto"/>
              </w:rPr>
              <w:t>(1)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ind w:left="1292" w:hanging="320"/>
        <w:spacing w:after="0"/>
        <w:tabs>
          <w:tab w:leader="none" w:pos="1292"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332" w:right="140" w:hanging="332"/>
        <w:spacing w:after="0" w:line="264"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and acceleration of depreciation or foreign exchange rates.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 w:right="140" w:hanging="332"/>
        <w:spacing w:after="0" w:line="255"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and Acquisitions. </w:t>
      </w:r>
      <w:r>
        <w:rPr>
          <w:rFonts w:ascii="Arial" w:cs="Arial" w:eastAsia="Arial" w:hAnsi="Arial"/>
          <w:sz w:val="18"/>
          <w:szCs w:val="18"/>
          <w:color w:val="auto"/>
        </w:rPr>
        <w:t>Although acquisitions constitute a key element of our growth strategy, the forecasted results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do not include any forecasts for acquisitions that we may commit to after the date hereof (the forecast does include the announced Empress acquisition that is expected to close during the second quarter of 2016). We forecast capital expenditures during calendar year 2016 to be approximately $1.5 billion for expansion projects with an additional $190 million to $210 million for maintenance capital projects. During the first three months of 2016, we invested $370 million and $47 million for expansion and maintenance projects, respectively. The following are some of the more notable projects and forecasted expenditures for the year ending December 31, 2016:</w:t>
      </w:r>
    </w:p>
    <w:p>
      <w:pPr>
        <w:spacing w:after="0" w:line="185" w:lineRule="exact"/>
        <w:rPr>
          <w:sz w:val="20"/>
          <w:szCs w:val="20"/>
          <w:color w:val="auto"/>
        </w:rPr>
      </w:pPr>
    </w:p>
    <w:tbl>
      <w:tblPr>
        <w:tblLayout w:type="fixed"/>
        <w:tblInd w:w="97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Calendar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 Red River Pipeline (Cushing to Longview)</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9"/>
              </w:rPr>
              <w:t>$285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 Diamond Pipeline</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 Permian Basin Area Pipeline Projects</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210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 Fort Saskatchewan Facility Projects</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 Saddlehorn Pipeline</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3"/>
              </w:rPr>
              <w:t>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 Cushing Terminal Expansions</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89"/>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 St. James Terminal Expansions</w:t>
            </w:r>
          </w:p>
        </w:tc>
        <w:tc>
          <w:tcPr>
            <w:tcW w:w="740" w:type="dxa"/>
            <w:vAlign w:val="bottom"/>
          </w:tcPr>
          <w:p>
            <w:pPr>
              <w:spacing w:after="0"/>
              <w:rPr>
                <w:sz w:val="18"/>
                <w:szCs w:val="18"/>
                <w:color w:val="auto"/>
              </w:rPr>
            </w:pPr>
          </w:p>
        </w:tc>
        <w:tc>
          <w:tcPr>
            <w:tcW w:w="960" w:type="dxa"/>
            <w:vAlign w:val="bottom"/>
          </w:tcPr>
          <w:p>
            <w:pPr>
              <w:jc w:val="center"/>
              <w:ind w:right="650"/>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 Caddo Pipeline</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89"/>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 Cactus Pipeline</w:t>
            </w:r>
          </w:p>
        </w:tc>
        <w:tc>
          <w:tcPr>
            <w:tcW w:w="740" w:type="dxa"/>
            <w:vAlign w:val="bottom"/>
          </w:tcPr>
          <w:p>
            <w:pPr>
              <w:spacing w:after="0"/>
              <w:rPr>
                <w:sz w:val="18"/>
                <w:szCs w:val="18"/>
                <w:color w:val="auto"/>
              </w:rPr>
            </w:pPr>
          </w:p>
        </w:tc>
        <w:tc>
          <w:tcPr>
            <w:tcW w:w="960" w:type="dxa"/>
            <w:vAlign w:val="bottom"/>
          </w:tcPr>
          <w:p>
            <w:pPr>
              <w:jc w:val="center"/>
              <w:ind w:right="650"/>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 Eagle Ford JV Project</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89"/>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Other Projects</w:t>
            </w: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245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$100</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$100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Projected Expansion Capital Expenditures</w:t>
            </w:r>
          </w:p>
        </w:tc>
        <w:tc>
          <w:tcPr>
            <w:tcW w:w="17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$1,400 - $1,600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$210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292" w:hanging="320"/>
        <w:spacing w:after="0"/>
        <w:tabs>
          <w:tab w:leader="none" w:pos="1292" w:val="left"/>
        </w:tabs>
        <w:numPr>
          <w:ilvl w:val="2"/>
          <w:numId w:val="11"/>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12" w:hanging="315"/>
        <w:spacing w:after="0"/>
        <w:tabs>
          <w:tab w:leader="none" w:pos="1612" w:val="left"/>
        </w:tabs>
        <w:numPr>
          <w:ilvl w:val="3"/>
          <w:numId w:val="11"/>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receipt of permits, or regulatory approvals and weather.</w:t>
      </w:r>
    </w:p>
    <w:p>
      <w:pPr>
        <w:spacing w:after="0" w:line="209" w:lineRule="exact"/>
        <w:rPr>
          <w:rFonts w:ascii="Arial" w:cs="Arial" w:eastAsia="Arial" w:hAnsi="Arial"/>
          <w:sz w:val="18"/>
          <w:szCs w:val="18"/>
          <w:color w:val="auto"/>
        </w:rPr>
      </w:pPr>
    </w:p>
    <w:p>
      <w:pPr>
        <w:ind w:left="332" w:hanging="332"/>
        <w:spacing w:after="0" w:line="264" w:lineRule="auto"/>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Asset Sales. </w:t>
      </w:r>
      <w:r>
        <w:rPr>
          <w:rFonts w:ascii="Arial" w:cs="Arial" w:eastAsia="Arial" w:hAnsi="Arial"/>
          <w:sz w:val="18"/>
          <w:szCs w:val="18"/>
          <w:color w:val="auto"/>
        </w:rPr>
        <w:t>This guidance takes into account the sale of non-core assets for aggregate total proceeds of $500 million to $600 million for the full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do not expect that in the aggregate any net gain or loss from these asset sales will be material and thus, we have not included any such estimate in our guidance.</w:t>
      </w:r>
    </w:p>
    <w:p>
      <w:pPr>
        <w:spacing w:after="0" w:line="181" w:lineRule="exact"/>
        <w:rPr>
          <w:rFonts w:ascii="Arial" w:cs="Arial" w:eastAsia="Arial" w:hAnsi="Arial"/>
          <w:sz w:val="18"/>
          <w:szCs w:val="18"/>
          <w:color w:val="auto"/>
        </w:rPr>
      </w:pPr>
    </w:p>
    <w:p>
      <w:pPr>
        <w:ind w:left="332" w:hanging="332"/>
        <w:spacing w:after="0"/>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March 31, 2016.</w:t>
      </w:r>
    </w:p>
    <w:p>
      <w:pPr>
        <w:spacing w:after="0" w:line="225" w:lineRule="exact"/>
        <w:rPr>
          <w:rFonts w:ascii="Arial" w:cs="Arial" w:eastAsia="Arial" w:hAnsi="Arial"/>
          <w:sz w:val="18"/>
          <w:szCs w:val="18"/>
          <w:color w:val="auto"/>
        </w:rPr>
      </w:pPr>
    </w:p>
    <w:p>
      <w:pPr>
        <w:ind w:left="332" w:right="60" w:hanging="332"/>
        <w:spacing w:after="0" w:line="259" w:lineRule="auto"/>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are projected based on estimated cash flows, estimated distribution rates, estimated capital expenditures for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April 2016.</w:t>
      </w:r>
    </w:p>
    <w:p>
      <w:pPr>
        <w:spacing w:after="0" w:line="186" w:lineRule="exact"/>
        <w:rPr>
          <w:rFonts w:ascii="Arial" w:cs="Arial" w:eastAsia="Arial" w:hAnsi="Arial"/>
          <w:sz w:val="18"/>
          <w:szCs w:val="18"/>
          <w:color w:val="auto"/>
        </w:rPr>
      </w:pPr>
    </w:p>
    <w:p>
      <w:pPr>
        <w:ind w:left="332" w:right="200"/>
        <w:spacing w:after="0" w:line="342" w:lineRule="auto"/>
        <w:rPr>
          <w:rFonts w:ascii="Arial" w:cs="Arial" w:eastAsia="Arial" w:hAnsi="Arial"/>
          <w:sz w:val="18"/>
          <w:szCs w:val="18"/>
          <w:color w:val="auto"/>
        </w:rPr>
      </w:pPr>
      <w:r>
        <w:rPr>
          <w:rFonts w:ascii="Arial" w:cs="Arial" w:eastAsia="Arial" w:hAnsi="Arial"/>
          <w:sz w:val="16"/>
          <w:szCs w:val="16"/>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23" w:lineRule="exact"/>
        <w:rPr>
          <w:rFonts w:ascii="Arial" w:cs="Arial" w:eastAsia="Arial" w:hAnsi="Arial"/>
          <w:sz w:val="18"/>
          <w:szCs w:val="18"/>
          <w:color w:val="auto"/>
        </w:rPr>
      </w:pPr>
    </w:p>
    <w:p>
      <w:pPr>
        <w:ind w:left="332" w:right="40" w:hanging="314"/>
        <w:spacing w:after="0" w:line="279" w:lineRule="auto"/>
        <w:tabs>
          <w:tab w:leader="none" w:pos="336"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$9 million and $84 million for the three-month period ending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and twelve-month period ending December 31, 2016, respectively, of which approximately $4 million and $74 million, respectively, is classified as a current income tax expense. For the twelve-month period ending December 31, 2016 we expect to have a deferred tax expense of $10 million. All or part of the annual income tax expense of $84 million may result in a tax credit to our equity holders.</w:t>
      </w:r>
    </w:p>
    <w:p>
      <w:pPr>
        <w:spacing w:after="0" w:line="171" w:lineRule="exact"/>
        <w:rPr>
          <w:sz w:val="20"/>
          <w:szCs w:val="20"/>
          <w:color w:val="auto"/>
        </w:rPr>
      </w:pPr>
    </w:p>
    <w:p>
      <w:pPr>
        <w:ind w:left="332" w:right="240" w:hanging="332"/>
        <w:spacing w:after="0" w:line="264" w:lineRule="auto"/>
        <w:tabs>
          <w:tab w:leader="none" w:pos="33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Equity-Indexed Compensation Plans. </w:t>
      </w:r>
      <w:r>
        <w:rPr>
          <w:rFonts w:ascii="Arial" w:cs="Arial" w:eastAsia="Arial" w:hAnsi="Arial"/>
          <w:sz w:val="18"/>
          <w:szCs w:val="18"/>
          <w:color w:val="auto"/>
        </w:rPr>
        <w:t>The majority of grants outstanding under our various equity-indexed compensation plans contain vesting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based on a combination of performance benchmarks and service periods. The grants will vest in various percentages, typically on the later to occur of specified vesting dates and the dates on which minimum distribution levels are reached.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32" w:right="280"/>
        <w:spacing w:after="0" w:line="264" w:lineRule="auto"/>
        <w:rPr>
          <w:sz w:val="20"/>
          <w:szCs w:val="20"/>
          <w:color w:val="auto"/>
        </w:rPr>
      </w:pPr>
      <w:r>
        <w:rPr>
          <w:rFonts w:ascii="Arial" w:cs="Arial" w:eastAsia="Arial" w:hAnsi="Arial"/>
          <w:sz w:val="18"/>
          <w:szCs w:val="18"/>
          <w:color w:val="auto"/>
        </w:rPr>
        <w:t>Guidance assumes a market price of $21 per unit as well as an accrual associated with awards that will vest on a certain date. A $2 change in the unit price would change the second-quarter and full year equity-indexed compensation expense by approximately $4 million. Therefore, actual net income could differ from our projections.</w:t>
      </w:r>
    </w:p>
    <w:p>
      <w:pPr>
        <w:spacing w:after="0" w:line="181" w:lineRule="exact"/>
        <w:rPr>
          <w:sz w:val="20"/>
          <w:szCs w:val="20"/>
          <w:color w:val="auto"/>
        </w:rPr>
      </w:pPr>
    </w:p>
    <w:p>
      <w:pPr>
        <w:ind w:left="332" w:right="220" w:hanging="332"/>
        <w:spacing w:after="0" w:line="277" w:lineRule="auto"/>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and Adjusted EBITDA. </w:t>
      </w:r>
      <w:r>
        <w:rPr>
          <w:rFonts w:ascii="Arial" w:cs="Arial" w:eastAsia="Arial" w:hAnsi="Arial"/>
          <w:sz w:val="18"/>
          <w:szCs w:val="18"/>
          <w:color w:val="auto"/>
        </w:rPr>
        <w:t>The following table reconciles net income to EBITDA and Adjusted EBITDA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periods.</w:t>
      </w:r>
    </w:p>
    <w:p>
      <w:pPr>
        <w:sectPr>
          <w:pgSz w:w="11900" w:h="16838" w:orient="portrait"/>
          <w:cols w:equalWidth="0" w:num="1">
            <w:col w:w="11392"/>
          </w:cols>
          <w:pgMar w:left="248" w:top="91" w:right="259" w:bottom="0" w:gutter="0" w:footer="0" w:header="0"/>
        </w:sectPr>
      </w:pPr>
    </w:p>
    <w:p>
      <w:pPr>
        <w:spacing w:after="0" w:line="162" w:lineRule="exact"/>
        <w:rPr>
          <w:sz w:val="20"/>
          <w:szCs w:val="20"/>
          <w:color w:val="auto"/>
        </w:rPr>
      </w:pPr>
    </w:p>
    <w:p>
      <w:pPr>
        <w:ind w:left="3692"/>
        <w:spacing w:after="0"/>
        <w:tabs>
          <w:tab w:leader="none" w:pos="7692" w:val="left"/>
        </w:tabs>
        <w:rPr>
          <w:sz w:val="20"/>
          <w:szCs w:val="20"/>
          <w:color w:val="auto"/>
        </w:rPr>
      </w:pPr>
      <w:r>
        <w:rPr>
          <w:rFonts w:ascii="Arial" w:cs="Arial" w:eastAsia="Arial" w:hAnsi="Arial"/>
          <w:sz w:val="13"/>
          <w:szCs w:val="13"/>
          <w:b w:val="1"/>
          <w:bCs w:val="1"/>
          <w:color w:val="auto"/>
        </w:rPr>
        <w:t>Actual</w:t>
      </w:r>
      <w:r>
        <w:rPr>
          <w:sz w:val="20"/>
          <w:szCs w:val="20"/>
          <w:color w:val="auto"/>
        </w:rPr>
        <w:tab/>
      </w:r>
      <w:r>
        <w:rPr>
          <w:rFonts w:ascii="Arial" w:cs="Arial" w:eastAsia="Arial" w:hAnsi="Arial"/>
          <w:sz w:val="13"/>
          <w:szCs w:val="13"/>
          <w:b w:val="1"/>
          <w:bCs w:val="1"/>
          <w:color w:val="auto"/>
        </w:rPr>
        <w:t>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13970</wp:posOffset>
            </wp:positionV>
            <wp:extent cx="50685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ectPr>
          <w:pgSz w:w="11900" w:h="16838" w:orient="portrait"/>
          <w:cols w:equalWidth="0" w:num="1">
            <w:col w:w="11392"/>
          </w:cols>
          <w:pgMar w:left="248" w:top="91" w:right="259" w:bottom="0" w:gutter="0" w:footer="0" w:header="0"/>
          <w:type w:val="continuous"/>
        </w:sectPr>
      </w:pPr>
    </w:p>
    <w:bookmarkStart w:id="5" w:name="page6"/>
    <w:bookmarkEnd w:id="5"/>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3 Months</w:t>
            </w:r>
          </w:p>
        </w:tc>
        <w:tc>
          <w:tcPr>
            <w:tcW w:w="220" w:type="dxa"/>
            <w:vAlign w:val="bottom"/>
          </w:tcPr>
          <w:p>
            <w:pPr>
              <w:spacing w:after="0"/>
              <w:rPr>
                <w:sz w:val="14"/>
                <w:szCs w:val="14"/>
                <w:color w:val="auto"/>
              </w:rPr>
            </w:pPr>
          </w:p>
        </w:tc>
        <w:tc>
          <w:tcPr>
            <w:tcW w:w="15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3 Months Ending</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6 Months Ending</w:t>
            </w:r>
          </w:p>
        </w:tc>
        <w:tc>
          <w:tcPr>
            <w:tcW w:w="200" w:type="dxa"/>
            <w:vAlign w:val="bottom"/>
          </w:tcPr>
          <w:p>
            <w:pPr>
              <w:spacing w:after="0"/>
              <w:rPr>
                <w:sz w:val="14"/>
                <w:szCs w:val="14"/>
                <w:color w:val="auto"/>
              </w:rPr>
            </w:pPr>
          </w:p>
        </w:tc>
        <w:tc>
          <w:tcPr>
            <w:tcW w:w="1940" w:type="dxa"/>
            <w:vAlign w:val="bottom"/>
            <w:gridSpan w:val="6"/>
          </w:tcPr>
          <w:p>
            <w:pPr>
              <w:ind w:left="260"/>
              <w:spacing w:after="0"/>
              <w:rPr>
                <w:sz w:val="20"/>
                <w:szCs w:val="20"/>
                <w:color w:val="auto"/>
              </w:rPr>
            </w:pPr>
            <w:r>
              <w:rPr>
                <w:rFonts w:ascii="Arial" w:cs="Arial" w:eastAsia="Arial" w:hAnsi="Arial"/>
                <w:sz w:val="14"/>
                <w:szCs w:val="14"/>
                <w:b w:val="1"/>
                <w:bCs w:val="1"/>
                <w:color w:val="auto"/>
              </w:rPr>
              <w:t>12 Months Ending</w:t>
            </w: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Jun 30, 2016</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0"/>
              </w:rPr>
              <w:t>Dec 31, 2016</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 31, 2016</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Mar 31, 2016</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Low</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89"/>
              </w:rPr>
              <w:t>High</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to EBITDA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760" w:type="dxa"/>
            <w:vAlign w:val="bottom"/>
            <w:gridSpan w:val="2"/>
          </w:tcPr>
          <w:p>
            <w:pPr>
              <w:jc w:val="right"/>
              <w:ind w:right="456"/>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r>
      <w:tr>
        <w:trPr>
          <w:trHeight w:val="25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460</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4"/>
              </w:rPr>
              <w:t>1,041</w:t>
            </w: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tcPr>
          <w:p>
            <w:pPr>
              <w:spacing w:after="0"/>
              <w:rPr>
                <w:sz w:val="21"/>
                <w:szCs w:val="21"/>
                <w:color w:val="auto"/>
              </w:rPr>
            </w:pPr>
          </w:p>
        </w:tc>
      </w:tr>
      <w:tr>
        <w:trPr>
          <w:trHeight w:val="197"/>
        </w:trPr>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Selected items impacting comparability</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of EBITDA</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4"/>
              </w:rPr>
              <w:t>1,064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Implied DCF.</w:t>
      </w:r>
      <w:r>
        <w:rPr>
          <w:rFonts w:ascii="Arial" w:cs="Arial" w:eastAsia="Arial" w:hAnsi="Arial"/>
          <w:sz w:val="18"/>
          <w:szCs w:val="18"/>
          <w:color w:val="auto"/>
        </w:rPr>
        <w:t xml:space="preserve"> The following table reconciles adjusted EBITDA to implied DCF for the indicated periods.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Mid-Point Guidance</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3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Six Months</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rPr>
              <w:t>Twelve Months</w:t>
            </w:r>
          </w:p>
        </w:tc>
        <w:tc>
          <w:tcPr>
            <w:tcW w:w="100" w:type="dxa"/>
            <w:vAlign w:val="bottom"/>
            <w:gridSpan w:val="2"/>
          </w:tcPr>
          <w:p>
            <w:pPr>
              <w:spacing w:after="0"/>
              <w:rPr>
                <w:sz w:val="10"/>
                <w:szCs w:val="10"/>
                <w:color w:val="auto"/>
              </w:rPr>
            </w:pPr>
          </w:p>
        </w:tc>
      </w:tr>
      <w:tr>
        <w:trPr>
          <w:trHeight w:val="149"/>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Ending</w:t>
            </w:r>
          </w:p>
        </w:tc>
        <w:tc>
          <w:tcPr>
            <w:tcW w:w="16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 31, 2016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Jun 30, 2016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Dec 31, 2016</w:t>
            </w:r>
          </w:p>
        </w:tc>
        <w:tc>
          <w:tcPr>
            <w:tcW w:w="16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Dec 31, 2016</w:t>
            </w:r>
          </w:p>
        </w:tc>
      </w:tr>
      <w:tr>
        <w:trPr>
          <w:trHeight w:val="142"/>
        </w:trPr>
        <w:tc>
          <w:tcPr>
            <w:tcW w:w="3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(429)</w:t>
            </w: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Implied DCF</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60" w:right="160" w:hanging="4680"/>
        <w:spacing w:after="0" w:line="461" w:lineRule="auto"/>
        <w:tabs>
          <w:tab w:leader="none" w:pos="1283"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Excludes certain non-cash items impacting interest expense such as amortization of debt issuance costs and terminated interest rate swaps.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jc w:val="both"/>
        <w:ind w:left="340" w:right="120" w:hanging="332"/>
        <w:spacing w:after="0" w:line="286" w:lineRule="auto"/>
        <w:tabs>
          <w:tab w:leader="none" w:pos="3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40" w:right="340" w:hanging="332"/>
        <w:spacing w:after="0" w:line="308" w:lineRule="auto"/>
        <w:tabs>
          <w:tab w:leader="none" w:pos="3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40" w:right="700" w:hanging="332"/>
        <w:spacing w:after="0" w:line="277" w:lineRule="auto"/>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ectPr>
          <w:pgSz w:w="11900" w:h="16860" w:orient="portrait"/>
          <w:cols w:equalWidth="0" w:num="1">
            <w:col w:w="11420"/>
          </w:cols>
          <w:pgMar w:left="240" w:top="104" w:right="239" w:bottom="0" w:gutter="0" w:footer="0" w:header="0"/>
        </w:sectPr>
      </w:pPr>
    </w:p>
    <w:bookmarkStart w:id="6" w:name="page7"/>
    <w:bookmarkEnd w:id="6"/>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760" w:hanging="332"/>
        <w:spacing w:after="0" w:line="277" w:lineRule="auto"/>
        <w:tabs>
          <w:tab w:leader="none" w:pos="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560" w:hanging="332"/>
        <w:spacing w:after="0" w:line="277" w:lineRule="auto"/>
        <w:tabs>
          <w:tab w:leader="none" w:pos="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3"/>
          </w:tcPr>
          <w:p>
            <w:pPr>
              <w:ind w:left="22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3"/>
          </w:tcPr>
          <w:p>
            <w:pPr>
              <w:ind w:left="2220"/>
              <w:spacing w:after="0"/>
              <w:rPr>
                <w:sz w:val="20"/>
                <w:szCs w:val="20"/>
                <w:color w:val="auto"/>
              </w:rPr>
            </w:pPr>
            <w:r>
              <w:rPr>
                <w:rFonts w:ascii="Arial" w:cs="Arial" w:eastAsia="Arial" w:hAnsi="Arial"/>
                <w:sz w:val="18"/>
                <w:szCs w:val="18"/>
                <w:color w:val="auto"/>
              </w:rPr>
              <w:t>By:   PAA GP LLC, its general partner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7920" w:type="dxa"/>
            <w:vAlign w:val="bottom"/>
            <w:gridSpan w:val="3"/>
          </w:tcPr>
          <w:p>
            <w:pPr>
              <w:ind w:left="2220"/>
              <w:spacing w:after="0"/>
              <w:rPr>
                <w:sz w:val="20"/>
                <w:szCs w:val="20"/>
                <w:color w:val="auto"/>
              </w:rPr>
            </w:pPr>
            <w:r>
              <w:rPr>
                <w:rFonts w:ascii="Arial" w:cs="Arial" w:eastAsia="Arial" w:hAnsi="Arial"/>
                <w:sz w:val="18"/>
                <w:szCs w:val="18"/>
                <w:color w:val="auto"/>
              </w:rPr>
              <w:t>By:   PLAINS AAP, L. P., its sole member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7920" w:type="dxa"/>
            <w:vAlign w:val="bottom"/>
            <w:gridSpan w:val="3"/>
          </w:tcPr>
          <w:p>
            <w:pPr>
              <w:ind w:left="2220"/>
              <w:spacing w:after="0"/>
              <w:rPr>
                <w:sz w:val="20"/>
                <w:szCs w:val="20"/>
                <w:color w:val="auto"/>
              </w:rPr>
            </w:pPr>
            <w:r>
              <w:rPr>
                <w:rFonts w:ascii="Arial" w:cs="Arial" w:eastAsia="Arial" w:hAnsi="Arial"/>
                <w:sz w:val="18"/>
                <w:szCs w:val="18"/>
                <w:color w:val="auto"/>
              </w:rPr>
              <w:t>By:   PLAINS ALL AMERICAN GP LLC, its general partner</w:t>
            </w:r>
          </w:p>
        </w:tc>
        <w:tc>
          <w:tcPr>
            <w:tcW w:w="4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4, 2016</w:t>
            </w:r>
          </w:p>
        </w:tc>
        <w:tc>
          <w:tcPr>
            <w:tcW w:w="7920" w:type="dxa"/>
            <w:vAlign w:val="bottom"/>
            <w:gridSpan w:val="3"/>
          </w:tcPr>
          <w:p>
            <w:pPr>
              <w:ind w:left="2220"/>
              <w:spacing w:after="0"/>
              <w:rPr>
                <w:sz w:val="20"/>
                <w:szCs w:val="20"/>
                <w:color w:val="auto"/>
              </w:rPr>
            </w:pPr>
            <w:r>
              <w:rPr>
                <w:rFonts w:ascii="Arial" w:cs="Arial" w:eastAsia="Arial" w:hAnsi="Arial"/>
                <w:sz w:val="18"/>
                <w:szCs w:val="18"/>
                <w:color w:val="auto"/>
              </w:rPr>
              <w:t>By:   /s/ Sharon Spurlin</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Sharon Spurlin</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797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74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2016 Results</w:t>
      </w:r>
    </w:p>
    <w:p>
      <w:pPr>
        <w:spacing w:after="0" w:line="229" w:lineRule="exact"/>
        <w:rPr>
          <w:sz w:val="20"/>
          <w:szCs w:val="20"/>
          <w:color w:val="auto"/>
        </w:rPr>
      </w:pPr>
    </w:p>
    <w:p>
      <w:pPr>
        <w:ind w:right="280" w:firstLine="689"/>
        <w:spacing w:after="0" w:line="277" w:lineRule="auto"/>
        <w:rPr>
          <w:sz w:val="20"/>
          <w:szCs w:val="20"/>
          <w:color w:val="auto"/>
        </w:rPr>
      </w:pPr>
      <w:r>
        <w:rPr>
          <w:rFonts w:ascii="Arial" w:cs="Arial" w:eastAsia="Arial" w:hAnsi="Arial"/>
          <w:sz w:val="18"/>
          <w:szCs w:val="18"/>
          <w:color w:val="auto"/>
        </w:rPr>
        <w:t>(Houston — May 4, 2016) Plains All American Pipeline, L.P. (NYSE: PAA) and Plains GP Holdings (NYSE: PAGP) today reported first-quarter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(29)%</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gridSpan w:val="3"/>
          </w:tcPr>
          <w:p>
            <w:pPr>
              <w:jc w:val="center"/>
              <w:ind w:right="306"/>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306"/>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20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0.700</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0.685</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120" w:firstLine="689"/>
        <w:spacing w:after="0" w:line="259" w:lineRule="auto"/>
        <w:rPr>
          <w:sz w:val="20"/>
          <w:szCs w:val="20"/>
          <w:color w:val="auto"/>
        </w:rPr>
      </w:pPr>
      <w:r>
        <w:rPr>
          <w:rFonts w:ascii="Arial" w:cs="Arial" w:eastAsia="Arial" w:hAnsi="Arial"/>
          <w:sz w:val="18"/>
          <w:szCs w:val="18"/>
          <w:color w:val="auto"/>
        </w:rPr>
        <w:t>“PAA reported first-quarter adjusted EBITDA of $621 million, which was approximately $51 million or 9% above the midpoint of our first-quarter guidance,” said Greg Armstrong, Chairman and CEO of Plains All American. “PAA’s results reflect a combination of performance above expectations, the inclusion of deficiency amounts for ship or pay obligations that have been billed or collected, and some timing related items expected to reverse later in the year.”</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Armstrong added, “We are cautious over the near term as recent drilling and completion activity is meaningfully below levels of just a few months ago and what we anticipated in our initial 2016 guidance. These lower activity levels are starting to impact U.S. oil production and, accordingly, we are revising our full-year 2016 midpoint guidance for adjusted EBITDA downward by approximately 4% to $2.175 billion.</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Importantly, PAA ended the first quarter of 2016 with $3.8 billion of committed liquidity and an improved balance sheet as a result of the $1.6 billion preferred equity offering completed in January. We believe PAA is well positioned to manage through near-term challenges and to prosper over the intermediate to long term as the industry recovers.”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first quarter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900" w:orient="portrait"/>
          <w:cols w:equalWidth="0" w:num="1">
            <w:col w:w="11420"/>
          </w:cols>
          <w:pgMar w:left="240" w:top="121" w:right="239" w:bottom="0" w:gutter="0" w:footer="0" w:header="0"/>
        </w:sectPr>
      </w:pPr>
    </w:p>
    <w:p>
      <w:pPr>
        <w:spacing w:after="0" w:line="188" w:lineRule="exact"/>
        <w:rPr>
          <w:sz w:val="20"/>
          <w:szCs w:val="20"/>
          <w:color w:val="auto"/>
        </w:rPr>
      </w:pPr>
    </w:p>
    <w:tbl>
      <w:tblPr>
        <w:tblLayout w:type="fixed"/>
        <w:tblInd w:w="3380" w:type="dxa"/>
        <w:tblCellMar>
          <w:top w:w="0" w:type="dxa"/>
          <w:left w:w="0" w:type="dxa"/>
          <w:bottom w:w="0" w:type="dxa"/>
          <w:right w:w="0" w:type="dxa"/>
        </w:tblCellMar>
      </w:tblPr>
      <w:tr>
        <w:trPr>
          <w:trHeight w:val="161"/>
        </w:trPr>
        <w:tc>
          <w:tcPr>
            <w:tcW w:w="4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6"/>
              </w:rPr>
              <w:t>March 31, 2016</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2015</w:t>
            </w:r>
          </w:p>
        </w:tc>
      </w:tr>
      <w:tr>
        <w:trPr>
          <w:trHeight w:val="91"/>
        </w:trPr>
        <w:tc>
          <w:tcPr>
            <w:tcW w:w="3760" w:type="dxa"/>
            <w:vAlign w:val="bottom"/>
            <w:tcBorders>
              <w:top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660" w:type="dxa"/>
            <w:vAlign w:val="bottom"/>
            <w:tcBorders>
              <w:top w:val="single" w:sz="8" w:color="auto"/>
            </w:tcBorders>
          </w:tcPr>
          <w:p>
            <w:pPr>
              <w:spacing w:after="0"/>
              <w:rPr>
                <w:sz w:val="7"/>
                <w:szCs w:val="7"/>
                <w:color w:val="auto"/>
              </w:rPr>
            </w:pPr>
          </w:p>
        </w:tc>
      </w:tr>
    </w:tbl>
    <w:p>
      <w:pPr>
        <w:sectPr>
          <w:pgSz w:w="11900" w:h="16900" w:orient="portrait"/>
          <w:cols w:equalWidth="0" w:num="1">
            <w:col w:w="11420"/>
          </w:cols>
          <w:pgMar w:left="240" w:top="121" w:right="2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Transportation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5"/>
              </w:rPr>
              <w:t>Supply and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Transportation</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184</w:t>
            </w:r>
          </w:p>
        </w:tc>
        <w:tc>
          <w:tcPr>
            <w:tcW w:w="3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i w:val="1"/>
                <w:i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w w:val="97"/>
              </w:rPr>
              <w:t>Percentage change in adjusted segment</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16%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3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profit versus 2015 period</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right w:val="single" w:sz="8" w:color="auto"/>
            </w:tcBorders>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38"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First-quarter 2016 Transportation adjusted segment profit increased 9% over comparable 2015 results. This increase was primarily driven by higher crude oil pipeline volumes associated with our Cactus pipeline, which was placed into service in April 2015, and the expansion of our pipeline system in the Delaware Basin. Such increases were partially offset by lower pipeline loss allowance revenues.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First-quarter 2016 Facilities adjusted segment profit increased by 16% over comparable 2015 results. This increase was primarily due to an increase in capacity and higher utilization of our crude oil storage facilities and lower operating expenses.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First-quarter 2016 Supply and Logistics adjusted segment profit decreased by 20% as compared to 2015 results. This decrease was primarily driven by lower volumes and margins associated with our U.S. crude oil lease gathering due to crude oil production declines in certain basins and the resulting increase in competitive pressures for lease gathered barrels as well as lower margins from our NGL sales activities. Such decreases were partially offset by the benefit of contango storage opportunities.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39"/>
              <w:spacing w:after="0"/>
              <w:rPr>
                <w:sz w:val="20"/>
                <w:szCs w:val="20"/>
                <w:color w:val="auto"/>
              </w:rPr>
            </w:pPr>
            <w:r>
              <w:rPr>
                <w:rFonts w:ascii="Arial" w:cs="Arial" w:eastAsia="Arial" w:hAnsi="Arial"/>
                <w:sz w:val="14"/>
                <w:szCs w:val="14"/>
                <w:b w:val="1"/>
                <w:bCs w:val="1"/>
                <w:color w:val="auto"/>
              </w:rPr>
              <w:t>Q1 2016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Q4 2015</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Q1 2015</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Q1 2016 distribution percentage growth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PAA and PAGP will hold a conference call on May 5, 2016 (see details below). Prior to this conference call, PAA will furnish a current report on Form 8-K, which will include material in this news release as well as PAA’s financial and operational guidance for the second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Thursday, May 5,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PAA’s first-quarter 2016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and operating guidance for the second quarter and full year of 2016;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522"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7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8"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4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3,348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1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 net</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Net income attributable to common unitholders — Basic</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Net income attributable to common unitholders — Diluted</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284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0" w:hanging="332"/>
        <w:spacing w:after="0" w:line="267"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86" w:lineRule="exact"/>
        <w:rPr>
          <w:sz w:val="20"/>
          <w:szCs w:val="20"/>
          <w:color w:val="auto"/>
        </w:rPr>
      </w:pPr>
    </w:p>
    <w:p>
      <w:pPr>
        <w:spacing w:after="0"/>
        <w:tabs>
          <w:tab w:leader="none" w:pos="8280" w:val="left"/>
          <w:tab w:leader="none" w:pos="9380" w:val="left"/>
          <w:tab w:leader="none" w:pos="9940" w:val="left"/>
          <w:tab w:leader="none" w:pos="11020" w:val="left"/>
        </w:tabs>
        <w:rPr>
          <w:sz w:val="20"/>
          <w:szCs w:val="20"/>
          <w:color w:val="auto"/>
        </w:rPr>
      </w:pPr>
      <w:r>
        <w:rPr>
          <w:rFonts w:ascii="Arial" w:cs="Arial" w:eastAsia="Arial" w:hAnsi="Arial"/>
          <w:sz w:val="18"/>
          <w:szCs w:val="18"/>
          <w:b w:val="1"/>
          <w:bCs w:val="1"/>
          <w:color w:val="auto"/>
        </w:rPr>
        <w:t>ADJUSTED NET INCOME ATTRIBUTABLE TO PAA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355</w:t>
        <w:tab/>
        <w:t>$</w:t>
      </w:r>
      <w:r>
        <w:rPr>
          <w:sz w:val="20"/>
          <w:szCs w:val="20"/>
          <w:color w:val="auto"/>
        </w:rPr>
        <w:tab/>
      </w:r>
      <w:r>
        <w:rPr>
          <w:rFonts w:ascii="Arial" w:cs="Arial" w:eastAsia="Arial" w:hAnsi="Arial"/>
          <w:sz w:val="16"/>
          <w:szCs w:val="16"/>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78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78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2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2,780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2,405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3,063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notes, net of unamortized discounts and debt issuance costs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12,926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9,313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partners’ capital</w:t>
            </w:r>
          </w:p>
        </w:tc>
        <w:tc>
          <w:tcPr>
            <w:tcW w:w="19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9,371</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9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22,297</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9,153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9,371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2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gridSpan w:val="2"/>
            <w:vMerge w:val="continue"/>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19,239</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w w:val="99"/>
              </w:rPr>
              <w:t>Houston, Texas 77002</w:t>
            </w:r>
          </w:p>
        </w:tc>
        <w:tc>
          <w:tcPr>
            <w:tcW w:w="290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60"/>
          </w:cols>
          <w:pgMar w:left="240" w:top="140" w:right="199" w:bottom="0" w:gutter="0" w:footer="0" w:header="0"/>
        </w:sectPr>
      </w:pPr>
    </w:p>
    <w:p>
      <w:pPr>
        <w:spacing w:after="0" w:line="190"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4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460" w:type="dxa"/>
            <w:vAlign w:val="bottom"/>
          </w:tcPr>
          <w:p>
            <w:pPr>
              <w:spacing w:after="0"/>
              <w:rPr>
                <w:sz w:val="14"/>
                <w:szCs w:val="1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2015</w:t>
            </w:r>
          </w:p>
        </w:tc>
      </w:tr>
    </w:tbl>
    <w:p>
      <w:pPr>
        <w:sectPr>
          <w:pgSz w:w="11900" w:h="16838" w:orient="portrait"/>
          <w:cols w:equalWidth="0" w:num="1">
            <w:col w:w="11460"/>
          </w:cols>
          <w:pgMar w:left="240" w:top="140" w:right="19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Transportation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Transportation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Selected items impacting comparability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43" w:lineRule="auto"/>
        <w:tabs>
          <w:tab w:leader="none" w:pos="32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80" w:type="dxa"/>
            <w:vAlign w:val="bottom"/>
            <w:gridSpan w:val="2"/>
          </w:tcPr>
          <w:p>
            <w:pPr>
              <w:spacing w:after="0"/>
              <w:rPr>
                <w:sz w:val="12"/>
                <w:szCs w:val="12"/>
                <w:color w:val="auto"/>
              </w:rPr>
            </w:pPr>
          </w:p>
        </w:tc>
        <w:tc>
          <w:tcPr>
            <w:tcW w:w="54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Volumes from tariff activities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2,045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Western</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Gulf Coast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394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4,324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16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160"/>
              <w:spacing w:after="0"/>
              <w:rPr>
                <w:sz w:val="20"/>
                <w:szCs w:val="20"/>
                <w:color w:val="auto"/>
              </w:rPr>
            </w:pPr>
            <w:r>
              <w:rPr>
                <w:rFonts w:ascii="Arial" w:cs="Arial" w:eastAsia="Arial" w:hAnsi="Arial"/>
                <w:sz w:val="18"/>
                <w:szCs w:val="18"/>
                <w:color w:val="auto"/>
              </w:rPr>
              <w:t>Trucking</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 monthly capacity in millions of</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105</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180" w:type="dxa"/>
            <w:vAlign w:val="bottom"/>
            <w:gridSpan w:val="3"/>
          </w:tcPr>
          <w:p>
            <w:pPr>
              <w:ind w:left="340"/>
              <w:spacing w:after="0"/>
              <w:rPr>
                <w:sz w:val="20"/>
                <w:szCs w:val="20"/>
                <w:color w:val="auto"/>
              </w:rPr>
            </w:pPr>
            <w:r>
              <w:rPr>
                <w:rFonts w:ascii="Arial" w:cs="Arial" w:eastAsia="Arial" w:hAnsi="Arial"/>
                <w:sz w:val="18"/>
                <w:szCs w:val="18"/>
                <w:color w:val="auto"/>
              </w:rPr>
              <w:t>barrels)</w:t>
            </w:r>
          </w:p>
        </w:tc>
        <w:tc>
          <w:tcPr>
            <w:tcW w:w="74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Rail load / unload volumes (average volumes in thousands of barrels per day)</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2"/>
            <w:vMerge w:val="restart"/>
          </w:tcPr>
          <w:p>
            <w:pPr>
              <w:ind w:left="16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NGL fractionation (average volumes in thousands of barrels per day)</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2"/>
            <w:vMerge w:val="restart"/>
          </w:tcPr>
          <w:p>
            <w:pPr>
              <w:ind w:left="160"/>
              <w:spacing w:after="0" w:line="236" w:lineRule="exact"/>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3"/>
                <w:szCs w:val="23"/>
                <w:color w:val="auto"/>
                <w:vertAlign w:val="superscript"/>
              </w:rPr>
              <w:t>(3)</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 w:right="239" w:bottom="0" w:gutter="0" w:footer="0" w:header="0"/>
        </w:sectPr>
      </w:pPr>
    </w:p>
    <w:bookmarkStart w:id="13" w:name="page14"/>
    <w:bookmarkEnd w:id="13"/>
    <w:p>
      <w:pPr>
        <w:ind w:left="320" w:hanging="312"/>
        <w:spacing w:after="0"/>
        <w:tabs>
          <w:tab w:leader="none" w:pos="32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320" w:hanging="332"/>
        <w:spacing w:after="0" w:line="267" w:lineRule="auto"/>
        <w:tabs>
          <w:tab w:leader="none" w:pos="32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COMMON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(1)</w:t>
            </w: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Net income attributable to common unitholders in accordance with application of the two-class method for</w:t>
            </w:r>
          </w:p>
        </w:tc>
        <w:tc>
          <w:tcPr>
            <w:tcW w:w="12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MLPs</w:t>
            </w:r>
          </w:p>
        </w:tc>
        <w:tc>
          <w:tcPr>
            <w:tcW w:w="12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2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2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(1)</w:t>
            </w: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Net income attributable to common unitholders in accordance with application of the two-class method for</w:t>
            </w:r>
          </w:p>
        </w:tc>
        <w:tc>
          <w:tcPr>
            <w:tcW w:w="12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MLPs</w:t>
            </w:r>
          </w:p>
        </w:tc>
        <w:tc>
          <w:tcPr>
            <w:tcW w:w="12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common unit </w:t>
            </w:r>
            <w:r>
              <w:rPr>
                <w:rFonts w:ascii="Arial" w:cs="Arial" w:eastAsia="Arial" w:hAnsi="Arial"/>
                <w:sz w:val="23"/>
                <w:szCs w:val="23"/>
                <w:color w:val="auto"/>
                <w:vertAlign w:val="superscript"/>
              </w:rPr>
              <w:t>(3)</w:t>
            </w:r>
          </w:p>
        </w:tc>
        <w:tc>
          <w:tcPr>
            <w:tcW w:w="12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38"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ind w:left="340" w:right="20" w:hanging="332"/>
        <w:spacing w:after="0" w:line="234"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The Series A preferred units were excluded from the calculation of diluted net income per common unit as the effect was antidilutive.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ectPr>
          <w:pgSz w:w="11900" w:h="16838" w:orient="portrait"/>
          <w:cols w:equalWidth="0" w:num="1">
            <w:col w:w="11420"/>
          </w:cols>
          <w:pgMar w:left="240" w:top="103"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 millions, except per unit data)</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214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gain on foreign currency revaluation</w:t>
            </w: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12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Impact to basic net income per common unit</w:t>
            </w:r>
          </w:p>
        </w:tc>
        <w:tc>
          <w:tcPr>
            <w:tcW w:w="214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Impact to diluted net income per common unit</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28"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2" w:lineRule="exact"/>
        <w:rPr>
          <w:rFonts w:ascii="Arial" w:cs="Arial" w:eastAsia="Arial" w:hAnsi="Arial"/>
          <w:sz w:val="23"/>
          <w:szCs w:val="23"/>
          <w:color w:val="auto"/>
          <w:vertAlign w:val="superscript"/>
        </w:rPr>
      </w:pPr>
    </w:p>
    <w:p>
      <w:pPr>
        <w:ind w:left="340" w:right="400" w:hanging="332"/>
        <w:spacing w:after="0" w:line="219"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amounts billed to counterparties for their deficiency obligation under agreements with minimum volume commitments, net of applicable amounts subsequently recognized into revenue.</w:t>
      </w:r>
    </w:p>
    <w:p>
      <w:pPr>
        <w:spacing w:after="0" w:line="1" w:lineRule="exact"/>
        <w:rPr>
          <w:rFonts w:ascii="Arial" w:cs="Arial" w:eastAsia="Arial" w:hAnsi="Arial"/>
          <w:sz w:val="23"/>
          <w:szCs w:val="23"/>
          <w:color w:val="auto"/>
          <w:vertAlign w:val="superscript"/>
        </w:rPr>
      </w:pPr>
    </w:p>
    <w:p>
      <w:pPr>
        <w:ind w:left="340" w:right="20" w:hanging="332"/>
        <w:spacing w:after="0" w:line="237"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w:t>
      </w:r>
    </w:p>
    <w:p>
      <w:pPr>
        <w:spacing w:after="0" w:line="1" w:lineRule="exact"/>
        <w:rPr>
          <w:rFonts w:ascii="Arial" w:cs="Arial" w:eastAsia="Arial" w:hAnsi="Arial"/>
          <w:sz w:val="23"/>
          <w:szCs w:val="23"/>
          <w:color w:val="auto"/>
          <w:vertAlign w:val="superscript"/>
        </w:rPr>
      </w:pPr>
    </w:p>
    <w:p>
      <w:pPr>
        <w:ind w:left="340" w:right="700" w:hanging="332"/>
        <w:spacing w:after="0" w:line="248" w:lineRule="auto"/>
        <w:tabs>
          <w:tab w:leader="none" w:pos="32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 PER COMMON UNIT </w:t>
      </w: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3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4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(2)</w:t>
            </w:r>
          </w:p>
        </w:tc>
        <w:tc>
          <w:tcPr>
            <w:tcW w:w="4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Adjusted net income attributable to common unitholders in accordance with application of the two-class</w:t>
            </w:r>
          </w:p>
        </w:tc>
        <w:tc>
          <w:tcPr>
            <w:tcW w:w="13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 for MLPs</w:t>
            </w:r>
          </w:p>
        </w:tc>
        <w:tc>
          <w:tcPr>
            <w:tcW w:w="13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13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3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4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Series A preferred units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8"/>
                <w:szCs w:val="18"/>
                <w:color w:val="auto"/>
              </w:rPr>
              <w:t xml:space="preserve">Less: Undistributed loss allocated to general partner </w:t>
            </w:r>
            <w:r>
              <w:rPr>
                <w:rFonts w:ascii="Arial" w:cs="Arial" w:eastAsia="Arial" w:hAnsi="Arial"/>
                <w:sz w:val="23"/>
                <w:szCs w:val="23"/>
                <w:color w:val="auto"/>
                <w:vertAlign w:val="superscript"/>
              </w:rPr>
              <w:t>(2)</w:t>
            </w:r>
          </w:p>
        </w:tc>
        <w:tc>
          <w:tcPr>
            <w:tcW w:w="4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Adjusted net income attributable to common unitholders in accordance with application of the two-class</w:t>
            </w:r>
          </w:p>
        </w:tc>
        <w:tc>
          <w:tcPr>
            <w:tcW w:w="1340" w:type="dxa"/>
            <w:vAlign w:val="bottom"/>
            <w:gridSpan w:val="2"/>
            <w:vMerge w:val="restart"/>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 for MLPs</w:t>
            </w:r>
          </w:p>
        </w:tc>
        <w:tc>
          <w:tcPr>
            <w:tcW w:w="134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tabs>
          <w:tab w:leader="none" w:pos="8280" w:val="left"/>
          <w:tab w:leader="none" w:pos="9340" w:val="left"/>
          <w:tab w:leader="none" w:pos="9940" w:val="left"/>
          <w:tab w:leader="none" w:pos="10980" w:val="left"/>
        </w:tabs>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0.45</w:t>
        <w:tab/>
        <w:t>$</w:t>
      </w:r>
      <w:r>
        <w:rPr>
          <w:sz w:val="20"/>
          <w:szCs w:val="20"/>
          <w:color w:val="auto"/>
        </w:rPr>
        <w:tab/>
      </w:r>
      <w:r>
        <w:rPr>
          <w:rFonts w:ascii="Arial" w:cs="Arial" w:eastAsia="Arial" w:hAnsi="Arial"/>
          <w:sz w:val="16"/>
          <w:szCs w:val="16"/>
          <w:color w:val="auto"/>
        </w:rPr>
        <w:t>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spacing w:after="0" w:line="3"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 Series A preferred units were excluded from the calculation of diluted net income per common unit as the effect was antidilutive.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78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 (“EBITDA”) and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Excluding Selected Items Impacting Comparability (“Adjusted EBITDA”) Reconciliations</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EBITDA</w:t>
            </w:r>
          </w:p>
        </w:tc>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718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(2)</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Implied DCF</w:t>
            </w:r>
          </w:p>
        </w:tc>
        <w:tc>
          <w:tcPr>
            <w:tcW w:w="1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9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 Reconciliation</w:t>
            </w:r>
          </w:p>
        </w:tc>
        <w:tc>
          <w:tcPr>
            <w:tcW w:w="1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EBITDA</w:t>
            </w:r>
          </w:p>
        </w:tc>
        <w:tc>
          <w:tcPr>
            <w:tcW w:w="26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6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93" w:gutter="0" w:footer="0" w:header="0"/>
        </w:sectPr>
      </w:pPr>
    </w:p>
    <w:bookmarkStart w:id="16" w:name="page17"/>
    <w:bookmarkEnd w:id="16"/>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2015</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4,111</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 PER</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0" w:hanging="332"/>
        <w:spacing w:after="0" w:line="251" w:lineRule="auto"/>
        <w:tabs>
          <w:tab w:leader="none" w:pos="32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2016</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2,784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2,969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1,907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5"/>
        </w:trPr>
        <w:tc>
          <w:tcPr>
            <w:tcW w:w="4000" w:type="dxa"/>
            <w:vAlign w:val="bottom"/>
          </w:tcPr>
          <w:p>
            <w:pPr>
              <w:spacing w:after="0" w:line="205" w:lineRule="exact"/>
              <w:rPr>
                <w:sz w:val="20"/>
                <w:szCs w:val="20"/>
                <w:color w:val="auto"/>
              </w:rPr>
            </w:pPr>
            <w:r>
              <w:rPr>
                <w:rFonts w:ascii="Arial" w:cs="Arial" w:eastAsia="Arial" w:hAnsi="Arial"/>
                <w:sz w:val="18"/>
                <w:szCs w:val="18"/>
                <w:color w:val="auto"/>
              </w:rPr>
              <w:t>Long-term inventory</w:t>
            </w:r>
          </w:p>
        </w:tc>
        <w:tc>
          <w:tcPr>
            <w:tcW w:w="220" w:type="dxa"/>
            <w:vAlign w:val="bottom"/>
          </w:tcPr>
          <w:p>
            <w:pPr>
              <w:spacing w:after="0"/>
              <w:rPr>
                <w:sz w:val="17"/>
                <w:szCs w:val="17"/>
                <w:color w:val="auto"/>
              </w:rPr>
            </w:pPr>
          </w:p>
        </w:tc>
        <w:tc>
          <w:tcPr>
            <w:tcW w:w="84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ectPr>
          <w:pgSz w:w="11900" w:h="16900" w:orient="portrait"/>
          <w:cols w:equalWidth="0" w:num="1">
            <w:col w:w="11420"/>
          </w:cols>
          <w:pgMar w:left="240" w:top="584"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24,225</w:t>
            </w:r>
          </w:p>
        </w:tc>
        <w:tc>
          <w:tcPr>
            <w:tcW w:w="26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3,066</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5"/>
              </w:rPr>
              <w:t>Senior notes, net of unamortized discounts and debt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issuance costs</w:t>
            </w:r>
          </w:p>
        </w:tc>
        <w:tc>
          <w:tcPr>
            <w:tcW w:w="2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9,126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9,698</w:t>
            </w: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 debt, net of unamortized debt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8"/>
              </w:rPr>
              <w:t>Partners’ capital excluding noncontrolling interests</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8,826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8,884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24,225</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2016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Q1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4/29/16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(59%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PAGP (41%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4/29/16</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(1)</w:t>
            </w:r>
          </w:p>
        </w:tc>
        <w:tc>
          <w:tcPr>
            <w:tcW w:w="4140" w:type="dxa"/>
            <w:vAlign w:val="bottom"/>
          </w:tcPr>
          <w:p>
            <w:pPr>
              <w:ind w:left="80"/>
              <w:spacing w:after="0"/>
              <w:rPr>
                <w:sz w:val="20"/>
                <w:szCs w:val="20"/>
                <w:color w:val="auto"/>
              </w:rPr>
            </w:pPr>
            <w:r>
              <w:rPr>
                <w:rFonts w:ascii="Arial" w:cs="Arial" w:eastAsia="Arial" w:hAnsi="Arial"/>
                <w:sz w:val="18"/>
                <w:szCs w:val="18"/>
                <w:color w:val="auto"/>
              </w:rPr>
              <w:t>Amounts may not recalculate due to rounding.</w:t>
            </w:r>
          </w:p>
        </w:tc>
      </w:tr>
      <w:tr>
        <w:trPr>
          <w:trHeight w:val="230"/>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(2)</w:t>
            </w:r>
          </w:p>
        </w:tc>
        <w:tc>
          <w:tcPr>
            <w:tcW w:w="4140" w:type="dxa"/>
            <w:vAlign w:val="bottom"/>
          </w:tcPr>
          <w:p>
            <w:pPr>
              <w:ind w:left="80"/>
              <w:spacing w:after="0"/>
              <w:rPr>
                <w:sz w:val="20"/>
                <w:szCs w:val="20"/>
                <w:color w:val="auto"/>
              </w:rPr>
            </w:pPr>
            <w:r>
              <w:rPr>
                <w:rFonts w:ascii="Arial" w:cs="Arial" w:eastAsia="Arial" w:hAnsi="Arial"/>
                <w:sz w:val="18"/>
                <w:szCs w:val="18"/>
                <w:color w:val="auto"/>
                <w:w w:val="92"/>
              </w:rPr>
              <w:t>Plains AAP, L.P. (“AAP”) is the general partner of PAA.</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p>
    <w:p>
      <w:pPr>
        <w:spacing w:after="0" w:line="20" w:lineRule="exact"/>
        <w:rPr>
          <w:sz w:val="20"/>
          <w:szCs w:val="20"/>
          <w:color w:val="auto"/>
        </w:rPr>
      </w:pPr>
    </w:p>
    <w:p>
      <w:pPr>
        <w:sectPr>
          <w:pgSz w:w="11900" w:h="16838" w:orient="portrait"/>
          <w:cols w:equalWidth="0" w:num="1">
            <w:col w:w="11420"/>
          </w:cols>
          <w:pgMar w:left="240" w:top="140"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 millions, except per share data)</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Basic and Diluted Net Income per Class A Share </w:t>
            </w:r>
            <w:r>
              <w:rPr>
                <w:rFonts w:ascii="Arial" w:cs="Arial" w:eastAsia="Arial" w:hAnsi="Arial"/>
                <w:sz w:val="22"/>
                <w:szCs w:val="22"/>
                <w:b w:val="1"/>
                <w:bCs w:val="1"/>
                <w:color w:val="auto"/>
                <w:vertAlign w:val="superscript"/>
              </w:rPr>
              <w:t>(1)</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7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27" w:lineRule="auto"/>
        <w:tabs>
          <w:tab w:leader="none" w:pos="32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Assumed exchanges of AAP units and AAP Management Units were excluded from the calculation of diluted net income per Class A share as the effect was not 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20" w:type="dxa"/>
            <w:vAlign w:val="bottom"/>
          </w:tcPr>
          <w:p>
            <w:pPr>
              <w:ind w:left="1220"/>
              <w:spacing w:after="0"/>
              <w:rPr>
                <w:sz w:val="20"/>
                <w:szCs w:val="20"/>
                <w:color w:val="auto"/>
              </w:rPr>
            </w:pPr>
            <w:r>
              <w:rPr>
                <w:rFonts w:ascii="Arial" w:cs="Arial" w:eastAsia="Arial" w:hAnsi="Arial"/>
                <w:sz w:val="18"/>
                <w:szCs w:val="18"/>
                <w:color w:val="auto"/>
              </w:rPr>
              <w:t>Al Swanson</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22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820" w:type="dxa"/>
            <w:vAlign w:val="bottom"/>
            <w:gridSpan w:val="2"/>
          </w:tcPr>
          <w:p>
            <w:pPr>
              <w:ind w:left="122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22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600" w:type="dxa"/>
            <w:vAlign w:val="bottom"/>
          </w:tcPr>
          <w:p>
            <w:pPr>
              <w:jc w:val="right"/>
              <w:ind w:right="2210"/>
              <w:spacing w:after="0"/>
              <w:rPr>
                <w:sz w:val="20"/>
                <w:szCs w:val="20"/>
                <w:color w:val="auto"/>
              </w:rPr>
            </w:pPr>
            <w:r>
              <w:rPr>
                <w:rFonts w:ascii="Arial" w:cs="Arial" w:eastAsia="Arial" w:hAnsi="Arial"/>
                <w:sz w:val="18"/>
                <w:szCs w:val="18"/>
                <w:b w:val="1"/>
                <w:bCs w:val="1"/>
                <w:color w:val="auto"/>
                <w:w w:val="95"/>
              </w:rPr>
              <w:t>713-646-4100 / 866-809-1291</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1."/>
      <w:numFmt w:val="decimal"/>
      <w:start w:val="2"/>
    </w:lvl>
    <w:lvl w:ilvl="1">
      <w:lvlJc w:val="left"/>
      <w:lvlText w:val="%2."/>
      <w:numFmt w:val="lowerLetter"/>
      <w:start w:val="1"/>
    </w:lvl>
  </w:abstractNum>
  <w:abstractNum w:abstractNumId="3">
    <w:nsid w:val="3F2DBA31"/>
    <w:multiLevelType w:val="hybridMultilevel"/>
    <w:lvl w:ilvl="0">
      <w:lvlJc w:val="left"/>
      <w:lvlText w:val="%1"/>
      <w:numFmt w:val="lowerLetter"/>
      <w:start w:val="1"/>
    </w:lvl>
    <w:lvl w:ilvl="1">
      <w:lvlJc w:val="left"/>
      <w:lvlText w:val="(%2)"/>
      <w:numFmt w:val="decimal"/>
      <w:start w:val="1"/>
    </w:lvl>
  </w:abstractNum>
  <w:abstractNum w:abstractNumId="4">
    <w:nsid w:val="7C83E458"/>
    <w:multiLevelType w:val="hybridMultilevel"/>
    <w:lvl w:ilvl="0">
      <w:lvlJc w:val="left"/>
      <w:lvlText w:val="%1."/>
      <w:numFmt w:val="lowerLetter"/>
      <w:start w:val="2"/>
    </w:lvl>
    <w:lvl w:ilvl="1">
      <w:lvlJc w:val="left"/>
      <w:lvlText w:val="%2"/>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lowerLetter"/>
      <w:start w:val="3"/>
    </w:lvl>
    <w:lvl w:ilvl="1">
      <w:lvlJc w:val="left"/>
      <w:lvlText w:val="·"/>
      <w:numFmt w:val="bullet"/>
      <w:start w:val="1"/>
    </w:lvl>
  </w:abstractNum>
  <w:abstractNum w:abstractNumId="7">
    <w:nsid w:val="436C6125"/>
    <w:multiLevelType w:val="hybridMultilevel"/>
    <w:lvl w:ilvl="0">
      <w:lvlJc w:val="left"/>
      <w:lvlText w:val="%1"/>
      <w:numFmt w:val="decimal"/>
      <w:start w:val="1"/>
    </w:lvl>
    <w:lvl w:ilvl="1">
      <w:lvlJc w:val="left"/>
      <w:lvlText w:val="(%2)"/>
      <w:numFmt w:val="decimal"/>
      <w:start w:val="1"/>
    </w:lvl>
  </w:abstractNum>
  <w:abstractNum w:abstractNumId="8">
    <w:nsid w:val="628C895D"/>
    <w:multiLevelType w:val="hybridMultilevel"/>
    <w:lvl w:ilvl="0">
      <w:lvlJc w:val="left"/>
      <w:lvlText w:val="%1."/>
      <w:numFmt w:val="decimal"/>
      <w:start w:val="3"/>
    </w:lvl>
    <w:lvl w:ilvl="1">
      <w:lvlJc w:val="left"/>
      <w:lvlText w:val="%2"/>
      <w:numFmt w:val="decimal"/>
      <w:start w:val="1"/>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3"/>
    </w:lvl>
  </w:abstractNum>
  <w:abstractNum w:abstractNumId="11">
    <w:nsid w:val="2443A858"/>
    <w:multiLevelType w:val="hybridMultilevel"/>
    <w:lvl w:ilvl="0">
      <w:lvlJc w:val="left"/>
      <w:lvlText w:val="%1."/>
      <w:numFmt w:val="decimal"/>
      <w:start w:val="5"/>
    </w:lvl>
    <w:lvl w:ilvl="1">
      <w:lvlJc w:val="left"/>
      <w:lvlText w:val="%2."/>
      <w:numFmt w:val="decimal"/>
      <w:start w:val="8"/>
    </w:lvl>
    <w:lvl w:ilvl="2">
      <w:lvlJc w:val="left"/>
      <w:lvlText w:val="%3"/>
      <w:numFmt w:val="decimal"/>
      <w:start w:val="1"/>
    </w:lvl>
    <w:lvl w:ilvl="3">
      <w:lvlJc w:val="left"/>
      <w:lvlText w:val="%4"/>
      <w:numFmt w:val="lowerRoman"/>
      <w:start w:val="1"/>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2020-01-20T09:59:34Z</dcterms:created>
  <dcterms:modified xsi:type="dcterms:W3CDTF">2020-01-20T09:59:34Z</dcterms:modified>
</cp:coreProperties>
</file>