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45252d8k.htm"/>
      <w:bookmarkStart w:id="1" w:name="ksd545252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May 28,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Securities Exchange Act of 1934,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and PAA Natural Gas Storage, L.P. (PNG and, together with PAA, the Partnerships) intend to make presentations at its 2013 Analyst Meeting to be held on May 30, 2013 in New York, New York. During the meeting, the Partnerships will review their strategic positioning, expansion capital projects, financial strategies, forward outlook and related matters. On the morning of May 30, 2013, the prepared presentation materials will be made available for viewing on PAAs website at www.paalp.com as well as on PNGs website at www.pnglp.com. PAA does not undertake to update the information as posted on its website; however, it may post additional information included in future press releases and Forms 8-K, as well as posting its periodic Exchange Act reports. The Analyst Meeting presentation will also be webcast live beginning at approximately 12:30 p.m. EDT and will be available for replay for a period of 30 days thereafter at the following weblink: </w:t>
      </w:r>
      <w:r>
        <w:rPr>
          <w:rFonts w:ascii="Times New Roman" w:hAnsi="Times New Roman"/>
          <w:sz w:val="20"/>
          <w:u w:val="single"/>
        </w:rPr>
        <w:t>http://www.videonewswire.com/event.asp?id=92222</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69"/>
        <w:gridCol w:w="130"/>
        <w:gridCol w:w="264"/>
        <w:gridCol w:w="130"/>
        <w:gridCol w:w="4912"/>
      </w:tblGrid>
      <w:tr>
        <w:trPr/>
        <w:tc>
          <w:tcPr>
            <w:tcW w:w="476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4912" w:type="dxa"/>
            <w:tcBorders/>
            <w:shd w:fill="auto" w:val="clear"/>
            <w:vAlign w:val="center"/>
          </w:tcPr>
          <w:p>
            <w:pPr>
              <w:pStyle w:val="TableContents"/>
              <w:spacing w:before="0" w:after="283"/>
              <w:rPr>
                <w:sz w:val="4"/>
                <w:szCs w:val="4"/>
              </w:rPr>
            </w:pPr>
            <w:r>
              <w:rPr>
                <w:sz w:val="4"/>
                <w:szCs w:val="4"/>
              </w:rPr>
            </w:r>
          </w:p>
        </w:tc>
      </w:tr>
      <w:tr>
        <w:trPr/>
        <w:tc>
          <w:tcPr>
            <w:tcW w:w="4769"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530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769" w:type="dxa"/>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5042" w:type="dxa"/>
            <w:gridSpan w:val="2"/>
            <w:tcBorders/>
            <w:shd w:fill="auto" w:val="clear"/>
            <w:vAlign w:val="center"/>
          </w:tcPr>
          <w:p>
            <w:pPr>
              <w:pStyle w:val="TableContents"/>
              <w:spacing w:before="0" w:after="283"/>
              <w:rPr>
                <w:sz w:val="4"/>
                <w:szCs w:val="4"/>
              </w:rPr>
            </w:pPr>
            <w:r>
              <w:rPr>
                <w:sz w:val="4"/>
                <w:szCs w:val="4"/>
              </w:rPr>
            </w:r>
          </w:p>
        </w:tc>
      </w:tr>
      <w:tr>
        <w:trPr/>
        <w:tc>
          <w:tcPr>
            <w:tcW w:w="4769"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28, 2013</w:t>
            </w:r>
          </w:p>
        </w:tc>
        <w:tc>
          <w:tcPr>
            <w:tcW w:w="1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30" w:type="dxa"/>
            <w:tcBorders/>
            <w:shd w:fill="auto" w:val="clear"/>
            <w:vAlign w:val="bottom"/>
          </w:tcPr>
          <w:p>
            <w:pPr>
              <w:pStyle w:val="TableContents"/>
              <w:spacing w:before="0" w:after="283"/>
              <w:rPr/>
            </w:pPr>
            <w:r>
              <w:rPr/>
              <w:t> </w:t>
            </w:r>
          </w:p>
        </w:tc>
        <w:tc>
          <w:tcPr>
            <w:tcW w:w="49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769" w:type="dxa"/>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5042" w:type="dxa"/>
            <w:gridSpan w:val="2"/>
            <w:tcBorders/>
            <w:shd w:fill="auto" w:val="clear"/>
            <w:vAlign w:val="center"/>
          </w:tcPr>
          <w:p>
            <w:pPr>
              <w:pStyle w:val="TableContents"/>
              <w:spacing w:before="0" w:after="283"/>
              <w:rPr>
                <w:sz w:val="4"/>
                <w:szCs w:val="4"/>
              </w:rPr>
            </w:pPr>
            <w:r>
              <w:rPr>
                <w:sz w:val="4"/>
                <w:szCs w:val="4"/>
              </w:rPr>
            </w:r>
          </w:p>
        </w:tc>
      </w:tr>
      <w:tr>
        <w:trPr/>
        <w:tc>
          <w:tcPr>
            <w:tcW w:w="4769"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30" w:type="dxa"/>
            <w:tcBorders/>
            <w:shd w:fill="auto" w:val="clear"/>
            <w:vAlign w:val="bottom"/>
          </w:tcPr>
          <w:p>
            <w:pPr>
              <w:pStyle w:val="TableContents"/>
              <w:spacing w:before="0" w:after="283"/>
              <w:rPr/>
            </w:pPr>
            <w:r>
              <w:rPr/>
              <w:t> </w:t>
            </w:r>
          </w:p>
        </w:tc>
        <w:tc>
          <w:tcPr>
            <w:tcW w:w="49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769" w:type="dxa"/>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5042" w:type="dxa"/>
            <w:gridSpan w:val="2"/>
            <w:tcBorders/>
            <w:shd w:fill="auto" w:val="clear"/>
            <w:vAlign w:val="center"/>
          </w:tcPr>
          <w:p>
            <w:pPr>
              <w:pStyle w:val="TableContents"/>
              <w:spacing w:before="0" w:after="283"/>
              <w:rPr>
                <w:sz w:val="4"/>
                <w:szCs w:val="4"/>
              </w:rPr>
            </w:pPr>
            <w:r>
              <w:rPr>
                <w:sz w:val="4"/>
                <w:szCs w:val="4"/>
              </w:rPr>
            </w:r>
          </w:p>
        </w:tc>
      </w:tr>
      <w:tr>
        <w:trPr/>
        <w:tc>
          <w:tcPr>
            <w:tcW w:w="4769"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30" w:type="dxa"/>
            <w:tcBorders/>
            <w:shd w:fill="auto" w:val="clear"/>
            <w:vAlign w:val="bottom"/>
          </w:tcPr>
          <w:p>
            <w:pPr>
              <w:pStyle w:val="TableContents"/>
              <w:spacing w:before="0" w:after="283"/>
              <w:rPr/>
            </w:pPr>
            <w:r>
              <w:rPr/>
              <w:t> </w:t>
            </w:r>
          </w:p>
        </w:tc>
        <w:tc>
          <w:tcPr>
            <w:tcW w:w="49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769" w:type="dxa"/>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5042" w:type="dxa"/>
            <w:gridSpan w:val="2"/>
            <w:tcBorders/>
            <w:shd w:fill="auto" w:val="clear"/>
            <w:vAlign w:val="center"/>
          </w:tcPr>
          <w:p>
            <w:pPr>
              <w:pStyle w:val="TableContents"/>
              <w:spacing w:before="0" w:after="283"/>
              <w:rPr>
                <w:sz w:val="4"/>
                <w:szCs w:val="4"/>
              </w:rPr>
            </w:pPr>
            <w:r>
              <w:rPr>
                <w:sz w:val="4"/>
                <w:szCs w:val="4"/>
              </w:rPr>
            </w:r>
          </w:p>
        </w:tc>
      </w:tr>
      <w:tr>
        <w:trPr/>
        <w:tc>
          <w:tcPr>
            <w:tcW w:w="4769"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30" w:type="dxa"/>
            <w:tcBorders>
              <w:bottom w:val="single" w:sz="2" w:space="0" w:color="000000"/>
            </w:tcBorders>
            <w:shd w:fill="auto" w:val="clear"/>
            <w:tcMar>
              <w:bottom w:w="28" w:type="dxa"/>
            </w:tcMar>
            <w:vAlign w:val="bottom"/>
          </w:tcPr>
          <w:p>
            <w:pPr>
              <w:pStyle w:val="TableContents"/>
              <w:spacing w:before="0" w:after="283"/>
              <w:rPr/>
            </w:pPr>
            <w:r>
              <w:rPr/>
              <w:t> </w:t>
            </w:r>
          </w:p>
        </w:tc>
        <w:tc>
          <w:tcPr>
            <w:tcW w:w="4912"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769" w:type="dxa"/>
            <w:tcBorders/>
            <w:shd w:fill="auto" w:val="clea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pPr>
            <w:r>
              <w:rPr/>
              <w:t> </w:t>
            </w:r>
          </w:p>
        </w:tc>
        <w:tc>
          <w:tcPr>
            <w:tcW w:w="491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514</Words>
  <CharactersWithSpaces>3237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