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4, 2022</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09"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64770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320" w:firstLine="180"/>
        <w:spacing w:after="0" w:line="257" w:lineRule="auto"/>
        <w:rPr>
          <w:sz w:val="20"/>
          <w:szCs w:val="20"/>
          <w:color w:val="auto"/>
        </w:rPr>
      </w:pPr>
      <w:r>
        <w:rPr>
          <w:rFonts w:ascii="Arial" w:cs="Arial" w:eastAsia="Arial" w:hAnsi="Arial"/>
          <w:sz w:val="18"/>
          <w:szCs w:val="18"/>
          <w:color w:val="auto"/>
        </w:rPr>
        <w:t>On May 4, 2022, the Registrant issued a press release reporting its first-quarter 2022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280" w:type="dxa"/>
            <w:vAlign w:val="bottom"/>
            <w:gridSpan w:val="2"/>
          </w:tcPr>
          <w:p>
            <w:pPr>
              <w:ind w:left="660"/>
              <w:spacing w:after="0"/>
              <w:rPr>
                <w:sz w:val="20"/>
                <w:szCs w:val="20"/>
                <w:color w:val="auto"/>
              </w:rPr>
            </w:pPr>
            <w:r>
              <w:rPr>
                <w:rFonts w:ascii="Arial" w:cs="Arial" w:eastAsia="Arial" w:hAnsi="Arial"/>
                <w:sz w:val="16"/>
                <w:szCs w:val="16"/>
                <w:b w:val="1"/>
                <w:bCs w:val="1"/>
                <w:color w:val="auto"/>
              </w:rPr>
              <w:t>Exhibit</w:t>
            </w:r>
          </w:p>
        </w:tc>
        <w:tc>
          <w:tcPr>
            <w:tcW w:w="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2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Number</w:t>
            </w:r>
          </w:p>
        </w:tc>
        <w:tc>
          <w:tcPr>
            <w:tcW w:w="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1200" w:type="dxa"/>
            <w:vAlign w:val="bottom"/>
            <w:tcBorders>
              <w:top w:val="single" w:sz="8" w:color="auto"/>
            </w:tcBorders>
          </w:tcPr>
          <w:p>
            <w:pPr>
              <w:jc w:val="right"/>
              <w:ind w:right="36"/>
              <w:spacing w:after="0" w:line="185"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680" w:type="dxa"/>
            <w:vAlign w:val="bottom"/>
            <w:tcBorders>
              <w:top w:val="single" w:sz="8" w:color="auto"/>
            </w:tcBorders>
            <w:gridSpan w:val="2"/>
          </w:tcPr>
          <w:p>
            <w:pPr>
              <w:spacing w:after="0" w:line="185"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May 4, 2022</w:t>
              </w:r>
            </w:hyperlink>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gridSpan w:val="2"/>
          </w:tcPr>
          <w:p>
            <w:pPr>
              <w:jc w:val="right"/>
              <w:ind w:right="56"/>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7"/>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gridSpan w:val="3"/>
          </w:tcPr>
          <w:p>
            <w:pPr>
              <w:jc w:val="right"/>
              <w:ind w:right="3539"/>
              <w:spacing w:after="0"/>
              <w:rPr>
                <w:sz w:val="20"/>
                <w:szCs w:val="20"/>
                <w:color w:val="auto"/>
              </w:rPr>
            </w:pPr>
            <w:r>
              <w:rPr>
                <w:rFonts w:ascii="Arial" w:cs="Arial" w:eastAsia="Arial" w:hAnsi="Arial"/>
                <w:sz w:val="18"/>
                <w:szCs w:val="18"/>
                <w:color w:val="auto"/>
              </w:rPr>
              <w:t>2</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8260" w:type="dxa"/>
            <w:vAlign w:val="bottom"/>
            <w:gridSpan w:val="3"/>
          </w:tcPr>
          <w:p>
            <w:pPr>
              <w:ind w:left="1580"/>
              <w:spacing w:after="0"/>
              <w:rPr>
                <w:sz w:val="20"/>
                <w:szCs w:val="20"/>
                <w:color w:val="auto"/>
              </w:rPr>
            </w:pPr>
            <w:r>
              <w:rPr>
                <w:rFonts w:ascii="Arial" w:cs="Arial" w:eastAsia="Arial" w:hAnsi="Arial"/>
                <w:sz w:val="18"/>
                <w:szCs w:val="18"/>
                <w:color w:val="auto"/>
              </w:rPr>
              <w:t>PLAINS ALL AMERICAN PIPELINE, L.P.</w:t>
            </w:r>
          </w:p>
        </w:tc>
      </w:tr>
      <w:tr>
        <w:trPr>
          <w:trHeight w:val="500"/>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Arial" w:cs="Arial" w:eastAsia="Arial" w:hAnsi="Arial"/>
                <w:sz w:val="18"/>
                <w:szCs w:val="18"/>
                <w:color w:val="auto"/>
              </w:rPr>
              <w:t>By:  PAA GP LLC, its general partner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2940" w:type="dxa"/>
            <w:vAlign w:val="bottom"/>
          </w:tcPr>
          <w:p>
            <w:pPr>
              <w:spacing w:after="0"/>
              <w:rPr>
                <w:sz w:val="20"/>
                <w:szCs w:val="20"/>
                <w:color w:val="auto"/>
              </w:rPr>
            </w:pPr>
            <w:r>
              <w:rPr>
                <w:rFonts w:ascii="Arial" w:cs="Arial" w:eastAsia="Arial" w:hAnsi="Arial"/>
                <w:sz w:val="18"/>
                <w:szCs w:val="18"/>
                <w:color w:val="auto"/>
              </w:rPr>
              <w:t>Date: May 4, 2022</w:t>
            </w:r>
          </w:p>
        </w:tc>
        <w:tc>
          <w:tcPr>
            <w:tcW w:w="8260" w:type="dxa"/>
            <w:vAlign w:val="bottom"/>
            <w:gridSpan w:val="3"/>
          </w:tcPr>
          <w:p>
            <w:pPr>
              <w:ind w:left="1580"/>
              <w:spacing w:after="0"/>
              <w:rPr>
                <w:sz w:val="20"/>
                <w:szCs w:val="20"/>
                <w:color w:val="auto"/>
              </w:rPr>
            </w:pPr>
            <w:r>
              <w:rPr>
                <w:rFonts w:ascii="Arial" w:cs="Arial" w:eastAsia="Arial" w:hAnsi="Arial"/>
                <w:sz w:val="18"/>
                <w:szCs w:val="18"/>
                <w:color w:val="auto"/>
              </w:rPr>
              <w:t>By:  /s/ Sharon Spurlin</w:t>
            </w:r>
          </w:p>
        </w:tc>
      </w:tr>
      <w:tr>
        <w:trPr>
          <w:trHeight w:val="222"/>
        </w:trPr>
        <w:tc>
          <w:tcPr>
            <w:tcW w:w="29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2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445770</wp:posOffset>
            </wp:positionV>
            <wp:extent cx="4946015"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Plains All American Reports First-Quarter 2022 Results</w:t>
      </w:r>
    </w:p>
    <w:p>
      <w:pPr>
        <w:spacing w:after="0" w:line="249"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Houston, TX – May 4, 2022– Plains All American Pipeline, L.P. (Nasdaq: PAA) and Plains GP Holdings (Nasdaq: PAGP) today reported first-quarter 2022 results and provided the following updates:</w:t>
      </w:r>
    </w:p>
    <w:p>
      <w:pPr>
        <w:spacing w:after="0" w:line="23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8"/>
          <w:szCs w:val="18"/>
          <w:color w:val="auto"/>
        </w:rPr>
        <w:t>Reported first-quarter Net income attributable to PAA of $187 million and Net cash provided by operating activities of $340 million</w:t>
      </w:r>
    </w:p>
    <w:p>
      <w:pPr>
        <w:spacing w:after="0" w:line="281" w:lineRule="exact"/>
        <w:rPr>
          <w:rFonts w:ascii="Arial" w:cs="Arial" w:eastAsia="Arial" w:hAnsi="Arial"/>
          <w:sz w:val="19"/>
          <w:szCs w:val="19"/>
          <w:color w:val="auto"/>
        </w:rPr>
      </w:pPr>
    </w:p>
    <w:p>
      <w:pPr>
        <w:ind w:left="660" w:right="8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Reported strong first-quarter Adjusted EBITDA attributable to PAA of $614 million and increased full-year 2022 Adjusted EBITDA attributable to PAA guidance by $75 million to +/- $2.275 billion</w:t>
      </w:r>
    </w:p>
    <w:p>
      <w:pPr>
        <w:spacing w:after="0" w:line="24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Forecast Permian gathering volume growth of +/- 280 thousand barrels per day in 2022 (YE-21 to YE-22)</w:t>
      </w:r>
    </w:p>
    <w:p>
      <w:pPr>
        <w:spacing w:after="0" w:line="249" w:lineRule="exact"/>
        <w:rPr>
          <w:rFonts w:ascii="Arial" w:cs="Arial" w:eastAsia="Arial" w:hAnsi="Arial"/>
          <w:sz w:val="22"/>
          <w:szCs w:val="22"/>
          <w:color w:val="auto"/>
        </w:rPr>
      </w:pPr>
    </w:p>
    <w:p>
      <w:pPr>
        <w:ind w:left="660" w:right="56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Increased annualized common distribution by $0.15 to $0.87 per unit and repurchased $25 million of common units in the first quarter</w:t>
      </w:r>
    </w:p>
    <w:p>
      <w:pPr>
        <w:spacing w:after="0" w:line="223"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“Our business is off to a positive start in 2022, supported by constructive, long-term fundamentals and a strong commodity price environment,” stated Willie Chiang, Chairman and CEO of Plains. “We delivered strong first-quarter results above our previous expectations and increased our 2022 Adjusted EBITDA guidance by $75 million to $2.275 billion, with a bias to the upside. Current global events have reaffirmed the importance of energy in everyday life and the need for reliable, secure and responsibly produced energy. Our integrated business model and asset base is critical to meeting global energy demand, and we are very well positioned to generate significant multi-year Free Cash Flow and maximize unitholder returns for years to come.”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20" w:type="dxa"/>
            <w:vAlign w:val="bottom"/>
          </w:tcPr>
          <w:p>
            <w:pPr>
              <w:spacing w:after="0"/>
              <w:rPr>
                <w:sz w:val="15"/>
                <w:szCs w:val="15"/>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31"/>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120" w:type="dxa"/>
            <w:vAlign w:val="bottom"/>
            <w:tcBorders>
              <w:bottom w:val="single" w:sz="8" w:color="auto"/>
            </w:tcBorders>
          </w:tcPr>
          <w:p>
            <w:pPr>
              <w:ind w:left="20"/>
              <w:spacing w:after="0" w:line="185"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8"/>
                <w:szCs w:val="18"/>
                <w:b w:val="1"/>
                <w:bCs w:val="1"/>
                <w:i w:val="1"/>
                <w:i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98" w:lineRule="exact"/>
        <w:rPr>
          <w:sz w:val="20"/>
          <w:szCs w:val="20"/>
          <w:color w:val="auto"/>
        </w:rPr>
      </w:pPr>
    </w:p>
    <w:p>
      <w:pPr>
        <w:jc w:val="both"/>
        <w:ind w:left="340" w:right="260" w:hanging="332"/>
        <w:spacing w:after="0" w:line="269" w:lineRule="auto"/>
        <w:tabs>
          <w:tab w:leader="none" w:pos="32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8" w:lineRule="exact"/>
        <w:rPr>
          <w:rFonts w:ascii="Arial" w:cs="Arial" w:eastAsia="Arial" w:hAnsi="Arial"/>
          <w:sz w:val="21"/>
          <w:szCs w:val="21"/>
          <w:color w:val="auto"/>
          <w:vertAlign w:val="superscript"/>
        </w:rPr>
      </w:pPr>
    </w:p>
    <w:p>
      <w:pPr>
        <w:ind w:left="340" w:right="520" w:hanging="332"/>
        <w:spacing w:after="0" w:line="227"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Excludes amounts attributable to noncontrolling interests in the Plains Oryx Permian Basin LLC joint venture (the “Permian JV’) and Red River Pipeline LLC.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1"/>
                <w:szCs w:val="21"/>
                <w:b w:val="1"/>
                <w:bCs w:val="1"/>
                <w:color w:val="auto"/>
                <w:vertAlign w:val="superscript"/>
              </w:rPr>
              <w:t>(1) (2)</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Three Months Ended March 31, 2021</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474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2021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133 %</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2021 period further adjusted for impact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133 %</w:t>
            </w:r>
          </w:p>
        </w:tc>
        <w:tc>
          <w:tcPr>
            <w:tcW w:w="0" w:type="dxa"/>
            <w:vAlign w:val="bottom"/>
          </w:tcPr>
          <w:p>
            <w:pPr>
              <w:spacing w:after="0"/>
              <w:rPr>
                <w:sz w:val="1"/>
                <w:szCs w:val="1"/>
                <w:color w:val="auto"/>
              </w:rPr>
            </w:pPr>
          </w:p>
        </w:tc>
      </w:tr>
      <w:tr>
        <w:trPr>
          <w:trHeight w:val="203"/>
        </w:trPr>
        <w:tc>
          <w:tcPr>
            <w:tcW w:w="7840" w:type="dxa"/>
            <w:vAlign w:val="bottom"/>
            <w:gridSpan w:val="2"/>
          </w:tcPr>
          <w:p>
            <w:pPr>
              <w:ind w:left="180"/>
              <w:spacing w:after="0" w:line="202" w:lineRule="exact"/>
              <w:rPr>
                <w:sz w:val="20"/>
                <w:szCs w:val="20"/>
                <w:color w:val="auto"/>
              </w:rPr>
            </w:pPr>
            <w:r>
              <w:rPr>
                <w:rFonts w:ascii="Arial" w:cs="Arial" w:eastAsia="Arial" w:hAnsi="Arial"/>
                <w:sz w:val="18"/>
                <w:szCs w:val="18"/>
                <w:b w:val="1"/>
                <w:bCs w:val="1"/>
                <w:i w:val="1"/>
                <w:iCs w:val="1"/>
                <w:color w:val="auto"/>
              </w:rPr>
              <w:t xml:space="preserve">divested assets </w:t>
            </w:r>
            <w:r>
              <w:rPr>
                <w:rFonts w:ascii="Arial" w:cs="Arial" w:eastAsia="Arial" w:hAnsi="Arial"/>
                <w:sz w:val="23"/>
                <w:szCs w:val="23"/>
                <w:b w:val="1"/>
                <w:bCs w:val="1"/>
                <w:i w:val="1"/>
                <w:iCs w:val="1"/>
                <w:color w:val="auto"/>
                <w:vertAlign w:val="superscript"/>
              </w:rPr>
              <w:t>(3)</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right="20" w:hanging="332"/>
        <w:spacing w:after="0" w:line="238"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Permian JV formation in October 2021, our Chief Operating Decision Maker (“CODM”) determined this modification resulted in amounts that were more meaningful to evaluate segment performance. Amounts for prior periods have been recast to reflect this modification.</w:t>
      </w:r>
    </w:p>
    <w:p>
      <w:pPr>
        <w:spacing w:after="0" w:line="39" w:lineRule="exact"/>
        <w:rPr>
          <w:rFonts w:ascii="Arial" w:cs="Arial" w:eastAsia="Arial" w:hAnsi="Arial"/>
          <w:sz w:val="23"/>
          <w:szCs w:val="23"/>
          <w:color w:val="auto"/>
          <w:vertAlign w:val="superscript"/>
        </w:rPr>
      </w:pPr>
    </w:p>
    <w:p>
      <w:pPr>
        <w:ind w:left="340" w:right="40" w:hanging="332"/>
        <w:spacing w:after="0" w:line="244"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The change in our segments is reflective of a change in how our CODM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40" w:lineRule="exact"/>
        <w:rPr>
          <w:rFonts w:ascii="Arial" w:cs="Arial" w:eastAsia="Arial" w:hAnsi="Arial"/>
          <w:sz w:val="23"/>
          <w:szCs w:val="23"/>
          <w:color w:val="auto"/>
          <w:vertAlign w:val="superscript"/>
        </w:rPr>
      </w:pPr>
    </w:p>
    <w:p>
      <w:pPr>
        <w:ind w:left="340" w:right="400" w:hanging="332"/>
        <w:spacing w:after="0" w:line="227"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2021, assuming an effective date of January 1, 2021. Divested assets primarily included certain natural gas storage facilities previously included in our Crude Oil segment.</w:t>
      </w:r>
    </w:p>
    <w:p>
      <w:pPr>
        <w:spacing w:after="0" w:line="33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First-quarter 2022 Crude Oil Segment Adjusted EBITDA decreased 4% versus comparable 2021 results primarily due to (i) the sale of our natural gas storage facilities in August of 2021 and (ii) gains related to hedged power costs resulting from Winter Storm Uri recognized in the first quarter of 2021. These items were partially offset by increased earnings in the first quarter of 2022 from higher tariff volumes on our pipelines.</w:t>
      </w:r>
    </w:p>
    <w:p>
      <w:pPr>
        <w:spacing w:after="0" w:line="1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First-quarter 2022 NGL Segment Adjusted EBITDA increased 133% versus comparable 2021 results primarily due to the favorable impact of higher realized fractionation spreads and higher NGL sales prices, partially offset by lower NGL sales volumes.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Line 901 Update</w:t>
      </w:r>
    </w:p>
    <w:p>
      <w:pPr>
        <w:spacing w:after="0" w:line="24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Included in our results for the first quarter of 2022 is a net increase of $85 million in our estimate of aggregate total costs we have incurred or will incur with respect to the May 2015 Line 901 incident. Such net increase is included in the table attached to this release entitled “Selected Items Impacting Comparability” and is net of amounts we believe are probable of recovery from insurance. The increase in estimated costs includes, among other items, the combined impact of agreements in principle regarding the proposed settlement of two lawsuits that arose out of the Line 901 incident, a class action lawsuit pending in the United States District Court for the Central District of California (the “Class Action Lawsuit”) and a derivative lawsuit pending in the Delaware Chancery Court (the “Derivative Lawsuit”).</w:t>
      </w:r>
    </w:p>
    <w:p>
      <w:pPr>
        <w:spacing w:after="0" w:line="202" w:lineRule="exact"/>
        <w:rPr>
          <w:sz w:val="20"/>
          <w:szCs w:val="20"/>
          <w:color w:val="auto"/>
        </w:rPr>
      </w:pPr>
    </w:p>
    <w:p>
      <w:pPr>
        <w:ind w:right="160" w:firstLine="648"/>
        <w:spacing w:after="0" w:line="231" w:lineRule="auto"/>
        <w:rPr>
          <w:sz w:val="20"/>
          <w:szCs w:val="20"/>
          <w:color w:val="auto"/>
        </w:rPr>
      </w:pPr>
      <w:r>
        <w:rPr>
          <w:rFonts w:ascii="Arial" w:cs="Arial" w:eastAsia="Arial" w:hAnsi="Arial"/>
          <w:sz w:val="18"/>
          <w:szCs w:val="18"/>
          <w:color w:val="auto"/>
        </w:rPr>
        <w:t>With respect to the Class Action Lawsuit, which involves claims by (i) a class of commercial fishermen and processors and (ii) a class of beachfront and shoreline property owners, Plains has agreed to pay $230 million to fully and finally settle all of the plaintiff’s claims. We believe these claims are covered by insurance and, subject to our policy limits, we expect a significant portion of this settlement will be recoverable from our insurance carriers. The settlement is subject to negotiation of final documentation and approval of the trial court.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28" w:lineRule="exact"/>
        <w:rPr>
          <w:sz w:val="20"/>
          <w:szCs w:val="20"/>
          <w:color w:val="auto"/>
        </w:rPr>
      </w:pPr>
    </w:p>
    <w:p>
      <w:pPr>
        <w:ind w:right="20" w:firstLine="648"/>
        <w:spacing w:after="0"/>
        <w:rPr>
          <w:sz w:val="20"/>
          <w:szCs w:val="20"/>
          <w:color w:val="auto"/>
        </w:rPr>
      </w:pPr>
      <w:r>
        <w:rPr>
          <w:rFonts w:ascii="Arial" w:cs="Arial" w:eastAsia="Arial" w:hAnsi="Arial"/>
          <w:sz w:val="17"/>
          <w:szCs w:val="17"/>
          <w:color w:val="auto"/>
        </w:rPr>
        <w:t>With respect to the Derivative Lawsuit, wherein the plaintiff alleges that PAGP’s Board of Directors failed to exercise proper oversight over PAA’s pipeline integrity efforts, Plains has agreed to settle the lawsuit in exchange for (i) the payment by us of approximately $2 million of attorney’s fees to plaintiff’s counsel (which amount our director and officer insurance provider has agreed to pay) and (ii) non-monetary compensation in the form of the agreement of Plains to comply with various covenants regarding the implementation and/or continuation of certain Board oversight practices with respect to pipeline integrity. The settlement is subject to court approval and notice to all PAA unitholders, which will be effected following Chancery Court approval via the filing by PAA with the Securities and Exchange Commission of a Current Report on Form 8-K.</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We have made adjustments to our total estimated Line 901 costs that incorporate the anticipated settlements described above and general refinements of previous cost estimates, and we have adjusted the receivable we recognized for costs related to the Line 901 incident that we believe are probable of recovery from insurance carriers, net of deductibles. Effective as of March 31, 2022, we estimate that the aggregate total costs we have incurred or will incur with respect to the Line 901 incident will increase by $230 million to $725 million, of which the remaining undiscounted net liability is approximately $95 million, consisting of approximately $335 million of gross remaining liability offset by approximately $240 million of remaining costs that we expect to recover from insurance. Full collection of the amounts we believe are recoverable from our insurance carriers will reach the limit of our $500 million 2015 insurance program applicable to the Line 901 incident</w:t>
      </w:r>
      <w:r>
        <w:rPr>
          <w:rFonts w:ascii="Arial" w:cs="Arial" w:eastAsia="Arial" w:hAnsi="Arial"/>
          <w:sz w:val="17"/>
          <w:szCs w:val="17"/>
          <w:i w:val="1"/>
          <w:iCs w:val="1"/>
          <w:color w:val="auto"/>
        </w:rPr>
        <w:t>.</w:t>
      </w:r>
    </w:p>
    <w:p>
      <w:pPr>
        <w:spacing w:after="0" w:line="20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material adverse effect on our consolidated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160" w:firstLine="180"/>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PAA and PAGP will hold a joint conference call at 4:00 p.m. CT on Wednesday, May 4, 2022 to discuss the following items:</w:t>
      </w:r>
    </w:p>
    <w:p>
      <w:pPr>
        <w:spacing w:after="0" w:line="117"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first-quarter 2022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https://edge.media-server.com/mmc/p/hq8d7unf.</w:t>
      </w:r>
    </w:p>
    <w:p>
      <w:pPr>
        <w:spacing w:after="0" w:line="252"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20" w:type="dxa"/>
            <w:vAlign w:val="bottom"/>
            <w:shd w:val="clear" w:color="auto" w:fill="CCEEFF"/>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2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net</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tcPr>
          <w:p>
            <w:pPr>
              <w:spacing w:after="0"/>
              <w:rPr>
                <w:sz w:val="19"/>
                <w:szCs w:val="19"/>
                <w:color w:val="auto"/>
              </w:rPr>
            </w:pPr>
          </w:p>
        </w:tc>
      </w:tr>
      <w:tr>
        <w:trPr>
          <w:trHeight w:val="237"/>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INCOME BEFORE TAX</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expense</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r>
      <w:tr>
        <w:trPr>
          <w:trHeight w:val="237"/>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 ATTRIBUTABLE TO PAA</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 PER COMMON UNIT:</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allocated to common unitholders — Basic and Diluted</w:t>
            </w: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w w:val="91"/>
              </w:rPr>
              <w:t>Basic and diluted weighted average common units outstanding</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 net income per common unit</w:t>
            </w:r>
          </w:p>
        </w:tc>
        <w:tc>
          <w:tcPr>
            <w:tcW w:w="22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shd w:val="clear" w:color="auto" w:fill="CCEEFF"/>
          </w:tcPr>
          <w:p>
            <w:pPr>
              <w:spacing w:after="0"/>
              <w:rPr>
                <w:sz w:val="19"/>
                <w:szCs w:val="19"/>
                <w:color w:val="auto"/>
              </w:rPr>
            </w:pPr>
          </w:p>
        </w:tc>
      </w:tr>
      <w:tr>
        <w:trPr>
          <w:trHeight w:val="72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color w:val="auto"/>
                <w:w w:val="91"/>
              </w:rPr>
              <w:t>- more -</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298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Current assets (including Cash and cash equivalents of $114 and $449, respectively)</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Linefill</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2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Total book capitalization excluding noncontrolling interests (“Total book capitalization”)</w:t>
            </w: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18,929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19,192</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1"/>
              </w:rPr>
              <w:t>- more -</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Houston, Texas 77002</w:t>
            </w:r>
          </w:p>
        </w:tc>
        <w:tc>
          <w:tcPr>
            <w:tcW w:w="292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and 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A preferred unitholders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Basic and diluted weighted average common units outstanding </w:t>
      </w:r>
      <w:r>
        <w:rPr>
          <w:rFonts w:ascii="Arial" w:cs="Arial" w:eastAsia="Arial" w:hAnsi="Arial"/>
          <w:sz w:val="20"/>
          <w:szCs w:val="20"/>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and 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459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560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6"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29"/>
        </w:trPr>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486"/>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460"/>
          </w:cols>
          <w:pgMar w:left="320" w:top="368" w:right="339" w:bottom="1440" w:gutter="0" w:footer="0" w:header="0"/>
          <w:type w:val="continuous"/>
        </w:sectPr>
      </w:pPr>
    </w:p>
    <w:p>
      <w:pPr>
        <w:spacing w:after="0" w:line="84" w:lineRule="exact"/>
        <w:rPr>
          <w:sz w:val="20"/>
          <w:szCs w:val="20"/>
          <w:color w:val="auto"/>
        </w:rPr>
      </w:pPr>
    </w:p>
    <w:p>
      <w:pPr>
        <w:jc w:val="both"/>
        <w:ind w:left="340" w:right="20" w:hanging="332"/>
        <w:spacing w:after="0" w:line="226" w:lineRule="auto"/>
        <w:tabs>
          <w:tab w:leader="none" w:pos="3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180" w:hanging="332"/>
        <w:spacing w:after="0" w:line="218" w:lineRule="auto"/>
        <w:tabs>
          <w:tab w:leader="none" w:pos="3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months ended March 31, 2022 and 2021 as the effect was antidilutive.</w:t>
      </w:r>
    </w:p>
    <w:p>
      <w:pPr>
        <w:spacing w:after="0" w:line="30" w:lineRule="exact"/>
        <w:rPr>
          <w:rFonts w:ascii="Arial" w:cs="Arial" w:eastAsia="Arial" w:hAnsi="Arial"/>
          <w:sz w:val="23"/>
          <w:szCs w:val="23"/>
          <w:color w:val="auto"/>
          <w:vertAlign w:val="superscript"/>
        </w:rPr>
      </w:pPr>
    </w:p>
    <w:p>
      <w:pPr>
        <w:ind w:left="340" w:right="20" w:hanging="332"/>
        <w:spacing w:after="0" w:line="228" w:lineRule="auto"/>
        <w:tabs>
          <w:tab w:leader="none" w:pos="3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2022 and 2021, the effect of equity-indexed compensation plan awards was antidilutive, or did not change the presentation of diluted weighted average common units outstanding or diluted net income per common unit.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2" w:lineRule="auto"/>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Adjusted Net Income per Common Unit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PAA</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3"/>
                <w:szCs w:val="23"/>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6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(3) (4)</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0"/>
        </w:trPr>
        <w:tc>
          <w:tcPr>
            <w:tcW w:w="3880" w:type="dxa"/>
            <w:vAlign w:val="bottom"/>
            <w:shd w:val="clear" w:color="auto" w:fill="CCEEFF"/>
          </w:tcPr>
          <w:p>
            <w:pPr>
              <w:spacing w:after="0"/>
              <w:rPr>
                <w:sz w:val="23"/>
                <w:szCs w:val="23"/>
                <w:color w:val="auto"/>
              </w:rPr>
            </w:pPr>
          </w:p>
        </w:tc>
        <w:tc>
          <w:tcPr>
            <w:tcW w:w="49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76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38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36" w:lineRule="exact"/>
        <w:rPr>
          <w:sz w:val="20"/>
          <w:szCs w:val="20"/>
          <w:color w:val="auto"/>
        </w:rPr>
      </w:pPr>
    </w:p>
    <w:p>
      <w:pPr>
        <w:ind w:left="340" w:right="60" w:hanging="332"/>
        <w:spacing w:after="0" w:line="226" w:lineRule="auto"/>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520" w:hanging="332"/>
        <w:spacing w:after="0" w:line="218" w:lineRule="auto"/>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 See the “Selected Items Impacting Comparability” table for additional information.</w:t>
      </w:r>
    </w:p>
    <w:p>
      <w:pPr>
        <w:spacing w:after="0" w:line="30" w:lineRule="exact"/>
        <w:rPr>
          <w:rFonts w:ascii="Arial" w:cs="Arial" w:eastAsia="Arial" w:hAnsi="Arial"/>
          <w:sz w:val="23"/>
          <w:szCs w:val="23"/>
          <w:color w:val="auto"/>
          <w:vertAlign w:val="superscript"/>
        </w:rPr>
      </w:pPr>
    </w:p>
    <w:p>
      <w:pPr>
        <w:ind w:left="340" w:right="180" w:hanging="332"/>
        <w:spacing w:after="0" w:line="218" w:lineRule="auto"/>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months ended March 31, 2022 and 2021 as the effect was antidilutive.</w:t>
      </w:r>
    </w:p>
    <w:p>
      <w:pPr>
        <w:spacing w:after="0" w:line="30" w:lineRule="exact"/>
        <w:rPr>
          <w:rFonts w:ascii="Arial" w:cs="Arial" w:eastAsia="Arial" w:hAnsi="Arial"/>
          <w:sz w:val="23"/>
          <w:szCs w:val="23"/>
          <w:color w:val="auto"/>
          <w:vertAlign w:val="superscript"/>
        </w:rPr>
      </w:pPr>
    </w:p>
    <w:p>
      <w:pPr>
        <w:ind w:left="340" w:hanging="332"/>
        <w:spacing w:after="0" w:line="228" w:lineRule="auto"/>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2022 and 2021, the effect of equity-indexed compensation plan awards was antidilutive, or did not change the presentation of diluted weighted average common units outstanding or diluted adjusted net income per common unit.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Common Unit to Adjusted Net Income Per Common Unit Reconciliation:</w:t>
      </w:r>
    </w:p>
    <w:p>
      <w:pPr>
        <w:spacing w:after="0" w:line="334"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5"/>
              </w:rPr>
              <w:t>0.51</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3"/>
              </w:rPr>
              <w:t>(0.26)</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85"/>
              </w:rPr>
              <w:t>0.25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4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121" w:lineRule="exact"/>
        <w:rPr>
          <w:sz w:val="20"/>
          <w:szCs w:val="20"/>
          <w:color w:val="auto"/>
        </w:rPr>
      </w:pPr>
    </w:p>
    <w:p>
      <w:pPr>
        <w:ind w:left="340" w:right="360" w:hanging="332"/>
        <w:spacing w:after="0" w:line="227"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75"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to Adjusted EBITDA attributable to PAA and Implied DCF Reconciliation:</w:t>
      </w:r>
    </w:p>
    <w:p>
      <w:pPr>
        <w:spacing w:after="0" w:line="91"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Interest expense, net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(Gains)/losses on asset sales and asset impairments, net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780" w:type="dxa"/>
            <w:vAlign w:val="bottom"/>
            <w:gridSpan w:val="2"/>
          </w:tcPr>
          <w:p>
            <w:pPr>
              <w:ind w:left="140"/>
              <w:spacing w:after="0" w:line="229"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780" w:type="dxa"/>
            <w:vAlign w:val="bottom"/>
            <w:gridSpan w:val="2"/>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Adjusted EBITDA attributable to noncontrolling interests</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780" w:type="dxa"/>
            <w:vAlign w:val="bottom"/>
            <w:gridSpan w:val="2"/>
          </w:tcPr>
          <w:p>
            <w:pPr>
              <w:ind w:left="40"/>
              <w:spacing w:after="0"/>
              <w:rPr>
                <w:sz w:val="20"/>
                <w:szCs w:val="20"/>
                <w:color w:val="auto"/>
              </w:rPr>
            </w:pPr>
            <w:r>
              <w:rPr>
                <w:rFonts w:ascii="Arial" w:cs="Arial" w:eastAsia="Arial" w:hAnsi="Arial"/>
                <w:sz w:val="17"/>
                <w:szCs w:val="17"/>
                <w:color w:val="auto"/>
              </w:rPr>
              <w:t>Adjusted EBITDA attributable to PAA</w:t>
            </w:r>
          </w:p>
        </w:tc>
        <w:tc>
          <w:tcPr>
            <w:tcW w:w="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4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8780" w:type="dxa"/>
            <w:vAlign w:val="bottom"/>
            <w:gridSpan w:val="2"/>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7"/>
                <w:szCs w:val="17"/>
                <w:color w:val="auto"/>
              </w:rPr>
              <w:t>Maintenance capital</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780" w:type="dxa"/>
            <w:vAlign w:val="bottom"/>
            <w:gridSpan w:val="2"/>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Investment capital of noncontrolling interests </w:t>
            </w:r>
            <w:r>
              <w:rPr>
                <w:rFonts w:ascii="Arial" w:cs="Arial" w:eastAsia="Arial" w:hAnsi="Arial"/>
                <w:sz w:val="22"/>
                <w:szCs w:val="22"/>
                <w:color w:val="auto"/>
                <w:vertAlign w:val="superscript"/>
              </w:rPr>
              <w:t>(4)</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7"/>
                <w:szCs w:val="17"/>
                <w:color w:val="auto"/>
              </w:rPr>
              <w:t>Current income tax expense</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80" w:type="dxa"/>
            <w:vAlign w:val="bottom"/>
            <w:gridSpan w:val="2"/>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Distributions from unconsolidated entities in excess of/(less than) adjusted equity earnings </w:t>
            </w:r>
            <w:r>
              <w:rPr>
                <w:rFonts w:ascii="Arial" w:cs="Arial" w:eastAsia="Arial" w:hAnsi="Arial"/>
                <w:sz w:val="22"/>
                <w:szCs w:val="22"/>
                <w:color w:val="auto"/>
                <w:vertAlign w:val="superscript"/>
              </w:rPr>
              <w:t>(5)</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780" w:type="dxa"/>
            <w:vAlign w:val="bottom"/>
            <w:tcBorders>
              <w:bottom w:val="single" w:sz="8" w:color="CCEEFF"/>
            </w:tcBorders>
            <w:gridSpan w:val="2"/>
          </w:tcPr>
          <w:p>
            <w:pPr>
              <w:ind w:left="140"/>
              <w:spacing w:after="0" w:line="229"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8780" w:type="dxa"/>
            <w:vAlign w:val="bottom"/>
            <w:tcBorders>
              <w:bottom w:val="single" w:sz="8" w:color="CCEEFF"/>
            </w:tcBorders>
            <w:gridSpan w:val="2"/>
          </w:tcPr>
          <w:p>
            <w:pPr>
              <w:ind w:left="180"/>
              <w:spacing w:after="0" w:line="229"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16"/>
        </w:trPr>
        <w:tc>
          <w:tcPr>
            <w:tcW w:w="38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0.57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878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16"/>
        </w:trPr>
        <w:tc>
          <w:tcPr>
            <w:tcW w:w="38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878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(6)</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2.85x</w:t>
            </w:r>
          </w:p>
        </w:tc>
      </w:tr>
      <w:tr>
        <w:trPr>
          <w:trHeight w:val="216"/>
        </w:trPr>
        <w:tc>
          <w:tcPr>
            <w:tcW w:w="38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162"/>
        </w:trPr>
        <w:tc>
          <w:tcPr>
            <w:tcW w:w="3880" w:type="dxa"/>
            <w:vAlign w:val="bottom"/>
            <w:tcBorders>
              <w:bottom w:val="single" w:sz="8" w:color="auto"/>
            </w:tcBorders>
          </w:tcPr>
          <w:p>
            <w:pPr>
              <w:spacing w:after="0"/>
              <w:rPr>
                <w:sz w:val="14"/>
                <w:szCs w:val="14"/>
                <w:color w:val="auto"/>
              </w:rPr>
            </w:pPr>
          </w:p>
        </w:tc>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9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28" w:lineRule="exact"/>
        <w:rPr>
          <w:rFonts w:ascii="Arial" w:cs="Arial" w:eastAsia="Arial" w:hAnsi="Arial"/>
          <w:sz w:val="18"/>
          <w:szCs w:val="18"/>
          <w:color w:val="auto"/>
          <w:vertAlign w:val="superscript"/>
        </w:rPr>
      </w:pPr>
    </w:p>
    <w:p>
      <w:pPr>
        <w:ind w:left="320" w:hanging="312"/>
        <w:spacing w:after="0" w:line="185" w:lineRule="auto"/>
        <w:tabs>
          <w:tab w:leader="none" w:pos="32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See the “Selected Items Impacting Comparability” table for additional information.</w:t>
      </w:r>
    </w:p>
    <w:p>
      <w:pPr>
        <w:spacing w:after="0" w:line="42" w:lineRule="exact"/>
        <w:rPr>
          <w:rFonts w:ascii="Arial" w:cs="Arial" w:eastAsia="Arial" w:hAnsi="Arial"/>
          <w:sz w:val="18"/>
          <w:szCs w:val="18"/>
          <w:color w:val="auto"/>
          <w:vertAlign w:val="superscript"/>
        </w:rPr>
      </w:pPr>
    </w:p>
    <w:p>
      <w:pPr>
        <w:ind w:left="320" w:hanging="312"/>
        <w:spacing w:after="0" w:line="185" w:lineRule="auto"/>
        <w:tabs>
          <w:tab w:leader="none" w:pos="32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42" w:lineRule="exact"/>
        <w:rPr>
          <w:rFonts w:ascii="Arial" w:cs="Arial" w:eastAsia="Arial" w:hAnsi="Arial"/>
          <w:sz w:val="18"/>
          <w:szCs w:val="18"/>
          <w:color w:val="auto"/>
          <w:vertAlign w:val="superscript"/>
        </w:rPr>
      </w:pPr>
    </w:p>
    <w:p>
      <w:pPr>
        <w:ind w:left="320" w:hanging="312"/>
        <w:spacing w:after="0" w:line="185" w:lineRule="auto"/>
        <w:tabs>
          <w:tab w:leader="none" w:pos="32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Investment capital expenditures attributable to noncontrolling interests that reduce Implied DCF available to PAA common unitholders.</w:t>
      </w:r>
    </w:p>
    <w:p>
      <w:pPr>
        <w:spacing w:after="0" w:line="29" w:lineRule="exact"/>
        <w:rPr>
          <w:rFonts w:ascii="Arial" w:cs="Arial" w:eastAsia="Arial" w:hAnsi="Arial"/>
          <w:sz w:val="18"/>
          <w:szCs w:val="18"/>
          <w:color w:val="auto"/>
          <w:vertAlign w:val="superscript"/>
        </w:rPr>
      </w:pPr>
    </w:p>
    <w:p>
      <w:pPr>
        <w:ind w:left="340" w:right="240" w:hanging="332"/>
        <w:spacing w:after="0" w:line="216" w:lineRule="auto"/>
        <w:tabs>
          <w:tab w:leader="none" w:pos="334"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1" w:lineRule="exact"/>
        <w:rPr>
          <w:rFonts w:ascii="Arial" w:cs="Arial" w:eastAsia="Arial" w:hAnsi="Arial"/>
          <w:sz w:val="18"/>
          <w:szCs w:val="18"/>
          <w:color w:val="auto"/>
          <w:vertAlign w:val="superscript"/>
        </w:rPr>
      </w:pPr>
    </w:p>
    <w:p>
      <w:pPr>
        <w:ind w:left="320" w:hanging="312"/>
        <w:spacing w:after="0" w:line="234" w:lineRule="auto"/>
        <w:tabs>
          <w:tab w:leader="none" w:pos="32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Cash distributions paid during the period presented.</w:t>
      </w:r>
    </w:p>
    <w:p>
      <w:pPr>
        <w:spacing w:after="0" w:line="42" w:lineRule="exact"/>
        <w:rPr>
          <w:rFonts w:ascii="Arial" w:cs="Arial" w:eastAsia="Arial" w:hAnsi="Arial"/>
          <w:sz w:val="18"/>
          <w:szCs w:val="18"/>
          <w:color w:val="auto"/>
          <w:vertAlign w:val="superscript"/>
        </w:rPr>
      </w:pPr>
    </w:p>
    <w:p>
      <w:pPr>
        <w:ind w:left="320" w:hanging="312"/>
        <w:spacing w:after="0" w:line="185" w:lineRule="auto"/>
        <w:tabs>
          <w:tab w:leader="none" w:pos="32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29" w:lineRule="exact"/>
        <w:rPr>
          <w:rFonts w:ascii="Arial" w:cs="Arial" w:eastAsia="Arial" w:hAnsi="Arial"/>
          <w:sz w:val="18"/>
          <w:szCs w:val="18"/>
          <w:color w:val="auto"/>
          <w:vertAlign w:val="superscript"/>
        </w:rPr>
      </w:pPr>
    </w:p>
    <w:p>
      <w:pPr>
        <w:ind w:left="340" w:right="60" w:hanging="332"/>
        <w:spacing w:after="0" w:line="229" w:lineRule="auto"/>
        <w:tabs>
          <w:tab w:leader="none" w:pos="334"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76" w:lineRule="exact"/>
        <w:rPr>
          <w:rFonts w:ascii="Arial" w:cs="Arial" w:eastAsia="Arial" w:hAnsi="Arial"/>
          <w:sz w:val="18"/>
          <w:szCs w:val="18"/>
          <w:color w:val="auto"/>
          <w:vertAlign w:val="superscript"/>
        </w:rPr>
      </w:pPr>
    </w:p>
    <w:p>
      <w:pPr>
        <w:ind w:left="5440" w:hanging="106"/>
        <w:spacing w:after="0"/>
        <w:tabs>
          <w:tab w:leader="none" w:pos="5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4" w:name="page15"/>
    <w:bookmarkEnd w:id="14"/>
    <w:p>
      <w:pPr>
        <w:ind w:left="100"/>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Net Income Per Common Unit to Implied DCF Per Common Unit and Common Unit Equivalent Reconciliation:</w:t>
      </w:r>
    </w:p>
    <w:p>
      <w:pPr>
        <w:spacing w:after="0" w:line="280"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82"/>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6800" w:type="dxa"/>
            <w:vAlign w:val="bottom"/>
            <w:gridSpan w:val="3"/>
          </w:tcPr>
          <w:p>
            <w:pPr>
              <w:spacing w:after="0"/>
              <w:rPr>
                <w:sz w:val="20"/>
                <w:szCs w:val="20"/>
                <w:color w:val="auto"/>
              </w:rPr>
            </w:pPr>
            <w:r>
              <w:rPr>
                <w:rFonts w:ascii="Arial" w:cs="Arial" w:eastAsia="Arial" w:hAnsi="Arial"/>
                <w:sz w:val="18"/>
                <w:szCs w:val="18"/>
                <w:color w:val="auto"/>
              </w:rPr>
              <w:t>Basic net income per common unit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30"/>
        </w:trPr>
        <w:tc>
          <w:tcPr>
            <w:tcW w:w="68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1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mplied DCF per common unit</w:t>
            </w:r>
          </w:p>
        </w:tc>
        <w:tc>
          <w:tcPr>
            <w:tcW w:w="1940" w:type="dxa"/>
            <w:vAlign w:val="bottom"/>
            <w:vMerge w:val="continue"/>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800" w:type="dxa"/>
            <w:vAlign w:val="bottom"/>
            <w:gridSpan w:val="3"/>
          </w:tcPr>
          <w:p>
            <w:pPr>
              <w:spacing w:after="0"/>
              <w:rPr>
                <w:sz w:val="20"/>
                <w:szCs w:val="20"/>
                <w:color w:val="auto"/>
              </w:rPr>
            </w:pPr>
            <w:r>
              <w:rPr>
                <w:rFonts w:ascii="Arial" w:cs="Arial" w:eastAsia="Arial" w:hAnsi="Arial"/>
                <w:sz w:val="18"/>
                <w:szCs w:val="18"/>
                <w:color w:val="auto"/>
              </w:rPr>
              <w:t>Basic net income per common unit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9"/>
        </w:trPr>
        <w:tc>
          <w:tcPr>
            <w:tcW w:w="68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1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mplied DCF per common unit and common unit equivalent</w:t>
            </w:r>
          </w:p>
        </w:tc>
        <w:tc>
          <w:tcPr>
            <w:tcW w:w="1940" w:type="dxa"/>
            <w:vAlign w:val="bottom"/>
            <w:vMerge w:val="continue"/>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-1268095</wp:posOffset>
            </wp:positionV>
            <wp:extent cx="702945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-624840</wp:posOffset>
            </wp:positionV>
            <wp:extent cx="702945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114" w:lineRule="exact"/>
        <w:rPr>
          <w:sz w:val="20"/>
          <w:szCs w:val="20"/>
          <w:color w:val="auto"/>
        </w:rPr>
      </w:pPr>
    </w:p>
    <w:p>
      <w:pPr>
        <w:ind w:left="440" w:right="600" w:hanging="332"/>
        <w:spacing w:after="0" w:line="227" w:lineRule="auto"/>
        <w:tabs>
          <w:tab w:leader="none" w:pos="4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705 million and 722 million, respectively.</w:t>
      </w:r>
    </w:p>
    <w:p>
      <w:pPr>
        <w:spacing w:after="0" w:line="55" w:lineRule="exact"/>
        <w:rPr>
          <w:rFonts w:ascii="Arial" w:cs="Arial" w:eastAsia="Arial" w:hAnsi="Arial"/>
          <w:sz w:val="23"/>
          <w:szCs w:val="23"/>
          <w:color w:val="auto"/>
          <w:vertAlign w:val="superscript"/>
        </w:rPr>
      </w:pPr>
    </w:p>
    <w:p>
      <w:pPr>
        <w:ind w:left="440" w:right="240" w:hanging="332"/>
        <w:spacing w:after="0" w:line="219" w:lineRule="auto"/>
        <w:tabs>
          <w:tab w:leader="none" w:pos="4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Free Cash Flow and Free Cash Flow after Distributions Reconciliation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p>
      <w:pPr>
        <w:spacing w:after="0" w:line="224"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cash provided by operating activities to free cash flow:</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740" w:type="dxa"/>
            <w:vAlign w:val="bottom"/>
          </w:tcPr>
          <w:p>
            <w:pPr>
              <w:jc w:val="right"/>
              <w:ind w:right="53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87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74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0"/>
        </w:trPr>
        <w:tc>
          <w:tcPr>
            <w:tcW w:w="38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4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121" w:lineRule="exact"/>
        <w:rPr>
          <w:sz w:val="20"/>
          <w:szCs w:val="20"/>
          <w:color w:val="auto"/>
        </w:rPr>
      </w:pPr>
    </w:p>
    <w:p>
      <w:pPr>
        <w:ind w:left="440" w:right="300" w:hanging="332"/>
        <w:spacing w:after="0" w:line="238" w:lineRule="auto"/>
        <w:tabs>
          <w:tab w:leader="none" w:pos="4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420" w:hanging="312"/>
        <w:spacing w:after="0"/>
        <w:tabs>
          <w:tab w:leader="none" w:pos="4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420" w:hanging="312"/>
        <w:spacing w:after="0" w:line="194" w:lineRule="auto"/>
        <w:tabs>
          <w:tab w:leader="none" w:pos="4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175" w:lineRule="exact"/>
        <w:rPr>
          <w:rFonts w:ascii="Arial" w:cs="Arial" w:eastAsia="Arial" w:hAnsi="Arial"/>
          <w:sz w:val="23"/>
          <w:szCs w:val="23"/>
          <w:color w:val="auto"/>
          <w:vertAlign w:val="superscript"/>
        </w:rPr>
      </w:pPr>
    </w:p>
    <w:p>
      <w:pPr>
        <w:ind w:left="5540" w:hanging="106"/>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40"/>
          </w:cols>
          <w:pgMar w:left="2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197"/>
        </w:trPr>
        <w:tc>
          <w:tcPr>
            <w:tcW w:w="87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87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Gains/(losses) from derivative activities and inventory valuation adjustments </w:t>
            </w:r>
            <w:r>
              <w:rPr>
                <w:rFonts w:ascii="Arial" w:cs="Arial" w:eastAsia="Arial" w:hAnsi="Arial"/>
                <w:sz w:val="22"/>
                <w:szCs w:val="22"/>
                <w:color w:val="auto"/>
                <w:vertAlign w:val="superscript"/>
              </w:rPr>
              <w:t>(2)</w:t>
            </w:r>
          </w:p>
        </w:tc>
        <w:tc>
          <w:tcPr>
            <w:tcW w:w="760" w:type="dxa"/>
            <w:vAlign w:val="bottom"/>
          </w:tcPr>
          <w:p>
            <w:pPr>
              <w:jc w:val="right"/>
              <w:ind w:right="578"/>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5"/>
              </w:rPr>
              <w:t>(132)</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16"/>
        </w:trPr>
        <w:tc>
          <w:tcPr>
            <w:tcW w:w="8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6"/>
        </w:trPr>
        <w:tc>
          <w:tcPr>
            <w:tcW w:w="87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8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87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Net gain on foreign currency revaluation </w:t>
            </w:r>
            <w:r>
              <w:rPr>
                <w:rFonts w:ascii="Arial" w:cs="Arial" w:eastAsia="Arial" w:hAnsi="Arial"/>
                <w:sz w:val="22"/>
                <w:szCs w:val="22"/>
                <w:color w:val="auto"/>
                <w:vertAlign w:val="superscript"/>
              </w:rPr>
              <w:t>(6)</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8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878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760" w:type="dxa"/>
            <w:vAlign w:val="bottom"/>
          </w:tcPr>
          <w:p>
            <w:pPr>
              <w:jc w:val="right"/>
              <w:ind w:right="578"/>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5"/>
              </w:rPr>
              <w:t>(129)</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34"/>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37" w:lineRule="exact"/>
        <w:rPr>
          <w:sz w:val="20"/>
          <w:szCs w:val="20"/>
          <w:color w:val="auto"/>
        </w:rPr>
      </w:pPr>
    </w:p>
    <w:p>
      <w:pPr>
        <w:ind w:left="340" w:right="40" w:hanging="332"/>
        <w:spacing w:after="0" w:line="226" w:lineRule="auto"/>
        <w:tabs>
          <w:tab w:leader="none" w:pos="333"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25" w:lineRule="exact"/>
        <w:rPr>
          <w:rFonts w:ascii="Arial" w:cs="Arial" w:eastAsia="Arial" w:hAnsi="Arial"/>
          <w:sz w:val="20"/>
          <w:szCs w:val="20"/>
          <w:color w:val="auto"/>
          <w:vertAlign w:val="superscript"/>
        </w:rPr>
      </w:pPr>
    </w:p>
    <w:p>
      <w:pPr>
        <w:ind w:left="340" w:right="160" w:hanging="332"/>
        <w:spacing w:after="0" w:line="252" w:lineRule="auto"/>
        <w:tabs>
          <w:tab w:leader="none" w:pos="33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5" w:lineRule="exact"/>
        <w:rPr>
          <w:rFonts w:ascii="Arial" w:cs="Arial" w:eastAsia="Arial" w:hAnsi="Arial"/>
          <w:sz w:val="19"/>
          <w:szCs w:val="19"/>
          <w:color w:val="auto"/>
          <w:vertAlign w:val="superscript"/>
        </w:rPr>
      </w:pPr>
    </w:p>
    <w:p>
      <w:pPr>
        <w:ind w:left="340" w:right="100" w:hanging="332"/>
        <w:spacing w:after="0" w:line="232" w:lineRule="auto"/>
        <w:tabs>
          <w:tab w:leader="none" w:pos="333"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8" w:lineRule="exact"/>
        <w:rPr>
          <w:rFonts w:ascii="Arial" w:cs="Arial" w:eastAsia="Arial" w:hAnsi="Arial"/>
          <w:sz w:val="20"/>
          <w:szCs w:val="20"/>
          <w:color w:val="auto"/>
          <w:vertAlign w:val="superscript"/>
        </w:rPr>
      </w:pPr>
    </w:p>
    <w:p>
      <w:pPr>
        <w:ind w:left="340" w:right="60" w:hanging="332"/>
        <w:spacing w:after="0" w:line="238" w:lineRule="auto"/>
        <w:tabs>
          <w:tab w:leader="none" w:pos="333"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8" w:lineRule="exact"/>
        <w:rPr>
          <w:rFonts w:ascii="Arial" w:cs="Arial" w:eastAsia="Arial" w:hAnsi="Arial"/>
          <w:sz w:val="20"/>
          <w:szCs w:val="20"/>
          <w:color w:val="auto"/>
          <w:vertAlign w:val="superscript"/>
        </w:rPr>
      </w:pPr>
    </w:p>
    <w:p>
      <w:pPr>
        <w:ind w:left="340" w:right="80" w:hanging="332"/>
        <w:spacing w:after="0" w:line="275" w:lineRule="auto"/>
        <w:tabs>
          <w:tab w:leader="none" w:pos="333"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 w:lineRule="exact"/>
        <w:rPr>
          <w:rFonts w:ascii="Arial" w:cs="Arial" w:eastAsia="Arial" w:hAnsi="Arial"/>
          <w:sz w:val="16"/>
          <w:szCs w:val="16"/>
          <w:color w:val="auto"/>
          <w:vertAlign w:val="superscript"/>
        </w:rPr>
      </w:pPr>
    </w:p>
    <w:p>
      <w:pPr>
        <w:ind w:left="340" w:right="80" w:hanging="332"/>
        <w:spacing w:after="0" w:line="226" w:lineRule="auto"/>
        <w:tabs>
          <w:tab w:leader="none" w:pos="333"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ind w:left="320" w:hanging="312"/>
        <w:spacing w:after="0" w:line="237" w:lineRule="auto"/>
        <w:tabs>
          <w:tab w:leader="none" w:pos="3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740" w:type="dxa"/>
            <w:vAlign w:val="bottom"/>
            <w:tcBorders>
              <w:bottom w:val="single" w:sz="8" w:color="auto"/>
            </w:tcBorders>
          </w:tcPr>
          <w:p>
            <w:pPr>
              <w:spacing w:after="0"/>
              <w:rPr>
                <w:sz w:val="16"/>
                <w:szCs w:val="16"/>
                <w:color w:val="auto"/>
              </w:rPr>
            </w:pPr>
          </w:p>
        </w:tc>
      </w:tr>
      <w:tr>
        <w:trPr>
          <w:trHeight w:val="195"/>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1"/>
              <w:spacing w:after="0"/>
              <w:rPr>
                <w:sz w:val="20"/>
                <w:szCs w:val="20"/>
                <w:color w:val="auto"/>
              </w:rPr>
            </w:pPr>
            <w:r>
              <w:rPr>
                <w:rFonts w:ascii="Arial" w:cs="Arial" w:eastAsia="Arial" w:hAnsi="Arial"/>
                <w:sz w:val="15"/>
                <w:szCs w:val="15"/>
                <w:b w:val="1"/>
                <w:bCs w:val="1"/>
                <w:color w:val="auto"/>
                <w:w w:val="94"/>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1"/>
              <w:spacing w:after="0"/>
              <w:rPr>
                <w:sz w:val="20"/>
                <w:szCs w:val="20"/>
                <w:color w:val="auto"/>
              </w:rPr>
            </w:pPr>
            <w:r>
              <w:rPr>
                <w:rFonts w:ascii="Arial" w:cs="Arial" w:eastAsia="Arial" w:hAnsi="Arial"/>
                <w:sz w:val="15"/>
                <w:szCs w:val="15"/>
                <w:b w:val="1"/>
                <w:bCs w:val="1"/>
                <w:color w:val="auto"/>
                <w:w w:val="94"/>
              </w:rPr>
              <w:t>NGL</w:t>
            </w:r>
          </w:p>
        </w:tc>
      </w:tr>
      <w:tr>
        <w:trPr>
          <w:trHeight w:val="225"/>
        </w:trPr>
        <w:tc>
          <w:tcPr>
            <w:tcW w:w="6140" w:type="dxa"/>
            <w:vAlign w:val="bottom"/>
            <w:tcBorders>
              <w:top w:val="single" w:sz="8" w:color="CCEEFF"/>
            </w:tcBorders>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7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156"/>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100" w:hanging="332"/>
        <w:spacing w:after="0" w:line="267" w:lineRule="auto"/>
        <w:tabs>
          <w:tab w:leader="none" w:pos="32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(beginning October 2021) and Red River Pipeline LLC.</w:t>
      </w:r>
    </w:p>
    <w:p>
      <w:pPr>
        <w:spacing w:after="0" w:line="55"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jc w:val="center"/>
        <w:ind w:left="8760"/>
        <w:spacing w:after="0" w:line="211" w:lineRule="auto"/>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pipeline tariff volumes (by region)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7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r>
      <w:tr>
        <w:trPr>
          <w:trHeight w:val="229"/>
        </w:trPr>
        <w:tc>
          <w:tcPr>
            <w:tcW w:w="87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87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8780" w:type="dxa"/>
            <w:vAlign w:val="bottom"/>
            <w:gridSpan w:val="2"/>
          </w:tcPr>
          <w:p>
            <w:pPr>
              <w:ind w:left="240"/>
              <w:spacing w:after="0"/>
              <w:rPr>
                <w:sz w:val="20"/>
                <w:szCs w:val="20"/>
                <w:color w:val="auto"/>
              </w:rPr>
            </w:pPr>
            <w:r>
              <w:rPr>
                <w:rFonts w:ascii="Arial" w:cs="Arial" w:eastAsia="Arial" w:hAnsi="Arial"/>
                <w:sz w:val="18"/>
                <w:szCs w:val="18"/>
                <w:color w:val="auto"/>
              </w:rPr>
              <w:t>Gulf Coast</w:t>
            </w:r>
          </w:p>
        </w:tc>
        <w:tc>
          <w:tcPr>
            <w:tcW w:w="11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87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780" w:type="dxa"/>
            <w:vAlign w:val="bottom"/>
            <w:gridSpan w:val="2"/>
          </w:tcPr>
          <w:p>
            <w:pPr>
              <w:ind w:left="240"/>
              <w:spacing w:after="0"/>
              <w:rPr>
                <w:sz w:val="20"/>
                <w:szCs w:val="20"/>
                <w:color w:val="auto"/>
              </w:rPr>
            </w:pPr>
            <w:r>
              <w:rPr>
                <w:rFonts w:ascii="Arial" w:cs="Arial" w:eastAsia="Arial" w:hAnsi="Arial"/>
                <w:sz w:val="18"/>
                <w:szCs w:val="18"/>
                <w:color w:val="auto"/>
              </w:rPr>
              <w:t>Western</w:t>
            </w: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878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 xml:space="preserve">Crude oil pipeline tariff volumes (average volumes in thousands of barrels per day) </w:t>
            </w:r>
            <w:r>
              <w:rPr>
                <w:rFonts w:ascii="Arial" w:cs="Arial" w:eastAsia="Arial" w:hAnsi="Arial"/>
                <w:sz w:val="23"/>
                <w:szCs w:val="23"/>
                <w:color w:val="auto"/>
                <w:vertAlign w:val="superscript"/>
              </w:rPr>
              <w:t>(1) (2)</w:t>
            </w:r>
          </w:p>
        </w:tc>
        <w:tc>
          <w:tcPr>
            <w:tcW w:w="1180" w:type="dxa"/>
            <w:vAlign w:val="bottom"/>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5,430</w:t>
            </w:r>
          </w:p>
        </w:tc>
      </w:tr>
      <w:tr>
        <w:trPr>
          <w:trHeight w:val="257"/>
        </w:trPr>
        <w:tc>
          <w:tcPr>
            <w:tcW w:w="3880" w:type="dxa"/>
            <w:vAlign w:val="bottom"/>
            <w:shd w:val="clear" w:color="auto" w:fill="CCEEFF"/>
          </w:tcPr>
          <w:p>
            <w:pPr>
              <w:spacing w:after="0"/>
              <w:rPr>
                <w:sz w:val="22"/>
                <w:szCs w:val="22"/>
                <w:color w:val="auto"/>
              </w:rPr>
            </w:pPr>
          </w:p>
        </w:tc>
        <w:tc>
          <w:tcPr>
            <w:tcW w:w="49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878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Commercial crude oil storage capacity (average monthly volumes in millions of barrels) </w:t>
            </w:r>
            <w:r>
              <w:rPr>
                <w:rFonts w:ascii="Arial" w:cs="Arial" w:eastAsia="Arial" w:hAnsi="Arial"/>
                <w:sz w:val="23"/>
                <w:szCs w:val="23"/>
                <w:color w:val="auto"/>
                <w:vertAlign w:val="superscript"/>
              </w:rPr>
              <w:t>(2) (3)</w:t>
            </w: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6"/>
        </w:trPr>
        <w:tc>
          <w:tcPr>
            <w:tcW w:w="3880" w:type="dxa"/>
            <w:vAlign w:val="bottom"/>
            <w:shd w:val="clear" w:color="auto" w:fill="CCEEFF"/>
          </w:tcPr>
          <w:p>
            <w:pPr>
              <w:spacing w:after="0"/>
              <w:rPr>
                <w:sz w:val="22"/>
                <w:szCs w:val="22"/>
                <w:color w:val="auto"/>
              </w:rPr>
            </w:pPr>
          </w:p>
        </w:tc>
        <w:tc>
          <w:tcPr>
            <w:tcW w:w="49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878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lease gathering purchases (average volumes in thousands of barrels per day) </w:t>
            </w:r>
            <w:r>
              <w:rPr>
                <w:rFonts w:ascii="Arial" w:cs="Arial" w:eastAsia="Arial" w:hAnsi="Arial"/>
                <w:sz w:val="23"/>
                <w:szCs w:val="23"/>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56"/>
        </w:trPr>
        <w:tc>
          <w:tcPr>
            <w:tcW w:w="3880" w:type="dxa"/>
            <w:vAlign w:val="bottom"/>
            <w:shd w:val="clear" w:color="auto" w:fill="CCEEFF"/>
          </w:tcPr>
          <w:p>
            <w:pPr>
              <w:spacing w:after="0"/>
              <w:rPr>
                <w:sz w:val="22"/>
                <w:szCs w:val="22"/>
                <w:color w:val="auto"/>
              </w:rPr>
            </w:pPr>
          </w:p>
        </w:tc>
        <w:tc>
          <w:tcPr>
            <w:tcW w:w="49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b w:val="1"/>
                <w:bCs w:val="1"/>
                <w:color w:val="auto"/>
              </w:rPr>
              <w:t>NGL Segment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NGL fractionation (average volumes in thousands of barrels per day) </w:t>
            </w:r>
            <w:r>
              <w:rPr>
                <w:rFonts w:ascii="Arial" w:cs="Arial" w:eastAsia="Arial" w:hAnsi="Arial"/>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87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NGL pipeline tariff volumes (average volumes in thousands of barrels per day) </w:t>
            </w:r>
            <w:r>
              <w:rPr>
                <w:rFonts w:ascii="Arial" w:cs="Arial" w:eastAsia="Arial" w:hAnsi="Arial"/>
                <w:sz w:val="23"/>
                <w:szCs w:val="23"/>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NGL sales (average volumes in thousands of barrels per day) </w:t>
            </w:r>
            <w:r>
              <w:rPr>
                <w:rFonts w:ascii="Arial" w:cs="Arial" w:eastAsia="Arial" w:hAnsi="Arial"/>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162"/>
        </w:trPr>
        <w:tc>
          <w:tcPr>
            <w:tcW w:w="3880" w:type="dxa"/>
            <w:vAlign w:val="bottom"/>
            <w:tcBorders>
              <w:bottom w:val="single" w:sz="8" w:color="auto"/>
            </w:tcBorders>
          </w:tcPr>
          <w:p>
            <w:pPr>
              <w:spacing w:after="0"/>
              <w:rPr>
                <w:sz w:val="14"/>
                <w:szCs w:val="14"/>
                <w:color w:val="auto"/>
              </w:rPr>
            </w:pPr>
          </w:p>
        </w:tc>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134" w:lineRule="exact"/>
        <w:rPr>
          <w:sz w:val="20"/>
          <w:szCs w:val="20"/>
          <w:color w:val="auto"/>
        </w:rPr>
      </w:pPr>
    </w:p>
    <w:p>
      <w:pPr>
        <w:ind w:left="340" w:right="220" w:hanging="332"/>
        <w:spacing w:after="0" w:line="234"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Average daily volumes calculated as the total volumes (attributable to our interest for pipelines owned by unconsolidated entities or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assets owned by unconsolidated entities.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Average monthly capacity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ind w:left="100"/>
        <w:spacing w:after="0"/>
        <w:rPr>
          <w:sz w:val="20"/>
          <w:szCs w:val="20"/>
          <w:color w:val="auto"/>
        </w:rPr>
      </w:pPr>
      <w:r>
        <w:rPr>
          <w:rFonts w:ascii="Arial" w:cs="Arial" w:eastAsia="Arial" w:hAnsi="Arial"/>
          <w:sz w:val="18"/>
          <w:szCs w:val="18"/>
          <w:u w:val="single" w:color="auto"/>
          <w:color w:val="auto"/>
        </w:rPr>
        <w:t>Page 16</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Segment Adjusted EBITDA to Adjusted EBITDA attributable to PAA Reconciliation:</w:t>
      </w:r>
    </w:p>
    <w:p>
      <w:pPr>
        <w:spacing w:after="0" w:line="280"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82"/>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3980" w:type="dxa"/>
            <w:vAlign w:val="bottom"/>
            <w:gridSpan w:val="2"/>
          </w:tcPr>
          <w:p>
            <w:pPr>
              <w:spacing w:after="0"/>
              <w:rPr>
                <w:sz w:val="20"/>
                <w:szCs w:val="20"/>
                <w:color w:val="auto"/>
              </w:rPr>
            </w:pPr>
            <w:r>
              <w:rPr>
                <w:rFonts w:ascii="Arial" w:cs="Arial" w:eastAsia="Arial" w:hAnsi="Arial"/>
                <w:sz w:val="18"/>
                <w:szCs w:val="18"/>
                <w:color w:val="auto"/>
              </w:rPr>
              <w:t>Crude Oil Segment Adjusted EBITDA</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3980" w:type="dxa"/>
            <w:vAlign w:val="bottom"/>
            <w:gridSpan w:val="2"/>
          </w:tcPr>
          <w:p>
            <w:pPr>
              <w:spacing w:after="0"/>
              <w:rPr>
                <w:sz w:val="20"/>
                <w:szCs w:val="20"/>
                <w:color w:val="auto"/>
              </w:rPr>
            </w:pPr>
            <w:r>
              <w:rPr>
                <w:rFonts w:ascii="Arial" w:cs="Arial" w:eastAsia="Arial" w:hAnsi="Arial"/>
                <w:sz w:val="18"/>
                <w:szCs w:val="18"/>
                <w:color w:val="auto"/>
              </w:rPr>
              <w:t>NGL Segment Adjusted EBITDA</w:t>
            </w:r>
          </w:p>
        </w:tc>
        <w:tc>
          <w:tcPr>
            <w:tcW w:w="4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4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3880" w:type="dxa"/>
            <w:vAlign w:val="bottom"/>
            <w:vMerge w:val="continue"/>
            <w:shd w:val="clear" w:color="auto" w:fill="CCEEFF"/>
          </w:tcPr>
          <w:p>
            <w:pPr>
              <w:spacing w:after="0"/>
              <w:rPr>
                <w:sz w:val="19"/>
                <w:szCs w:val="19"/>
                <w:color w:val="auto"/>
              </w:rPr>
            </w:pPr>
          </w:p>
        </w:tc>
        <w:tc>
          <w:tcPr>
            <w:tcW w:w="4760" w:type="dxa"/>
            <w:vAlign w:val="bottom"/>
            <w:vMerge w:val="continue"/>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47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-934085</wp:posOffset>
            </wp:positionV>
            <wp:extent cx="702945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spacing w:after="0" w:line="114" w:lineRule="exact"/>
        <w:rPr>
          <w:sz w:val="20"/>
          <w:szCs w:val="20"/>
          <w:color w:val="auto"/>
        </w:rPr>
      </w:pPr>
    </w:p>
    <w:p>
      <w:pPr>
        <w:ind w:left="440" w:right="20" w:hanging="332"/>
        <w:spacing w:after="0" w:line="238" w:lineRule="auto"/>
        <w:tabs>
          <w:tab w:leader="none" w:pos="4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“Other expense, net” as reported on our Condensed Consolidated Statements of Operations, adjusted for selected items impacting comparability of $37 million and $60 million for the three months ended March 31, 2022 and 2021, respectively. See the “Selected Items Impacting Comparability” table for additional information. Adjusted other income/(expense), net attributable to noncontrolling interests is less than $1 million for each of the periods presented.</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attributable to PAA and Implied DCF Reconciliation” table for reconciliation to Net Income.</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280" w:type="dxa"/>
            <w:vAlign w:val="bottom"/>
            <w:gridSpan w:val="4"/>
          </w:tcPr>
          <w:p>
            <w:pPr>
              <w:jc w:val="center"/>
              <w:ind w:right="97"/>
              <w:spacing w:after="0"/>
              <w:rPr>
                <w:sz w:val="20"/>
                <w:szCs w:val="20"/>
                <w:color w:val="auto"/>
              </w:rPr>
            </w:pPr>
            <w:r>
              <w:rPr>
                <w:rFonts w:ascii="Arial" w:cs="Arial" w:eastAsia="Arial" w:hAnsi="Arial"/>
                <w:sz w:val="14"/>
                <w:szCs w:val="14"/>
                <w:b w:val="1"/>
                <w:bCs w:val="1"/>
                <w:color w:val="auto"/>
                <w:w w:val="93"/>
              </w:rPr>
              <w:t>Three Months Ended</w:t>
            </w:r>
          </w:p>
        </w:tc>
      </w:tr>
      <w:tr>
        <w:trPr>
          <w:trHeight w:val="188"/>
        </w:trPr>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4"/>
              </w:rPr>
              <w:t>March 31, 2022</w:t>
            </w:r>
          </w:p>
        </w:tc>
        <w:tc>
          <w:tcPr>
            <w:tcW w:w="180" w:type="dxa"/>
            <w:vAlign w:val="bottom"/>
          </w:tcPr>
          <w:p>
            <w:pPr>
              <w:spacing w:after="0"/>
              <w:rPr>
                <w:sz w:val="16"/>
                <w:szCs w:val="16"/>
                <w:color w:val="auto"/>
              </w:rPr>
            </w:pPr>
          </w:p>
        </w:tc>
        <w:tc>
          <w:tcPr>
            <w:tcW w:w="152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4"/>
              </w:rPr>
              <w:t>March 31, 2021</w:t>
            </w:r>
          </w:p>
        </w:tc>
        <w:tc>
          <w:tcPr>
            <w:tcW w:w="760" w:type="dxa"/>
            <w:vAlign w:val="bottom"/>
          </w:tcPr>
          <w:p>
            <w:pPr>
              <w:spacing w:after="0"/>
              <w:rPr>
                <w:sz w:val="16"/>
                <w:szCs w:val="16"/>
                <w:color w:val="auto"/>
              </w:rPr>
            </w:pPr>
          </w:p>
        </w:tc>
      </w:tr>
      <w:tr>
        <w:trPr>
          <w:trHeight w:val="195"/>
        </w:trPr>
        <w:tc>
          <w:tcPr>
            <w:tcW w:w="6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NGL</w:t>
            </w:r>
          </w:p>
        </w:tc>
      </w:tr>
      <w:tr>
        <w:trPr>
          <w:trHeight w:val="212"/>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474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6"/>
        </w:trPr>
        <w:tc>
          <w:tcPr>
            <w:tcW w:w="61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680"/>
              <w:spacing w:after="0"/>
              <w:rPr>
                <w:sz w:val="20"/>
                <w:szCs w:val="20"/>
                <w:color w:val="auto"/>
              </w:rPr>
            </w:pPr>
            <w:r>
              <w:rPr>
                <w:rFonts w:ascii="Arial" w:cs="Arial" w:eastAsia="Arial" w:hAnsi="Arial"/>
                <w:sz w:val="17"/>
                <w:szCs w:val="17"/>
                <w:color w:val="auto"/>
                <w:w w:val="99"/>
              </w:rPr>
              <w:t>(35)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248285</wp:posOffset>
            </wp:positionV>
            <wp:extent cx="2459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440" w:right="340" w:hanging="332"/>
        <w:spacing w:after="0" w:line="204" w:lineRule="auto"/>
        <w:tabs>
          <w:tab w:leader="none" w:pos="428" w:val="left"/>
        </w:tabs>
        <w:numPr>
          <w:ilvl w:val="0"/>
          <w:numId w:val="16"/>
        </w:numPr>
        <w:rPr>
          <w:rFonts w:ascii="Arial" w:cs="Arial" w:eastAsia="Arial" w:hAnsi="Arial"/>
          <w:sz w:val="26"/>
          <w:szCs w:val="26"/>
          <w:color w:val="auto"/>
          <w:vertAlign w:val="superscript"/>
        </w:rPr>
      </w:pPr>
      <w:r>
        <w:rPr>
          <w:rFonts w:ascii="Arial" w:cs="Arial" w:eastAsia="Arial" w:hAnsi="Arial"/>
          <w:sz w:val="18"/>
          <w:szCs w:val="18"/>
          <w:color w:val="auto"/>
        </w:rPr>
        <w:t>Estimated impact of divestitures completed during 2021, assuming an effective date of January 1, 2021. Divested assets primarily included certain natural gas storage facilities previously included in our Crude Oil segment. Note: The natural gas storage business captured one-time benefits from Winter Storm Uri in the first quarter 2021.</w:t>
      </w:r>
    </w:p>
    <w:p>
      <w:pPr>
        <w:spacing w:after="0" w:line="149" w:lineRule="exact"/>
        <w:rPr>
          <w:rFonts w:ascii="Arial" w:cs="Arial" w:eastAsia="Arial" w:hAnsi="Arial"/>
          <w:sz w:val="26"/>
          <w:szCs w:val="26"/>
          <w:color w:val="auto"/>
          <w:vertAlign w:val="superscript"/>
        </w:rPr>
      </w:pPr>
    </w:p>
    <w:p>
      <w:pPr>
        <w:ind w:left="5540" w:hanging="106"/>
        <w:spacing w:after="0"/>
        <w:tabs>
          <w:tab w:leader="none" w:pos="5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40"/>
          </w:cols>
          <w:pgMar w:left="2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12,785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12,785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80" w:type="dxa"/>
            <w:vAlign w:val="bottom"/>
          </w:tcPr>
          <w:p>
            <w:pPr>
              <w:spacing w:after="0"/>
              <w:rPr>
                <w:sz w:val="15"/>
                <w:szCs w:val="15"/>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36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Net income attributable to noncontrolling</w:t>
            </w:r>
          </w:p>
        </w:tc>
        <w:tc>
          <w:tcPr>
            <w:tcW w:w="2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187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3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PAGP</w:t>
            </w:r>
          </w:p>
        </w:tc>
        <w:tc>
          <w:tcPr>
            <w:tcW w:w="2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gridSpan w:val="8"/>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61"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2022</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6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8,572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12,644</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0" w:type="dxa"/>
            <w:vAlign w:val="bottom"/>
          </w:tcPr>
          <w:p>
            <w:pPr>
              <w:spacing w:after="0"/>
              <w:rPr>
                <w:sz w:val="1"/>
                <w:szCs w:val="1"/>
                <w:color w:val="auto"/>
              </w:rPr>
            </w:pPr>
          </w:p>
        </w:tc>
      </w:tr>
      <w:tr>
        <w:trPr>
          <w:trHeight w:val="263"/>
        </w:trPr>
        <w:tc>
          <w:tcPr>
            <w:tcW w:w="33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30,642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258"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PAGP</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Class A shares outstanding</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388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4"/>
        </w:trPr>
        <w:tc>
          <w:tcPr>
            <w:tcW w:w="8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net income per Class A share</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77" w:lineRule="exact"/>
        <w:rPr>
          <w:sz w:val="20"/>
          <w:szCs w:val="20"/>
          <w:color w:val="auto"/>
        </w:rPr>
      </w:pPr>
    </w:p>
    <w:p>
      <w:pPr>
        <w:ind w:left="340" w:right="20" w:hanging="332"/>
        <w:spacing w:after="0" w:line="224" w:lineRule="auto"/>
        <w:tabs>
          <w:tab w:leader="none" w:pos="334"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For the three months ended March 31, 2022 and 2021, the possible exchange of AAP units and AAP Management units would not have had a dilutive effect on basic net income per Class A share.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30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51" w:lineRule="exact"/>
        <w:rPr>
          <w:sz w:val="20"/>
          <w:szCs w:val="20"/>
          <w:color w:val="auto"/>
        </w:rPr>
      </w:pPr>
    </w:p>
    <w:p>
      <w:pPr>
        <w:ind w:left="660" w:right="160" w:hanging="328"/>
        <w:spacing w:after="0" w:line="283" w:lineRule="auto"/>
        <w:tabs>
          <w:tab w:leader="none" w:pos="655" w:val="left"/>
        </w:tabs>
        <w:numPr>
          <w:ilvl w:val="0"/>
          <w:numId w:val="20"/>
        </w:numPr>
        <w:rPr>
          <w:rFonts w:ascii="Arial" w:cs="Arial" w:eastAsia="Arial" w:hAnsi="Arial"/>
          <w:sz w:val="19"/>
          <w:szCs w:val="19"/>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02" w:lineRule="exact"/>
        <w:rPr>
          <w:rFonts w:ascii="Arial" w:cs="Arial" w:eastAsia="Arial" w:hAnsi="Arial"/>
          <w:sz w:val="19"/>
          <w:szCs w:val="19"/>
          <w:color w:val="auto"/>
        </w:rPr>
      </w:pPr>
    </w:p>
    <w:p>
      <w:pPr>
        <w:ind w:left="660" w:right="100" w:hanging="328"/>
        <w:spacing w:after="0" w:line="297" w:lineRule="auto"/>
        <w:tabs>
          <w:tab w:leader="none" w:pos="655" w:val="left"/>
        </w:tabs>
        <w:numPr>
          <w:ilvl w:val="0"/>
          <w:numId w:val="20"/>
        </w:numPr>
        <w:rPr>
          <w:rFonts w:ascii="Arial" w:cs="Arial" w:eastAsia="Arial" w:hAnsi="Arial"/>
          <w:sz w:val="19"/>
          <w:szCs w:val="19"/>
          <w:color w:val="auto"/>
        </w:rPr>
      </w:pPr>
      <w:r>
        <w:rPr>
          <w:rFonts w:ascii="Arial" w:cs="Arial" w:eastAsia="Arial" w:hAnsi="Arial"/>
          <w:sz w:val="16"/>
          <w:szCs w:val="16"/>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82" w:lineRule="exact"/>
        <w:rPr>
          <w:rFonts w:ascii="Arial" w:cs="Arial" w:eastAsia="Arial" w:hAnsi="Arial"/>
          <w:sz w:val="19"/>
          <w:szCs w:val="19"/>
          <w:color w:val="auto"/>
        </w:rPr>
      </w:pPr>
    </w:p>
    <w:p>
      <w:pPr>
        <w:ind w:left="660" w:right="180" w:hanging="328"/>
        <w:spacing w:after="0" w:line="251" w:lineRule="auto"/>
        <w:tabs>
          <w:tab w:leader="none" w:pos="655" w:val="left"/>
        </w:tabs>
        <w:numPr>
          <w:ilvl w:val="0"/>
          <w:numId w:val="20"/>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34" w:lineRule="exact"/>
        <w:rPr>
          <w:rFonts w:ascii="Arial" w:cs="Arial" w:eastAsia="Arial" w:hAnsi="Arial"/>
          <w:sz w:val="22"/>
          <w:szCs w:val="22"/>
          <w:color w:val="auto"/>
        </w:rPr>
      </w:pPr>
    </w:p>
    <w:p>
      <w:pPr>
        <w:ind w:left="660" w:right="120" w:hanging="328"/>
        <w:spacing w:after="0" w:line="259" w:lineRule="auto"/>
        <w:tabs>
          <w:tab w:leader="none" w:pos="655" w:val="left"/>
        </w:tabs>
        <w:numPr>
          <w:ilvl w:val="0"/>
          <w:numId w:val="20"/>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growth, and the timing, pace and extent of economic recovery) that impact demand for crude oil, drilling and production activities and therefore the demand for the midstream services we provide and commercial opportunities available to us;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82" w:lineRule="exact"/>
        <w:rPr>
          <w:sz w:val="20"/>
          <w:szCs w:val="20"/>
          <w:color w:val="auto"/>
        </w:rPr>
      </w:pPr>
    </w:p>
    <w:p>
      <w:pPr>
        <w:ind w:left="660" w:right="20" w:hanging="328"/>
        <w:spacing w:after="0" w:line="241"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arise out of pandemic related concerns, that prohibit, restrict or regulate hydraulic fracturing or that prohibit the development of oil and gas resources and the related infrastructure on lands dedicated to or served by our pipelines;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loss of key personnel and inability to attract and retain new talent;</w:t>
      </w:r>
    </w:p>
    <w:p>
      <w:pPr>
        <w:spacing w:after="0" w:line="134" w:lineRule="exact"/>
        <w:rPr>
          <w:rFonts w:ascii="Arial" w:cs="Arial" w:eastAsia="Arial" w:hAnsi="Arial"/>
          <w:sz w:val="22"/>
          <w:szCs w:val="22"/>
          <w:color w:val="auto"/>
        </w:rPr>
      </w:pPr>
    </w:p>
    <w:p>
      <w:pPr>
        <w:ind w:left="660" w:right="30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35"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70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4" w:lineRule="exact"/>
        <w:rPr>
          <w:rFonts w:ascii="Arial" w:cs="Arial" w:eastAsia="Arial" w:hAnsi="Arial"/>
          <w:sz w:val="22"/>
          <w:szCs w:val="22"/>
          <w:color w:val="auto"/>
        </w:rPr>
      </w:pPr>
    </w:p>
    <w:p>
      <w:pPr>
        <w:ind w:left="660" w:right="60" w:hanging="328"/>
        <w:spacing w:after="0" w:line="284" w:lineRule="auto"/>
        <w:tabs>
          <w:tab w:leader="none" w:pos="655" w:val="left"/>
        </w:tabs>
        <w:numPr>
          <w:ilvl w:val="0"/>
          <w:numId w:val="21"/>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ind w:left="660" w:hanging="328"/>
        <w:spacing w:after="0" w:line="297" w:lineRule="auto"/>
        <w:tabs>
          <w:tab w:leader="none" w:pos="655"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 or events;</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34" w:lineRule="exact"/>
        <w:rPr>
          <w:rFonts w:ascii="Arial" w:cs="Arial" w:eastAsia="Arial" w:hAnsi="Arial"/>
          <w:sz w:val="22"/>
          <w:szCs w:val="22"/>
          <w:color w:val="auto"/>
        </w:rPr>
      </w:pPr>
    </w:p>
    <w:p>
      <w:pPr>
        <w:ind w:left="660" w:right="56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135" w:lineRule="exact"/>
        <w:rPr>
          <w:rFonts w:ascii="Arial" w:cs="Arial" w:eastAsia="Arial" w:hAnsi="Arial"/>
          <w:sz w:val="22"/>
          <w:szCs w:val="22"/>
          <w:color w:val="auto"/>
        </w:rPr>
      </w:pPr>
    </w:p>
    <w:p>
      <w:pPr>
        <w:ind w:left="660" w:right="40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right="80" w:hanging="328"/>
        <w:spacing w:after="0" w:line="297" w:lineRule="auto"/>
        <w:tabs>
          <w:tab w:leader="none" w:pos="655" w:val="left"/>
        </w:tabs>
        <w:numPr>
          <w:ilvl w:val="0"/>
          <w:numId w:val="21"/>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currency exchange rate of the Canadian dollar to the United States dollar;</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risks related to the development and operation of our assets; and</w:t>
      </w:r>
    </w:p>
    <w:p>
      <w:pPr>
        <w:spacing w:after="0" w:line="134" w:lineRule="exact"/>
        <w:rPr>
          <w:rFonts w:ascii="Arial" w:cs="Arial" w:eastAsia="Arial" w:hAnsi="Arial"/>
          <w:sz w:val="22"/>
          <w:szCs w:val="22"/>
          <w:color w:val="auto"/>
        </w:rPr>
      </w:pPr>
    </w:p>
    <w:p>
      <w:pPr>
        <w:ind w:left="660" w:right="500" w:hanging="328"/>
        <w:spacing w:after="0" w:line="238"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Plains:</w:t>
      </w:r>
    </w:p>
    <w:p>
      <w:pPr>
        <w:spacing w:after="0" w:line="27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6 million barrels per day of crude oil and NGL.</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32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Gladstein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080"/>
      </w:cols>
      <w:pgMar w:left="320" w:top="36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lvl w:ilvl="1">
      <w:lvlJc w:val="left"/>
      <w:lvlText w:val="-"/>
      <w:numFmt w:val="bullet"/>
      <w:start w:val="1"/>
    </w:lvl>
  </w:abstractNum>
  <w:abstractNum w:abstractNumId="8">
    <w:nsid w:val="41A7C4C9"/>
    <w:multiLevelType w:val="hybridMultilevel"/>
    <w:lvl w:ilvl="0">
      <w:lvlJc w:val="left"/>
      <w:lvlText w:val="(%1)"/>
      <w:numFmt w:val="decimal"/>
      <w:start w:val="1"/>
    </w:lvl>
    <w:lvl w:ilvl="1">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lvl w:ilvl="1">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lvl w:ilvl="1">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2022-05-04T15:45:04Z</dcterms:created>
  <dcterms:modified xsi:type="dcterms:W3CDTF">2022-05-04T15:45:04Z</dcterms:modified>
</cp:coreProperties>
</file>