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2120e8vk.htm"/>
      <w:bookmarkStart w:id="1" w:name="ksh42120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Pursuant 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December 14, 2006</w:t>
      </w:r>
      <w:r>
        <w:rPr>
          <w:rFonts w:ascii="Times New Roman;Times;serif" w:hAnsi="Times New Roman;Times;serif"/>
          <w:sz w:val="17"/>
        </w:rPr>
        <w:br/>
        <w:t>Date of Report (Date of earliest event reported)</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p>
      <w:pPr>
        <w:pStyle w:val="TextBody"/>
        <w:spacing w:before="32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(Registrants telephone number, including area code)</w:t>
      </w:r>
    </w:p>
    <w:p>
      <w:pPr>
        <w:pStyle w:val="TextBody"/>
        <w:spacing w:before="320" w:after="283"/>
        <w:jc w:val="center"/>
        <w:rPr>
          <w:bdr w:val="single" w:sz="2" w:space="1" w:color="000000"/>
        </w:rPr>
      </w:pPr>
      <w:r>
        <w:rPr>
          <w:bdr w:val="single" w:sz="2" w:space="1" w:color="000000"/>
        </w:rPr>
        <w:t> </w:t>
      </w:r>
    </w:p>
    <w:p>
      <w:pPr>
        <w:pStyle w:val="TextBody"/>
        <w:spacing w:before="120" w:after="283"/>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Written communications pursuant to Rule 425 under the Securities Act (17 CFR 230.425)</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Soliciting material pursuant to Rule 14a-12 under the Exchange Act (17 CFR 240.14a-12)</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Pre-commencement communications pursuant to Rule 14d-2(b) under the Exchange Act (17 CFR 240.14d-2(b))</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8.01. Other Events.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December 14, 2006, Plains All American Pipeline, L.P. (the Partnership) issued a press release announcing that it has extended to 5:00 p.m., Eastern Time, on December 20, 2006, its offer to exchange all of its outstanding 6.70% Senior Notes due 2036 for its 6.70% Senior Notes due 2036 that have been registered under the Securities Act of 1933, as amended. The Partnership is filing a copy of the press release as Exhibit 99.1 hereto.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Exhibits.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 Exhibits. </w:t>
      </w:r>
    </w:p>
    <w:p>
      <w:pPr>
        <w:pStyle w:val="TextBody"/>
        <w:spacing w:before="120" w:after="283"/>
        <w:jc w:val="left"/>
        <w:rPr/>
      </w:pPr>
      <w:r>
        <w:rPr/>
        <w:t>               </w:t>
      </w:r>
      <w:r>
        <w:rPr>
          <w:rFonts w:ascii="Times New Roman;Times;serif" w:hAnsi="Times New Roman;Times;serif"/>
          <w:sz w:val="17"/>
        </w:rPr>
        <w:t xml:space="preserve">99.1 Press Release of Plains All American Pipeline, L.P. dated December 14, 2006.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43"/>
        <w:gridCol w:w="345"/>
        <w:gridCol w:w="592"/>
        <w:gridCol w:w="3656"/>
        <w:gridCol w:w="1269"/>
      </w:tblGrid>
      <w:tr>
        <w:trPr/>
        <w:tc>
          <w:tcPr>
            <w:tcW w:w="4343"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56" w:type="dxa"/>
            <w:tcBorders/>
            <w:shd w:fill="auto" w:val="clear"/>
            <w:vAlign w:val="center"/>
          </w:tcPr>
          <w:p>
            <w:pPr>
              <w:pStyle w:val="TableContents"/>
              <w:spacing w:before="0" w:after="283"/>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Date: December 14, 2006 </w:t>
            </w:r>
          </w:p>
        </w:tc>
        <w:tc>
          <w:tcPr>
            <w:tcW w:w="4593" w:type="dxa"/>
            <w:gridSpan w:val="3"/>
            <w:tcBorders/>
            <w:shd w:fill="auto" w:val="clear"/>
            <w:vAlign w:val="center"/>
          </w:tcPr>
          <w:p>
            <w:pPr>
              <w:pStyle w:val="TableContents"/>
              <w:spacing w:before="0" w:after="283"/>
              <w:jc w:val="left"/>
              <w:rPr/>
            </w:pPr>
            <w:r>
              <w:rPr/>
              <w:t>PLAINS ALL AMERICAN PIPELINE, L.P.</w:t>
              <w:b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AAP, L.P.,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4248" w:type="dxa"/>
            <w:gridSpan w:val="2"/>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All American GP LLC, its general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4248" w:type="dxa"/>
            <w:gridSpan w:val="2"/>
            <w:tcBorders/>
            <w:shd w:fill="auto" w:val="clear"/>
            <w:vAlign w:val="center"/>
          </w:tcPr>
          <w:p>
            <w:pPr>
              <w:pStyle w:val="TableContents"/>
              <w:spacing w:before="0" w:after="283"/>
              <w:jc w:val="left"/>
              <w:rPr/>
            </w:pPr>
            <w:r>
              <w:rPr/>
              <w:t>partner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56" w:type="dxa"/>
            <w:tcBorders/>
            <w:shd w:fill="auto" w:val="clear"/>
            <w:vAlign w:val="center"/>
          </w:tcPr>
          <w:p>
            <w:pPr>
              <w:pStyle w:val="TableContents"/>
              <w:spacing w:before="0" w:after="283"/>
              <w:jc w:val="left"/>
              <w:rPr/>
            </w:pPr>
            <w:r>
              <w:rPr/>
              <w:t>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56" w:type="dxa"/>
            <w:tcBorders/>
            <w:shd w:fill="auto" w:val="clear"/>
            <w:vAlign w:val="center"/>
          </w:tcPr>
          <w:p>
            <w:pPr>
              <w:pStyle w:val="TableContents"/>
              <w:spacing w:before="0" w:after="283"/>
              <w:jc w:val="left"/>
              <w:rPr/>
            </w:pPr>
            <w:r>
              <w:rPr/>
              <w:t>Vice President </w:t>
            </w:r>
          </w:p>
        </w:tc>
        <w:tc>
          <w:tcPr>
            <w:tcW w:w="1269"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120" w:after="283"/>
        <w:jc w:val="center"/>
        <w:rPr>
          <w:rFonts w:ascii="Times New Roman;Times;serif" w:hAnsi="Times New Roman;Times;serif"/>
          <w:sz w:val="20"/>
        </w:rPr>
      </w:pPr>
      <w:r>
        <w:rPr>
          <w:rFonts w:ascii="Times New Roman;Times;serif" w:hAnsi="Times New Roman;Times;serif"/>
          <w:b/>
          <w:sz w:val="20"/>
        </w:rPr>
        <w:t>Exhibit Index</w:t>
      </w:r>
      <w:r>
        <w:rPr>
          <w:rFonts w:ascii="Times New Roman;Times;serif" w:hAnsi="Times New Roman;Times;serif"/>
          <w:sz w:val="20"/>
        </w:rPr>
        <w:t xml:space="preserve"> </w:t>
      </w:r>
    </w:p>
    <w:tbl>
      <w:tblPr>
        <w:tblW w:w="5000" w:type="pct"/>
        <w:jc w:val="center"/>
        <w:tblInd w:w="0" w:type="dxa"/>
        <w:tblCellMar>
          <w:top w:w="0" w:type="dxa"/>
          <w:left w:w="0" w:type="dxa"/>
          <w:bottom w:w="0" w:type="dxa"/>
          <w:right w:w="0" w:type="dxa"/>
        </w:tblCellMar>
      </w:tblPr>
      <w:tblGrid>
        <w:gridCol w:w="829"/>
        <w:gridCol w:w="207"/>
        <w:gridCol w:w="9169"/>
      </w:tblGrid>
      <w:tr>
        <w:trPr/>
        <w:tc>
          <w:tcPr>
            <w:tcW w:w="829"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9169" w:type="dxa"/>
            <w:tcBorders/>
            <w:shd w:fill="auto" w:val="clear"/>
            <w:vAlign w:val="bottom"/>
          </w:tcPr>
          <w:p>
            <w:pPr>
              <w:pStyle w:val="TableContents"/>
              <w:spacing w:before="0" w:after="283"/>
              <w:rPr/>
            </w:pPr>
            <w:r>
              <w:rPr/>
              <w:t> </w:t>
            </w:r>
          </w:p>
        </w:tc>
      </w:tr>
      <w:tr>
        <w:trPr/>
        <w:tc>
          <w:tcPr>
            <w:tcW w:w="829" w:type="dxa"/>
            <w:tcBorders/>
            <w:shd w:fill="auto" w:val="clear"/>
            <w:vAlign w:val="bottom"/>
          </w:tcPr>
          <w:p>
            <w:pPr>
              <w:pStyle w:val="TableContents"/>
              <w:spacing w:before="0" w:after="283"/>
              <w:jc w:val="left"/>
              <w:rPr/>
            </w:pPr>
            <w:r>
              <w:rPr/>
              <w:t>Exhibits</w:t>
            </w:r>
          </w:p>
        </w:tc>
        <w:tc>
          <w:tcPr>
            <w:tcW w:w="207" w:type="dxa"/>
            <w:tcBorders/>
            <w:shd w:fill="auto" w:val="clear"/>
            <w:vAlign w:val="bottom"/>
          </w:tcPr>
          <w:p>
            <w:pPr>
              <w:pStyle w:val="TableContents"/>
              <w:spacing w:before="0" w:after="283"/>
              <w:rPr/>
            </w:pPr>
            <w:r>
              <w:rPr/>
              <w:t> </w:t>
            </w:r>
          </w:p>
        </w:tc>
        <w:tc>
          <w:tcPr>
            <w:tcW w:w="9169" w:type="dxa"/>
            <w:tcBorders/>
            <w:shd w:fill="auto" w:val="clear"/>
            <w:vAlign w:val="bottom"/>
          </w:tcPr>
          <w:p>
            <w:pPr>
              <w:pStyle w:val="TableContents"/>
              <w:spacing w:before="0" w:after="283"/>
              <w:rPr/>
            </w:pPr>
            <w:r>
              <w:rPr/>
              <w:t> </w:t>
            </w:r>
          </w:p>
        </w:tc>
      </w:tr>
      <w:tr>
        <w:trPr/>
        <w:tc>
          <w:tcPr>
            <w:tcW w:w="829" w:type="dxa"/>
            <w:tcBorders/>
            <w:shd w:fill="auto" w:val="clear"/>
          </w:tcPr>
          <w:p>
            <w:pPr>
              <w:pStyle w:val="TableContents"/>
              <w:spacing w:before="0" w:after="0"/>
              <w:ind w:left="0" w:right="0" w:hanging="0"/>
              <w:rPr/>
            </w:pPr>
            <w:r>
              <w:rPr/>
              <w:t xml:space="preserve">  </w:t>
            </w:r>
          </w:p>
        </w:tc>
        <w:tc>
          <w:tcPr>
            <w:tcW w:w="207" w:type="dxa"/>
            <w:tcBorders/>
            <w:shd w:fill="auto" w:val="clear"/>
            <w:vAlign w:val="bottom"/>
          </w:tcPr>
          <w:p>
            <w:pPr>
              <w:pStyle w:val="TableContents"/>
              <w:spacing w:before="0" w:after="283"/>
              <w:rPr/>
            </w:pPr>
            <w:r>
              <w:rPr/>
              <w:t> </w:t>
            </w:r>
          </w:p>
        </w:tc>
        <w:tc>
          <w:tcPr>
            <w:tcW w:w="9169" w:type="dxa"/>
            <w:tcBorders/>
            <w:shd w:fill="auto" w:val="clear"/>
          </w:tcPr>
          <w:p>
            <w:pPr>
              <w:pStyle w:val="TableContents"/>
              <w:spacing w:before="0" w:after="283"/>
              <w:jc w:val="left"/>
              <w:rPr/>
            </w:pPr>
            <w:r>
              <w:rPr/>
              <w:t>99.1          Press Release of Plains All American Pipeline, L.P. dated December 14,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4 </w:t>
      </w:r>
      <w:r>
        <w:br w:type="page"/>
      </w:r>
    </w:p>
    <w:p>
      <w:pPr>
        <w:pStyle w:val="Heading5"/>
        <w:jc w:val="left"/>
        <w:rPr/>
      </w:pPr>
      <w:bookmarkStart w:id="2" w:name="h42120exv99w1.htm"/>
      <w:bookmarkStart w:id="3" w:name="ksh42120exv99w1"/>
      <w:bookmarkEnd w:id="2"/>
      <w:bookmarkEnd w:id="3"/>
      <w:r>
        <w:rPr/>
        <w:t> </w:t>
      </w:r>
    </w:p>
    <w:p>
      <w:pPr>
        <w:pStyle w:val="TextBody"/>
        <w:spacing w:before="360" w:after="283"/>
        <w:jc w:val="center"/>
        <w:rPr/>
      </w:pPr>
      <w:r>
        <w:rPr/>
        <w:drawing>
          <wp:inline distT="0" distB="0" distL="0" distR="0">
            <wp:extent cx="5600700" cy="809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00700" cy="809625"/>
                    </a:xfrm>
                    <a:prstGeom prst="rect">
                      <a:avLst/>
                    </a:prstGeom>
                  </pic:spPr>
                </pic:pic>
              </a:graphicData>
            </a:graphic>
          </wp:inline>
        </w:drawing>
      </w:r>
      <w:r>
        <w:rPr/>
        <w:t xml:space="preserve"> </w:t>
      </w:r>
    </w:p>
    <w:tbl>
      <w:tblPr>
        <w:tblW w:w="5000" w:type="pct"/>
        <w:jc w:val="center"/>
        <w:tblInd w:w="0" w:type="dxa"/>
        <w:tblCellMar>
          <w:top w:w="0" w:type="dxa"/>
          <w:left w:w="0" w:type="dxa"/>
          <w:bottom w:w="0" w:type="dxa"/>
          <w:right w:w="0" w:type="dxa"/>
        </w:tblCellMar>
      </w:tblPr>
      <w:tblGrid>
        <w:gridCol w:w="1063"/>
        <w:gridCol w:w="318"/>
        <w:gridCol w:w="3189"/>
        <w:gridCol w:w="319"/>
        <w:gridCol w:w="5316"/>
      </w:tblGrid>
      <w:tr>
        <w:trPr/>
        <w:tc>
          <w:tcPr>
            <w:tcW w:w="1063"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3189" w:type="dxa"/>
            <w:tcBorders/>
            <w:shd w:fill="auto" w:val="clear"/>
            <w:vAlign w:val="bottom"/>
          </w:tcPr>
          <w:p>
            <w:pPr>
              <w:pStyle w:val="TableContents"/>
              <w:spacing w:before="0" w:after="283"/>
              <w:rPr/>
            </w:pPr>
            <w:r>
              <w:rPr/>
              <w:t> </w:t>
            </w:r>
          </w:p>
        </w:tc>
        <w:tc>
          <w:tcPr>
            <w:tcW w:w="319" w:type="dxa"/>
            <w:tcBorders/>
            <w:shd w:fill="auto" w:val="clear"/>
            <w:vAlign w:val="bottom"/>
          </w:tcPr>
          <w:p>
            <w:pPr>
              <w:pStyle w:val="TableContents"/>
              <w:spacing w:before="0" w:after="283"/>
              <w:rPr/>
            </w:pPr>
            <w:r>
              <w:rPr/>
              <w:t> </w:t>
            </w:r>
          </w:p>
        </w:tc>
        <w:tc>
          <w:tcPr>
            <w:tcW w:w="5316" w:type="dxa"/>
            <w:tcBorders/>
            <w:shd w:fill="auto" w:val="clear"/>
            <w:vAlign w:val="bottom"/>
          </w:tcPr>
          <w:p>
            <w:pPr>
              <w:pStyle w:val="TableContents"/>
              <w:spacing w:before="0" w:after="283"/>
              <w:rPr/>
            </w:pPr>
            <w:r>
              <w:rPr/>
              <w:t> </w:t>
            </w:r>
          </w:p>
        </w:tc>
      </w:tr>
      <w:tr>
        <w:trPr/>
        <w:tc>
          <w:tcPr>
            <w:tcW w:w="1063" w:type="dxa"/>
            <w:tcBorders/>
            <w:shd w:fill="auto" w:val="clear"/>
          </w:tcPr>
          <w:p>
            <w:pPr>
              <w:pStyle w:val="TableContents"/>
              <w:spacing w:before="0" w:after="0"/>
              <w:ind w:left="0" w:right="0" w:hanging="0"/>
              <w:rPr/>
            </w:pPr>
            <w:r>
              <w:rPr>
                <w:b/>
                <w:u w:val="single"/>
              </w:rPr>
              <w:t>Contacts</w:t>
            </w:r>
            <w:r>
              <w:rPr>
                <w:b/>
              </w:rPr>
              <w:t>:</w:t>
            </w:r>
            <w:r>
              <w:rPr/>
              <w:t xml:space="preserve"> </w:t>
            </w:r>
          </w:p>
        </w:tc>
        <w:tc>
          <w:tcPr>
            <w:tcW w:w="318" w:type="dxa"/>
            <w:tcBorders/>
            <w:shd w:fill="auto" w:val="clear"/>
            <w:vAlign w:val="bottom"/>
          </w:tcPr>
          <w:p>
            <w:pPr>
              <w:pStyle w:val="TableContents"/>
              <w:spacing w:before="0" w:after="283"/>
              <w:rPr/>
            </w:pPr>
            <w:r>
              <w:rPr/>
              <w:t> </w:t>
            </w:r>
          </w:p>
        </w:tc>
        <w:tc>
          <w:tcPr>
            <w:tcW w:w="3189" w:type="dxa"/>
            <w:tcBorders/>
            <w:shd w:fill="auto" w:val="clear"/>
          </w:tcPr>
          <w:p>
            <w:pPr>
              <w:pStyle w:val="TableContents"/>
              <w:spacing w:before="0" w:after="283"/>
              <w:jc w:val="left"/>
              <w:rPr/>
            </w:pPr>
            <w:r>
              <w:rPr>
                <w:b/>
              </w:rPr>
              <w:t>Phillip D. Kramer</w:t>
            </w:r>
            <w:r>
              <w:rPr/>
              <w:t xml:space="preserve"> </w:t>
            </w:r>
          </w:p>
        </w:tc>
        <w:tc>
          <w:tcPr>
            <w:tcW w:w="319" w:type="dxa"/>
            <w:tcBorders/>
            <w:shd w:fill="auto" w:val="clear"/>
            <w:vAlign w:val="bottom"/>
          </w:tcPr>
          <w:p>
            <w:pPr>
              <w:pStyle w:val="TableContents"/>
              <w:spacing w:before="0" w:after="283"/>
              <w:rPr/>
            </w:pPr>
            <w:r>
              <w:rPr/>
              <w:t> </w:t>
            </w:r>
          </w:p>
        </w:tc>
        <w:tc>
          <w:tcPr>
            <w:tcW w:w="5316" w:type="dxa"/>
            <w:tcBorders/>
            <w:shd w:fill="auto" w:val="clear"/>
          </w:tcPr>
          <w:p>
            <w:pPr>
              <w:pStyle w:val="TableContents"/>
              <w:spacing w:before="0" w:after="283"/>
              <w:jc w:val="left"/>
              <w:rPr>
                <w:b/>
              </w:rPr>
            </w:pPr>
            <w:r>
              <w:rPr>
                <w:b/>
              </w:rPr>
              <w:t>A. Patrick Diamond</w:t>
            </w:r>
          </w:p>
        </w:tc>
      </w:tr>
      <w:tr>
        <w:trPr/>
        <w:tc>
          <w:tcPr>
            <w:tcW w:w="1063" w:type="dxa"/>
            <w:tcBorders/>
            <w:shd w:fill="auto" w:val="clear"/>
          </w:tcPr>
          <w:p>
            <w:pPr>
              <w:pStyle w:val="TableContents"/>
              <w:spacing w:before="0" w:after="0"/>
              <w:ind w:left="0" w:right="0" w:hanging="0"/>
              <w:rPr/>
            </w:pPr>
            <w:r>
              <w:rPr/>
              <w:t xml:space="preserve">  </w:t>
            </w:r>
          </w:p>
        </w:tc>
        <w:tc>
          <w:tcPr>
            <w:tcW w:w="318" w:type="dxa"/>
            <w:tcBorders/>
            <w:shd w:fill="auto" w:val="clear"/>
            <w:vAlign w:val="bottom"/>
          </w:tcPr>
          <w:p>
            <w:pPr>
              <w:pStyle w:val="TableContents"/>
              <w:spacing w:before="0" w:after="283"/>
              <w:rPr/>
            </w:pPr>
            <w:r>
              <w:rPr/>
              <w:t> </w:t>
            </w:r>
          </w:p>
        </w:tc>
        <w:tc>
          <w:tcPr>
            <w:tcW w:w="3189" w:type="dxa"/>
            <w:tcBorders/>
            <w:shd w:fill="auto" w:val="clear"/>
          </w:tcPr>
          <w:p>
            <w:pPr>
              <w:pStyle w:val="TableContents"/>
              <w:spacing w:before="0" w:after="283"/>
              <w:jc w:val="left"/>
              <w:rPr/>
            </w:pPr>
            <w:r>
              <w:rPr>
                <w:b/>
              </w:rPr>
              <w:t>Executive Vice President and CFO</w:t>
            </w:r>
            <w:r>
              <w:rPr/>
              <w:t xml:space="preserve"> </w:t>
            </w:r>
          </w:p>
        </w:tc>
        <w:tc>
          <w:tcPr>
            <w:tcW w:w="319" w:type="dxa"/>
            <w:tcBorders/>
            <w:shd w:fill="auto" w:val="clear"/>
            <w:vAlign w:val="bottom"/>
          </w:tcPr>
          <w:p>
            <w:pPr>
              <w:pStyle w:val="TableContents"/>
              <w:spacing w:before="0" w:after="283"/>
              <w:rPr/>
            </w:pPr>
            <w:r>
              <w:rPr/>
              <w:t> </w:t>
            </w:r>
          </w:p>
        </w:tc>
        <w:tc>
          <w:tcPr>
            <w:tcW w:w="5316" w:type="dxa"/>
            <w:tcBorders/>
            <w:shd w:fill="auto" w:val="clear"/>
          </w:tcPr>
          <w:p>
            <w:pPr>
              <w:pStyle w:val="TableContents"/>
              <w:spacing w:before="0" w:after="283"/>
              <w:jc w:val="left"/>
              <w:rPr>
                <w:b/>
              </w:rPr>
            </w:pPr>
            <w:r>
              <w:rPr>
                <w:b/>
              </w:rPr>
              <w:t>Director, Strategic Planning</w:t>
            </w:r>
          </w:p>
        </w:tc>
      </w:tr>
      <w:tr>
        <w:trPr/>
        <w:tc>
          <w:tcPr>
            <w:tcW w:w="1063" w:type="dxa"/>
            <w:tcBorders/>
            <w:shd w:fill="auto" w:val="clear"/>
          </w:tcPr>
          <w:p>
            <w:pPr>
              <w:pStyle w:val="TableContents"/>
              <w:spacing w:before="0" w:after="0"/>
              <w:ind w:left="0" w:right="0" w:hanging="0"/>
              <w:rPr/>
            </w:pPr>
            <w:r>
              <w:rPr/>
              <w:t xml:space="preserve">  </w:t>
            </w:r>
          </w:p>
        </w:tc>
        <w:tc>
          <w:tcPr>
            <w:tcW w:w="318" w:type="dxa"/>
            <w:tcBorders/>
            <w:shd w:fill="auto" w:val="clear"/>
            <w:vAlign w:val="bottom"/>
          </w:tcPr>
          <w:p>
            <w:pPr>
              <w:pStyle w:val="TableContents"/>
              <w:spacing w:before="0" w:after="283"/>
              <w:rPr/>
            </w:pPr>
            <w:r>
              <w:rPr/>
              <w:t> </w:t>
            </w:r>
          </w:p>
        </w:tc>
        <w:tc>
          <w:tcPr>
            <w:tcW w:w="3189" w:type="dxa"/>
            <w:tcBorders/>
            <w:shd w:fill="auto" w:val="clear"/>
          </w:tcPr>
          <w:p>
            <w:pPr>
              <w:pStyle w:val="TableContents"/>
              <w:spacing w:before="0" w:after="283"/>
              <w:jc w:val="left"/>
              <w:rPr/>
            </w:pPr>
            <w:r>
              <w:rPr>
                <w:b/>
              </w:rPr>
              <w:t>713/646-4560  800/564-3036</w:t>
            </w:r>
            <w:r>
              <w:rPr/>
              <w:t xml:space="preserve"> </w:t>
            </w:r>
          </w:p>
        </w:tc>
        <w:tc>
          <w:tcPr>
            <w:tcW w:w="319" w:type="dxa"/>
            <w:tcBorders/>
            <w:shd w:fill="auto" w:val="clear"/>
            <w:vAlign w:val="bottom"/>
          </w:tcPr>
          <w:p>
            <w:pPr>
              <w:pStyle w:val="TableContents"/>
              <w:spacing w:before="0" w:after="283"/>
              <w:rPr/>
            </w:pPr>
            <w:r>
              <w:rPr/>
              <w:t> </w:t>
            </w:r>
          </w:p>
        </w:tc>
        <w:tc>
          <w:tcPr>
            <w:tcW w:w="5316" w:type="dxa"/>
            <w:tcBorders/>
            <w:shd w:fill="auto" w:val="clear"/>
          </w:tcPr>
          <w:p>
            <w:pPr>
              <w:pStyle w:val="TableContents"/>
              <w:spacing w:before="0" w:after="283"/>
              <w:jc w:val="left"/>
              <w:rPr>
                <w:b/>
              </w:rPr>
            </w:pPr>
            <w:r>
              <w:rPr>
                <w:b/>
              </w:rPr>
              <w:t>713/646-4487  800/564-3036</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FOR IMMEDIATE RELEASE</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23"/>
        </w:rPr>
      </w:pPr>
      <w:r>
        <w:rPr>
          <w:rFonts w:ascii="Times New Roman;Times;serif" w:hAnsi="Times New Roman;Times;serif"/>
          <w:b/>
          <w:sz w:val="23"/>
        </w:rPr>
        <w:t>Plains All American Pipeline, L.P. Announces</w:t>
        <w:br/>
        <w:t>Extension of Exchange Offer</w:t>
      </w:r>
      <w:r>
        <w:rPr>
          <w:rFonts w:ascii="Times New Roman;Times;serif" w:hAnsi="Times New Roman;Times;serif"/>
          <w:sz w:val="23"/>
        </w:rPr>
        <w:t xml:space="preserve"> </w:t>
      </w:r>
    </w:p>
    <w:p>
      <w:pPr>
        <w:pStyle w:val="TextBody"/>
        <w:spacing w:before="120" w:after="283"/>
        <w:jc w:val="left"/>
        <w:rPr/>
      </w:pPr>
      <w:r>
        <w:rPr/>
        <w:t>     </w:t>
      </w:r>
      <w:r>
        <w:rPr>
          <w:rFonts w:ascii="Times New Roman;Times;serif" w:hAnsi="Times New Roman;Times;serif"/>
          <w:sz w:val="17"/>
        </w:rPr>
        <w:t xml:space="preserve">(Houston  December 14, 2006) Plains All American Pipeline, L.P. (the Partnership) (NYSE: PAA) today announced that it has extended to 5:00 p.m., Eastern Time, on December 20, 2006, its offer to exchange (the Exchange Offer) all of its outstanding 6.70% Senior Notes due 2036 (the Old Notes) for its 6.70% Senior Notes due 2036 (the New Notes) that have been registered under the Securities Act of 1933, as amended (the Securities Act). The Exchange Offer had been scheduled to expire at 5:00 p.m., Eastern Time, on December 13, 2006. As of 5:00 p.m., Eastern Time, on December 13, 2006, Old Notes in the approximate aggregate principal amount of $249.5 million had been tendered in the Exchange Offer. </w:t>
      </w:r>
    </w:p>
    <w:p>
      <w:pPr>
        <w:pStyle w:val="TextBody"/>
        <w:spacing w:before="120" w:after="283"/>
        <w:jc w:val="left"/>
        <w:rPr/>
      </w:pPr>
      <w:r>
        <w:rPr/>
        <w:t>     </w:t>
      </w:r>
      <w:r>
        <w:rPr>
          <w:rFonts w:ascii="Times New Roman;Times;serif" w:hAnsi="Times New Roman;Times;serif"/>
          <w:sz w:val="17"/>
        </w:rPr>
        <w:t xml:space="preserve">This press release shall not constitute an offer to purchase or exchange nor the solicitation of an offer to sell or exchange the Old Notes or New Notes. The Exchange Offer was made solely by the Partnerships Prospectus dated November 3, 2006, including any supplements thereto, and is subject to certain conditions specified therein. </w:t>
      </w:r>
    </w:p>
    <w:p>
      <w:pPr>
        <w:pStyle w:val="TextBody"/>
        <w:spacing w:before="120" w:after="283"/>
        <w:jc w:val="left"/>
        <w:rPr/>
      </w:pPr>
      <w:r>
        <w:rPr/>
        <w:t>     </w:t>
      </w:r>
      <w:r>
        <w:rPr>
          <w:rFonts w:ascii="Times New Roman;Times;serif" w:hAnsi="Times New Roman;Times;serif"/>
          <w:sz w:val="17"/>
        </w:rPr>
        <w:t xml:space="preserve">For more information, contact the Exchange Agent, U.S. Bank, National Association, Attn: Brandi Steward, U.S. Bank Corporate Trust Services, Specialized Finance Dept., 60 Livingston Avenue, St. Paul, Minnesota, 55107 (Facsimile: 651-495-8138). </w:t>
      </w:r>
    </w:p>
    <w:p>
      <w:pPr>
        <w:pStyle w:val="TextBody"/>
        <w:spacing w:before="120" w:after="283"/>
        <w:jc w:val="left"/>
        <w:rPr/>
      </w:pPr>
      <w:r>
        <w:rPr/>
        <w:t>     </w:t>
      </w:r>
      <w:r>
        <w:rPr>
          <w:rFonts w:ascii="Times New Roman;Times;serif" w:hAnsi="Times New Roman;Times;serif"/>
          <w:sz w:val="17"/>
        </w:rPr>
        <w:t xml:space="preserve">Holders of Old Notes who do not tender before 5:00 p.m., Eastern Time, on December 20, 2006, will continue to hold unregistered securities and will have no right to compel the Partnership to register their Old Notes under the Securities Act. </w:t>
      </w:r>
    </w:p>
    <w:p>
      <w:pPr>
        <w:pStyle w:val="TextBody"/>
        <w:spacing w:before="120" w:after="283"/>
        <w:jc w:val="left"/>
        <w:rPr/>
      </w:pPr>
      <w:r>
        <w:rPr/>
        <w:t>     </w:t>
      </w:r>
      <w:r>
        <w:rPr>
          <w:rFonts w:ascii="Times New Roman;Times;serif" w:hAnsi="Times New Roman;Times;serif"/>
          <w:sz w:val="17"/>
        </w:rPr>
        <w:t xml:space="preserve">Plains All American Pipeline, L.P. is engaged in the transportation, storage, terminalling and marketing of crude oil, refined products and liquefied petroleum gas and other natural gas related petroleum products. Through its 50% equity ownership in PAA/Vulcan Gas Storage, LLC, the Partnership also develops and operates natural gas storage facilities. Headquartered in Houston, Texas, the Partnerships common units are traded on the New York Stock Exchange under the symbol PAA. </w:t>
      </w:r>
    </w:p>
    <w:p>
      <w:pPr>
        <w:pStyle w:val="TextBody"/>
        <w:spacing w:before="360" w:after="283"/>
        <w:jc w:val="center"/>
        <w:rPr>
          <w:rFonts w:ascii="Times New Roman;Times;serif" w:hAnsi="Times New Roman;Times;serif"/>
          <w:b/>
          <w:sz w:val="17"/>
        </w:rPr>
      </w:pPr>
      <w:r>
        <w:rPr>
          <w:rFonts w:ascii="Times New Roman;Times;serif" w:hAnsi="Times New Roman;Times;serif"/>
          <w:b/>
          <w:sz w:val="17"/>
        </w:rPr>
        <w:t># # #</w:t>
      </w:r>
    </w:p>
    <w:p>
      <w:pPr>
        <w:pStyle w:val="TextBody"/>
        <w:spacing w:before="360" w:after="283"/>
        <w:jc w:val="center"/>
        <w:rPr>
          <w:bdr w:val="single" w:sz="2" w:space="1" w:color="000000"/>
        </w:rPr>
      </w:pPr>
      <w:r>
        <w:rPr>
          <w:bdr w:val="single" w:sz="2" w:space="1" w:color="000000"/>
        </w:rPr>
        <w:t> </w:t>
      </w:r>
    </w:p>
    <w:p>
      <w:pPr>
        <w:pStyle w:val="TextBody"/>
        <w:spacing w:before="0" w:after="283"/>
        <w:jc w:val="center"/>
        <w:rPr>
          <w:rFonts w:ascii="Times New Roman;Times;serif" w:hAnsi="Times New Roman;Times;serif"/>
          <w:sz w:val="17"/>
        </w:rPr>
      </w:pPr>
      <w:r>
        <w:rPr>
          <w:rFonts w:ascii="Times New Roman;Times;serif" w:hAnsi="Times New Roman;Times;serif"/>
          <w:b/>
          <w:sz w:val="17"/>
        </w:rPr>
        <w:t xml:space="preserve">333 Clay Street, Suite 1600 </w:t>
      </w:r>
      <w:r>
        <w:rPr>
          <w:rFonts w:ascii="Times New Roman;Times;serif" w:hAnsi="Times New Roman;Times;serif"/>
          <w:sz w:val="17"/>
        </w:rPr>
        <w:t xml:space="preserve">           </w:t>
      </w:r>
      <w:r>
        <w:rPr>
          <w:rFonts w:ascii="Times New Roman;Times;serif" w:hAnsi="Times New Roman;Times;serif"/>
          <w:b/>
          <w:sz w:val="17"/>
        </w:rPr>
        <w:t>Houston, Texas 77002</w:t>
      </w:r>
      <w:r>
        <w:rPr>
          <w:rFonts w:ascii="Times New Roman;Times;serif" w:hAnsi="Times New Roman;Times;serif"/>
          <w:sz w:val="17"/>
        </w:rPr>
        <w:t>          </w:t>
      </w:r>
      <w:r>
        <w:rPr>
          <w:rFonts w:ascii="Times New Roman;Times;serif" w:hAnsi="Times New Roman;Times;serif"/>
          <w:b/>
          <w:sz w:val="17"/>
        </w:rPr>
        <w:t>713-646-4100 / 800-564-3036</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742</Words>
  <CharactersWithSpaces>4824</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