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929005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 May 5, 2020</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86"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90" w:lineRule="exact"/>
        <w:rPr>
          <w:sz w:val="24"/>
          <w:szCs w:val="24"/>
          <w:color w:val="auto"/>
        </w:rPr>
      </w:pPr>
    </w:p>
    <w:p>
      <w:pPr>
        <w:sectPr>
          <w:pgSz w:w="11900" w:h="16838" w:orient="portrait"/>
          <w:cols w:equalWidth="0" w:num="3">
            <w:col w:w="4620" w:space="720"/>
            <w:col w:w="2620" w:space="720"/>
            <w:col w:w="2540"/>
          </w:cols>
          <w:pgMar w:left="320" w:top="1440" w:right="3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3920" w:space="720"/>
            <w:col w:w="2520" w:space="720"/>
            <w:col w:w="3340"/>
          </w:cols>
          <w:pgMar w:left="320" w:top="1440" w:right="3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6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20"/>
          </w:cols>
          <w:pgMar w:left="320" w:top="1440" w:right="359" w:bottom="1440" w:gutter="0" w:footer="0" w:header="0"/>
          <w:type w:val="continuous"/>
        </w:sect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40" w:type="dxa"/>
            <w:vAlign w:val="bottom"/>
            <w:gridSpan w:val="4"/>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300" w:type="dxa"/>
            <w:vAlign w:val="bottom"/>
            <w:gridSpan w:val="3"/>
          </w:tcPr>
          <w:p>
            <w:pPr>
              <w:jc w:val="center"/>
              <w:ind w:right="920"/>
              <w:spacing w:after="0"/>
              <w:rPr>
                <w:sz w:val="20"/>
                <w:szCs w:val="20"/>
                <w:color w:val="auto"/>
              </w:rPr>
            </w:pPr>
            <w:r>
              <w:rPr>
                <w:rFonts w:ascii="Arial" w:cs="Arial" w:eastAsia="Arial" w:hAnsi="Arial"/>
                <w:sz w:val="18"/>
                <w:szCs w:val="18"/>
                <w:color w:val="auto"/>
                <w:w w:val="90"/>
              </w:rPr>
              <w:t>Title of each class</w:t>
            </w:r>
          </w:p>
        </w:tc>
        <w:tc>
          <w:tcPr>
            <w:tcW w:w="26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Trading Symbol(s)</w:t>
            </w:r>
          </w:p>
        </w:tc>
        <w:tc>
          <w:tcPr>
            <w:tcW w:w="4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300" w:type="dxa"/>
            <w:vAlign w:val="bottom"/>
            <w:gridSpan w:val="3"/>
          </w:tcPr>
          <w:p>
            <w:pPr>
              <w:jc w:val="center"/>
              <w:ind w:right="920"/>
              <w:spacing w:after="0"/>
              <w:rPr>
                <w:sz w:val="20"/>
                <w:szCs w:val="20"/>
                <w:color w:val="auto"/>
              </w:rPr>
            </w:pPr>
            <w:r>
              <w:rPr>
                <w:rFonts w:ascii="Arial" w:cs="Arial" w:eastAsia="Arial" w:hAnsi="Arial"/>
                <w:sz w:val="18"/>
                <w:szCs w:val="18"/>
                <w:color w:val="auto"/>
                <w:w w:val="92"/>
              </w:rPr>
              <w:t>Common Units</w:t>
            </w:r>
          </w:p>
        </w:tc>
        <w:tc>
          <w:tcPr>
            <w:tcW w:w="2680" w:type="dxa"/>
            <w:vAlign w:val="bottom"/>
            <w:gridSpan w:val="2"/>
          </w:tcPr>
          <w:p>
            <w:pPr>
              <w:jc w:val="center"/>
              <w:ind w:right="920"/>
              <w:spacing w:after="0"/>
              <w:rPr>
                <w:sz w:val="20"/>
                <w:szCs w:val="20"/>
                <w:color w:val="auto"/>
              </w:rPr>
            </w:pPr>
            <w:r>
              <w:rPr>
                <w:rFonts w:ascii="Arial" w:cs="Arial" w:eastAsia="Arial" w:hAnsi="Arial"/>
                <w:sz w:val="18"/>
                <w:szCs w:val="18"/>
                <w:color w:val="auto"/>
                <w:w w:val="99"/>
              </w:rPr>
              <w:t>PAA</w:t>
            </w:r>
          </w:p>
        </w:tc>
        <w:tc>
          <w:tcPr>
            <w:tcW w:w="42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64"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2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219075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158750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On May 5, 2020, the Registrant issued a press release reporting its first-quarter 2020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Exhibits.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Exhibit</w:t>
            </w:r>
          </w:p>
        </w:tc>
        <w:tc>
          <w:tcPr>
            <w:tcW w:w="10060" w:type="dxa"/>
            <w:vAlign w:val="bottom"/>
          </w:tcPr>
          <w:p>
            <w:pPr>
              <w:spacing w:after="0"/>
              <w:rPr>
                <w:sz w:val="17"/>
                <w:szCs w:val="17"/>
                <w:color w:val="auto"/>
              </w:rPr>
            </w:pPr>
          </w:p>
        </w:tc>
      </w:tr>
      <w:tr>
        <w:trPr>
          <w:trHeight w:val="210"/>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Number</w:t>
            </w:r>
          </w:p>
        </w:tc>
        <w:tc>
          <w:tcPr>
            <w:tcW w:w="10060" w:type="dxa"/>
            <w:vAlign w:val="bottom"/>
          </w:tcPr>
          <w:p>
            <w:pPr>
              <w:ind w:left="464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60" w:type="dxa"/>
            <w:vAlign w:val="bottom"/>
            <w:tcBorders>
              <w:bottom w:val="single" w:sz="8" w:color="auto"/>
            </w:tcBorders>
          </w:tcPr>
          <w:p>
            <w:pPr>
              <w:spacing w:after="0"/>
              <w:rPr>
                <w:sz w:val="2"/>
                <w:szCs w:val="2"/>
                <w:color w:val="auto"/>
              </w:rPr>
            </w:pPr>
          </w:p>
        </w:tc>
      </w:tr>
      <w:tr>
        <w:trPr>
          <w:trHeight w:val="263"/>
        </w:trPr>
        <w:tc>
          <w:tcPr>
            <w:tcW w:w="10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2"/>
                <w:szCs w:val="22"/>
                <w:color w:val="auto"/>
              </w:rPr>
            </w:pPr>
          </w:p>
        </w:tc>
        <w:tc>
          <w:tcPr>
            <w:tcW w:w="100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May 5, 2020</w:t>
              </w:r>
            </w:hyperlink>
          </w:p>
        </w:tc>
      </w:tr>
    </w:tbl>
    <w:p>
      <w:pPr>
        <w:spacing w:after="0" w:line="13" w:lineRule="exact"/>
        <w:rPr>
          <w:sz w:val="20"/>
          <w:szCs w:val="20"/>
          <w:color w:val="auto"/>
        </w:rPr>
      </w:pPr>
    </w:p>
    <w:p>
      <w:pPr>
        <w:ind w:left="1200" w:hanging="787"/>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8240" w:type="dxa"/>
            <w:vAlign w:val="bottom"/>
            <w:gridSpan w:val="3"/>
          </w:tcPr>
          <w:p>
            <w:pPr>
              <w:ind w:left="1600"/>
              <w:spacing w:after="0"/>
              <w:rPr>
                <w:sz w:val="20"/>
                <w:szCs w:val="20"/>
                <w:color w:val="auto"/>
              </w:rPr>
            </w:pPr>
            <w:r>
              <w:rPr>
                <w:rFonts w:ascii="Arial" w:cs="Arial" w:eastAsia="Arial" w:hAnsi="Arial"/>
                <w:sz w:val="18"/>
                <w:szCs w:val="18"/>
                <w:color w:val="auto"/>
              </w:rPr>
              <w:t>PLAINS ALL AMERICAN PIPELINE, L.P.</w:t>
            </w:r>
          </w:p>
        </w:tc>
      </w:tr>
      <w:tr>
        <w:trPr>
          <w:trHeight w:val="540"/>
        </w:trPr>
        <w:tc>
          <w:tcPr>
            <w:tcW w:w="2940" w:type="dxa"/>
            <w:vAlign w:val="bottom"/>
          </w:tcPr>
          <w:p>
            <w:pPr>
              <w:spacing w:after="0"/>
              <w:rPr>
                <w:sz w:val="24"/>
                <w:szCs w:val="24"/>
                <w:color w:val="auto"/>
              </w:rPr>
            </w:pPr>
          </w:p>
        </w:tc>
        <w:tc>
          <w:tcPr>
            <w:tcW w:w="8240" w:type="dxa"/>
            <w:vAlign w:val="bottom"/>
            <w:gridSpan w:val="3"/>
          </w:tcPr>
          <w:p>
            <w:pPr>
              <w:ind w:left="1600"/>
              <w:spacing w:after="0"/>
              <w:rPr>
                <w:sz w:val="20"/>
                <w:szCs w:val="20"/>
                <w:color w:val="auto"/>
              </w:rPr>
            </w:pPr>
            <w:r>
              <w:rPr>
                <w:rFonts w:ascii="Arial" w:cs="Arial" w:eastAsia="Arial" w:hAnsi="Arial"/>
                <w:sz w:val="18"/>
                <w:szCs w:val="18"/>
                <w:color w:val="auto"/>
              </w:rPr>
              <w:t>By:   PAA GP LLC, its general partner</w:t>
            </w:r>
          </w:p>
        </w:tc>
      </w:tr>
      <w:tr>
        <w:trPr>
          <w:trHeight w:val="540"/>
        </w:trPr>
        <w:tc>
          <w:tcPr>
            <w:tcW w:w="2940" w:type="dxa"/>
            <w:vAlign w:val="bottom"/>
          </w:tcPr>
          <w:p>
            <w:pPr>
              <w:spacing w:after="0"/>
              <w:rPr>
                <w:sz w:val="24"/>
                <w:szCs w:val="24"/>
                <w:color w:val="auto"/>
              </w:rPr>
            </w:pPr>
          </w:p>
        </w:tc>
        <w:tc>
          <w:tcPr>
            <w:tcW w:w="8240" w:type="dxa"/>
            <w:vAlign w:val="bottom"/>
            <w:gridSpan w:val="3"/>
          </w:tcPr>
          <w:p>
            <w:pPr>
              <w:ind w:left="1600"/>
              <w:spacing w:after="0"/>
              <w:rPr>
                <w:sz w:val="20"/>
                <w:szCs w:val="20"/>
                <w:color w:val="auto"/>
              </w:rPr>
            </w:pPr>
            <w:r>
              <w:rPr>
                <w:rFonts w:ascii="Arial" w:cs="Arial" w:eastAsia="Arial" w:hAnsi="Arial"/>
                <w:sz w:val="18"/>
                <w:szCs w:val="18"/>
                <w:color w:val="auto"/>
              </w:rPr>
              <w:t>By:   PLAINS AAP, L.P., its sole member</w:t>
            </w:r>
          </w:p>
        </w:tc>
      </w:tr>
      <w:tr>
        <w:trPr>
          <w:trHeight w:val="540"/>
        </w:trPr>
        <w:tc>
          <w:tcPr>
            <w:tcW w:w="2940" w:type="dxa"/>
            <w:vAlign w:val="bottom"/>
          </w:tcPr>
          <w:p>
            <w:pPr>
              <w:spacing w:after="0"/>
              <w:rPr>
                <w:sz w:val="24"/>
                <w:szCs w:val="24"/>
                <w:color w:val="auto"/>
              </w:rPr>
            </w:pPr>
          </w:p>
        </w:tc>
        <w:tc>
          <w:tcPr>
            <w:tcW w:w="8240" w:type="dxa"/>
            <w:vAlign w:val="bottom"/>
            <w:gridSpan w:val="3"/>
          </w:tcPr>
          <w:p>
            <w:pPr>
              <w:ind w:left="1600"/>
              <w:spacing w:after="0"/>
              <w:rPr>
                <w:sz w:val="20"/>
                <w:szCs w:val="20"/>
                <w:color w:val="auto"/>
              </w:rPr>
            </w:pPr>
            <w:r>
              <w:rPr>
                <w:rFonts w:ascii="Arial" w:cs="Arial" w:eastAsia="Arial" w:hAnsi="Arial"/>
                <w:sz w:val="18"/>
                <w:szCs w:val="18"/>
                <w:color w:val="auto"/>
              </w:rPr>
              <w:t>By:   PLAINS ALL AMERICAN GP LLC, its general partner</w:t>
            </w:r>
          </w:p>
        </w:tc>
      </w:tr>
      <w:tr>
        <w:trPr>
          <w:trHeight w:val="540"/>
        </w:trPr>
        <w:tc>
          <w:tcPr>
            <w:tcW w:w="2940" w:type="dxa"/>
            <w:vAlign w:val="bottom"/>
          </w:tcPr>
          <w:p>
            <w:pPr>
              <w:spacing w:after="0"/>
              <w:rPr>
                <w:sz w:val="20"/>
                <w:szCs w:val="20"/>
                <w:color w:val="auto"/>
              </w:rPr>
            </w:pPr>
            <w:r>
              <w:rPr>
                <w:rFonts w:ascii="Arial" w:cs="Arial" w:eastAsia="Arial" w:hAnsi="Arial"/>
                <w:sz w:val="18"/>
                <w:szCs w:val="18"/>
                <w:color w:val="auto"/>
              </w:rPr>
              <w:t>Date: May 5, 2020</w:t>
            </w:r>
          </w:p>
        </w:tc>
        <w:tc>
          <w:tcPr>
            <w:tcW w:w="8240" w:type="dxa"/>
            <w:vAlign w:val="bottom"/>
            <w:gridSpan w:val="3"/>
          </w:tcPr>
          <w:p>
            <w:pPr>
              <w:ind w:left="1600"/>
              <w:spacing w:after="0"/>
              <w:rPr>
                <w:sz w:val="20"/>
                <w:szCs w:val="20"/>
                <w:color w:val="auto"/>
              </w:rPr>
            </w:pPr>
            <w:r>
              <w:rPr>
                <w:rFonts w:ascii="Arial" w:cs="Arial" w:eastAsia="Arial" w:hAnsi="Arial"/>
                <w:sz w:val="18"/>
                <w:szCs w:val="18"/>
                <w:color w:val="auto"/>
              </w:rPr>
              <w:t>By:   /s/ Sharon Spurlin</w:t>
            </w:r>
          </w:p>
        </w:tc>
      </w:tr>
      <w:tr>
        <w:trPr>
          <w:trHeight w:val="27"/>
        </w:trPr>
        <w:tc>
          <w:tcPr>
            <w:tcW w:w="2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5540" w:type="dxa"/>
            <w:vAlign w:val="bottom"/>
          </w:tcPr>
          <w:p>
            <w:pPr>
              <w:ind w:left="160"/>
              <w:spacing w:after="0"/>
              <w:rPr>
                <w:sz w:val="20"/>
                <w:szCs w:val="20"/>
                <w:color w:val="auto"/>
              </w:rPr>
            </w:pPr>
            <w:r>
              <w:rPr>
                <w:rFonts w:ascii="Arial" w:cs="Arial" w:eastAsia="Arial" w:hAnsi="Arial"/>
                <w:sz w:val="18"/>
                <w:szCs w:val="18"/>
                <w:color w:val="auto"/>
              </w:rPr>
              <w:t>Sharon Spurlin</w:t>
            </w:r>
          </w:p>
        </w:tc>
      </w:tr>
      <w:tr>
        <w:trPr>
          <w:trHeight w:val="270"/>
        </w:trPr>
        <w:tc>
          <w:tcPr>
            <w:tcW w:w="29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40" w:type="dxa"/>
            <w:vAlign w:val="bottom"/>
          </w:tcPr>
          <w:p>
            <w:pPr>
              <w:ind w:left="160"/>
              <w:spacing w:after="0"/>
              <w:rPr>
                <w:sz w:val="20"/>
                <w:szCs w:val="20"/>
                <w:color w:val="auto"/>
              </w:rPr>
            </w:pPr>
            <w:r>
              <w:rPr>
                <w:rFonts w:ascii="Arial" w:cs="Arial" w:eastAsia="Arial" w:hAnsi="Arial"/>
                <w:sz w:val="18"/>
                <w:szCs w:val="18"/>
                <w:i w:val="1"/>
                <w:iCs w:val="1"/>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445770</wp:posOffset>
            </wp:positionV>
            <wp:extent cx="5846445"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64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Plains GP Holdings Report First-Quarter 2020 Results; Update 2020 Guidance</w:t>
      </w:r>
    </w:p>
    <w:p>
      <w:pPr>
        <w:spacing w:after="0" w:line="256"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(Houston — May 5, 2020) Plains All American Pipeline, L.P. (NYSE: PAA) and Plains GP Holdings (NYSE: PAGP) today reported first-quarter 2020 results and furnished updated 2020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297" w:lineRule="exact"/>
        <w:rPr>
          <w:sz w:val="20"/>
          <w:szCs w:val="20"/>
          <w:color w:val="auto"/>
        </w:rPr>
      </w:pPr>
    </w:p>
    <w:p>
      <w:pPr>
        <w:ind w:left="660" w:right="30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Reported a net loss for the period of $2.8 billion including the impact of approximately $3.2 billion of non-cash goodwill and asset impairment charges as a result of the current environment</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Delivered first-quarter 2020 adjusted EBITDA of $795 million, which was ahead of expectations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Updated full-year 2020 guidance to reflect expected performance outlook during dynamic and uncertain market conditions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Reiterated previously reduced 2020 / 2021 expansion capital program of $1.55 billion</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first-quarter adjusted operating results exceeded expectations. However, as the quarter progressed, the global response to the COVID-19</w:t>
      </w:r>
    </w:p>
    <w:p>
      <w:pPr>
        <w:spacing w:after="0" w:line="7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pandemic has led to an unprecedented energy supply and demand imbalance,” stated Willie Chiang, Chairman and CEO of Plains. “The North American energy supply chain has responded swiftly with significant reductions to refinery utilization, drilling and completion activity and shut-ins of existing production in multiple areas.”</w:t>
      </w:r>
    </w:p>
    <w:p>
      <w:pPr>
        <w:spacing w:after="0" w:line="211"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“In light of the challenging and uncertain environment, last month we announced a number of proactive steps to further strengthen our balance sheet and enhance our liquidity and long-term financial flexibility. These actions include significantly reducing our capital program and common distributions, progressing asset sales, and reducing costs across the supply chain, while remaining focused on operating safely and responsibly.”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000" w:type="dxa"/>
            <w:vAlign w:val="bottom"/>
          </w:tcPr>
          <w:p>
            <w:pPr>
              <w:spacing w:after="0"/>
              <w:rPr>
                <w:sz w:val="17"/>
                <w:szCs w:val="17"/>
                <w:color w:val="auto"/>
              </w:rPr>
            </w:pPr>
          </w:p>
        </w:tc>
      </w:tr>
      <w:tr>
        <w:trPr>
          <w:trHeight w:val="210"/>
        </w:trPr>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4"/>
              </w:rPr>
              <w:t>March 31,</w:t>
            </w:r>
          </w:p>
        </w:tc>
        <w:tc>
          <w:tcPr>
            <w:tcW w:w="100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r>
      <w:tr>
        <w:trPr>
          <w:trHeight w:val="33"/>
        </w:trPr>
        <w:tc>
          <w:tcPr>
            <w:tcW w:w="81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7"/>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GAAP Results</w:t>
            </w:r>
          </w:p>
        </w:tc>
        <w:tc>
          <w:tcPr>
            <w:tcW w:w="180" w:type="dxa"/>
            <w:vAlign w:val="bottom"/>
          </w:tcPr>
          <w:p>
            <w:pPr>
              <w:spacing w:after="0"/>
              <w:rPr>
                <w:sz w:val="18"/>
                <w:szCs w:val="18"/>
                <w:color w:val="auto"/>
              </w:rPr>
            </w:pPr>
          </w:p>
        </w:tc>
        <w:tc>
          <w:tcPr>
            <w:tcW w:w="740" w:type="dxa"/>
            <w:vAlign w:val="bottom"/>
          </w:tcPr>
          <w:p>
            <w:pPr>
              <w:jc w:val="right"/>
              <w:ind w:right="2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Change</w:t>
            </w:r>
          </w:p>
        </w:tc>
      </w:tr>
      <w:tr>
        <w:trPr>
          <w:trHeight w:val="33"/>
        </w:trPr>
        <w:tc>
          <w:tcPr>
            <w:tcW w:w="8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Net income/(loss) attributable to PAA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7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 xml:space="preserve">Diluted net income/(loss) per common unit </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Diluted weighted average common units outstanding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40" w:right="660" w:hanging="332"/>
        <w:spacing w:after="0" w:line="227"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Reported results for the three months ended March 31, 2020 includes aggregate non-cash goodwill and asset impairments totaling $3.2 billion, representing a net loss of $4.33 after tax per common unit.</w:t>
      </w:r>
    </w:p>
    <w:p>
      <w:pPr>
        <w:spacing w:after="0" w:line="94" w:lineRule="exact"/>
        <w:rPr>
          <w:rFonts w:ascii="Arial" w:cs="Arial" w:eastAsia="Arial" w:hAnsi="Arial"/>
          <w:sz w:val="23"/>
          <w:szCs w:val="23"/>
          <w:color w:val="auto"/>
          <w:vertAlign w:val="superscript"/>
        </w:rPr>
      </w:pPr>
    </w:p>
    <w:p>
      <w:pPr>
        <w:ind w:left="340" w:right="100" w:hanging="332"/>
        <w:spacing w:after="0" w:line="269" w:lineRule="auto"/>
        <w:tabs>
          <w:tab w:leader="none" w:pos="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2019, includes all potentially dilutive securities outstanding (our Series A preferred units and equity-indexed compensation awards) during the period. Our Series A preferred units and equity-indexed compensation awards were not dilutive for the three months ended March 31, 2020. See the “Computation of Basic and Diluted Net Income Per Common Unit” table attached hereto for additional information.</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000" w:type="dxa"/>
            <w:vAlign w:val="bottom"/>
          </w:tcPr>
          <w:p>
            <w:pPr>
              <w:spacing w:after="0"/>
              <w:rPr>
                <w:sz w:val="17"/>
                <w:szCs w:val="17"/>
                <w:color w:val="auto"/>
              </w:rPr>
            </w:pPr>
          </w:p>
        </w:tc>
      </w:tr>
      <w:tr>
        <w:trPr>
          <w:trHeight w:val="210"/>
        </w:trPr>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4"/>
              </w:rPr>
              <w:t>March 31,</w:t>
            </w:r>
          </w:p>
        </w:tc>
        <w:tc>
          <w:tcPr>
            <w:tcW w:w="100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r>
      <w:tr>
        <w:trPr>
          <w:trHeight w:val="33"/>
        </w:trPr>
        <w:tc>
          <w:tcPr>
            <w:tcW w:w="81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Change</w:t>
            </w: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Implied DCF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40" w:right="200" w:hanging="332"/>
        <w:spacing w:after="0" w:line="238" w:lineRule="auto"/>
        <w:tabs>
          <w:tab w:leader="none" w:pos="32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Implied DCF) and their reconciliation to the most directly comparable measures as reported in accordance with GAAP.</w:t>
      </w:r>
    </w:p>
    <w:p>
      <w:pPr>
        <w:spacing w:after="0" w:line="39"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Segment Adjusted EBITDA for the first quarter of 2020 and 2019 is presented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gridSpan w:val="6"/>
          </w:tcPr>
          <w:p>
            <w:pPr>
              <w:jc w:val="center"/>
              <w:ind w:right="373"/>
              <w:spacing w:after="0"/>
              <w:rPr>
                <w:sz w:val="20"/>
                <w:szCs w:val="20"/>
                <w:color w:val="auto"/>
              </w:rPr>
            </w:pPr>
            <w:r>
              <w:rPr>
                <w:rFonts w:ascii="Arial" w:cs="Arial" w:eastAsia="Arial" w:hAnsi="Arial"/>
                <w:sz w:val="16"/>
                <w:szCs w:val="16"/>
                <w:b w:val="1"/>
                <w:bCs w:val="1"/>
                <w:color w:val="auto"/>
                <w:w w:val="93"/>
              </w:rPr>
              <w:t>Segment Adjusted EBITDA</w:t>
            </w:r>
          </w:p>
        </w:tc>
        <w:tc>
          <w:tcPr>
            <w:tcW w:w="98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17"/>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6"/>
                <w:szCs w:val="16"/>
                <w:b w:val="1"/>
                <w:bCs w:val="1"/>
                <w:color w:val="auto"/>
                <w:w w:val="99"/>
              </w:rPr>
              <w:t>Transportation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Facilities</w:t>
            </w: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w w:val="93"/>
              </w:rPr>
              <w:t>Supply and Logistics</w:t>
            </w:r>
          </w:p>
        </w:tc>
      </w:tr>
      <w:tr>
        <w:trPr>
          <w:trHeight w:val="33"/>
        </w:trPr>
        <w:tc>
          <w:tcPr>
            <w:tcW w:w="6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4"/>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March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141</w:t>
            </w:r>
          </w:p>
        </w:tc>
      </w:tr>
      <w:tr>
        <w:trPr>
          <w:trHeight w:val="20"/>
        </w:trPr>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220" w:type="dxa"/>
            <w:vAlign w:val="bottom"/>
          </w:tcPr>
          <w:p>
            <w:pPr>
              <w:spacing w:after="0"/>
              <w:rPr>
                <w:sz w:val="20"/>
                <w:szCs w:val="20"/>
                <w:color w:val="auto"/>
              </w:rPr>
            </w:pPr>
            <w:r>
              <w:rPr>
                <w:rFonts w:ascii="Arial" w:cs="Arial" w:eastAsia="Arial" w:hAnsi="Arial"/>
                <w:sz w:val="18"/>
                <w:szCs w:val="18"/>
                <w:color w:val="auto"/>
              </w:rPr>
              <w:t>Three Months Ended March 31, 2019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399</w:t>
            </w:r>
          </w:p>
        </w:tc>
        <w:tc>
          <w:tcPr>
            <w:tcW w:w="5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600" w:type="dxa"/>
            <w:vAlign w:val="bottom"/>
          </w:tcPr>
          <w:p>
            <w:pPr>
              <w:jc w:val="right"/>
              <w:ind w:right="413"/>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480"/>
              <w:spacing w:after="0"/>
              <w:rPr>
                <w:sz w:val="20"/>
                <w:szCs w:val="20"/>
                <w:color w:val="auto"/>
              </w:rPr>
            </w:pPr>
            <w:r>
              <w:rPr>
                <w:rFonts w:ascii="Arial" w:cs="Arial" w:eastAsia="Arial" w:hAnsi="Arial"/>
                <w:sz w:val="18"/>
                <w:szCs w:val="18"/>
                <w:color w:val="auto"/>
              </w:rPr>
              <w:t>278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9"/>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2019 period</w:t>
            </w: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i w:val="1"/>
                <w:iCs w:val="1"/>
                <w:color w:val="auto"/>
                <w:w w:val="95"/>
              </w:rPr>
              <w:t>(49)%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First-quarter 2020 Transportation Segment Adjusted EBITDA increased by 11% over comparable 2019 results, primarily driven by higher volumes on our Permian Basin systems, including the Cactus II pipeline, which went into service in August 2019. These favorable results were partially offset by lower volumes on certain pipelines in our Central Region as a result of lower production, competition in the region, and refinery downtime on certain of our demand pull pipelines.</w:t>
      </w:r>
    </w:p>
    <w:p>
      <w:pPr>
        <w:spacing w:after="0" w:line="214"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First-quarter 2020 Facilities Segment Adjusted EBITDA increased by 14% over comparable 2019 results, primarily driven by the collection of a deficiency payment on a multi-year contract.</w:t>
      </w:r>
    </w:p>
    <w:p>
      <w:pPr>
        <w:spacing w:after="0" w:line="170"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First-quarter 2020 Supply and Logistics Segment Adjusted EBITDA decreased by 49% versus comparable 2019 results, primarily due to less favorable crude oil differentials and NGL margins.</w:t>
      </w:r>
    </w:p>
    <w:p>
      <w:pPr>
        <w:spacing w:after="0" w:line="19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In March 2020, we recorded approximately $3.2 billion of non-cash impairment charges due to the current macroeconomic and geopolitical conditions including the collapse of oil prices driven by both the decrease in demand caused by the COVID-19 pandemic and excess supply, as well as changing market conditions and expected lower crude oil production in certain regions:</w:t>
      </w:r>
    </w:p>
    <w:p>
      <w:pPr>
        <w:spacing w:after="0" w:line="21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impairment charge of approximately $2.5 billion (represents the full balance of goodwill).</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Non-cash impairment charges of approximately $0.7 billion on certain pipeline and other assets included in our Transportation and Facilities segments, along with certain of our investments in unconsolidated entities.</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These charges are excluded from the calculation of Adjusted EBITDA and are treated as selected items impacting comparability in the calculation of Adjusted Net Income.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Full-Year Guidance</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our full-year 2020 financial and operating guidance: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40" w:type="dxa"/>
            <w:vAlign w:val="bottom"/>
            <w:gridSpan w:val="6"/>
          </w:tcPr>
          <w:p>
            <w:pPr>
              <w:jc w:val="right"/>
              <w:spacing w:after="0"/>
              <w:rPr>
                <w:sz w:val="20"/>
                <w:szCs w:val="20"/>
                <w:color w:val="auto"/>
              </w:rPr>
            </w:pPr>
            <w:r>
              <w:rPr>
                <w:rFonts w:ascii="Arial" w:cs="Arial" w:eastAsia="Arial" w:hAnsi="Arial"/>
                <w:sz w:val="16"/>
                <w:szCs w:val="16"/>
                <w:b w:val="1"/>
                <w:bCs w:val="1"/>
                <w:color w:val="auto"/>
                <w:w w:val="99"/>
              </w:rPr>
              <w:t>Twelve Months Ended December 31,</w:t>
            </w:r>
          </w:p>
        </w:tc>
        <w:tc>
          <w:tcPr>
            <w:tcW w:w="11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 (G)</w:t>
            </w:r>
          </w:p>
        </w:tc>
      </w:tr>
      <w:tr>
        <w:trPr>
          <w:trHeight w:val="33"/>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color w:val="auto"/>
              </w:rPr>
              <w:t>+ / -</w:t>
            </w:r>
          </w:p>
        </w:tc>
      </w:tr>
      <w:tr>
        <w:trPr>
          <w:trHeight w:val="33"/>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840" w:type="dxa"/>
            <w:vAlign w:val="bottom"/>
          </w:tcPr>
          <w:p>
            <w:pPr>
              <w:spacing w:after="0"/>
              <w:rPr>
                <w:sz w:val="23"/>
                <w:szCs w:val="23"/>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1,508</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1,520</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680</w:t>
            </w:r>
          </w:p>
        </w:tc>
      </w:tr>
      <w:tr>
        <w:trPr>
          <w:trHeight w:val="263"/>
        </w:trPr>
        <w:tc>
          <w:tcPr>
            <w:tcW w:w="20" w:type="dxa"/>
            <w:vAlign w:val="bottom"/>
          </w:tcPr>
          <w:p>
            <w:pPr>
              <w:spacing w:after="0"/>
              <w:rPr>
                <w:sz w:val="22"/>
                <w:szCs w:val="22"/>
                <w:color w:val="auto"/>
              </w:rPr>
            </w:pPr>
          </w:p>
        </w:tc>
        <w:tc>
          <w:tcPr>
            <w:tcW w:w="4320" w:type="dxa"/>
            <w:vAlign w:val="bottom"/>
          </w:tcPr>
          <w:p>
            <w:pPr>
              <w:ind w:left="280"/>
              <w:spacing w:after="0"/>
              <w:rPr>
                <w:sz w:val="20"/>
                <w:szCs w:val="20"/>
                <w:color w:val="auto"/>
              </w:rPr>
            </w:pPr>
            <w:r>
              <w:rPr>
                <w:rFonts w:ascii="Arial" w:cs="Arial" w:eastAsia="Arial" w:hAnsi="Arial"/>
                <w:sz w:val="18"/>
                <w:szCs w:val="18"/>
                <w:b w:val="1"/>
                <w:bCs w:val="1"/>
                <w:color w:val="auto"/>
              </w:rPr>
              <w:t>Fee-Based</w:t>
            </w:r>
          </w:p>
        </w:tc>
        <w:tc>
          <w:tcPr>
            <w:tcW w:w="840" w:type="dxa"/>
            <w:vAlign w:val="bottom"/>
          </w:tcPr>
          <w:p>
            <w:pPr>
              <w:spacing w:after="0"/>
              <w:rPr>
                <w:sz w:val="22"/>
                <w:szCs w:val="22"/>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2,219</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2,427</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2,200</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8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225</w:t>
            </w:r>
          </w:p>
        </w:tc>
      </w:tr>
      <w:tr>
        <w:trPr>
          <w:trHeight w:val="270"/>
        </w:trPr>
        <w:tc>
          <w:tcPr>
            <w:tcW w:w="20" w:type="dxa"/>
            <w:vAlign w:val="bottom"/>
          </w:tcPr>
          <w:p>
            <w:pPr>
              <w:spacing w:after="0"/>
              <w:rPr>
                <w:sz w:val="23"/>
                <w:szCs w:val="23"/>
                <w:color w:val="auto"/>
              </w:rPr>
            </w:pPr>
          </w:p>
        </w:tc>
        <w:tc>
          <w:tcPr>
            <w:tcW w:w="4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Adjusted other income/(expense), net</w:t>
            </w:r>
          </w:p>
        </w:tc>
        <w:tc>
          <w:tcPr>
            <w:tcW w:w="84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84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3"/>
              </w:rPr>
              <w:t>2,684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3,237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2,425</w:t>
            </w: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tcPr>
          <w:p>
            <w:pPr>
              <w:ind w:left="160"/>
              <w:spacing w:after="0" w:line="244"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(2)</w:t>
            </w: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(415)</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8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70"/>
        </w:trPr>
        <w:tc>
          <w:tcPr>
            <w:tcW w:w="20" w:type="dxa"/>
            <w:vAlign w:val="bottom"/>
          </w:tcPr>
          <w:p>
            <w:pPr>
              <w:spacing w:after="0"/>
              <w:rPr>
                <w:sz w:val="23"/>
                <w:szCs w:val="23"/>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63"/>
        </w:trPr>
        <w:tc>
          <w:tcPr>
            <w:tcW w:w="20" w:type="dxa"/>
            <w:vAlign w:val="bottom"/>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840" w:type="dxa"/>
            <w:vAlign w:val="bottom"/>
          </w:tcPr>
          <w:p>
            <w:pPr>
              <w:spacing w:after="0"/>
              <w:rPr>
                <w:sz w:val="22"/>
                <w:szCs w:val="22"/>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1,948</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2,376</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1,775</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8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64"/>
        </w:trPr>
        <w:tc>
          <w:tcPr>
            <w:tcW w:w="20" w:type="dxa"/>
            <w:vAlign w:val="bottom"/>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40" w:type="dxa"/>
            <w:vAlign w:val="bottom"/>
          </w:tcPr>
          <w:p>
            <w:pPr>
              <w:spacing w:after="0"/>
              <w:rPr>
                <w:sz w:val="22"/>
                <w:szCs w:val="22"/>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1,787</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2,178</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1,575</w:t>
            </w: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70"/>
        </w:trPr>
        <w:tc>
          <w:tcPr>
            <w:tcW w:w="2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840" w:type="dxa"/>
            <w:vAlign w:val="bottom"/>
          </w:tcPr>
          <w:p>
            <w:pPr>
              <w:spacing w:after="0"/>
              <w:rPr>
                <w:sz w:val="23"/>
                <w:szCs w:val="23"/>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2.16</w:t>
            </w:r>
          </w:p>
        </w:tc>
      </w:tr>
      <w:tr>
        <w:trPr>
          <w:trHeight w:val="270"/>
        </w:trPr>
        <w:tc>
          <w:tcPr>
            <w:tcW w:w="20" w:type="dxa"/>
            <w:vAlign w:val="bottom"/>
          </w:tcPr>
          <w:p>
            <w:pPr>
              <w:spacing w:after="0"/>
              <w:rPr>
                <w:sz w:val="23"/>
                <w:szCs w:val="23"/>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 xml:space="preserve">Implied DCF per Common Unit and Common Equivalent Unit </w:t>
            </w:r>
            <w:r>
              <w:rPr>
                <w:rFonts w:ascii="Arial" w:cs="Arial" w:eastAsia="Arial" w:hAnsi="Arial"/>
                <w:sz w:val="23"/>
                <w:szCs w:val="23"/>
                <w:b w:val="1"/>
                <w:bCs w:val="1"/>
                <w:color w:val="auto"/>
                <w:w w:val="95"/>
                <w:vertAlign w:val="superscript"/>
              </w:rPr>
              <w:t>(1)</w:t>
            </w: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8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0.90</w:t>
            </w:r>
          </w:p>
        </w:tc>
      </w:tr>
      <w:tr>
        <w:trPr>
          <w:trHeight w:val="243"/>
        </w:trPr>
        <w:tc>
          <w:tcPr>
            <w:tcW w:w="2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2.05x</w:t>
            </w:r>
          </w:p>
        </w:tc>
        <w:tc>
          <w:tcPr>
            <w:tcW w:w="36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2.17x</w:t>
            </w:r>
          </w:p>
        </w:tc>
        <w:tc>
          <w:tcPr>
            <w:tcW w:w="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2.40x</w:t>
            </w: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(1)</w:t>
            </w:r>
          </w:p>
        </w:tc>
        <w:tc>
          <w:tcPr>
            <w:tcW w:w="840" w:type="dxa"/>
            <w:vAlign w:val="bottom"/>
          </w:tcPr>
          <w:p>
            <w:pPr>
              <w:spacing w:after="0"/>
              <w:rPr>
                <w:sz w:val="23"/>
                <w:szCs w:val="23"/>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1.44</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Operating Data</w:t>
            </w: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Transportation</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5,889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6,893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6,600</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8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0.63</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Facilities</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Average capacity (MMBbls/Mo)</w:t>
            </w: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122</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8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0.46</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1,309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1,270</w:t>
            </w:r>
          </w:p>
        </w:tc>
      </w:tr>
      <w:tr>
        <w:trPr>
          <w:trHeight w:val="270"/>
        </w:trPr>
        <w:tc>
          <w:tcPr>
            <w:tcW w:w="20" w:type="dxa"/>
            <w:vAlign w:val="bottom"/>
          </w:tcPr>
          <w:p>
            <w:pPr>
              <w:spacing w:after="0"/>
              <w:rPr>
                <w:sz w:val="23"/>
                <w:szCs w:val="23"/>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8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0.97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0.48</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8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3"/>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1,100</w:t>
            </w: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Second-Quarter Adjusted EBITDA as Percentage of Full Year</w:t>
            </w: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r>
      <w:tr>
        <w:trPr>
          <w:trHeight w:val="37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20" w:type="dxa"/>
            <w:vAlign w:val="bottom"/>
            <w:gridSpan w:val="2"/>
          </w:tcPr>
          <w:p>
            <w:pPr>
              <w:jc w:val="right"/>
              <w:ind w:right="1300"/>
              <w:spacing w:after="0"/>
              <w:rPr>
                <w:sz w:val="20"/>
                <w:szCs w:val="20"/>
                <w:color w:val="auto"/>
              </w:rPr>
            </w:pPr>
            <w:r>
              <w:rPr>
                <w:rFonts w:ascii="Arial" w:cs="Arial" w:eastAsia="Arial" w:hAnsi="Arial"/>
                <w:sz w:val="18"/>
                <w:szCs w:val="18"/>
                <w:color w:val="auto"/>
              </w:rPr>
              <w:t>- more -</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3"/>
          </w:tcPr>
          <w:p>
            <w:pPr>
              <w:spacing w:after="0"/>
              <w:rPr>
                <w:sz w:val="11"/>
                <w:szCs w:val="11"/>
                <w:color w:val="auto"/>
              </w:rPr>
            </w:pPr>
          </w:p>
        </w:tc>
        <w:tc>
          <w:tcPr>
            <w:tcW w:w="2840" w:type="dxa"/>
            <w:vAlign w:val="bottom"/>
            <w:tcBorders>
              <w:bottom w:val="single" w:sz="8" w:color="auto"/>
            </w:tcBorders>
            <w:gridSpan w:val="6"/>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320" w:type="dxa"/>
            <w:vAlign w:val="bottom"/>
          </w:tcPr>
          <w:p>
            <w:pPr>
              <w:ind w:left="1660"/>
              <w:spacing w:after="0"/>
              <w:rPr>
                <w:sz w:val="20"/>
                <w:szCs w:val="20"/>
                <w:color w:val="auto"/>
              </w:rPr>
            </w:pPr>
            <w:r>
              <w:rPr>
                <w:rFonts w:ascii="Arial" w:cs="Arial" w:eastAsia="Arial" w:hAnsi="Arial"/>
                <w:sz w:val="18"/>
                <w:szCs w:val="18"/>
                <w:b w:val="1"/>
                <w:bCs w:val="1"/>
                <w:color w:val="auto"/>
              </w:rPr>
              <w:t>333 Clay Street, Suite 1600</w:t>
            </w:r>
          </w:p>
        </w:tc>
        <w:tc>
          <w:tcPr>
            <w:tcW w:w="286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Houston, Texas 77002</w:t>
            </w:r>
          </w:p>
        </w:tc>
        <w:tc>
          <w:tcPr>
            <w:tcW w:w="284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rPr>
              <w:t>713-646-4100 / 866-809-1291</w:t>
            </w:r>
          </w:p>
        </w:tc>
        <w:tc>
          <w:tcPr>
            <w:tcW w:w="1160" w:type="dxa"/>
            <w:vAlign w:val="bottom"/>
          </w:tcPr>
          <w:p>
            <w:pPr>
              <w:spacing w:after="0"/>
              <w:rPr>
                <w:sz w:val="24"/>
                <w:szCs w:val="24"/>
                <w:color w:val="auto"/>
              </w:rPr>
            </w:pPr>
          </w:p>
        </w:tc>
      </w:tr>
    </w:tbl>
    <w:p>
      <w:pPr>
        <w:sectPr>
          <w:pgSz w:w="11900" w:h="16838" w:orient="portrait"/>
          <w:cols w:equalWidth="0" w:num="1">
            <w:col w:w="11220"/>
          </w:cols>
          <w:pgMar w:left="320" w:top="36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2459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(G) 2020 Guidance forecasts are intended to be + / - amounts.</w:t>
      </w:r>
    </w:p>
    <w:p>
      <w:pPr>
        <w:spacing w:after="0" w:line="117" w:lineRule="exact"/>
        <w:rPr>
          <w:sz w:val="20"/>
          <w:szCs w:val="20"/>
          <w:color w:val="auto"/>
        </w:rPr>
      </w:pPr>
    </w:p>
    <w:p>
      <w:pPr>
        <w:ind w:left="340" w:right="100" w:hanging="332"/>
        <w:spacing w:after="0" w:line="259"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2018 and 2019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58"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3" w:lineRule="exact"/>
        <w:rPr>
          <w:rFonts w:ascii="Arial" w:cs="Arial" w:eastAsia="Arial" w:hAnsi="Arial"/>
          <w:sz w:val="22"/>
          <w:szCs w:val="22"/>
          <w:color w:val="auto"/>
          <w:vertAlign w:val="superscript"/>
        </w:rPr>
      </w:pPr>
    </w:p>
    <w:p>
      <w:pPr>
        <w:jc w:val="both"/>
        <w:ind w:left="340" w:right="220" w:hanging="332"/>
        <w:spacing w:after="0" w:line="249"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the year presented. Distributions on our Series A preferred units were paid-in-kind for the February 2018 quarterly distribution. Distributions on our Series A preferred units have been paid in cash since the May 2018 quarterly distribution. Distributions on our Series B preferred units are payable in cash semi-annually in arrears on May 15 and November 15.</w:t>
      </w:r>
    </w:p>
    <w:p>
      <w:pPr>
        <w:spacing w:after="0" w:line="87" w:lineRule="exact"/>
        <w:rPr>
          <w:rFonts w:ascii="Arial" w:cs="Arial" w:eastAsia="Arial" w:hAnsi="Arial"/>
          <w:sz w:val="22"/>
          <w:szCs w:val="22"/>
          <w:color w:val="auto"/>
          <w:vertAlign w:val="superscript"/>
        </w:rPr>
      </w:pPr>
    </w:p>
    <w:p>
      <w:pPr>
        <w:ind w:left="340" w:right="300" w:hanging="332"/>
        <w:spacing w:after="0" w:line="220"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during 2018 and 2019. 2020 (G) reflects the annualized distribution rate of $1.44 per common unit paid in February and the decreased annualized distribution rate of $0.72 per common unit for the remainder of the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Q1 2020</w:t>
            </w: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Q4 2019</w:t>
            </w:r>
          </w:p>
        </w:tc>
        <w:tc>
          <w:tcPr>
            <w:tcW w:w="22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6"/>
                <w:szCs w:val="16"/>
                <w:b w:val="1"/>
                <w:bCs w:val="1"/>
                <w:color w:val="auto"/>
              </w:rPr>
              <w:t>Q1 2019</w:t>
            </w: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0.36</w:t>
            </w:r>
          </w:p>
        </w:tc>
      </w:tr>
      <w:tr>
        <w:trPr>
          <w:trHeight w:val="26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Q1 2020 distribution percentage change from prior periods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
        </w:trPr>
        <w:tc>
          <w:tcPr>
            <w:tcW w:w="7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PAA and PAGP will hold a joint conference call at 4:30 p.m. CT on Tuesday, May 5, 2020 to discuss the following items:</w:t>
      </w:r>
    </w:p>
    <w:p>
      <w:pPr>
        <w:spacing w:after="0" w:line="252"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first-quarter 2020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access the internet webcast, please go to https://event.webcasts.com/starthere.jsp?ei=1297574&amp;tp_key=143f6a09a5.</w:t>
      </w:r>
    </w:p>
    <w:p>
      <w:pPr>
        <w:spacing w:after="0" w:line="252" w:lineRule="exact"/>
        <w:rPr>
          <w:sz w:val="20"/>
          <w:szCs w:val="20"/>
          <w:color w:val="auto"/>
        </w:rPr>
      </w:pPr>
    </w:p>
    <w:p>
      <w:pPr>
        <w:ind w:right="260" w:firstLine="350"/>
        <w:spacing w:after="0" w:line="259" w:lineRule="auto"/>
        <w:rPr>
          <w:sz w:val="20"/>
          <w:szCs w:val="20"/>
          <w:color w:val="auto"/>
        </w:rPr>
      </w:pPr>
      <w:r>
        <w:rPr>
          <w:rFonts w:ascii="Arial" w:cs="Arial" w:eastAsia="Arial" w:hAnsi="Arial"/>
          <w:sz w:val="18"/>
          <w:szCs w:val="18"/>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52" w:lineRule="exact"/>
        <w:rPr>
          <w:sz w:val="20"/>
          <w:szCs w:val="20"/>
          <w:color w:val="auto"/>
        </w:rPr>
      </w:pPr>
    </w:p>
    <w:p>
      <w:pPr>
        <w:ind w:right="120" w:firstLine="357"/>
        <w:spacing w:after="0" w:line="296"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and Implied distributable cash flow (“DCF”).</w:t>
      </w:r>
    </w:p>
    <w:p>
      <w:pPr>
        <w:spacing w:after="0" w:line="188"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15" w:lineRule="exact"/>
        <w:rPr>
          <w:sz w:val="20"/>
          <w:szCs w:val="20"/>
          <w:color w:val="auto"/>
        </w:rPr>
      </w:pPr>
    </w:p>
    <w:p>
      <w:pPr>
        <w:ind w:firstLine="350"/>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15"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93" w:lineRule="exact"/>
        <w:rPr>
          <w:sz w:val="20"/>
          <w:szCs w:val="20"/>
          <w:color w:val="auto"/>
        </w:rPr>
      </w:pPr>
    </w:p>
    <w:p>
      <w:pPr>
        <w:ind w:left="660" w:hanging="328"/>
        <w:spacing w:after="0" w:line="261" w:lineRule="auto"/>
        <w:tabs>
          <w:tab w:leader="none" w:pos="655" w:val="left"/>
        </w:tabs>
        <w:numPr>
          <w:ilvl w:val="0"/>
          <w:numId w:val="9"/>
        </w:numPr>
        <w:rPr>
          <w:rFonts w:ascii="Arial" w:cs="Arial" w:eastAsia="Arial" w:hAnsi="Arial"/>
          <w:sz w:val="21"/>
          <w:szCs w:val="21"/>
          <w:color w:val="auto"/>
        </w:rPr>
      </w:pPr>
      <w:r>
        <w:rPr>
          <w:rFonts w:ascii="Arial" w:cs="Arial" w:eastAsia="Arial" w:hAnsi="Arial"/>
          <w:sz w:val="17"/>
          <w:szCs w:val="17"/>
          <w:color w:val="auto"/>
        </w:rPr>
        <w:t>the continuation of a swift and material decline in global crude oil demand and crude oil prices for an uncertain period of time that correspondingly may lead to a significant reduction of domestic crude oil,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19" w:lineRule="exact"/>
        <w:rPr>
          <w:rFonts w:ascii="Arial" w:cs="Arial" w:eastAsia="Arial" w:hAnsi="Arial"/>
          <w:sz w:val="21"/>
          <w:szCs w:val="21"/>
          <w:color w:val="auto"/>
        </w:rPr>
      </w:pPr>
    </w:p>
    <w:p>
      <w:pPr>
        <w:jc w:val="both"/>
        <w:ind w:left="660" w:right="180" w:hanging="328"/>
        <w:spacing w:after="0" w:line="241"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uncertainty regarding the length of time it will take for the United States, Canada, and the rest of the world to slow the spread of the COVID-19 virus to the point where applicable authorities are comfortable easing current restrictions on various commercial and economic activities and the extent to which consumer demand rebounds once such restrictions are lifted; such restrictions are designed to protect public health but also have the effect of significantly reducing demand for crude oil;</w:t>
      </w:r>
    </w:p>
    <w:p>
      <w:pPr>
        <w:spacing w:after="0" w:line="134" w:lineRule="exact"/>
        <w:rPr>
          <w:rFonts w:ascii="Arial" w:cs="Arial" w:eastAsia="Arial" w:hAnsi="Arial"/>
          <w:sz w:val="22"/>
          <w:szCs w:val="22"/>
          <w:color w:val="auto"/>
        </w:rPr>
      </w:pPr>
    </w:p>
    <w:p>
      <w:pPr>
        <w:ind w:left="660" w:right="50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35" w:lineRule="exact"/>
        <w:rPr>
          <w:rFonts w:ascii="Arial" w:cs="Arial" w:eastAsia="Arial" w:hAnsi="Arial"/>
          <w:sz w:val="22"/>
          <w:szCs w:val="22"/>
          <w:color w:val="auto"/>
        </w:rPr>
      </w:pPr>
    </w:p>
    <w:p>
      <w:pPr>
        <w:ind w:left="660" w:right="400" w:hanging="328"/>
        <w:spacing w:after="0" w:line="297" w:lineRule="auto"/>
        <w:tabs>
          <w:tab w:leader="none" w:pos="655" w:val="left"/>
        </w:tabs>
        <w:numPr>
          <w:ilvl w:val="0"/>
          <w:numId w:val="9"/>
        </w:numPr>
        <w:rPr>
          <w:rFonts w:ascii="Arial" w:cs="Arial" w:eastAsia="Arial" w:hAnsi="Arial"/>
          <w:sz w:val="19"/>
          <w:szCs w:val="19"/>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82" w:lineRule="exact"/>
        <w:rPr>
          <w:rFonts w:ascii="Arial" w:cs="Arial" w:eastAsia="Arial" w:hAnsi="Arial"/>
          <w:sz w:val="19"/>
          <w:szCs w:val="19"/>
          <w:color w:val="auto"/>
        </w:rPr>
      </w:pPr>
    </w:p>
    <w:p>
      <w:pPr>
        <w:ind w:left="660" w:right="120" w:hanging="328"/>
        <w:spacing w:after="0" w:line="238"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effect of an overhang of significant amounts of crude oil inventory stored in the United States and elsewhere and the impact that such inventory overhang ultimately has on the timing of a return to market conditions that support a resumption of drilling and production activities in the United States;</w:t>
      </w:r>
    </w:p>
    <w:p>
      <w:pPr>
        <w:spacing w:after="0" w:line="135" w:lineRule="exact"/>
        <w:rPr>
          <w:rFonts w:ascii="Arial" w:cs="Arial" w:eastAsia="Arial" w:hAnsi="Arial"/>
          <w:sz w:val="22"/>
          <w:szCs w:val="22"/>
          <w:color w:val="auto"/>
        </w:rPr>
      </w:pPr>
    </w:p>
    <w:p>
      <w:pPr>
        <w:ind w:left="660" w:hanging="328"/>
        <w:spacing w:after="0" w:line="284" w:lineRule="auto"/>
        <w:tabs>
          <w:tab w:leader="none" w:pos="655" w:val="left"/>
        </w:tabs>
        <w:numPr>
          <w:ilvl w:val="0"/>
          <w:numId w:val="9"/>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jc w:val="both"/>
        <w:ind w:left="660" w:right="680" w:hanging="328"/>
        <w:spacing w:after="0" w:line="297" w:lineRule="auto"/>
        <w:tabs>
          <w:tab w:leader="none" w:pos="655" w:val="left"/>
        </w:tabs>
        <w:numPr>
          <w:ilvl w:val="0"/>
          <w:numId w:val="9"/>
        </w:numPr>
        <w:rPr>
          <w:rFonts w:ascii="Arial" w:cs="Arial" w:eastAsia="Arial" w:hAnsi="Arial"/>
          <w:sz w:val="19"/>
          <w:szCs w:val="19"/>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68" w:lineRule="exact"/>
        <w:rPr>
          <w:rFonts w:ascii="Arial" w:cs="Arial" w:eastAsia="Arial" w:hAnsi="Arial"/>
          <w:sz w:val="19"/>
          <w:szCs w:val="19"/>
          <w:color w:val="auto"/>
        </w:rPr>
      </w:pPr>
    </w:p>
    <w:p>
      <w:pPr>
        <w:ind w:left="660" w:right="300" w:hanging="328"/>
        <w:spacing w:after="0" w:line="218"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operational difficulties due to physical distancing restrictions and the additional demands such restrictions may place on our employees, which may in turn make it more challenging to retain or recruit talented labor;</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disruptions to futures markets for petroleum products, which may impair our ability to execute our hedging strategies;</w:t>
      </w:r>
    </w:p>
    <w:p>
      <w:pPr>
        <w:spacing w:after="0" w:line="255" w:lineRule="exact"/>
        <w:rPr>
          <w:rFonts w:ascii="Arial" w:cs="Arial" w:eastAsia="Arial" w:hAnsi="Arial"/>
          <w:sz w:val="22"/>
          <w:szCs w:val="22"/>
          <w:color w:val="auto"/>
        </w:rPr>
      </w:pPr>
    </w:p>
    <w:p>
      <w:pPr>
        <w:ind w:left="660" w:right="4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149" w:lineRule="exact"/>
        <w:rPr>
          <w:rFonts w:ascii="Arial" w:cs="Arial" w:eastAsia="Arial" w:hAnsi="Arial"/>
          <w:sz w:val="22"/>
          <w:szCs w:val="22"/>
          <w:color w:val="auto"/>
        </w:rPr>
      </w:pPr>
    </w:p>
    <w:p>
      <w:pPr>
        <w:ind w:left="5440" w:hanging="106"/>
        <w:spacing w:after="0"/>
        <w:tabs>
          <w:tab w:leader="none" w:pos="5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8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9"/>
          <w:szCs w:val="19"/>
          <w:color w:val="auto"/>
        </w:rPr>
      </w:pPr>
      <w:r>
        <w:rPr>
          <w:rFonts w:ascii="Arial" w:cs="Arial" w:eastAsia="Arial" w:hAnsi="Arial"/>
          <w:sz w:val="16"/>
          <w:szCs w:val="16"/>
          <w:color w:val="auto"/>
        </w:rPr>
        <w:t>the inability to complete forecasted asset sale transactions due to governmental action, litigation, counterparty non-performance or other factors;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effects of competition, including the effects of capacity overbuild in areas where we operate;</w:t>
      </w:r>
    </w:p>
    <w:p>
      <w:pPr>
        <w:spacing w:after="0" w:line="134" w:lineRule="exact"/>
        <w:rPr>
          <w:rFonts w:ascii="Arial" w:cs="Arial" w:eastAsia="Arial" w:hAnsi="Arial"/>
          <w:sz w:val="22"/>
          <w:szCs w:val="22"/>
          <w:color w:val="auto"/>
        </w:rPr>
      </w:pPr>
    </w:p>
    <w:p>
      <w:pPr>
        <w:ind w:left="660" w:right="80" w:hanging="328"/>
        <w:spacing w:after="0" w:line="251"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4" w:lineRule="exact"/>
        <w:rPr>
          <w:rFonts w:ascii="Arial" w:cs="Arial" w:eastAsia="Arial" w:hAnsi="Arial"/>
          <w:sz w:val="22"/>
          <w:szCs w:val="22"/>
          <w:color w:val="auto"/>
        </w:rPr>
      </w:pPr>
    </w:p>
    <w:p>
      <w:pPr>
        <w:ind w:left="660" w:right="1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35" w:lineRule="exact"/>
        <w:rPr>
          <w:rFonts w:ascii="Arial" w:cs="Arial" w:eastAsia="Arial" w:hAnsi="Arial"/>
          <w:sz w:val="22"/>
          <w:szCs w:val="22"/>
          <w:color w:val="auto"/>
        </w:rPr>
      </w:pPr>
    </w:p>
    <w:p>
      <w:pPr>
        <w:ind w:left="660" w:right="620" w:hanging="328"/>
        <w:spacing w:after="0" w:line="251"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23" w:lineRule="exact"/>
        <w:rPr>
          <w:rFonts w:ascii="Arial" w:cs="Arial" w:eastAsia="Arial" w:hAnsi="Arial"/>
          <w:sz w:val="21"/>
          <w:szCs w:val="21"/>
          <w:color w:val="auto"/>
        </w:rPr>
      </w:pPr>
    </w:p>
    <w:p>
      <w:pPr>
        <w:ind w:left="660" w:right="8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34" w:lineRule="exact"/>
        <w:rPr>
          <w:rFonts w:ascii="Arial" w:cs="Arial" w:eastAsia="Arial" w:hAnsi="Arial"/>
          <w:sz w:val="22"/>
          <w:szCs w:val="22"/>
          <w:color w:val="auto"/>
        </w:rPr>
      </w:pPr>
    </w:p>
    <w:p>
      <w:pPr>
        <w:ind w:left="660" w:right="600" w:hanging="328"/>
        <w:spacing w:after="0" w:line="271"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101" w:lineRule="exact"/>
        <w:rPr>
          <w:rFonts w:ascii="Arial" w:cs="Arial" w:eastAsia="Arial" w:hAnsi="Arial"/>
          <w:sz w:val="22"/>
          <w:szCs w:val="22"/>
          <w:color w:val="auto"/>
        </w:rPr>
      </w:pPr>
    </w:p>
    <w:p>
      <w:pPr>
        <w:ind w:left="660" w:right="340" w:hanging="328"/>
        <w:spacing w:after="0" w:line="297" w:lineRule="auto"/>
        <w:tabs>
          <w:tab w:leader="none" w:pos="655" w:val="left"/>
        </w:tabs>
        <w:numPr>
          <w:ilvl w:val="0"/>
          <w:numId w:val="11"/>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82" w:lineRule="exact"/>
        <w:rPr>
          <w:rFonts w:ascii="Arial" w:cs="Arial" w:eastAsia="Arial" w:hAnsi="Arial"/>
          <w:sz w:val="19"/>
          <w:szCs w:val="19"/>
          <w:color w:val="auto"/>
        </w:rPr>
      </w:pPr>
    </w:p>
    <w:p>
      <w:pPr>
        <w:ind w:left="660" w:hanging="328"/>
        <w:spacing w:after="0" w:line="238"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currency exchange rate of the Canadian dollar;</w:t>
      </w:r>
    </w:p>
    <w:p>
      <w:pPr>
        <w:spacing w:after="0" w:line="134" w:lineRule="exact"/>
        <w:rPr>
          <w:rFonts w:ascii="Arial" w:cs="Arial" w:eastAsia="Arial" w:hAnsi="Arial"/>
          <w:sz w:val="22"/>
          <w:szCs w:val="22"/>
          <w:color w:val="auto"/>
        </w:rPr>
      </w:pPr>
    </w:p>
    <w:p>
      <w:pPr>
        <w:ind w:left="660" w:right="14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35" w:lineRule="exact"/>
        <w:rPr>
          <w:rFonts w:ascii="Arial" w:cs="Arial" w:eastAsia="Arial" w:hAnsi="Arial"/>
          <w:sz w:val="22"/>
          <w:szCs w:val="22"/>
          <w:color w:val="auto"/>
        </w:rPr>
      </w:pPr>
    </w:p>
    <w:p>
      <w:pPr>
        <w:ind w:left="660" w:right="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non-utilization of our assets and facilities;</w:t>
      </w:r>
    </w:p>
    <w:p>
      <w:pPr>
        <w:spacing w:after="0" w:line="147" w:lineRule="exact"/>
        <w:rPr>
          <w:rFonts w:ascii="Arial" w:cs="Arial" w:eastAsia="Arial" w:hAnsi="Arial"/>
          <w:sz w:val="22"/>
          <w:szCs w:val="22"/>
          <w:color w:val="auto"/>
        </w:rPr>
      </w:pPr>
    </w:p>
    <w:p>
      <w:pPr>
        <w:ind w:left="5440" w:hanging="106"/>
        <w:spacing w:after="0"/>
        <w:tabs>
          <w:tab w:leader="none" w:pos="5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40"/>
          </w:cols>
          <w:pgMar w:left="320" w:top="368"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risks related to the development and operation of our assets, including our ability to satisfy our contractual obligations to our customers; and</w:t>
      </w:r>
    </w:p>
    <w:p>
      <w:pPr>
        <w:spacing w:after="0" w:line="134" w:lineRule="exact"/>
        <w:rPr>
          <w:rFonts w:ascii="Arial" w:cs="Arial" w:eastAsia="Arial" w:hAnsi="Arial"/>
          <w:sz w:val="21"/>
          <w:szCs w:val="21"/>
          <w:color w:val="auto"/>
        </w:rPr>
      </w:pPr>
    </w:p>
    <w:p>
      <w:pPr>
        <w:ind w:left="660" w:right="180" w:hanging="328"/>
        <w:spacing w:after="0" w:line="238"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20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7 million barrels per day of crude oil and NGL in its Transportation segment. PAA is headquartered in Houston, Texas. More information is available at www.plainsallamerican.com.</w:t>
      </w:r>
    </w:p>
    <w:p>
      <w:pPr>
        <w:spacing w:after="0" w:line="215"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49"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8,375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7,367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7,119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11,042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7,661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INCOME/(LOSS)</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Gain on/(impairment of) investments in unconsolidated entities, net</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income/(expense), net</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INCOME/(LOSS) BEFORE TAX</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Deferred income tax (expense)/benefit</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2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ATTRIBUTABLE TO PAA</w:t>
            </w:r>
          </w:p>
        </w:tc>
        <w:tc>
          <w:tcPr>
            <w:tcW w:w="2280" w:type="dxa"/>
            <w:vAlign w:val="bottom"/>
          </w:tcPr>
          <w:p>
            <w:pPr>
              <w:spacing w:after="0"/>
              <w:rPr>
                <w:sz w:val="22"/>
                <w:szCs w:val="22"/>
                <w:color w:val="auto"/>
              </w:rPr>
            </w:pPr>
          </w:p>
        </w:tc>
        <w:tc>
          <w:tcPr>
            <w:tcW w:w="2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PER COMMON UNIT:</w:t>
            </w: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Net income/(loss) allocated to common unitholders — Basic</w:t>
            </w:r>
          </w:p>
        </w:tc>
        <w:tc>
          <w:tcPr>
            <w:tcW w:w="2280" w:type="dxa"/>
            <w:vAlign w:val="bottom"/>
            <w:shd w:val="clear" w:color="auto" w:fill="CCEEFF"/>
          </w:tcPr>
          <w:p>
            <w:pPr>
              <w:spacing w:after="0"/>
              <w:rPr>
                <w:sz w:val="23"/>
                <w:szCs w:val="23"/>
                <w:color w:val="auto"/>
              </w:rPr>
            </w:pP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917</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Basic weighted average common units outstanding</w:t>
            </w:r>
          </w:p>
        </w:tc>
        <w:tc>
          <w:tcPr>
            <w:tcW w:w="2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 net income/(loss) per common unit</w:t>
            </w:r>
          </w:p>
        </w:tc>
        <w:tc>
          <w:tcPr>
            <w:tcW w:w="228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Net income/(loss) allocated to common unitholders — Diluted</w:t>
            </w:r>
          </w:p>
        </w:tc>
        <w:tc>
          <w:tcPr>
            <w:tcW w:w="2280" w:type="dxa"/>
            <w:vAlign w:val="bottom"/>
            <w:shd w:val="clear" w:color="auto" w:fill="CCEEFF"/>
          </w:tcPr>
          <w:p>
            <w:pPr>
              <w:spacing w:after="0"/>
              <w:rPr>
                <w:sz w:val="23"/>
                <w:szCs w:val="23"/>
                <w:color w:val="auto"/>
              </w:rPr>
            </w:pP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957</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Diluted weighted average common units outstanding</w:t>
            </w:r>
          </w:p>
        </w:tc>
        <w:tc>
          <w:tcPr>
            <w:tcW w:w="2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 net income/(loss) per common unit</w:t>
            </w:r>
          </w:p>
        </w:tc>
        <w:tc>
          <w:tcPr>
            <w:tcW w:w="228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22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720" w:type="dxa"/>
            <w:vAlign w:val="bottom"/>
            <w:gridSpan w:val="3"/>
            <w:vMerge w:val="continue"/>
          </w:tcPr>
          <w:p>
            <w:pPr>
              <w:spacing w:after="0"/>
              <w:rPr>
                <w:sz w:val="24"/>
                <w:szCs w:val="24"/>
                <w:color w:val="auto"/>
              </w:rPr>
            </w:pPr>
          </w:p>
        </w:tc>
        <w:tc>
          <w:tcPr>
            <w:tcW w:w="2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1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228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565</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28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0.69</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8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center"/>
              <w:ind w:right="370"/>
              <w:spacing w:after="0"/>
              <w:rPr>
                <w:sz w:val="20"/>
                <w:szCs w:val="20"/>
                <w:color w:val="auto"/>
              </w:rPr>
            </w:pPr>
            <w:r>
              <w:rPr>
                <w:rFonts w:ascii="Arial" w:cs="Arial" w:eastAsia="Arial" w:hAnsi="Arial"/>
                <w:sz w:val="18"/>
                <w:szCs w:val="18"/>
                <w:color w:val="auto"/>
                <w:w w:val="91"/>
              </w:rPr>
              <w:t>- more -</w:t>
            </w:r>
          </w:p>
        </w:tc>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80"/>
              <w:spacing w:after="0"/>
              <w:rPr>
                <w:sz w:val="20"/>
                <w:szCs w:val="20"/>
                <w:color w:val="auto"/>
              </w:rPr>
            </w:pPr>
            <w:r>
              <w:rPr>
                <w:rFonts w:ascii="Arial" w:cs="Arial" w:eastAsia="Arial" w:hAnsi="Arial"/>
                <w:sz w:val="18"/>
                <w:szCs w:val="18"/>
                <w:b w:val="1"/>
                <w:bCs w:val="1"/>
                <w:color w:val="auto"/>
              </w:rPr>
              <w:t>333 Clay Street, Suite 1600</w:t>
            </w:r>
          </w:p>
        </w:tc>
        <w:tc>
          <w:tcPr>
            <w:tcW w:w="2280" w:type="dxa"/>
            <w:vAlign w:val="bottom"/>
          </w:tcPr>
          <w:p>
            <w:pPr>
              <w:jc w:val="center"/>
              <w:ind w:right="350"/>
              <w:spacing w:after="0"/>
              <w:rPr>
                <w:sz w:val="20"/>
                <w:szCs w:val="20"/>
                <w:color w:val="auto"/>
              </w:rPr>
            </w:pPr>
            <w:r>
              <w:rPr>
                <w:rFonts w:ascii="Arial" w:cs="Arial" w:eastAsia="Arial" w:hAnsi="Arial"/>
                <w:sz w:val="18"/>
                <w:szCs w:val="18"/>
                <w:b w:val="1"/>
                <w:bCs w:val="1"/>
                <w:color w:val="auto"/>
                <w:w w:val="88"/>
              </w:rPr>
              <w:t>Houston, Texas 77002</w:t>
            </w:r>
          </w:p>
        </w:tc>
        <w:tc>
          <w:tcPr>
            <w:tcW w:w="2980" w:type="dxa"/>
            <w:vAlign w:val="bottom"/>
            <w:gridSpan w:val="3"/>
          </w:tcPr>
          <w:p>
            <w:pPr>
              <w:jc w:val="right"/>
              <w:ind w:right="191"/>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9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3,071</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15,355</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Linefill and base gas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right-of-use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inventory</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6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shd w:val="clear" w:color="auto" w:fill="CCEEFF"/>
          </w:tcPr>
          <w:p>
            <w:pPr>
              <w:spacing w:after="0"/>
              <w:rPr>
                <w:sz w:val="14"/>
                <w:szCs w:val="14"/>
                <w:color w:val="auto"/>
              </w:rPr>
            </w:pPr>
          </w:p>
        </w:tc>
        <w:tc>
          <w:tcPr>
            <w:tcW w:w="5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Senior notes, net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64"/>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13,978</w:t>
            </w:r>
          </w:p>
        </w:tc>
        <w:tc>
          <w:tcPr>
            <w:tcW w:w="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15,482</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Partners’ capital excluding noncontrolling interests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13,062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Total partners’ capital</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9,722</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8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2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w:t>
            </w:r>
          </w:p>
        </w:tc>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9,418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9,781</w:t>
            </w:r>
          </w:p>
        </w:tc>
        <w:tc>
          <w:tcPr>
            <w:tcW w:w="8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9,418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9,722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book capitalization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19,140</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22,382</w:t>
            </w: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Total book capitalization, including 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19,503</w:t>
            </w:r>
          </w:p>
        </w:tc>
        <w:tc>
          <w:tcPr>
            <w:tcW w:w="80" w:type="dxa"/>
            <w:vAlign w:val="bottom"/>
          </w:tcPr>
          <w:p>
            <w:pPr>
              <w:spacing w:after="0"/>
              <w:rPr>
                <w:sz w:val="21"/>
                <w:szCs w:val="21"/>
                <w:color w:val="auto"/>
              </w:rPr>
            </w:pPr>
          </w:p>
        </w:tc>
        <w:tc>
          <w:tcPr>
            <w:tcW w:w="2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22,886</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shd w:val="clear" w:color="auto" w:fill="CCEEFF"/>
          </w:tcPr>
          <w:p>
            <w:pPr>
              <w:spacing w:after="0"/>
              <w:rPr>
                <w:sz w:val="15"/>
                <w:szCs w:val="15"/>
                <w:color w:val="auto"/>
              </w:rPr>
            </w:pPr>
          </w:p>
        </w:tc>
        <w:tc>
          <w:tcPr>
            <w:tcW w:w="5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226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2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621"/>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60" w:type="dxa"/>
            <w:vAlign w:val="bottom"/>
          </w:tcPr>
          <w:p>
            <w:pPr>
              <w:jc w:val="center"/>
              <w:ind w:right="390"/>
              <w:spacing w:after="0"/>
              <w:rPr>
                <w:sz w:val="20"/>
                <w:szCs w:val="20"/>
                <w:color w:val="auto"/>
              </w:rPr>
            </w:pPr>
            <w:r>
              <w:rPr>
                <w:rFonts w:ascii="Arial" w:cs="Arial" w:eastAsia="Arial" w:hAnsi="Arial"/>
                <w:sz w:val="18"/>
                <w:szCs w:val="18"/>
                <w:color w:val="auto"/>
                <w:w w:val="91"/>
              </w:rPr>
              <w:t>- more -</w:t>
            </w: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gridSpan w:val="2"/>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720" w:type="dxa"/>
            <w:vAlign w:val="bottom"/>
          </w:tcPr>
          <w:p>
            <w:pPr>
              <w:ind w:left="1680"/>
              <w:spacing w:after="0"/>
              <w:rPr>
                <w:sz w:val="20"/>
                <w:szCs w:val="20"/>
                <w:color w:val="auto"/>
              </w:rPr>
            </w:pPr>
            <w:r>
              <w:rPr>
                <w:rFonts w:ascii="Arial" w:cs="Arial" w:eastAsia="Arial" w:hAnsi="Arial"/>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Houston, Texas 77002</w:t>
            </w:r>
          </w:p>
        </w:tc>
        <w:tc>
          <w:tcPr>
            <w:tcW w:w="32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713-646-4100 / 866-809-1291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48"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p>
      <w:pPr>
        <w:jc w:val="both"/>
        <w:ind w:left="9220"/>
        <w:spacing w:after="0"/>
        <w:tabs>
          <w:tab w:leader="none" w:pos="104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Basic Net Income/(Loss) per Common Unit</w:t>
      </w:r>
    </w:p>
    <w:p>
      <w:pPr>
        <w:sectPr>
          <w:pgSz w:w="11900" w:h="16838" w:orient="portrait"/>
          <w:cols w:equalWidth="0" w:num="1">
            <w:col w:w="11240"/>
          </w:cols>
          <w:pgMar w:left="320" w:top="368"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to Series A preferred unitholders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to 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income/(loss) allocated to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weighted average common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tabs>
          <w:tab w:leader="none" w:pos="500" w:val="left"/>
          <w:tab w:leader="none" w:pos="1260" w:val="left"/>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(2,847)</w:t>
        <w:tab/>
        <w:t>$</w:t>
      </w:r>
      <w:r>
        <w:rPr>
          <w:sz w:val="20"/>
          <w:szCs w:val="20"/>
          <w:color w:val="auto"/>
        </w:rPr>
        <w:tab/>
      </w:r>
      <w:r>
        <w:rPr>
          <w:rFonts w:ascii="Arial" w:cs="Arial" w:eastAsia="Arial" w:hAnsi="Arial"/>
          <w:sz w:val="15"/>
          <w:szCs w:val="15"/>
          <w:color w:val="auto"/>
        </w:rPr>
        <w:t>970</w:t>
      </w:r>
    </w:p>
    <w:p>
      <w:pPr>
        <w:spacing w:after="0" w:line="63" w:lineRule="exact"/>
        <w:rPr>
          <w:sz w:val="20"/>
          <w:szCs w:val="20"/>
          <w:color w:val="auto"/>
        </w:rPr>
      </w:pPr>
    </w:p>
    <w:p>
      <w:pPr>
        <w:ind w:left="2020" w:hanging="1277"/>
        <w:spacing w:after="0"/>
        <w:tabs>
          <w:tab w:leader="none" w:pos="2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(37)</w:t>
      </w:r>
    </w:p>
    <w:p>
      <w:pPr>
        <w:spacing w:after="0" w:line="86" w:lineRule="exact"/>
        <w:rPr>
          <w:sz w:val="20"/>
          <w:szCs w:val="20"/>
          <w:color w:val="auto"/>
        </w:rPr>
      </w:pPr>
    </w:p>
    <w:p>
      <w:pPr>
        <w:ind w:left="2020" w:hanging="1277"/>
        <w:spacing w:after="0"/>
        <w:tabs>
          <w:tab w:leader="none" w:pos="2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(12)</w:t>
      </w:r>
    </w:p>
    <w:p>
      <w:pPr>
        <w:spacing w:after="0" w:line="86" w:lineRule="exact"/>
        <w:rPr>
          <w:rFonts w:ascii="Arial" w:cs="Arial" w:eastAsia="Arial" w:hAnsi="Arial"/>
          <w:sz w:val="16"/>
          <w:szCs w:val="16"/>
          <w:color w:val="auto"/>
        </w:rPr>
      </w:pPr>
    </w:p>
    <w:p>
      <w:pPr>
        <w:ind w:left="2100" w:hanging="1267"/>
        <w:spacing w:after="0"/>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5430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7" w:lineRule="exact"/>
        <w:rPr>
          <w:sz w:val="20"/>
          <w:szCs w:val="20"/>
          <w:color w:val="auto"/>
        </w:rPr>
      </w:pPr>
    </w:p>
    <w:p>
      <w:pPr>
        <w:spacing w:after="0"/>
        <w:tabs>
          <w:tab w:leader="none" w:pos="500" w:val="left"/>
          <w:tab w:leader="none" w:pos="1260" w:val="left"/>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(2,897)</w:t>
        <w:tab/>
        <w:t>$</w:t>
      </w:r>
      <w:r>
        <w:rPr>
          <w:sz w:val="20"/>
          <w:szCs w:val="20"/>
          <w:color w:val="auto"/>
        </w:rPr>
        <w:tab/>
      </w:r>
      <w:r>
        <w:rPr>
          <w:rFonts w:ascii="Arial" w:cs="Arial" w:eastAsia="Arial" w:hAnsi="Arial"/>
          <w:sz w:val="15"/>
          <w:szCs w:val="15"/>
          <w:color w:val="auto"/>
        </w:rPr>
        <w:t>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5430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86" w:lineRule="exact"/>
        <w:rPr>
          <w:sz w:val="20"/>
          <w:szCs w:val="20"/>
          <w:color w:val="auto"/>
        </w:rPr>
      </w:pPr>
    </w:p>
    <w:p>
      <w:pPr>
        <w:ind w:left="720"/>
        <w:spacing w:after="0"/>
        <w:tabs>
          <w:tab w:leader="none" w:pos="1980" w:val="left"/>
        </w:tabs>
        <w:rPr>
          <w:sz w:val="20"/>
          <w:szCs w:val="20"/>
          <w:color w:val="auto"/>
        </w:rPr>
      </w:pPr>
      <w:r>
        <w:rPr>
          <w:rFonts w:ascii="Arial" w:cs="Arial" w:eastAsia="Arial" w:hAnsi="Arial"/>
          <w:sz w:val="18"/>
          <w:szCs w:val="18"/>
          <w:color w:val="auto"/>
        </w:rPr>
        <w:t>728</w:t>
      </w:r>
      <w:r>
        <w:rPr>
          <w:sz w:val="20"/>
          <w:szCs w:val="20"/>
          <w:color w:val="auto"/>
        </w:rPr>
        <w:tab/>
      </w:r>
      <w:r>
        <w:rPr>
          <w:rFonts w:ascii="Arial" w:cs="Arial" w:eastAsia="Arial" w:hAnsi="Arial"/>
          <w:sz w:val="18"/>
          <w:szCs w:val="18"/>
          <w:color w:val="auto"/>
        </w:rPr>
        <w:t>727</w:t>
      </w:r>
    </w:p>
    <w:p>
      <w:pPr>
        <w:spacing w:after="0" w:line="200" w:lineRule="exact"/>
        <w:rPr>
          <w:sz w:val="20"/>
          <w:szCs w:val="20"/>
          <w:color w:val="auto"/>
        </w:rPr>
      </w:pPr>
    </w:p>
    <w:p>
      <w:pPr>
        <w:sectPr>
          <w:pgSz w:w="11900" w:h="16838" w:orient="portrait"/>
          <w:cols w:equalWidth="0" w:num="2">
            <w:col w:w="8100" w:space="720"/>
            <w:col w:w="2420"/>
          </w:cols>
          <w:pgMar w:left="320" w:top="368" w:right="339" w:bottom="1440" w:gutter="0" w:footer="0" w:header="0"/>
          <w:type w:val="continuous"/>
        </w:sectPr>
      </w:pPr>
    </w:p>
    <w:p>
      <w:pPr>
        <w:spacing w:after="0" w:line="79" w:lineRule="exact"/>
        <w:rPr>
          <w:sz w:val="20"/>
          <w:szCs w:val="20"/>
          <w:color w:val="auto"/>
        </w:rPr>
      </w:pPr>
    </w:p>
    <w:p>
      <w:pPr>
        <w:ind w:left="20"/>
        <w:spacing w:after="0"/>
        <w:tabs>
          <w:tab w:leader="none" w:pos="8800" w:val="left"/>
          <w:tab w:leader="none" w:pos="9400" w:val="left"/>
          <w:tab w:leader="none" w:pos="10080" w:val="left"/>
          <w:tab w:leader="none" w:pos="10760" w:val="left"/>
        </w:tabs>
        <w:rPr>
          <w:sz w:val="20"/>
          <w:szCs w:val="20"/>
          <w:color w:val="auto"/>
        </w:rPr>
      </w:pPr>
      <w:r>
        <w:rPr>
          <w:rFonts w:ascii="Arial" w:cs="Arial" w:eastAsia="Arial" w:hAnsi="Arial"/>
          <w:sz w:val="18"/>
          <w:szCs w:val="18"/>
          <w:color w:val="auto"/>
        </w:rPr>
        <w:t>Basic net income/(loss) per common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(3.98)</w:t>
        <w:tab/>
        <w:t>$</w:t>
      </w:r>
      <w:r>
        <w:rPr>
          <w:sz w:val="20"/>
          <w:szCs w:val="20"/>
          <w:color w:val="auto"/>
        </w:rPr>
        <w:tab/>
      </w: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Diluted Net Income/(Loss)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 attributable to PAA</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to Series A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to Series B preferred unitholders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income/(loss) allocated to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weighted average common units outstanding</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tabs>
          <w:tab w:leader="none" w:pos="500" w:val="left"/>
          <w:tab w:leader="none" w:pos="1260" w:val="left"/>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(2,847)</w:t>
        <w:tab/>
        <w:t>$</w:t>
      </w:r>
      <w:r>
        <w:rPr>
          <w:sz w:val="20"/>
          <w:szCs w:val="20"/>
          <w:color w:val="auto"/>
        </w:rPr>
        <w:tab/>
      </w:r>
      <w:r>
        <w:rPr>
          <w:rFonts w:ascii="Arial" w:cs="Arial" w:eastAsia="Arial" w:hAnsi="Arial"/>
          <w:sz w:val="15"/>
          <w:szCs w:val="15"/>
          <w:color w:val="auto"/>
        </w:rPr>
        <w:t>970</w:t>
      </w:r>
    </w:p>
    <w:p>
      <w:pPr>
        <w:spacing w:after="0" w:line="63" w:lineRule="exact"/>
        <w:rPr>
          <w:sz w:val="20"/>
          <w:szCs w:val="20"/>
          <w:color w:val="auto"/>
        </w:rPr>
      </w:pPr>
    </w:p>
    <w:p>
      <w:pPr>
        <w:ind w:left="2080" w:hanging="1337"/>
        <w:spacing w:after="0"/>
        <w:tabs>
          <w:tab w:leader="none" w:pos="2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p>
      <w:pPr>
        <w:ind w:left="2020" w:hanging="1277"/>
        <w:spacing w:after="0"/>
        <w:tabs>
          <w:tab w:leader="none" w:pos="2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(12)</w:t>
      </w:r>
    </w:p>
    <w:p>
      <w:pPr>
        <w:spacing w:after="0" w:line="86" w:lineRule="exact"/>
        <w:rPr>
          <w:rFonts w:ascii="Arial" w:cs="Arial" w:eastAsia="Arial" w:hAnsi="Arial"/>
          <w:sz w:val="16"/>
          <w:szCs w:val="16"/>
          <w:color w:val="auto"/>
        </w:rPr>
      </w:pPr>
    </w:p>
    <w:p>
      <w:pPr>
        <w:ind w:left="2100" w:hanging="1267"/>
        <w:spacing w:after="0"/>
        <w:tabs>
          <w:tab w:leader="none" w:pos="2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w:t>
      </w:r>
    </w:p>
    <w:p>
      <w:pPr>
        <w:spacing w:after="0" w:line="77" w:lineRule="exact"/>
        <w:rPr>
          <w:sz w:val="20"/>
          <w:szCs w:val="20"/>
          <w:color w:val="auto"/>
        </w:rPr>
      </w:pPr>
    </w:p>
    <w:p>
      <w:pPr>
        <w:spacing w:after="0"/>
        <w:tabs>
          <w:tab w:leader="none" w:pos="500" w:val="left"/>
          <w:tab w:leader="none" w:pos="1260" w:val="left"/>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(2,897)</w:t>
        <w:tab/>
        <w:t>$</w:t>
      </w:r>
      <w:r>
        <w:rPr>
          <w:sz w:val="20"/>
          <w:szCs w:val="20"/>
          <w:color w:val="auto"/>
        </w:rPr>
        <w:tab/>
      </w:r>
      <w:r>
        <w:rPr>
          <w:rFonts w:ascii="Arial" w:cs="Arial" w:eastAsia="Arial" w:hAnsi="Arial"/>
          <w:sz w:val="15"/>
          <w:szCs w:val="15"/>
          <w:color w:val="auto"/>
        </w:rPr>
        <w:t>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15430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86" w:lineRule="exact"/>
        <w:rPr>
          <w:sz w:val="20"/>
          <w:szCs w:val="20"/>
          <w:color w:val="auto"/>
        </w:rPr>
      </w:pPr>
    </w:p>
    <w:p>
      <w:pPr>
        <w:ind w:left="720"/>
        <w:spacing w:after="0"/>
        <w:tabs>
          <w:tab w:leader="none" w:pos="1980" w:val="left"/>
        </w:tabs>
        <w:rPr>
          <w:sz w:val="20"/>
          <w:szCs w:val="20"/>
          <w:color w:val="auto"/>
        </w:rPr>
      </w:pPr>
      <w:r>
        <w:rPr>
          <w:rFonts w:ascii="Arial" w:cs="Arial" w:eastAsia="Arial" w:hAnsi="Arial"/>
          <w:sz w:val="18"/>
          <w:szCs w:val="18"/>
          <w:color w:val="auto"/>
        </w:rPr>
        <w:t>728</w:t>
      </w:r>
      <w:r>
        <w:rPr>
          <w:sz w:val="20"/>
          <w:szCs w:val="20"/>
          <w:color w:val="auto"/>
        </w:rPr>
        <w:tab/>
      </w:r>
      <w:r>
        <w:rPr>
          <w:rFonts w:ascii="Arial" w:cs="Arial" w:eastAsia="Arial" w:hAnsi="Arial"/>
          <w:sz w:val="18"/>
          <w:szCs w:val="18"/>
          <w:color w:val="auto"/>
        </w:rPr>
        <w:t>727</w:t>
      </w:r>
    </w:p>
    <w:p>
      <w:pPr>
        <w:spacing w:after="0" w:line="320" w:lineRule="exact"/>
        <w:rPr>
          <w:sz w:val="20"/>
          <w:szCs w:val="20"/>
          <w:color w:val="auto"/>
        </w:rPr>
      </w:pPr>
    </w:p>
    <w:p>
      <w:pPr>
        <w:sectPr>
          <w:pgSz w:w="11900" w:h="16838" w:orient="portrait"/>
          <w:cols w:equalWidth="0" w:num="2">
            <w:col w:w="8100" w:space="720"/>
            <w:col w:w="242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3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88"/>
        </w:trPr>
        <w:tc>
          <w:tcPr>
            <w:tcW w:w="8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8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95"/>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340" w:right="60" w:hanging="332"/>
        <w:spacing w:after="0" w:line="226" w:lineRule="auto"/>
        <w:tabs>
          <w:tab w:leader="none" w:pos="3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0" w:lineRule="exact"/>
        <w:rPr>
          <w:rFonts w:ascii="Arial" w:cs="Arial" w:eastAsia="Arial" w:hAnsi="Arial"/>
          <w:sz w:val="23"/>
          <w:szCs w:val="23"/>
          <w:color w:val="auto"/>
          <w:vertAlign w:val="superscript"/>
        </w:rPr>
      </w:pPr>
    </w:p>
    <w:p>
      <w:pPr>
        <w:ind w:left="340" w:right="140" w:hanging="332"/>
        <w:spacing w:after="0" w:line="229"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and the impact of equity-indexed compensation plan awards was excluded from the calculation of diluted net income/(loss) per common unit for the three months ended March 31, 2020 as the effect was antidilutive.</w:t>
      </w:r>
    </w:p>
    <w:p>
      <w:pPr>
        <w:spacing w:after="0" w:line="31" w:lineRule="exact"/>
        <w:rPr>
          <w:rFonts w:ascii="Arial" w:cs="Arial" w:eastAsia="Arial" w:hAnsi="Arial"/>
          <w:sz w:val="22"/>
          <w:szCs w:val="22"/>
          <w:color w:val="auto"/>
          <w:vertAlign w:val="superscript"/>
        </w:rPr>
      </w:pPr>
    </w:p>
    <w:p>
      <w:pPr>
        <w:ind w:left="340" w:right="20" w:hanging="332"/>
        <w:spacing w:after="0"/>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Such LTIP awards were excluded from the calculation of diluted net loss per common unit for the three months ended March 31, 2020 as the effect was antidilutive.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3" w:lineRule="exact"/>
        <w:rPr>
          <w:sz w:val="20"/>
          <w:szCs w:val="20"/>
          <w:color w:val="auto"/>
        </w:rPr>
      </w:pPr>
    </w:p>
    <w:p>
      <w:pPr>
        <w:jc w:val="center"/>
        <w:ind w:left="89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9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33020</wp:posOffset>
            </wp:positionV>
            <wp:extent cx="1423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4"/>
              <w:spacing w:after="0"/>
              <w:rPr>
                <w:sz w:val="20"/>
                <w:szCs w:val="20"/>
                <w:color w:val="auto"/>
              </w:rPr>
            </w:pPr>
            <w:r>
              <w:rPr>
                <w:rFonts w:ascii="Arial" w:cs="Arial" w:eastAsia="Arial" w:hAnsi="Arial"/>
                <w:sz w:val="16"/>
                <w:szCs w:val="16"/>
                <w:b w:val="1"/>
                <w:bCs w:val="1"/>
                <w:color w:val="auto"/>
              </w:rPr>
              <w:t>2019</w:t>
            </w:r>
          </w:p>
        </w:tc>
      </w:tr>
      <w:tr>
        <w:trPr>
          <w:trHeight w:val="33"/>
        </w:trPr>
        <w:tc>
          <w:tcPr>
            <w:tcW w:w="9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9000" w:type="dxa"/>
            <w:vAlign w:val="bottom"/>
            <w:shd w:val="clear" w:color="auto" w:fill="CCEEFF"/>
          </w:tcPr>
          <w:p>
            <w:pPr>
              <w:ind w:left="20"/>
              <w:spacing w:after="0" w:line="195"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57"/>
        </w:trPr>
        <w:tc>
          <w:tcPr>
            <w:tcW w:w="9000" w:type="dxa"/>
            <w:vAlign w:val="bottom"/>
          </w:tcPr>
          <w:p>
            <w:pPr>
              <w:ind w:left="20"/>
              <w:spacing w:after="0"/>
              <w:rPr>
                <w:sz w:val="20"/>
                <w:szCs w:val="20"/>
                <w:color w:val="auto"/>
              </w:rPr>
            </w:pPr>
            <w:r>
              <w:rPr>
                <w:rFonts w:ascii="Arial" w:cs="Arial" w:eastAsia="Arial" w:hAnsi="Arial"/>
                <w:sz w:val="17"/>
                <w:szCs w:val="17"/>
                <w:color w:val="auto"/>
              </w:rPr>
              <w:t xml:space="preserve">Gains/(losses) from derivative activities, net of inventory valuation adjustments </w:t>
            </w:r>
            <w:r>
              <w:rPr>
                <w:rFonts w:ascii="Arial" w:cs="Arial" w:eastAsia="Arial" w:hAnsi="Arial"/>
                <w:sz w:val="22"/>
                <w:szCs w:val="22"/>
                <w:color w:val="auto"/>
                <w:vertAlign w:val="superscript"/>
              </w:rPr>
              <w:t>(2)</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97</w:t>
            </w:r>
          </w:p>
        </w:tc>
      </w:tr>
      <w:tr>
        <w:trPr>
          <w:trHeight w:val="257"/>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21</w:t>
            </w:r>
          </w:p>
        </w:tc>
      </w:tr>
      <w:tr>
        <w:trPr>
          <w:trHeight w:val="256"/>
        </w:trPr>
        <w:tc>
          <w:tcPr>
            <w:tcW w:w="9000" w:type="dxa"/>
            <w:vAlign w:val="bottom"/>
          </w:tcPr>
          <w:p>
            <w:pPr>
              <w:ind w:left="20"/>
              <w:spacing w:after="0"/>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40" w:type="dxa"/>
            <w:vAlign w:val="bottom"/>
          </w:tcPr>
          <w:p>
            <w:pPr>
              <w:spacing w:after="0"/>
              <w:rPr>
                <w:sz w:val="22"/>
                <w:szCs w:val="22"/>
                <w:color w:val="auto"/>
              </w:rPr>
            </w:pPr>
          </w:p>
        </w:tc>
        <w:tc>
          <w:tcPr>
            <w:tcW w:w="820" w:type="dxa"/>
            <w:vAlign w:val="bottom"/>
          </w:tcPr>
          <w:p>
            <w:pPr>
              <w:jc w:val="right"/>
              <w:ind w:right="5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7</w:t>
            </w:r>
          </w:p>
        </w:tc>
      </w:tr>
      <w:tr>
        <w:trPr>
          <w:trHeight w:val="257"/>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w:t>
            </w:r>
          </w:p>
        </w:tc>
      </w:tr>
      <w:tr>
        <w:trPr>
          <w:trHeight w:val="257"/>
        </w:trPr>
        <w:tc>
          <w:tcPr>
            <w:tcW w:w="9000" w:type="dxa"/>
            <w:vAlign w:val="bottom"/>
          </w:tcPr>
          <w:p>
            <w:pPr>
              <w:ind w:left="20"/>
              <w:spacing w:after="0"/>
              <w:rPr>
                <w:sz w:val="20"/>
                <w:szCs w:val="20"/>
                <w:color w:val="auto"/>
              </w:rPr>
            </w:pPr>
            <w:r>
              <w:rPr>
                <w:rFonts w:ascii="Arial" w:cs="Arial" w:eastAsia="Arial" w:hAnsi="Arial"/>
                <w:sz w:val="17"/>
                <w:szCs w:val="17"/>
                <w:color w:val="auto"/>
              </w:rPr>
              <w:t xml:space="preserve">Net loss on foreign currency revaluation </w:t>
            </w:r>
            <w:r>
              <w:rPr>
                <w:rFonts w:ascii="Arial" w:cs="Arial" w:eastAsia="Arial" w:hAnsi="Arial"/>
                <w:sz w:val="22"/>
                <w:szCs w:val="22"/>
                <w:color w:val="auto"/>
                <w:vertAlign w:val="superscript"/>
              </w:rPr>
              <w:t>(6)</w:t>
            </w:r>
          </w:p>
        </w:tc>
        <w:tc>
          <w:tcPr>
            <w:tcW w:w="24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70"/>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Significant acquisition-related expenses </w:t>
            </w:r>
            <w:r>
              <w:rPr>
                <w:rFonts w:ascii="Arial" w:cs="Arial" w:eastAsia="Arial" w:hAnsi="Arial"/>
                <w:sz w:val="22"/>
                <w:szCs w:val="22"/>
                <w:color w:val="auto"/>
                <w:vertAlign w:val="superscript"/>
              </w:rPr>
              <w:t>(7)</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8"/>
        </w:trPr>
        <w:tc>
          <w:tcPr>
            <w:tcW w:w="900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(170)</w:t>
            </w:r>
          </w:p>
        </w:tc>
        <w:tc>
          <w:tcPr>
            <w:tcW w:w="120" w:type="dxa"/>
            <w:vAlign w:val="bottom"/>
          </w:tcPr>
          <w:p>
            <w:pPr>
              <w:spacing w:after="0"/>
              <w:rPr>
                <w:sz w:val="21"/>
                <w:szCs w:val="21"/>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118</w:t>
            </w:r>
          </w:p>
        </w:tc>
      </w:tr>
      <w:tr>
        <w:trPr>
          <w:trHeight w:val="23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267</w:t>
            </w:r>
          </w:p>
        </w:tc>
      </w:tr>
      <w:tr>
        <w:trPr>
          <w:trHeight w:val="225"/>
        </w:trPr>
        <w:tc>
          <w:tcPr>
            <w:tcW w:w="9000" w:type="dxa"/>
            <w:vAlign w:val="bottom"/>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4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(619)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31"/>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 impairment losses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26"/>
        </w:trPr>
        <w:tc>
          <w:tcPr>
            <w:tcW w:w="9000" w:type="dxa"/>
            <w:vAlign w:val="bottom"/>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4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24</w:t>
            </w:r>
          </w:p>
        </w:tc>
      </w:tr>
      <w:tr>
        <w:trPr>
          <w:trHeight w:val="31"/>
        </w:trPr>
        <w:tc>
          <w:tcPr>
            <w:tcW w:w="9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5"/>
        </w:trPr>
        <w:tc>
          <w:tcPr>
            <w:tcW w:w="9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(3,303)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405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9"/>
          <w:szCs w:val="9"/>
          <w:color w:val="auto"/>
        </w:rPr>
      </w:pPr>
      <w:r>
        <w:rPr>
          <w:rFonts w:ascii="Arial" w:cs="Arial" w:eastAsia="Arial" w:hAnsi="Arial"/>
          <w:sz w:val="14"/>
          <w:szCs w:val="14"/>
          <w:color w:val="auto"/>
        </w:rPr>
        <w:t>Certain of our non-GAAP financial measures may not be impacted by each of the selected items impacting comparability.</w:t>
      </w:r>
    </w:p>
    <w:p>
      <w:pPr>
        <w:spacing w:after="0" w:line="55" w:lineRule="exact"/>
        <w:rPr>
          <w:rFonts w:ascii="Arial" w:cs="Arial" w:eastAsia="Arial" w:hAnsi="Arial"/>
          <w:sz w:val="9"/>
          <w:szCs w:val="9"/>
          <w:color w:val="auto"/>
        </w:rPr>
      </w:pPr>
    </w:p>
    <w:p>
      <w:pPr>
        <w:ind w:left="340" w:right="40" w:hanging="332"/>
        <w:spacing w:after="0" w:line="247" w:lineRule="auto"/>
        <w:tabs>
          <w:tab w:leader="none" w:pos="327" w:val="left"/>
        </w:tabs>
        <w:numPr>
          <w:ilvl w:val="0"/>
          <w:numId w:val="20"/>
        </w:numPr>
        <w:rPr>
          <w:rFonts w:ascii="Arial" w:cs="Arial" w:eastAsia="Arial" w:hAnsi="Arial"/>
          <w:sz w:val="9"/>
          <w:szCs w:val="9"/>
          <w:color w:val="auto"/>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1" w:lineRule="exact"/>
        <w:rPr>
          <w:rFonts w:ascii="Arial" w:cs="Arial" w:eastAsia="Arial" w:hAnsi="Arial"/>
          <w:sz w:val="9"/>
          <w:szCs w:val="9"/>
          <w:color w:val="auto"/>
        </w:rPr>
      </w:pPr>
    </w:p>
    <w:p>
      <w:pPr>
        <w:ind w:left="340" w:right="20" w:hanging="332"/>
        <w:spacing w:after="0" w:line="277" w:lineRule="auto"/>
        <w:tabs>
          <w:tab w:leader="none" w:pos="327" w:val="left"/>
        </w:tabs>
        <w:numPr>
          <w:ilvl w:val="0"/>
          <w:numId w:val="20"/>
        </w:numPr>
        <w:rPr>
          <w:rFonts w:ascii="Arial" w:cs="Arial" w:eastAsia="Arial" w:hAnsi="Arial"/>
          <w:sz w:val="9"/>
          <w:szCs w:val="9"/>
          <w:color w:val="auto"/>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1" w:lineRule="exact"/>
        <w:rPr>
          <w:rFonts w:ascii="Arial" w:cs="Arial" w:eastAsia="Arial" w:hAnsi="Arial"/>
          <w:sz w:val="9"/>
          <w:szCs w:val="9"/>
          <w:color w:val="auto"/>
        </w:rPr>
      </w:pPr>
    </w:p>
    <w:p>
      <w:pPr>
        <w:ind w:left="340" w:right="80" w:hanging="332"/>
        <w:spacing w:after="0" w:line="292" w:lineRule="auto"/>
        <w:tabs>
          <w:tab w:leader="none" w:pos="327" w:val="left"/>
        </w:tabs>
        <w:numPr>
          <w:ilvl w:val="0"/>
          <w:numId w:val="20"/>
        </w:numPr>
        <w:rPr>
          <w:rFonts w:ascii="Arial" w:cs="Arial" w:eastAsia="Arial" w:hAnsi="Arial"/>
          <w:sz w:val="8"/>
          <w:szCs w:val="8"/>
          <w:color w:val="auto"/>
        </w:rPr>
      </w:pPr>
      <w:r>
        <w:rPr>
          <w:rFonts w:ascii="Arial" w:cs="Arial" w:eastAsia="Arial" w:hAnsi="Arial"/>
          <w:sz w:val="12"/>
          <w:szCs w:val="12"/>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6" w:lineRule="exact"/>
        <w:rPr>
          <w:rFonts w:ascii="Arial" w:cs="Arial" w:eastAsia="Arial" w:hAnsi="Arial"/>
          <w:sz w:val="8"/>
          <w:szCs w:val="8"/>
          <w:color w:val="auto"/>
        </w:rPr>
      </w:pPr>
    </w:p>
    <w:p>
      <w:pPr>
        <w:ind w:left="340" w:right="100" w:hanging="332"/>
        <w:spacing w:after="0" w:line="249" w:lineRule="auto"/>
        <w:tabs>
          <w:tab w:leader="none" w:pos="327" w:val="left"/>
        </w:tabs>
        <w:numPr>
          <w:ilvl w:val="0"/>
          <w:numId w:val="20"/>
        </w:numPr>
        <w:rPr>
          <w:rFonts w:ascii="Arial" w:cs="Arial" w:eastAsia="Arial" w:hAnsi="Arial"/>
          <w:sz w:val="9"/>
          <w:szCs w:val="9"/>
          <w:color w:val="auto"/>
        </w:rPr>
      </w:pPr>
      <w:r>
        <w:rPr>
          <w:rFonts w:ascii="Arial" w:cs="Arial" w:eastAsia="Arial" w:hAnsi="Arial"/>
          <w:sz w:val="14"/>
          <w:szCs w:val="14"/>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8" w:lineRule="exact"/>
        <w:rPr>
          <w:rFonts w:ascii="Arial" w:cs="Arial" w:eastAsia="Arial" w:hAnsi="Arial"/>
          <w:sz w:val="9"/>
          <w:szCs w:val="9"/>
          <w:color w:val="auto"/>
        </w:rPr>
      </w:pPr>
    </w:p>
    <w:p>
      <w:pPr>
        <w:ind w:left="340" w:right="60" w:hanging="332"/>
        <w:spacing w:after="0" w:line="273" w:lineRule="auto"/>
        <w:tabs>
          <w:tab w:leader="none" w:pos="327" w:val="left"/>
        </w:tabs>
        <w:numPr>
          <w:ilvl w:val="0"/>
          <w:numId w:val="20"/>
        </w:numPr>
        <w:rPr>
          <w:rFonts w:ascii="Arial" w:cs="Arial" w:eastAsia="Arial" w:hAnsi="Arial"/>
          <w:sz w:val="9"/>
          <w:szCs w:val="9"/>
          <w:color w:val="auto"/>
        </w:rPr>
      </w:pPr>
      <w:r>
        <w:rPr>
          <w:rFonts w:ascii="Arial" w:cs="Arial" w:eastAsia="Arial" w:hAnsi="Arial"/>
          <w:sz w:val="14"/>
          <w:szCs w:val="14"/>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1" w:lineRule="exact"/>
        <w:rPr>
          <w:rFonts w:ascii="Arial" w:cs="Arial" w:eastAsia="Arial" w:hAnsi="Arial"/>
          <w:sz w:val="9"/>
          <w:szCs w:val="9"/>
          <w:color w:val="auto"/>
        </w:rPr>
      </w:pPr>
    </w:p>
    <w:p>
      <w:pPr>
        <w:ind w:left="320" w:hanging="312"/>
        <w:spacing w:after="0"/>
        <w:tabs>
          <w:tab w:leader="none" w:pos="320"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acquisition-related expenses associated with the Felix Midstream LLC acquisition in February 2020.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Gains/(losses) from derivative activities, net of inventory valuation adjustments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Net gain/(loss) on foreign currency revaluation </w:t>
      </w:r>
      <w:r>
        <w:rPr>
          <w:rFonts w:ascii="Arial" w:cs="Arial" w:eastAsia="Arial" w:hAnsi="Arial"/>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Selected items impacting comparability -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Gains/(losses) from derivative activities </w:t>
      </w:r>
      <w:r>
        <w:rPr>
          <w:rFonts w:ascii="Arial" w:cs="Arial" w:eastAsia="Arial" w:hAnsi="Arial"/>
          <w:sz w:val="22"/>
          <w:szCs w:val="22"/>
          <w:color w:val="auto"/>
          <w:vertAlign w:val="superscript"/>
        </w:rPr>
        <w:t>(2)</w:t>
      </w:r>
    </w:p>
    <w:p>
      <w:pPr>
        <w:ind w:left="20"/>
        <w:spacing w:after="0"/>
        <w:rPr>
          <w:sz w:val="20"/>
          <w:szCs w:val="20"/>
          <w:color w:val="auto"/>
        </w:rPr>
      </w:pPr>
      <w:r>
        <w:rPr>
          <w:rFonts w:ascii="Arial" w:cs="Arial" w:eastAsia="Arial" w:hAnsi="Arial"/>
          <w:sz w:val="17"/>
          <w:szCs w:val="17"/>
          <w:color w:val="auto"/>
        </w:rPr>
        <w:t>Gain on investment in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Gains/(losses) on asset sales and asset impairments, net</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Tax effect on selected items impacting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Selected items impacting comparability - Adjusted 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2459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1423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820" w:type="dxa"/>
            <w:vAlign w:val="bottom"/>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5"/>
              <w:spacing w:after="0"/>
              <w:rPr>
                <w:sz w:val="20"/>
                <w:szCs w:val="20"/>
                <w:color w:val="auto"/>
              </w:rPr>
            </w:pPr>
            <w:r>
              <w:rPr>
                <w:rFonts w:ascii="Arial" w:cs="Arial" w:eastAsia="Arial" w:hAnsi="Arial"/>
                <w:sz w:val="16"/>
                <w:szCs w:val="16"/>
                <w:b w:val="1"/>
                <w:bCs w:val="1"/>
                <w:color w:val="auto"/>
              </w:rPr>
              <w:t>2018</w:t>
            </w:r>
          </w:p>
        </w:tc>
      </w:tr>
      <w:tr>
        <w:trPr>
          <w:trHeight w:val="3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422"/>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24"/>
                <w:szCs w:val="24"/>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505</w:t>
            </w:r>
          </w:p>
        </w:tc>
      </w:tr>
      <w:tr>
        <w:trPr>
          <w:trHeight w:val="256"/>
        </w:trPr>
        <w:tc>
          <w:tcPr>
            <w:tcW w:w="24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(21)</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(7)</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(55)</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1</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31"/>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9"/>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423</w:t>
            </w:r>
          </w:p>
        </w:tc>
      </w:tr>
      <w:tr>
        <w:trPr>
          <w:trHeight w:val="256"/>
        </w:trPr>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4</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271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200</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114</w:t>
            </w:r>
          </w:p>
        </w:tc>
      </w:tr>
      <w:tr>
        <w:trPr>
          <w:trHeight w:val="257"/>
        </w:trPr>
        <w:tc>
          <w:tcPr>
            <w:tcW w:w="24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(95)</w:t>
            </w:r>
          </w:p>
        </w:tc>
      </w:tr>
      <w:tr>
        <w:trPr>
          <w:trHeight w:val="31"/>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9"/>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646</w:t>
            </w:r>
          </w:p>
        </w:tc>
      </w:tr>
      <w:tr>
        <w:trPr>
          <w:trHeight w:val="31"/>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368" w:right="339" w:bottom="1440" w:gutter="0" w:footer="0" w:header="0"/>
          <w:type w:val="continuous"/>
        </w:sectPr>
      </w:pPr>
    </w:p>
    <w:p>
      <w:pPr>
        <w:spacing w:after="0" w:line="335"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9"/>
          <w:szCs w:val="9"/>
          <w:color w:val="auto"/>
        </w:rPr>
      </w:pPr>
      <w:r>
        <w:rPr>
          <w:rFonts w:ascii="Arial" w:cs="Arial" w:eastAsia="Arial" w:hAnsi="Arial"/>
          <w:sz w:val="14"/>
          <w:szCs w:val="14"/>
          <w:color w:val="auto"/>
        </w:rPr>
        <w:t>Certain of our non-GAAP financial measures may not be impacted by each of the selected items impacting comparability.</w:t>
      </w:r>
    </w:p>
    <w:p>
      <w:pPr>
        <w:spacing w:after="0" w:line="55" w:lineRule="exact"/>
        <w:rPr>
          <w:rFonts w:ascii="Arial" w:cs="Arial" w:eastAsia="Arial" w:hAnsi="Arial"/>
          <w:sz w:val="9"/>
          <w:szCs w:val="9"/>
          <w:color w:val="auto"/>
        </w:rPr>
      </w:pPr>
    </w:p>
    <w:p>
      <w:pPr>
        <w:ind w:left="340" w:right="40" w:hanging="332"/>
        <w:spacing w:after="0" w:line="247" w:lineRule="auto"/>
        <w:tabs>
          <w:tab w:leader="none" w:pos="327" w:val="left"/>
        </w:tabs>
        <w:numPr>
          <w:ilvl w:val="0"/>
          <w:numId w:val="21"/>
        </w:numPr>
        <w:rPr>
          <w:rFonts w:ascii="Arial" w:cs="Arial" w:eastAsia="Arial" w:hAnsi="Arial"/>
          <w:sz w:val="9"/>
          <w:szCs w:val="9"/>
          <w:color w:val="auto"/>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1" w:lineRule="exact"/>
        <w:rPr>
          <w:rFonts w:ascii="Arial" w:cs="Arial" w:eastAsia="Arial" w:hAnsi="Arial"/>
          <w:sz w:val="9"/>
          <w:szCs w:val="9"/>
          <w:color w:val="auto"/>
        </w:rPr>
      </w:pPr>
    </w:p>
    <w:p>
      <w:pPr>
        <w:ind w:left="340" w:right="20" w:hanging="332"/>
        <w:spacing w:after="0" w:line="277" w:lineRule="auto"/>
        <w:tabs>
          <w:tab w:leader="none" w:pos="327" w:val="left"/>
        </w:tabs>
        <w:numPr>
          <w:ilvl w:val="0"/>
          <w:numId w:val="21"/>
        </w:numPr>
        <w:rPr>
          <w:rFonts w:ascii="Arial" w:cs="Arial" w:eastAsia="Arial" w:hAnsi="Arial"/>
          <w:sz w:val="9"/>
          <w:szCs w:val="9"/>
          <w:color w:val="auto"/>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1" w:lineRule="exact"/>
        <w:rPr>
          <w:rFonts w:ascii="Arial" w:cs="Arial" w:eastAsia="Arial" w:hAnsi="Arial"/>
          <w:sz w:val="9"/>
          <w:szCs w:val="9"/>
          <w:color w:val="auto"/>
        </w:rPr>
      </w:pPr>
    </w:p>
    <w:p>
      <w:pPr>
        <w:ind w:left="340" w:right="80" w:hanging="332"/>
        <w:spacing w:after="0" w:line="292" w:lineRule="auto"/>
        <w:tabs>
          <w:tab w:leader="none" w:pos="327" w:val="left"/>
        </w:tabs>
        <w:numPr>
          <w:ilvl w:val="0"/>
          <w:numId w:val="21"/>
        </w:numPr>
        <w:rPr>
          <w:rFonts w:ascii="Arial" w:cs="Arial" w:eastAsia="Arial" w:hAnsi="Arial"/>
          <w:sz w:val="8"/>
          <w:szCs w:val="8"/>
          <w:color w:val="auto"/>
        </w:rPr>
      </w:pPr>
      <w:r>
        <w:rPr>
          <w:rFonts w:ascii="Arial" w:cs="Arial" w:eastAsia="Arial" w:hAnsi="Arial"/>
          <w:sz w:val="12"/>
          <w:szCs w:val="12"/>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6" w:lineRule="exact"/>
        <w:rPr>
          <w:rFonts w:ascii="Arial" w:cs="Arial" w:eastAsia="Arial" w:hAnsi="Arial"/>
          <w:sz w:val="8"/>
          <w:szCs w:val="8"/>
          <w:color w:val="auto"/>
        </w:rPr>
      </w:pPr>
    </w:p>
    <w:p>
      <w:pPr>
        <w:ind w:left="340" w:right="100" w:hanging="332"/>
        <w:spacing w:after="0" w:line="249" w:lineRule="auto"/>
        <w:tabs>
          <w:tab w:leader="none" w:pos="327" w:val="left"/>
        </w:tabs>
        <w:numPr>
          <w:ilvl w:val="0"/>
          <w:numId w:val="21"/>
        </w:numPr>
        <w:rPr>
          <w:rFonts w:ascii="Arial" w:cs="Arial" w:eastAsia="Arial" w:hAnsi="Arial"/>
          <w:sz w:val="9"/>
          <w:szCs w:val="9"/>
          <w:color w:val="auto"/>
        </w:rPr>
      </w:pPr>
      <w:r>
        <w:rPr>
          <w:rFonts w:ascii="Arial" w:cs="Arial" w:eastAsia="Arial" w:hAnsi="Arial"/>
          <w:sz w:val="14"/>
          <w:szCs w:val="14"/>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8" w:lineRule="exact"/>
        <w:rPr>
          <w:rFonts w:ascii="Arial" w:cs="Arial" w:eastAsia="Arial" w:hAnsi="Arial"/>
          <w:sz w:val="9"/>
          <w:szCs w:val="9"/>
          <w:color w:val="auto"/>
        </w:rPr>
      </w:pPr>
    </w:p>
    <w:p>
      <w:pPr>
        <w:ind w:left="340" w:right="60" w:hanging="332"/>
        <w:spacing w:after="0" w:line="273" w:lineRule="auto"/>
        <w:tabs>
          <w:tab w:leader="none" w:pos="327" w:val="left"/>
        </w:tabs>
        <w:numPr>
          <w:ilvl w:val="0"/>
          <w:numId w:val="21"/>
        </w:numPr>
        <w:rPr>
          <w:rFonts w:ascii="Arial" w:cs="Arial" w:eastAsia="Arial" w:hAnsi="Arial"/>
          <w:sz w:val="9"/>
          <w:szCs w:val="9"/>
          <w:color w:val="auto"/>
        </w:rPr>
      </w:pPr>
      <w:r>
        <w:rPr>
          <w:rFonts w:ascii="Arial" w:cs="Arial" w:eastAsia="Arial" w:hAnsi="Arial"/>
          <w:sz w:val="14"/>
          <w:szCs w:val="14"/>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1" w:lineRule="exact"/>
        <w:rPr>
          <w:rFonts w:ascii="Arial" w:cs="Arial" w:eastAsia="Arial" w:hAnsi="Arial"/>
          <w:sz w:val="9"/>
          <w:szCs w:val="9"/>
          <w:color w:val="auto"/>
        </w:rPr>
      </w:pPr>
    </w:p>
    <w:p>
      <w:pPr>
        <w:ind w:left="320" w:hanging="312"/>
        <w:spacing w:after="0"/>
        <w:tabs>
          <w:tab w:leader="none" w:pos="32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9" w:lineRule="exact"/>
        <w:rPr>
          <w:rFonts w:ascii="Arial" w:cs="Arial" w:eastAsia="Arial" w:hAnsi="Arial"/>
          <w:sz w:val="9"/>
          <w:szCs w:val="9"/>
          <w:color w:val="auto"/>
        </w:rPr>
      </w:pPr>
    </w:p>
    <w:p>
      <w:pPr>
        <w:ind w:left="5440" w:hanging="106"/>
        <w:spacing w:after="0"/>
        <w:tabs>
          <w:tab w:leader="none" w:pos="5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48"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2019</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Adjusted Net Income per Common Unit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970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Selected items impacting comparability - Adjusted net income attributable to PAA </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565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514</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8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8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0.71</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8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Diluted Adjusted Net Income per Common Unit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970</w:t>
            </w:r>
          </w:p>
        </w:tc>
      </w:tr>
      <w:tr>
        <w:trPr>
          <w:trHeight w:val="270"/>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Selected items impacting comparability - Adjusted net income attributable to PAA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w:t>
            </w:r>
          </w:p>
        </w:tc>
      </w:tr>
      <w:tr>
        <w:trPr>
          <w:trHeight w:val="243"/>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565</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552</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8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Series A preferred units</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71</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64"/>
        </w:trPr>
        <w:tc>
          <w:tcPr>
            <w:tcW w:w="8800" w:type="dxa"/>
            <w:vAlign w:val="bottom"/>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800</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8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0.69</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40" w:right="60" w:hanging="332"/>
        <w:spacing w:after="0" w:line="233" w:lineRule="auto"/>
        <w:tabs>
          <w:tab w:leader="none" w:pos="32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4"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50" w:lineRule="exact"/>
        <w:rPr>
          <w:rFonts w:ascii="Arial" w:cs="Arial" w:eastAsia="Arial" w:hAnsi="Arial"/>
          <w:sz w:val="21"/>
          <w:szCs w:val="21"/>
          <w:color w:val="auto"/>
          <w:vertAlign w:val="superscript"/>
        </w:rPr>
      </w:pPr>
    </w:p>
    <w:p>
      <w:pPr>
        <w:ind w:left="340" w:right="140" w:hanging="332"/>
        <w:spacing w:after="0" w:line="229" w:lineRule="auto"/>
        <w:tabs>
          <w:tab w:leader="none" w:pos="32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34"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Reconciliations:</w:t>
      </w:r>
    </w:p>
    <w:p>
      <w:pPr>
        <w:spacing w:after="0" w:line="36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3"/>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center"/>
              <w:ind w:left="191"/>
              <w:spacing w:after="0"/>
              <w:rPr>
                <w:sz w:val="20"/>
                <w:szCs w:val="20"/>
                <w:color w:val="auto"/>
              </w:rPr>
            </w:pPr>
            <w:r>
              <w:rPr>
                <w:rFonts w:ascii="Arial" w:cs="Arial" w:eastAsia="Arial" w:hAnsi="Arial"/>
                <w:sz w:val="18"/>
                <w:szCs w:val="18"/>
                <w:color w:val="auto"/>
                <w:w w:val="85"/>
              </w:rPr>
              <w:t>1.26</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1"/>
              </w:rPr>
              <w:t>4.54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3"/>
              </w:rPr>
              <w:t>(0.55)</w:t>
            </w: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1"/>
              <w:spacing w:after="0"/>
              <w:rPr>
                <w:sz w:val="20"/>
                <w:szCs w:val="20"/>
                <w:color w:val="auto"/>
              </w:rPr>
            </w:pPr>
            <w:r>
              <w:rPr>
                <w:rFonts w:ascii="Arial" w:cs="Arial" w:eastAsia="Arial" w:hAnsi="Arial"/>
                <w:sz w:val="18"/>
                <w:szCs w:val="18"/>
                <w:color w:val="auto"/>
                <w:w w:val="91"/>
              </w:rPr>
              <w:t>0.56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w w:val="85"/>
              </w:rPr>
              <w:t>0.71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3"/>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center"/>
              <w:ind w:left="191"/>
              <w:spacing w:after="0"/>
              <w:rPr>
                <w:sz w:val="20"/>
                <w:szCs w:val="20"/>
                <w:color w:val="auto"/>
              </w:rPr>
            </w:pPr>
            <w:r>
              <w:rPr>
                <w:rFonts w:ascii="Arial" w:cs="Arial" w:eastAsia="Arial" w:hAnsi="Arial"/>
                <w:sz w:val="18"/>
                <w:szCs w:val="18"/>
                <w:color w:val="auto"/>
                <w:w w:val="85"/>
              </w:rPr>
              <w:t>1.20</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1"/>
              </w:rPr>
              <w:t>4.53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3"/>
              </w:rPr>
              <w:t>(0.51)</w:t>
            </w: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1"/>
              <w:spacing w:after="0"/>
              <w:rPr>
                <w:sz w:val="20"/>
                <w:szCs w:val="20"/>
                <w:color w:val="auto"/>
              </w:rPr>
            </w:pPr>
            <w:r>
              <w:rPr>
                <w:rFonts w:ascii="Arial" w:cs="Arial" w:eastAsia="Arial" w:hAnsi="Arial"/>
                <w:sz w:val="18"/>
                <w:szCs w:val="18"/>
                <w:color w:val="auto"/>
                <w:w w:val="91"/>
              </w:rPr>
              <w:t>0.55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w w:val="85"/>
              </w:rPr>
              <w:t>0.69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120" w:hanging="332"/>
        <w:spacing w:after="0" w:line="227"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Income/(Loss) Per Common Unit” tables for additional information.</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Diluted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-147320</wp:posOffset>
            </wp:positionV>
            <wp:extent cx="708914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9140" cy="18034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-20955</wp:posOffset>
            </wp:positionV>
            <wp:extent cx="708914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9140" cy="196850"/>
                    </a:xfrm>
                    <a:prstGeom prst="rect">
                      <a:avLst/>
                    </a:prstGeom>
                    <a:noFill/>
                  </pic:spPr>
                </pic:pic>
              </a:graphicData>
            </a:graphic>
          </wp:anchor>
        </w:drawing>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Diluted adjusted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24599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See the “Selected Items Impacting Comparability” table for additional information.</w:t>
      </w:r>
    </w:p>
    <w:p>
      <w:pPr>
        <w:spacing w:after="0" w:line="55"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15430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r>
      <w:tr>
        <w:trPr>
          <w:trHeight w:val="33"/>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91"/>
              </w:rPr>
              <w:t>2.65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192"/>
              <w:spacing w:after="0"/>
              <w:rPr>
                <w:sz w:val="20"/>
                <w:szCs w:val="20"/>
                <w:color w:val="auto"/>
              </w:rPr>
            </w:pPr>
            <w:r>
              <w:rPr>
                <w:rFonts w:ascii="Arial" w:cs="Arial" w:eastAsia="Arial" w:hAnsi="Arial"/>
                <w:sz w:val="18"/>
                <w:szCs w:val="18"/>
                <w:color w:val="auto"/>
                <w:w w:val="91"/>
              </w:rPr>
              <w:t>2.71</w:t>
            </w:r>
          </w:p>
        </w:tc>
      </w:tr>
      <w:tr>
        <w:trPr>
          <w:trHeight w:val="270"/>
        </w:trPr>
        <w:tc>
          <w:tcPr>
            <w:tcW w:w="260" w:type="dxa"/>
            <w:vAlign w:val="bottom"/>
          </w:tcPr>
          <w:p>
            <w:pPr>
              <w:spacing w:after="0"/>
              <w:rPr>
                <w:sz w:val="23"/>
                <w:szCs w:val="23"/>
                <w:color w:val="auto"/>
              </w:rPr>
            </w:pPr>
          </w:p>
        </w:tc>
        <w:tc>
          <w:tcPr>
            <w:tcW w:w="900" w:type="dxa"/>
            <w:vAlign w:val="bottom"/>
          </w:tcPr>
          <w:p>
            <w:pPr>
              <w:jc w:val="center"/>
              <w:ind w:left="152"/>
              <w:spacing w:after="0"/>
              <w:rPr>
                <w:sz w:val="20"/>
                <w:szCs w:val="20"/>
                <w:color w:val="auto"/>
              </w:rPr>
            </w:pPr>
            <w:r>
              <w:rPr>
                <w:rFonts w:ascii="Arial" w:cs="Arial" w:eastAsia="Arial" w:hAnsi="Arial"/>
                <w:sz w:val="18"/>
                <w:szCs w:val="18"/>
                <w:color w:val="auto"/>
                <w:w w:val="89"/>
              </w:rPr>
              <w:t>(0.14)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center"/>
              <w:ind w:left="152"/>
              <w:spacing w:after="0"/>
              <w:rPr>
                <w:sz w:val="20"/>
                <w:szCs w:val="20"/>
                <w:color w:val="auto"/>
              </w:rPr>
            </w:pPr>
            <w:r>
              <w:rPr>
                <w:rFonts w:ascii="Arial" w:cs="Arial" w:eastAsia="Arial" w:hAnsi="Arial"/>
                <w:sz w:val="18"/>
                <w:szCs w:val="18"/>
                <w:color w:val="auto"/>
                <w:w w:val="93"/>
              </w:rPr>
              <w:t>(0.83)</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91"/>
              </w:rPr>
              <w:t>2.51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192"/>
              <w:spacing w:after="0"/>
              <w:rPr>
                <w:sz w:val="20"/>
                <w:szCs w:val="20"/>
                <w:color w:val="auto"/>
              </w:rPr>
            </w:pPr>
            <w:r>
              <w:rPr>
                <w:rFonts w:ascii="Arial" w:cs="Arial" w:eastAsia="Arial" w:hAnsi="Arial"/>
                <w:sz w:val="18"/>
                <w:szCs w:val="18"/>
                <w:color w:val="auto"/>
                <w:w w:val="91"/>
              </w:rPr>
              <w:t>1.88</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40" w:lineRule="exact"/>
        <w:rPr>
          <w:sz w:val="20"/>
          <w:szCs w:val="20"/>
          <w:color w:val="auto"/>
        </w:rPr>
      </w:pPr>
    </w:p>
    <w:p>
      <w:pPr>
        <w:sectPr>
          <w:pgSz w:w="11900" w:h="16838" w:orient="portrait"/>
          <w:cols w:equalWidth="0" w:num="2">
            <w:col w:w="8060" w:space="720"/>
            <w:col w:w="2460"/>
          </w:cols>
          <w:pgMar w:left="320" w:top="368" w:right="339" w:bottom="1440" w:gutter="0" w:footer="0" w:header="0"/>
          <w:type w:val="continuous"/>
        </w:sectPr>
      </w:pPr>
    </w:p>
    <w:p>
      <w:pPr>
        <w:spacing w:after="0" w:line="59"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49"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2019</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970</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70"/>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862</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Distributions from unconsolidated entities in excess of/(less than) adjusted equity earnings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Implied DCF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691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654</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Units and Common Equivalent Units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798</w:t>
            </w:r>
          </w:p>
        </w:tc>
      </w:tr>
      <w:tr>
        <w:trPr>
          <w:trHeight w:val="162"/>
        </w:trPr>
        <w:tc>
          <w:tcPr>
            <w:tcW w:w="8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0.90</w:t>
            </w: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0.87</w:t>
            </w:r>
          </w:p>
        </w:tc>
      </w:tr>
      <w:tr>
        <w:trPr>
          <w:trHeight w:val="162"/>
        </w:trPr>
        <w:tc>
          <w:tcPr>
            <w:tcW w:w="8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0.30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218</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80" w:type="dxa"/>
            <w:vAlign w:val="bottom"/>
          </w:tcPr>
          <w:p>
            <w:pPr>
              <w:spacing w:after="0"/>
              <w:rPr>
                <w:sz w:val="21"/>
                <w:szCs w:val="21"/>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2.27x</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3.00x</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2"/>
        </w:trPr>
        <w:tc>
          <w:tcPr>
            <w:tcW w:w="8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Implied DCF Excess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Adjustment to add back our proportionate share of depreciation and amortization expense of unconsolidated entities.</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Comprised of cash distributions received from unconsolidated entities less equity earnings in unconsolidated entities (adjusted for our proportionate share of depreciation and amortization).</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during the period presented.</w:t>
      </w:r>
    </w:p>
    <w:p>
      <w:pPr>
        <w:spacing w:after="0" w:line="49" w:lineRule="exact"/>
        <w:rPr>
          <w:rFonts w:ascii="Arial" w:cs="Arial" w:eastAsia="Arial" w:hAnsi="Arial"/>
          <w:sz w:val="15"/>
          <w:szCs w:val="15"/>
          <w:color w:val="auto"/>
          <w:vertAlign w:val="superscript"/>
        </w:rPr>
      </w:pPr>
    </w:p>
    <w:p>
      <w:pPr>
        <w:jc w:val="both"/>
        <w:ind w:left="340" w:right="160" w:hanging="332"/>
        <w:spacing w:after="0" w:line="219" w:lineRule="auto"/>
        <w:tabs>
          <w:tab w:leader="none" w:pos="334"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in cash semi-annually in arrears on May 15 and November 15.</w:t>
      </w:r>
    </w:p>
    <w:p>
      <w:pPr>
        <w:spacing w:after="0" w:line="1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Implied DCF Available to Common Unitholders for the period divided by the weighted average common units outstanding for the period.</w:t>
      </w:r>
    </w:p>
    <w:p>
      <w:pPr>
        <w:spacing w:after="0" w:line="48" w:lineRule="exact"/>
        <w:rPr>
          <w:rFonts w:ascii="Arial" w:cs="Arial" w:eastAsia="Arial" w:hAnsi="Arial"/>
          <w:sz w:val="15"/>
          <w:szCs w:val="15"/>
          <w:color w:val="auto"/>
          <w:vertAlign w:val="superscript"/>
        </w:rPr>
      </w:pPr>
    </w:p>
    <w:p>
      <w:pPr>
        <w:ind w:left="340" w:right="40" w:hanging="332"/>
        <w:spacing w:after="0" w:line="262" w:lineRule="auto"/>
        <w:tabs>
          <w:tab w:leader="none" w:pos="334" w:val="left"/>
        </w:tabs>
        <w:numPr>
          <w:ilvl w:val="0"/>
          <w:numId w:val="25"/>
        </w:numPr>
        <w:rPr>
          <w:rFonts w:ascii="Arial" w:cs="Arial" w:eastAsia="Arial" w:hAnsi="Arial"/>
          <w:sz w:val="13"/>
          <w:szCs w:val="13"/>
          <w:color w:val="auto"/>
          <w:vertAlign w:val="superscript"/>
        </w:rPr>
      </w:pPr>
      <w:r>
        <w:rPr>
          <w:rFonts w:ascii="Arial" w:cs="Arial" w:eastAsia="Arial" w:hAnsi="Arial"/>
          <w:sz w:val="10"/>
          <w:szCs w:val="10"/>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19" w:lineRule="exact"/>
        <w:rPr>
          <w:rFonts w:ascii="Arial" w:cs="Arial" w:eastAsia="Arial" w:hAnsi="Arial"/>
          <w:sz w:val="13"/>
          <w:szCs w:val="13"/>
          <w:color w:val="auto"/>
          <w:vertAlign w:val="superscript"/>
        </w:rPr>
      </w:pPr>
    </w:p>
    <w:p>
      <w:pPr>
        <w:ind w:left="5440" w:hanging="106"/>
        <w:spacing w:after="0"/>
        <w:tabs>
          <w:tab w:leader="none" w:pos="5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49"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2018</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2,216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431</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198</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investment in unconsolidated entities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56</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2,684</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64"/>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 xml:space="preserve">Distributions from unconsolidated entities in excess of/(less than) adjusted equity earnings </w:t>
            </w:r>
            <w:r>
              <w:rPr>
                <w:rFonts w:ascii="Arial" w:cs="Arial" w:eastAsia="Arial" w:hAnsi="Arial"/>
                <w:sz w:val="23"/>
                <w:szCs w:val="23"/>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Implied DCF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1,948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1,787</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Units and Common Equivalent Units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162"/>
        </w:trPr>
        <w:tc>
          <w:tcPr>
            <w:tcW w:w="8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2.46</w:t>
            </w:r>
          </w:p>
        </w:tc>
      </w:tr>
      <w:tr>
        <w:trPr>
          <w:trHeight w:val="270"/>
        </w:trPr>
        <w:tc>
          <w:tcPr>
            <w:tcW w:w="8800" w:type="dxa"/>
            <w:vAlign w:val="bottom"/>
          </w:tcPr>
          <w:p>
            <w:pPr>
              <w:ind w:left="20"/>
              <w:spacing w:after="0"/>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2.38</w:t>
            </w:r>
          </w:p>
        </w:tc>
      </w:tr>
      <w:tr>
        <w:trPr>
          <w:trHeight w:val="162"/>
        </w:trPr>
        <w:tc>
          <w:tcPr>
            <w:tcW w:w="8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871</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2.17x</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2.05x</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2"/>
        </w:trPr>
        <w:tc>
          <w:tcPr>
            <w:tcW w:w="8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Implied DCF Excess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Adjustment to add back our proportionate share of depreciation and amortization expense of unconsolidated entities.</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Comprised of cash distributions received from unconsolidated entities less equity earnings in unconsolidated entities (adjusted for our proportionate share of depreciation and amortization).</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during the period presented.</w:t>
      </w:r>
    </w:p>
    <w:p>
      <w:pPr>
        <w:spacing w:after="0" w:line="49" w:lineRule="exact"/>
        <w:rPr>
          <w:rFonts w:ascii="Arial" w:cs="Arial" w:eastAsia="Arial" w:hAnsi="Arial"/>
          <w:sz w:val="15"/>
          <w:szCs w:val="15"/>
          <w:color w:val="auto"/>
          <w:vertAlign w:val="superscript"/>
        </w:rPr>
      </w:pPr>
    </w:p>
    <w:p>
      <w:pPr>
        <w:ind w:left="340" w:right="40" w:hanging="332"/>
        <w:spacing w:after="0" w:line="219" w:lineRule="auto"/>
        <w:tabs>
          <w:tab w:leader="none" w:pos="334"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to our preferred unitholders during the period presented. The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$61.25 per unit annual distribution requirement of our Series B preferred units, is payable in cash semi-annually in arrears on May 15 and November 15.</w:t>
      </w:r>
    </w:p>
    <w:p>
      <w:pPr>
        <w:spacing w:after="0" w:line="1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Implied DCF Available to Common Unitholders for the period divided by the weighted average common units outstanding for the period.</w:t>
      </w:r>
    </w:p>
    <w:p>
      <w:pPr>
        <w:spacing w:after="0" w:line="48" w:lineRule="exact"/>
        <w:rPr>
          <w:rFonts w:ascii="Arial" w:cs="Arial" w:eastAsia="Arial" w:hAnsi="Arial"/>
          <w:sz w:val="15"/>
          <w:szCs w:val="15"/>
          <w:color w:val="auto"/>
          <w:vertAlign w:val="superscript"/>
        </w:rPr>
      </w:pPr>
    </w:p>
    <w:p>
      <w:pPr>
        <w:ind w:left="340" w:right="40" w:hanging="332"/>
        <w:spacing w:after="0" w:line="262" w:lineRule="auto"/>
        <w:tabs>
          <w:tab w:leader="none" w:pos="334" w:val="left"/>
        </w:tabs>
        <w:numPr>
          <w:ilvl w:val="0"/>
          <w:numId w:val="26"/>
        </w:numPr>
        <w:rPr>
          <w:rFonts w:ascii="Arial" w:cs="Arial" w:eastAsia="Arial" w:hAnsi="Arial"/>
          <w:sz w:val="13"/>
          <w:szCs w:val="13"/>
          <w:color w:val="auto"/>
          <w:vertAlign w:val="superscript"/>
        </w:rPr>
      </w:pPr>
      <w:r>
        <w:rPr>
          <w:rFonts w:ascii="Arial" w:cs="Arial" w:eastAsia="Arial" w:hAnsi="Arial"/>
          <w:sz w:val="10"/>
          <w:szCs w:val="10"/>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262" w:lineRule="exact"/>
        <w:rPr>
          <w:rFonts w:ascii="Arial" w:cs="Arial" w:eastAsia="Arial" w:hAnsi="Arial"/>
          <w:sz w:val="13"/>
          <w:szCs w:val="13"/>
          <w:color w:val="auto"/>
          <w:vertAlign w:val="superscript"/>
        </w:rPr>
      </w:pPr>
    </w:p>
    <w:p>
      <w:pPr>
        <w:ind w:left="5440" w:hanging="106"/>
        <w:spacing w:after="0"/>
        <w:tabs>
          <w:tab w:leader="none" w:pos="5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Implied DCF Per Common Unit and Common Equivalent Unit Reconciliations:</w:t>
      </w:r>
    </w:p>
    <w:p>
      <w:pPr>
        <w:spacing w:after="0" w:line="36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ind w:right="331"/>
              <w:spacing w:after="0"/>
              <w:rPr>
                <w:sz w:val="20"/>
                <w:szCs w:val="20"/>
                <w:color w:val="auto"/>
              </w:rPr>
            </w:pPr>
            <w:r>
              <w:rPr>
                <w:rFonts w:ascii="Arial" w:cs="Arial" w:eastAsia="Arial" w:hAnsi="Arial"/>
                <w:sz w:val="16"/>
                <w:szCs w:val="16"/>
                <w:b w:val="1"/>
                <w:bCs w:val="1"/>
                <w:color w:val="auto"/>
                <w:w w:val="84"/>
              </w:rPr>
              <w:t>2019</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2"/>
              <w:spacing w:after="0"/>
              <w:rPr>
                <w:sz w:val="20"/>
                <w:szCs w:val="20"/>
                <w:color w:val="auto"/>
              </w:rPr>
            </w:pPr>
            <w:r>
              <w:rPr>
                <w:rFonts w:ascii="Arial" w:cs="Arial" w:eastAsia="Arial" w:hAnsi="Arial"/>
                <w:sz w:val="18"/>
                <w:szCs w:val="18"/>
                <w:color w:val="auto"/>
                <w:w w:val="93"/>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1.26</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1"/>
              </w:rPr>
              <w:t>4.80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3"/>
              </w:rPr>
              <w:t>(0.36)</w:t>
            </w: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0.82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0.90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32"/>
              <w:spacing w:after="0"/>
              <w:rPr>
                <w:sz w:val="20"/>
                <w:szCs w:val="20"/>
                <w:color w:val="auto"/>
              </w:rPr>
            </w:pPr>
            <w:r>
              <w:rPr>
                <w:rFonts w:ascii="Arial" w:cs="Arial" w:eastAsia="Arial" w:hAnsi="Arial"/>
                <w:sz w:val="18"/>
                <w:szCs w:val="18"/>
                <w:color w:val="auto"/>
                <w:w w:val="93"/>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1.26</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1"/>
              </w:rPr>
              <w:t>4.77</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3"/>
              </w:rPr>
              <w:t>(0.39)</w:t>
            </w: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0.79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0.87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22"/>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4"/>
          </w:tcPr>
          <w:p>
            <w:pPr>
              <w:ind w:left="180"/>
              <w:spacing w:after="0"/>
              <w:rPr>
                <w:sz w:val="20"/>
                <w:szCs w:val="20"/>
                <w:color w:val="auto"/>
              </w:rPr>
            </w:pPr>
            <w:r>
              <w:rPr>
                <w:rFonts w:ascii="Arial" w:cs="Arial" w:eastAsia="Arial" w:hAnsi="Arial"/>
                <w:sz w:val="16"/>
                <w:szCs w:val="16"/>
                <w:b w:val="1"/>
                <w:bCs w:val="1"/>
                <w:color w:val="auto"/>
              </w:rPr>
              <w:t>Twelve Months Ended</w:t>
            </w:r>
          </w:p>
        </w:tc>
      </w:t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ind w:right="331"/>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2.77</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(4)</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3"/>
              </w:rPr>
              <w:t>(0.31)</w:t>
            </w: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2.99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2.46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2.77</w:t>
            </w:r>
          </w:p>
        </w:tc>
      </w:tr>
      <w:tr>
        <w:trPr>
          <w:trHeight w:val="27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(5)</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1"/>
              </w:rPr>
              <w:t>0.21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3"/>
              </w:rPr>
              <w:t>(0.39)</w:t>
            </w: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2.91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5"/>
              </w:rPr>
              <w:t>2.38</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80" w:hanging="332"/>
        <w:spacing w:after="0" w:line="227"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728 million and 727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727 million and 726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2020</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3"/>
                <w:szCs w:val="13"/>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6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7,908</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8,022</w:t>
            </w: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(7,813)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20" w:type="dxa"/>
            <w:vAlign w:val="bottom"/>
          </w:tcPr>
          <w:p>
            <w:pPr>
              <w:spacing w:after="0"/>
              <w:rPr>
                <w:sz w:val="15"/>
                <w:szCs w:val="15"/>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2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activities, net of inventory valuation</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2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ind w:right="72"/>
              <w:spacing w:after="0"/>
              <w:rPr>
                <w:sz w:val="20"/>
                <w:szCs w:val="20"/>
                <w:color w:val="auto"/>
              </w:rPr>
            </w:pPr>
            <w:r>
              <w:rPr>
                <w:rFonts w:ascii="Arial" w:cs="Arial" w:eastAsia="Arial" w:hAnsi="Arial"/>
                <w:sz w:val="18"/>
                <w:szCs w:val="18"/>
                <w:color w:val="auto"/>
              </w:rPr>
              <w:t>115</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2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Significant acquisition-related</w:t>
            </w:r>
          </w:p>
        </w:tc>
        <w:tc>
          <w:tcPr>
            <w:tcW w:w="12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vMerge w:val="restart"/>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141</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56" w:lineRule="exact"/>
        <w:rPr>
          <w:rFonts w:ascii="Arial" w:cs="Arial" w:eastAsia="Arial" w:hAnsi="Arial"/>
          <w:sz w:val="23"/>
          <w:szCs w:val="23"/>
          <w:color w:val="auto"/>
          <w:vertAlign w:val="superscript"/>
        </w:rPr>
      </w:pPr>
    </w:p>
    <w:p>
      <w:pPr>
        <w:ind w:left="340" w:right="80" w:hanging="332"/>
        <w:spacing w:after="0" w:line="246" w:lineRule="auto"/>
        <w:tabs>
          <w:tab w:leader="none" w:pos="32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line="28"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8"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33020</wp:posOffset>
            </wp:positionV>
            <wp:extent cx="15259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Arial" w:cs="Arial" w:eastAsia="Arial" w:hAnsi="Arial"/>
                <w:sz w:val="16"/>
                <w:szCs w:val="16"/>
                <w:b w:val="1"/>
                <w:bCs w:val="1"/>
                <w:color w:val="auto"/>
              </w:rPr>
              <w:t>2019</w:t>
            </w:r>
          </w:p>
        </w:tc>
      </w:tr>
      <w:tr>
        <w:trPr>
          <w:trHeight w:val="33"/>
        </w:trPr>
        <w:tc>
          <w:tcPr>
            <w:tcW w:w="88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Tariff activities volumes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8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 (by region):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70"/>
        </w:trPr>
        <w:tc>
          <w:tcPr>
            <w:tcW w:w="8840" w:type="dxa"/>
            <w:vAlign w:val="bottom"/>
          </w:tcPr>
          <w:p>
            <w:pPr>
              <w:ind w:left="360"/>
              <w:spacing w:after="0"/>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5,165</w:t>
            </w:r>
          </w:p>
        </w:tc>
        <w:tc>
          <w:tcPr>
            <w:tcW w:w="12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4,268</w:t>
            </w:r>
          </w:p>
        </w:tc>
      </w:tr>
      <w:tr>
        <w:trPr>
          <w:trHeight w:val="270"/>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460</w:t>
            </w:r>
          </w:p>
        </w:tc>
      </w:tr>
      <w:tr>
        <w:trPr>
          <w:trHeight w:val="270"/>
        </w:trPr>
        <w:tc>
          <w:tcPr>
            <w:tcW w:w="8840" w:type="dxa"/>
            <w:vAlign w:val="bottom"/>
          </w:tcPr>
          <w:p>
            <w:pPr>
              <w:ind w:left="360"/>
              <w:spacing w:after="0"/>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509</w:t>
            </w:r>
          </w:p>
        </w:tc>
      </w:tr>
      <w:tr>
        <w:trPr>
          <w:trHeight w:val="270"/>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w:t>
            </w:r>
          </w:p>
        </w:tc>
      </w:tr>
      <w:tr>
        <w:trPr>
          <w:trHeight w:val="270"/>
        </w:trPr>
        <w:tc>
          <w:tcPr>
            <w:tcW w:w="8840" w:type="dxa"/>
            <w:vAlign w:val="bottom"/>
          </w:tcPr>
          <w:p>
            <w:pPr>
              <w:ind w:left="360"/>
              <w:spacing w:after="0"/>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302</w:t>
            </w:r>
          </w:p>
        </w:tc>
      </w:tr>
      <w:tr>
        <w:trPr>
          <w:trHeight w:val="270"/>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r>
      <w:tr>
        <w:trPr>
          <w:trHeight w:val="270"/>
        </w:trPr>
        <w:tc>
          <w:tcPr>
            <w:tcW w:w="8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Canada</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322</w:t>
            </w:r>
          </w:p>
        </w:tc>
      </w:tr>
      <w:tr>
        <w:trPr>
          <w:trHeight w:val="263"/>
        </w:trPr>
        <w:tc>
          <w:tcPr>
            <w:tcW w:w="8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6,974</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6,201</w:t>
            </w:r>
          </w:p>
        </w:tc>
      </w:tr>
      <w:tr>
        <w:trPr>
          <w:trHeight w:val="270"/>
        </w:trPr>
        <w:tc>
          <w:tcPr>
            <w:tcW w:w="8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NGL pipelines</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210</w:t>
            </w:r>
          </w:p>
        </w:tc>
      </w:tr>
      <w:tr>
        <w:trPr>
          <w:trHeight w:val="243"/>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Tariff activities total volumes</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7,161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6,411</w:t>
            </w:r>
          </w:p>
        </w:tc>
      </w:tr>
      <w:tr>
        <w:trPr>
          <w:trHeight w:val="270"/>
        </w:trPr>
        <w:tc>
          <w:tcPr>
            <w:tcW w:w="8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Trucking volumes</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w:t>
            </w:r>
          </w:p>
        </w:tc>
      </w:tr>
      <w:tr>
        <w:trPr>
          <w:trHeight w:val="288"/>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total volumes</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7,255</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6,504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(average monthly volumes):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8840" w:type="dxa"/>
            <w:vAlign w:val="bottom"/>
          </w:tcPr>
          <w:p>
            <w:pPr>
              <w:ind w:left="180"/>
              <w:spacing w:after="0"/>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(3)</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3"/>
                <w:szCs w:val="23"/>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840" w:type="dxa"/>
            <w:vAlign w:val="bottom"/>
          </w:tcPr>
          <w:p>
            <w:pPr>
              <w:ind w:left="18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157</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Facilities segment total volumes (average monthly volumes in millions of barrels) </w:t>
            </w:r>
            <w:r>
              <w:rPr>
                <w:rFonts w:ascii="Arial" w:cs="Arial" w:eastAsia="Arial" w:hAnsi="Arial"/>
                <w:sz w:val="23"/>
                <w:szCs w:val="23"/>
                <w:color w:val="auto"/>
                <w:vertAlign w:val="superscript"/>
              </w:rPr>
              <w:t>(4)</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70"/>
        </w:trPr>
        <w:tc>
          <w:tcPr>
            <w:tcW w:w="8840" w:type="dxa"/>
            <w:vAlign w:val="bottom"/>
          </w:tcPr>
          <w:p>
            <w:pPr>
              <w:ind w:left="180"/>
              <w:spacing w:after="0"/>
              <w:rPr>
                <w:sz w:val="20"/>
                <w:szCs w:val="20"/>
                <w:color w:val="auto"/>
              </w:rPr>
            </w:pPr>
            <w:r>
              <w:rPr>
                <w:rFonts w:ascii="Arial" w:cs="Arial" w:eastAsia="Arial" w:hAnsi="Arial"/>
                <w:sz w:val="18"/>
                <w:szCs w:val="18"/>
                <w:color w:val="auto"/>
              </w:rPr>
              <w:t>Crude oil lease gathering purchases</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1,128</w:t>
            </w:r>
          </w:p>
        </w:tc>
      </w:tr>
      <w:tr>
        <w:trPr>
          <w:trHeight w:val="270"/>
        </w:trPr>
        <w:tc>
          <w:tcPr>
            <w:tcW w:w="8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328</w:t>
            </w:r>
          </w:p>
        </w:tc>
      </w:tr>
      <w:tr>
        <w:trPr>
          <w:trHeight w:val="264"/>
        </w:trPr>
        <w:tc>
          <w:tcPr>
            <w:tcW w:w="8840" w:type="dxa"/>
            <w:vAlign w:val="bottom"/>
          </w:tcPr>
          <w:p>
            <w:pPr>
              <w:ind w:left="20"/>
              <w:spacing w:after="0"/>
              <w:rPr>
                <w:sz w:val="20"/>
                <w:szCs w:val="20"/>
                <w:color w:val="auto"/>
              </w:rPr>
            </w:pPr>
            <w:r>
              <w:rPr>
                <w:rFonts w:ascii="Arial" w:cs="Arial" w:eastAsia="Arial" w:hAnsi="Arial"/>
                <w:sz w:val="18"/>
                <w:szCs w:val="18"/>
                <w:color w:val="auto"/>
              </w:rPr>
              <w:t>Supply and Logistics segment total volumes</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1,456</w:t>
            </w:r>
          </w:p>
        </w:tc>
      </w:tr>
      <w:tr>
        <w:trPr>
          <w:trHeight w:val="20"/>
        </w:trPr>
        <w:tc>
          <w:tcPr>
            <w:tcW w:w="8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5"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56"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56" w:lineRule="exact"/>
        <w:rPr>
          <w:rFonts w:ascii="Arial" w:cs="Arial" w:eastAsia="Arial" w:hAnsi="Arial"/>
          <w:sz w:val="23"/>
          <w:szCs w:val="23"/>
          <w:color w:val="auto"/>
          <w:vertAlign w:val="superscript"/>
        </w:rPr>
      </w:pPr>
    </w:p>
    <w:p>
      <w:pPr>
        <w:ind w:left="340" w:right="260" w:hanging="332"/>
        <w:spacing w:after="0" w:line="241" w:lineRule="auto"/>
        <w:tabs>
          <w:tab w:leader="none" w:pos="328"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Fee-based Segment Adjusted EBITDA to Adjusted EBITDA Reconciliations:</w:t>
      </w:r>
    </w:p>
    <w:p>
      <w:pPr>
        <w:spacing w:after="0" w:line="123"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33020</wp:posOffset>
            </wp:positionV>
            <wp:extent cx="15430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8" w:lineRule="exact"/>
        <w:rPr>
          <w:sz w:val="20"/>
          <w:szCs w:val="20"/>
          <w:color w:val="auto"/>
        </w:rPr>
      </w:pPr>
    </w:p>
    <w:p>
      <w:pPr>
        <w:jc w:val="both"/>
        <w:ind w:left="9220"/>
        <w:spacing w:after="0"/>
        <w:tabs>
          <w:tab w:leader="none" w:pos="104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Transportation Segment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Facilities 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Fee-based Segment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Supply and Logistics 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399</w:t>
            </w:r>
          </w:p>
        </w:tc>
      </w:tr>
      <w:tr>
        <w:trPr>
          <w:trHeight w:val="270"/>
        </w:trPr>
        <w:tc>
          <w:tcPr>
            <w:tcW w:w="4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184</w:t>
            </w:r>
          </w:p>
        </w:tc>
      </w:tr>
      <w:tr>
        <w:trPr>
          <w:trHeight w:val="27"/>
        </w:trPr>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583</w:t>
            </w:r>
          </w:p>
        </w:tc>
      </w:tr>
      <w:tr>
        <w:trPr>
          <w:trHeight w:val="270"/>
        </w:trPr>
        <w:tc>
          <w:tcPr>
            <w:tcW w:w="4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278</w:t>
            </w:r>
          </w:p>
        </w:tc>
      </w:tr>
      <w:tr>
        <w:trPr>
          <w:trHeight w:val="270"/>
        </w:trPr>
        <w:tc>
          <w:tcPr>
            <w:tcW w:w="4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862</w:t>
            </w:r>
          </w:p>
        </w:tc>
      </w:tr>
      <w:tr>
        <w:trPr>
          <w:trHeight w:val="27"/>
        </w:trPr>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15430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58" w:lineRule="exact"/>
        <w:rPr>
          <w:sz w:val="20"/>
          <w:szCs w:val="20"/>
          <w:color w:val="auto"/>
        </w:rPr>
      </w:pPr>
    </w:p>
    <w:p>
      <w:pPr>
        <w:ind w:left="420"/>
        <w:spacing w:after="0"/>
        <w:tabs>
          <w:tab w:leader="none" w:pos="168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39" w:lineRule="exact"/>
        <w:rPr>
          <w:sz w:val="20"/>
          <w:szCs w:val="20"/>
          <w:color w:val="auto"/>
        </w:rPr>
      </w:pPr>
    </w:p>
    <w:p>
      <w:pPr>
        <w:sectPr>
          <w:pgSz w:w="11900" w:h="16838" w:orient="portrait"/>
          <w:cols w:equalWidth="0" w:num="2">
            <w:col w:w="8080" w:space="720"/>
            <w:col w:w="244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Adjusted EBITDA</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1,508</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Facilities Segment Adjusted EBITDA</w:t>
            </w:r>
          </w:p>
        </w:tc>
        <w:tc>
          <w:tcPr>
            <w:tcW w:w="3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711</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Fee-based Segment 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2,219</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Supply and Logistics Segment Adjusted EBITDA</w:t>
            </w:r>
          </w:p>
        </w:tc>
        <w:tc>
          <w:tcPr>
            <w:tcW w:w="3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462</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(3)</w:t>
            </w:r>
          </w:p>
        </w:tc>
        <w:tc>
          <w:tcPr>
            <w:tcW w:w="3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63"/>
        </w:trPr>
        <w:tc>
          <w:tcPr>
            <w:tcW w:w="8800" w:type="dxa"/>
            <w:vAlign w:val="bottom"/>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2,684</w:t>
            </w:r>
          </w:p>
        </w:tc>
      </w:tr>
      <w:tr>
        <w:trPr>
          <w:trHeight w:val="21"/>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60" w:hanging="332"/>
        <w:spacing w:after="0" w:line="234" w:lineRule="auto"/>
        <w:tabs>
          <w:tab w:leader="none" w:pos="32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$33 million and $(24) million for the three months ended March 31, 2020 and 2019, respectively. See the “Selected Items Impacting Comparability” table for additional information.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See the “Net Income/(Loss) to Adjusted EBITDA and Implied DCF Reconciliation” table for reconciliation to Net Income/(Loss).</w:t>
      </w:r>
    </w:p>
    <w:p>
      <w:pPr>
        <w:spacing w:after="0" w:line="55" w:lineRule="exact"/>
        <w:rPr>
          <w:rFonts w:ascii="Arial" w:cs="Arial" w:eastAsia="Arial" w:hAnsi="Arial"/>
          <w:sz w:val="23"/>
          <w:szCs w:val="23"/>
          <w:color w:val="auto"/>
          <w:vertAlign w:val="superscript"/>
        </w:rPr>
      </w:pPr>
    </w:p>
    <w:p>
      <w:pPr>
        <w:ind w:left="340" w:right="60" w:hanging="332"/>
        <w:spacing w:after="0" w:line="219" w:lineRule="auto"/>
        <w:tabs>
          <w:tab w:leader="none" w:pos="32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$(17) million and $10 million for the twelve months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4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2020</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2019</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Consolidating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6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8,269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8,269</w:t>
            </w:r>
          </w:p>
        </w:tc>
        <w:tc>
          <w:tcPr>
            <w:tcW w:w="140" w:type="dxa"/>
            <w:vAlign w:val="bottom"/>
            <w:tcBorders>
              <w:right w:val="single" w:sz="8" w:color="auto"/>
            </w:tcBorders>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7,367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7,367</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304</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169</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619</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2,515</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0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11,042</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11,044</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7,661</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(2,775)</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8"/>
              </w:rPr>
              <w:t>Gain on/(impairment of) investments in</w:t>
            </w:r>
          </w:p>
        </w:tc>
        <w:tc>
          <w:tcPr>
            <w:tcW w:w="260" w:type="dxa"/>
            <w:vAlign w:val="bottom"/>
          </w:tcPr>
          <w:p>
            <w:pPr>
              <w:spacing w:after="0"/>
              <w:rPr>
                <w:sz w:val="15"/>
                <w:szCs w:val="15"/>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310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29"/>
        </w:trPr>
        <w:tc>
          <w:tcPr>
            <w:tcW w:w="3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(2,826)</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Deferred income tax (expense)/benefit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(2,692)</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2,111</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(2,847)</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71"/>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(581)</w:t>
            </w:r>
          </w:p>
        </w:tc>
        <w:tc>
          <w:tcPr>
            <w:tcW w:w="140" w:type="dxa"/>
            <w:vAlign w:val="bottom"/>
            <w:tcBorders>
              <w:right w:val="single" w:sz="8" w:color="auto"/>
            </w:tcBorders>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970</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3"/>
        </w:trPr>
        <w:tc>
          <w:tcPr>
            <w:tcW w:w="31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860" w:type="dxa"/>
            <w:vAlign w:val="bottom"/>
            <w:gridSpan w:val="7"/>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860" w:type="dxa"/>
            <w:vAlign w:val="bottom"/>
            <w:gridSpan w:val="7"/>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183</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59"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2020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2019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PAA</w:t>
            </w: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240" w:type="dxa"/>
            <w:vAlign w:val="bottom"/>
          </w:tcPr>
          <w:p>
            <w:pPr>
              <w:spacing w:after="0"/>
              <w:rPr>
                <w:sz w:val="24"/>
                <w:szCs w:val="24"/>
                <w:color w:val="auto"/>
              </w:rPr>
            </w:pPr>
          </w:p>
        </w:tc>
        <w:tc>
          <w:tcPr>
            <w:tcW w:w="1140" w:type="dxa"/>
            <w:vAlign w:val="bottom"/>
            <w:gridSpan w:val="3"/>
          </w:tcPr>
          <w:p>
            <w:pPr>
              <w:ind w:left="120"/>
              <w:spacing w:after="0"/>
              <w:rPr>
                <w:sz w:val="20"/>
                <w:szCs w:val="20"/>
                <w:color w:val="auto"/>
              </w:rPr>
            </w:pPr>
            <w:r>
              <w:rPr>
                <w:rFonts w:ascii="Arial" w:cs="Arial" w:eastAsia="Arial" w:hAnsi="Arial"/>
                <w:sz w:val="16"/>
                <w:szCs w:val="16"/>
                <w:b w:val="1"/>
                <w:bCs w:val="1"/>
                <w:color w:val="auto"/>
              </w:rPr>
              <w:t>PAGP</w:t>
            </w:r>
          </w:p>
        </w:tc>
        <w:tc>
          <w:tcPr>
            <w:tcW w:w="2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24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3,073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14,413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3,714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1,455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 and base gas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60" w:type="dxa"/>
            <w:vAlign w:val="bottom"/>
          </w:tcPr>
          <w:p>
            <w:pPr>
              <w:spacing w:after="0"/>
              <w:rPr>
                <w:sz w:val="15"/>
                <w:szCs w:val="15"/>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430</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 net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89"/>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23,700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25,166</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28,677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3,359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8,941</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8,939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477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60" w:type="dxa"/>
            <w:vAlign w:val="bottom"/>
          </w:tcPr>
          <w:p>
            <w:pPr>
              <w:spacing w:after="0"/>
              <w:rPr>
                <w:sz w:val="15"/>
                <w:szCs w:val="15"/>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833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credits</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13,978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13,980</w:t>
            </w:r>
          </w:p>
        </w:tc>
        <w:tc>
          <w:tcPr>
            <w:tcW w:w="120" w:type="dxa"/>
            <w:vAlign w:val="bottom"/>
            <w:tcBorders>
              <w:top w:val="single" w:sz="8" w:color="CCEEFF"/>
              <w:right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15,482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Partners’ capital excluding noncontrolling</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9,579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(8,122)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1,457</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13,062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(10,907)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9,586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9,729</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64"/>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9,722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11,186</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13,195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303"/>
        </w:trPr>
        <w:tc>
          <w:tcPr>
            <w:tcW w:w="3120" w:type="dxa"/>
            <w:vAlign w:val="bottom"/>
          </w:tcPr>
          <w:p>
            <w:pPr>
              <w:ind w:left="360"/>
              <w:spacing w:after="0"/>
              <w:rPr>
                <w:sz w:val="20"/>
                <w:szCs w:val="20"/>
                <w:color w:val="auto"/>
              </w:rPr>
            </w:pPr>
            <w:r>
              <w:rPr>
                <w:rFonts w:ascii="Arial" w:cs="Arial" w:eastAsia="Arial" w:hAnsi="Arial"/>
                <w:sz w:val="18"/>
                <w:szCs w:val="18"/>
                <w:color w:val="auto"/>
                <w:w w:val="97"/>
              </w:rPr>
              <w:t>Total liabilities and partners’ capital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23,700</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25,166</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28,677</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00"/>
        <w:spacing w:after="0"/>
        <w:tabs>
          <w:tab w:leader="none" w:pos="4780" w:val="left"/>
          <w:tab w:leader="none" w:pos="7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396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CLASS A SHARE </w:t>
      </w:r>
      <w:r>
        <w:rPr>
          <w:rFonts w:ascii="Arial" w:cs="Arial" w:eastAsia="Arial" w:hAnsi="Arial"/>
          <w:sz w:val="18"/>
          <w:szCs w:val="18"/>
          <w:color w:val="auto"/>
        </w:rPr>
        <w:t>(in millions, except per share data)</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33020</wp:posOffset>
            </wp:positionV>
            <wp:extent cx="16802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Basic and Diluted Net Income/(Loss) per Class A Share</w:t>
            </w:r>
          </w:p>
        </w:tc>
        <w:tc>
          <w:tcPr>
            <w:tcW w:w="23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income/(loss) attributable to PAGP</w:t>
            </w:r>
          </w:p>
        </w:tc>
        <w:tc>
          <w:tcPr>
            <w:tcW w:w="2320" w:type="dxa"/>
            <w:vAlign w:val="bottom"/>
          </w:tcPr>
          <w:p>
            <w:pPr>
              <w:spacing w:after="0"/>
              <w:rPr>
                <w:sz w:val="21"/>
                <w:szCs w:val="21"/>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Basic and diluted weighted average Class A shares outstanding</w:t>
            </w:r>
          </w:p>
        </w:tc>
        <w:tc>
          <w:tcPr>
            <w:tcW w:w="2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income/(loss) per Class A share</w:t>
            </w:r>
          </w:p>
        </w:tc>
        <w:tc>
          <w:tcPr>
            <w:tcW w:w="232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0.92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Contacts:</w:t>
            </w:r>
          </w:p>
        </w:tc>
        <w:tc>
          <w:tcPr>
            <w:tcW w:w="2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68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2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Vice President, Investor Relations, Communications and Government Relations</w:t>
            </w:r>
          </w:p>
        </w:tc>
        <w:tc>
          <w:tcPr>
            <w:tcW w:w="1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gridSpan w:val="3"/>
          </w:tcPr>
          <w:p>
            <w:pPr>
              <w:ind w:left="20"/>
              <w:spacing w:after="0"/>
              <w:rPr>
                <w:sz w:val="20"/>
                <w:szCs w:val="20"/>
                <w:color w:val="auto"/>
              </w:rPr>
            </w:pPr>
            <w:r>
              <w:rPr>
                <w:rFonts w:ascii="Arial" w:cs="Arial" w:eastAsia="Arial" w:hAnsi="Arial"/>
                <w:sz w:val="18"/>
                <w:szCs w:val="18"/>
                <w:color w:val="auto"/>
              </w:rPr>
              <w:t>(866) 809-1291</w:t>
            </w:r>
          </w:p>
        </w:tc>
        <w:tc>
          <w:tcPr>
            <w:tcW w:w="2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Brett Magill</w:t>
            </w:r>
          </w:p>
        </w:tc>
        <w:tc>
          <w:tcPr>
            <w:tcW w:w="2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2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gridSpan w:val="3"/>
          </w:tcPr>
          <w:p>
            <w:pPr>
              <w:ind w:left="20"/>
              <w:spacing w:after="0"/>
              <w:rPr>
                <w:sz w:val="20"/>
                <w:szCs w:val="20"/>
                <w:color w:val="auto"/>
              </w:rPr>
            </w:pPr>
            <w:r>
              <w:rPr>
                <w:rFonts w:ascii="Arial" w:cs="Arial" w:eastAsia="Arial" w:hAnsi="Arial"/>
                <w:sz w:val="18"/>
                <w:szCs w:val="18"/>
                <w:color w:val="auto"/>
              </w:rPr>
              <w:t>(866) 809-1291</w:t>
            </w:r>
          </w:p>
        </w:tc>
        <w:tc>
          <w:tcPr>
            <w:tcW w:w="2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32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ind w:left="1060"/>
              <w:spacing w:after="0"/>
              <w:rPr>
                <w:sz w:val="20"/>
                <w:szCs w:val="20"/>
                <w:color w:val="auto"/>
              </w:rPr>
            </w:pPr>
            <w:r>
              <w:rPr>
                <w:rFonts w:ascii="Arial" w:cs="Arial" w:eastAsia="Arial" w:hAnsi="Arial"/>
                <w:sz w:val="18"/>
                <w:szCs w:val="18"/>
                <w:b w:val="1"/>
                <w:bCs w:val="1"/>
                <w:color w:val="auto"/>
              </w:rPr>
              <w:t>333 Clay Street, Suite 1600</w:t>
            </w:r>
          </w:p>
        </w:tc>
        <w:tc>
          <w:tcPr>
            <w:tcW w:w="232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Houston, Texas 77002</w:t>
            </w:r>
          </w:p>
        </w:tc>
        <w:tc>
          <w:tcPr>
            <w:tcW w:w="286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713-646-4100 / 866-809-1291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04"/>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lvl w:ilvl="1">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lvl w:ilvl="1">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lvl w:ilvl="1">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37"/>
    </w:lvl>
  </w:abstractNum>
  <w:abstractNum w:abstractNumId="13">
    <w:nsid w:val="2D1D5AE9"/>
    <w:multiLevelType w:val="hybridMultilevel"/>
    <w:lvl w:ilvl="0">
      <w:lvlJc w:val="left"/>
      <w:lvlText w:val="(%1)"/>
      <w:numFmt w:val="decimal"/>
      <w:start w:val="12"/>
    </w:lvl>
    <w:lvl w:ilvl="1">
      <w:lvlJc w:val="left"/>
      <w:lvlText w:val="%2"/>
      <w:numFmt w:val="decimal"/>
      <w:start w:val="1"/>
    </w:lvl>
  </w:abstractNum>
  <w:abstractNum w:abstractNumId="14">
    <w:nsid w:val="6763845E"/>
    <w:multiLevelType w:val="hybridMultilevel"/>
    <w:lvl w:ilvl="0">
      <w:lvlJc w:val="left"/>
      <w:lvlText w:val="(%1)"/>
      <w:numFmt w:val="decimal"/>
      <w:start w:val="1"/>
    </w:lvl>
    <w:lvl w:ilvl="1">
      <w:lvlJc w:val="left"/>
      <w:lvlText w:val="%2"/>
      <w:numFmt w:val="decimal"/>
      <w:start w:val="1"/>
    </w:lvl>
  </w:abstractNum>
  <w:abstractNum w:abstractNumId="15">
    <w:nsid w:val="75A2A8D4"/>
    <w:multiLevelType w:val="hybridMultilevel"/>
    <w:lvl w:ilvl="0">
      <w:lvlJc w:val="left"/>
      <w:lvlText w:val="(%1)"/>
      <w:numFmt w:val="decimal"/>
      <w:start w:val="37"/>
    </w:lvl>
  </w:abstractNum>
  <w:abstractNum w:abstractNumId="16">
    <w:nsid w:val="8EDBDAB"/>
    <w:multiLevelType w:val="hybridMultilevel"/>
    <w:lvl w:ilvl="0">
      <w:lvlJc w:val="left"/>
      <w:lvlText w:val="(%1)"/>
      <w:numFmt w:val="decimal"/>
      <w:start w:val="12"/>
    </w:lvl>
    <w:lvl w:ilvl="1">
      <w:lvlJc w:val="left"/>
      <w:lvlText w:val="%2"/>
      <w:numFmt w:val="decimal"/>
      <w:start w:val="1"/>
    </w:lvl>
  </w:abstractNum>
  <w:abstractNum w:abstractNumId="17">
    <w:nsid w:val="79838CB2"/>
    <w:multiLevelType w:val="hybridMultilevel"/>
    <w:lvl w:ilvl="0">
      <w:lvlJc w:val="left"/>
      <w:lvlText w:val="(%1)"/>
      <w:numFmt w:val="decimal"/>
      <w:start w:val="1"/>
    </w:lvl>
    <w:lvl w:ilvl="1">
      <w:lvlJc w:val="left"/>
      <w:lvlText w:val="%2"/>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lvl w:ilvl="1">
      <w:lvlJc w:val="left"/>
      <w:lvlText w:val="-"/>
      <w:numFmt w:val="bullet"/>
      <w:start w:val="1"/>
    </w:lvl>
  </w:abstractNum>
  <w:abstractNum w:abstractNumId="21">
    <w:nsid w:val="54E49EB4"/>
    <w:multiLevelType w:val="hybridMultilevel"/>
    <w:lvl w:ilvl="0">
      <w:lvlJc w:val="left"/>
      <w:lvlText w:val="(%1)"/>
      <w:numFmt w:val="decimal"/>
      <w:start w:val="1"/>
    </w:lvl>
    <w:lvl w:ilvl="1">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lvl w:ilvl="1">
      <w:lvlJc w:val="left"/>
      <w:lvlText w:val="-"/>
      <w:numFmt w:val="bullet"/>
      <w:start w:val="1"/>
    </w:lvl>
  </w:abstractNum>
  <w:abstractNum w:abstractNumId="24">
    <w:nsid w:val="836C40E"/>
    <w:multiLevelType w:val="hybridMultilevel"/>
    <w:lvl w:ilvl="0">
      <w:lvlJc w:val="left"/>
      <w:lvlText w:val="(%1)"/>
      <w:numFmt w:val="decimal"/>
      <w:start w:val="1"/>
    </w:lvl>
    <w:lvl w:ilvl="1">
      <w:lvlJc w:val="left"/>
      <w:lvlText w:val="-"/>
      <w:numFmt w:val="bullet"/>
      <w:start w:val="1"/>
    </w:lvl>
  </w:abstractNum>
  <w:abstractNum w:abstractNumId="25">
    <w:nsid w:val="2901D82"/>
    <w:multiLevelType w:val="hybridMultilevel"/>
    <w:lvl w:ilvl="0">
      <w:lvlJc w:val="left"/>
      <w:lvlText w:val="(%1)"/>
      <w:numFmt w:val="decimal"/>
      <w:start w:val="1"/>
    </w:lvl>
    <w:lvl w:ilvl="1">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lvl w:ilvl="1">
      <w:lvlJc w:val="left"/>
      <w:lvlText w:val="-"/>
      <w:numFmt w:val="bullet"/>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2020-05-05T15:32:23Z</dcterms:created>
  <dcterms:modified xsi:type="dcterms:W3CDTF">2020-05-05T15:32:23Z</dcterms:modified>
</cp:coreProperties>
</file>