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40" w:space="720"/>
            <w:col w:w="294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2, 2016, the Registrant issued a press release reporting its second quarter 2016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August 2, 2016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20" w:val="left"/>
          <w:tab w:leader="none" w:pos="6180" w:val="left"/>
        </w:tabs>
        <w:rPr>
          <w:sz w:val="20"/>
          <w:szCs w:val="20"/>
          <w:color w:val="auto"/>
        </w:rPr>
      </w:pPr>
      <w:r>
        <w:rPr>
          <w:rFonts w:ascii="Arial" w:cs="Arial" w:eastAsia="Arial" w:hAnsi="Arial"/>
          <w:sz w:val="18"/>
          <w:szCs w:val="18"/>
          <w:color w:val="auto"/>
        </w:rPr>
        <w:t>Date: August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5000"/>
        <w:spacing w:after="0"/>
        <w:tabs>
          <w:tab w:leader="none" w:pos="572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2016 Results</w:t>
      </w:r>
    </w:p>
    <w:p>
      <w:pPr>
        <w:spacing w:after="0" w:line="229"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(Houston — August 2, 2016) Plains All American Pipeline, L.P. (NYSE: PAA) and Plains GP Holdings (NYSE: PAGP) today reported second-quarter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1,082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0.695</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40" w:firstLine="689"/>
        <w:spacing w:after="0" w:line="342" w:lineRule="auto"/>
        <w:rPr>
          <w:sz w:val="20"/>
          <w:szCs w:val="20"/>
          <w:color w:val="auto"/>
        </w:rPr>
      </w:pPr>
      <w:r>
        <w:rPr>
          <w:rFonts w:ascii="Arial" w:cs="Arial" w:eastAsia="Arial" w:hAnsi="Arial"/>
          <w:sz w:val="16"/>
          <w:szCs w:val="16"/>
          <w:color w:val="auto"/>
        </w:rPr>
        <w:t>“PAA continues to execute well during a challenging environment,” said Greg Armstrong, Chairman and CEO of Plains All American. “We reported second-quarter adjusted EBITDA of $461 million, which was approximately $21 million or 5% above the midpoint of our second-quarter guidance.”</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we remain cautious over the near term and have left our full year 2016 adjusted EBITDA guidance midpoint unchanged at $2.175 billion, we believe PAA is well positioned to manage through near term industry challenges and to prosper over the intermediate to long term. Importantly, based on PAA’s 2016 guidance and accounting for our recently announced simplification transaction and intended distribution reset, PAA’s pro forma distribution coverage for the full year of 2016 is expected to be approximately 1.05 times.”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Armstrong added, “PAA has $2.9 billion of liquidity and our performance is expected to benefit from increases in minimum volume commitments on existing assets as well as numerous capital projects scheduled to come on line over the next 18 months. Additionally, PAA has a large interconnected crude midstream platform that has significant leverage to a sustained increase in U.S. crude oil production with no-to-low incremental capital investment.”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0"/>
              </w:rPr>
              <w:t>June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Transportation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Supply and</w:t>
            </w: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Selected items impacting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380"/>
              <w:spacing w:after="0"/>
              <w:rPr>
                <w:sz w:val="20"/>
                <w:szCs w:val="20"/>
                <w:color w:val="auto"/>
              </w:rPr>
            </w:pPr>
            <w:r>
              <w:rPr>
                <w:rFonts w:ascii="Arial" w:cs="Arial" w:eastAsia="Arial" w:hAnsi="Arial"/>
                <w:sz w:val="18"/>
                <w:szCs w:val="18"/>
                <w:color w:val="auto"/>
              </w:rPr>
              <w:t>comparability of segment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8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ind w:left="180" w:hanging="181"/>
        <w:spacing w:after="0" w:line="271" w:lineRule="auto"/>
        <w:rPr>
          <w:sz w:val="20"/>
          <w:szCs w:val="20"/>
          <w:color w:val="auto"/>
        </w:rPr>
      </w:pPr>
      <w:r>
        <w:rPr>
          <w:rFonts w:ascii="Arial" w:cs="Arial" w:eastAsia="Arial" w:hAnsi="Arial"/>
          <w:sz w:val="17"/>
          <w:szCs w:val="17"/>
          <w:b w:val="1"/>
          <w:bCs w:val="1"/>
          <w:i w:val="1"/>
          <w:iCs w:val="1"/>
          <w:color w:val="auto"/>
        </w:rPr>
        <w:t>Percentage change in reported segment profit/(loss)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right="620" w:hanging="181"/>
        <w:spacing w:after="0" w:line="300" w:lineRule="auto"/>
        <w:rPr>
          <w:sz w:val="20"/>
          <w:szCs w:val="20"/>
          <w:color w:val="auto"/>
        </w:rPr>
      </w:pPr>
      <w:r>
        <w:rPr>
          <w:rFonts w:ascii="Arial" w:cs="Arial" w:eastAsia="Arial" w:hAnsi="Arial"/>
          <w:sz w:val="16"/>
          <w:szCs w:val="16"/>
          <w:color w:val="auto"/>
        </w:rPr>
        <w:t>Reported segment profit Selected items impacting</w:t>
      </w: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w:t>
      </w:r>
    </w:p>
    <w:p>
      <w:pPr>
        <w:spacing w:after="0" w:line="20" w:lineRule="exact"/>
        <w:rPr>
          <w:sz w:val="20"/>
          <w:szCs w:val="20"/>
          <w:color w:val="auto"/>
        </w:rPr>
      </w:pPr>
    </w:p>
    <w:p>
      <w:pPr>
        <w:ind w:left="180" w:right="340" w:hanging="181"/>
        <w:spacing w:after="0" w:line="256" w:lineRule="auto"/>
        <w:rPr>
          <w:sz w:val="20"/>
          <w:szCs w:val="20"/>
          <w:color w:val="auto"/>
        </w:rPr>
      </w:pPr>
      <w:r>
        <w:rPr>
          <w:rFonts w:ascii="Arial" w:cs="Arial" w:eastAsia="Arial" w:hAnsi="Arial"/>
          <w:sz w:val="18"/>
          <w:szCs w:val="18"/>
          <w:b w:val="1"/>
          <w:bCs w:val="1"/>
          <w:i w:val="1"/>
          <w:iCs w:val="1"/>
          <w:color w:val="auto"/>
        </w:rPr>
        <w:t>Percentage change in reported segment profit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80"/>
        <w:spacing w:after="0"/>
        <w:tabs>
          <w:tab w:leader="none" w:pos="2540" w:val="left"/>
          <w:tab w:leader="none" w:pos="3700" w:val="left"/>
        </w:tabs>
        <w:rPr>
          <w:sz w:val="20"/>
          <w:szCs w:val="20"/>
          <w:color w:val="auto"/>
        </w:rPr>
      </w:pPr>
      <w:r>
        <w:rPr>
          <w:rFonts w:ascii="Arial" w:cs="Arial" w:eastAsia="Arial" w:hAnsi="Arial"/>
          <w:sz w:val="18"/>
          <w:szCs w:val="18"/>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7246620"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(54)%</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0"/>
              </w:rPr>
              <w:t>June 30, 2015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Supply and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-925830</wp:posOffset>
            </wp:positionV>
            <wp:extent cx="7246620" cy="173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spacing w:after="0" w:line="357" w:lineRule="exact"/>
        <w:rPr>
          <w:sz w:val="20"/>
          <w:szCs w:val="20"/>
          <w:color w:val="auto"/>
        </w:rPr>
      </w:pPr>
    </w:p>
    <w:p>
      <w:pPr>
        <w:ind w:left="1080"/>
        <w:spacing w:after="0"/>
        <w:tabs>
          <w:tab w:leader="none" w:pos="2460" w:val="left"/>
          <w:tab w:leader="none" w:pos="37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b w:val="1"/>
          <w:bCs w:val="1"/>
          <w:i w:val="1"/>
          <w:iCs w:val="1"/>
          <w:color w:val="auto"/>
        </w:rPr>
        <w:t>(89)%</w:t>
      </w:r>
    </w:p>
    <w:p>
      <w:pPr>
        <w:spacing w:after="0" w:line="200" w:lineRule="exact"/>
        <w:rPr>
          <w:sz w:val="20"/>
          <w:szCs w:val="20"/>
          <w:color w:val="auto"/>
        </w:rPr>
      </w:pPr>
    </w:p>
    <w:p>
      <w:pPr>
        <w:spacing w:after="0" w:line="214" w:lineRule="exact"/>
        <w:rPr>
          <w:sz w:val="20"/>
          <w:szCs w:val="20"/>
          <w:color w:val="auto"/>
        </w:rPr>
      </w:pPr>
    </w:p>
    <w:p>
      <w:pPr>
        <w:ind w:left="1180"/>
        <w:spacing w:after="0"/>
        <w:tabs>
          <w:tab w:leader="none" w:pos="2460" w:val="left"/>
          <w:tab w:leader="none" w:pos="3780" w:val="left"/>
        </w:tabs>
        <w:rPr>
          <w:sz w:val="20"/>
          <w:szCs w:val="20"/>
          <w:color w:val="auto"/>
        </w:rPr>
      </w:pPr>
      <w:r>
        <w:rPr>
          <w:rFonts w:ascii="Arial" w:cs="Arial" w:eastAsia="Arial" w:hAnsi="Arial"/>
          <w:sz w:val="18"/>
          <w:szCs w:val="18"/>
          <w:b w:val="1"/>
          <w:bCs w:val="1"/>
          <w:i w:val="1"/>
          <w:iCs w:val="1"/>
          <w:color w:val="auto"/>
        </w:rPr>
        <w:t>6%</w:t>
      </w:r>
      <w:r>
        <w:rPr>
          <w:sz w:val="20"/>
          <w:szCs w:val="20"/>
          <w:color w:val="auto"/>
        </w:rPr>
        <w:tab/>
      </w: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7"/>
          <w:szCs w:val="17"/>
          <w:b w:val="1"/>
          <w:bCs w:val="1"/>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2620" w:space="260"/>
            <w:col w:w="8580"/>
          </w:cols>
          <w:pgMar w:left="240" w:top="125" w:right="199" w:bottom="0" w:gutter="0" w:footer="0" w:header="0"/>
        </w:sectPr>
      </w:pPr>
    </w:p>
    <w:p>
      <w:pPr>
        <w:spacing w:after="0" w:line="247" w:lineRule="exact"/>
        <w:rPr>
          <w:sz w:val="20"/>
          <w:szCs w:val="20"/>
          <w:color w:val="auto"/>
        </w:rPr>
      </w:pPr>
    </w:p>
    <w:p>
      <w:pPr>
        <w:ind w:left="340" w:right="26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Q2 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Q1 2016</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w w:val="93"/>
              </w:rPr>
              <w:t>Q2 2016 distribution percentage growth from prior periods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gridSpan w:val="2"/>
            <w:vMerge w:val="restart"/>
          </w:tcPr>
          <w:p>
            <w:pPr>
              <w:jc w:val="right"/>
              <w:ind w:right="725"/>
              <w:spacing w:after="0"/>
              <w:rPr>
                <w:sz w:val="20"/>
                <w:szCs w:val="20"/>
                <w:color w:val="auto"/>
              </w:rPr>
            </w:pPr>
            <w:r>
              <w:rPr>
                <w:rFonts w:ascii="Arial" w:cs="Arial" w:eastAsia="Arial" w:hAnsi="Arial"/>
                <w:sz w:val="18"/>
                <w:szCs w:val="18"/>
                <w:color w:val="auto"/>
              </w:rPr>
              <w:t>– more –</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6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w w:val="94"/>
              </w:rPr>
              <w:t>Houston, Texas 77002</w:t>
            </w:r>
          </w:p>
        </w:tc>
        <w:tc>
          <w:tcPr>
            <w:tcW w:w="2780" w:type="dxa"/>
            <w:vAlign w:val="bottom"/>
            <w:gridSpan w:val="4"/>
          </w:tcPr>
          <w:p>
            <w:pPr>
              <w:jc w:val="right"/>
              <w:ind w:right="416"/>
              <w:spacing w:after="0"/>
              <w:rPr>
                <w:sz w:val="20"/>
                <w:szCs w:val="20"/>
                <w:color w:val="auto"/>
              </w:rPr>
            </w:pPr>
            <w:r>
              <w:rPr>
                <w:rFonts w:ascii="Arial" w:cs="Arial" w:eastAsia="Arial" w:hAnsi="Arial"/>
                <w:sz w:val="18"/>
                <w:szCs w:val="18"/>
                <w:b w:val="1"/>
                <w:bCs w:val="1"/>
                <w:color w:val="auto"/>
                <w:w w:val="94"/>
              </w:rPr>
              <w:t>713-646-4100 / 866-809-1291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PAA and PAGP will hold a conference call on August 3, 2016 (see details below). Prior to this conference call, PAA will furnish a current report on Form 8-K, which will include material in this news release as well as PAA’s financial and operational guidance for the third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Wednesday, August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second-quarter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third quarter and full year of 2016;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w:t>
      </w:r>
    </w:p>
    <w:p>
      <w:pPr>
        <w:sectPr>
          <w:pgSz w:w="11900" w:h="16838" w:orient="portrait"/>
          <w:cols w:equalWidth="0" w:num="1">
            <w:col w:w="11460"/>
          </w:cols>
          <w:pgMar w:left="240" w:top="125" w:right="199" w:bottom="0" w:gutter="0" w:footer="0" w:header="0"/>
          <w:type w:val="continuous"/>
        </w:sectPr>
      </w:pPr>
    </w:p>
    <w:bookmarkStart w:id="4" w:name="page5"/>
    <w:bookmarkEnd w:id="4"/>
    <w:p>
      <w:pPr>
        <w:ind w:right="140"/>
        <w:spacing w:after="0" w:line="290" w:lineRule="auto"/>
        <w:rPr>
          <w:sz w:val="20"/>
          <w:szCs w:val="20"/>
          <w:color w:val="auto"/>
        </w:rPr>
      </w:pPr>
      <w:r>
        <w:rPr>
          <w:rFonts w:ascii="Arial" w:cs="Arial" w:eastAsia="Arial" w:hAnsi="Arial"/>
          <w:sz w:val="16"/>
          <w:szCs w:val="16"/>
          <w:color w:val="auto"/>
        </w:rPr>
        <w:t>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7"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0"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w:t>
      </w:r>
    </w:p>
    <w:p>
      <w:pPr>
        <w:sectPr>
          <w:pgSz w:w="11900" w:h="16838" w:orient="portrait"/>
          <w:cols w:equalWidth="0" w:num="1">
            <w:col w:w="11420"/>
          </w:cols>
          <w:pgMar w:left="240" w:top="125" w:right="239" w:bottom="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8"/>
          <w:szCs w:val="18"/>
          <w:color w:val="auto"/>
        </w:rPr>
        <w:t>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37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ind w:left="20"/>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4,950</w:t>
            </w: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9,060</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4,224</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4,804</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Basic</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Basic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Diluted</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67"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income/(loss) per common unit</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(0.12)</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more –</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line="6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3,603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2,396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4,029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notes, net of unamortized discounts and debt issuance costs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8,912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8,970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19,758</w:t>
            </w: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 more –</w:t>
            </w: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308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w w:val="99"/>
              </w:rPr>
              <w:t>713-646-4100 / 866-809-1291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1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80" w:type="dxa"/>
            <w:vAlign w:val="bottom"/>
            <w:tcBorders>
              <w:bottom w:val="single" w:sz="8" w:color="CCEEFF"/>
            </w:tcBorders>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2,178</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8"/>
              </w:rPr>
              <w:t>1,886</w:t>
            </w:r>
          </w:p>
        </w:tc>
        <w:tc>
          <w:tcPr>
            <w:tcW w:w="1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2,112</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bl>
    <w:p>
      <w:pPr>
        <w:sectPr>
          <w:pgSz w:w="11900" w:h="16900" w:orient="portrait"/>
          <w:cols w:equalWidth="0" w:num="1">
            <w:col w:w="11460"/>
          </w:cols>
          <w:pgMar w:left="240" w:top="135" w:right="199" w:bottom="0" w:gutter="0" w:footer="0" w:header="0"/>
        </w:sectPr>
      </w:pPr>
    </w:p>
    <w:bookmarkStart w:id="7" w:name="page8"/>
    <w:bookmarkEnd w:id="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Western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Gulf Coast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Canada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99</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5"/>
              </w:rPr>
              <w:t>Rail load / unload volumes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3"/>
                <w:szCs w:val="13"/>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feet)</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126</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Supply and Logistics segment (average daily volumes in thousands of barrels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per day):</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Common Unit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116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(0.20)</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91" w:right="239" w:bottom="0" w:gutter="0" w:footer="0" w:header="0"/>
        </w:sectPr>
      </w:pPr>
    </w:p>
    <w:bookmarkStart w:id="8" w:name="page9"/>
    <w:bookmarkEnd w:id="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Diluted net income/(loss) per common unit </w:t>
            </w:r>
            <w:r>
              <w:rPr>
                <w:rFonts w:ascii="Arial" w:cs="Arial" w:eastAsia="Arial" w:hAnsi="Arial"/>
                <w:sz w:val="21"/>
                <w:szCs w:val="21"/>
                <w:color w:val="auto"/>
                <w:vertAlign w:val="superscript"/>
              </w:rPr>
              <w:t>(3)</w:t>
            </w:r>
          </w:p>
        </w:tc>
        <w:tc>
          <w:tcPr>
            <w:tcW w:w="11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vMerge w:val="restart"/>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160" w:type="dxa"/>
            <w:vAlign w:val="bottom"/>
            <w:shd w:val="clear" w:color="auto" w:fill="CCEEFF"/>
          </w:tcPr>
          <w:p>
            <w:pPr>
              <w:spacing w:after="0"/>
              <w:rPr>
                <w:sz w:val="4"/>
                <w:szCs w:val="4"/>
                <w:color w:val="auto"/>
              </w:rPr>
            </w:pPr>
          </w:p>
        </w:tc>
        <w:tc>
          <w:tcPr>
            <w:tcW w:w="1120" w:type="dxa"/>
            <w:vAlign w:val="bottom"/>
            <w:gridSpan w:val="2"/>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gridSpan w:val="2"/>
            <w:vMerge w:val="continue"/>
            <w:shd w:val="clear" w:color="auto" w:fill="CCEEFF"/>
          </w:tcPr>
          <w:p>
            <w:pPr>
              <w:spacing w:after="0"/>
              <w:rPr>
                <w:sz w:val="4"/>
                <w:szCs w:val="4"/>
                <w:color w:val="auto"/>
              </w:rPr>
            </w:pPr>
          </w:p>
        </w:tc>
        <w:tc>
          <w:tcPr>
            <w:tcW w:w="82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38"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Net income/(loss)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ind w:left="340" w:right="20" w:hanging="332"/>
        <w:spacing w:after="0" w:line="250"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and six months ended June 30, 2016 and the three months ended June 30, 2015 as the effect was antidilutive.</w:t>
      </w:r>
    </w:p>
    <w:p>
      <w:pPr>
        <w:spacing w:after="0" w:line="2" w:lineRule="exact"/>
        <w:rPr>
          <w:rFonts w:ascii="Arial" w:cs="Arial" w:eastAsia="Arial" w:hAnsi="Arial"/>
          <w:sz w:val="22"/>
          <w:szCs w:val="22"/>
          <w:color w:val="auto"/>
          <w:vertAlign w:val="superscript"/>
        </w:rPr>
      </w:pPr>
    </w:p>
    <w:p>
      <w:pPr>
        <w:ind w:left="340" w:right="80" w:hanging="332"/>
        <w:spacing w:after="0" w:line="219"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w w:val="96"/>
              </w:rPr>
              <w:t xml:space="preserve">Losses from derivative activities net of inventory valuation adjustments </w:t>
            </w:r>
            <w:r>
              <w:rPr>
                <w:rFonts w:ascii="Arial" w:cs="Arial" w:eastAsia="Arial" w:hAnsi="Arial"/>
                <w:sz w:val="23"/>
                <w:szCs w:val="23"/>
                <w:color w:val="auto"/>
                <w:w w:val="96"/>
                <w:vertAlign w:val="superscript"/>
              </w:rPr>
              <w:t>(2)</w:t>
            </w:r>
          </w:p>
        </w:tc>
        <w:tc>
          <w:tcPr>
            <w:tcW w:w="96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96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(0.08)</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(0.33)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0" w:type="dxa"/>
            <w:vAlign w:val="bottom"/>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(0.08</w:t>
            </w:r>
          </w:p>
        </w:tc>
        <w:tc>
          <w:tcPr>
            <w:tcW w:w="220" w:type="dxa"/>
            <w:vAlign w:val="bottom"/>
            <w:vMerge w:val="continue"/>
          </w:tcPr>
          <w:p>
            <w:pPr>
              <w:spacing w:after="0"/>
              <w:rPr>
                <w:sz w:val="17"/>
                <w:szCs w:val="17"/>
                <w:color w:val="auto"/>
              </w:rPr>
            </w:pPr>
          </w:p>
        </w:tc>
        <w:tc>
          <w:tcPr>
            <w:tcW w:w="800" w:type="dxa"/>
            <w:vAlign w:val="bottom"/>
          </w:tcPr>
          <w:p>
            <w:pPr>
              <w:jc w:val="right"/>
              <w:ind w:right="61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(0.33</w:t>
            </w:r>
          </w:p>
        </w:tc>
        <w:tc>
          <w:tcPr>
            <w:tcW w:w="2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80" w:hanging="332"/>
        <w:spacing w:after="0" w:line="23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3"/>
          <w:szCs w:val="23"/>
          <w:color w:val="auto"/>
          <w:vertAlign w:val="superscript"/>
        </w:rPr>
      </w:pPr>
    </w:p>
    <w:p>
      <w:pPr>
        <w:ind w:left="340" w:right="160" w:hanging="332"/>
        <w:spacing w:after="0" w:line="275"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w:t>
      </w:r>
    </w:p>
    <w:p>
      <w:pPr>
        <w:sectPr>
          <w:pgSz w:w="11900" w:h="16867" w:orient="portrait"/>
          <w:cols w:equalWidth="0" w:num="1">
            <w:col w:w="11420"/>
          </w:cols>
          <w:pgMar w:left="240" w:top="356" w:right="239" w:bottom="0" w:gutter="0" w:footer="0" w:header="0"/>
        </w:sectPr>
      </w:pPr>
    </w:p>
    <w:bookmarkStart w:id="9" w:name="page10"/>
    <w:bookmarkEnd w:id="9"/>
    <w:p>
      <w:pPr>
        <w:spacing w:after="0" w:line="62"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3"/>
          <w:szCs w:val="23"/>
          <w:color w:val="auto"/>
          <w:vertAlign w:val="superscript"/>
        </w:rPr>
      </w:pPr>
    </w:p>
    <w:p>
      <w:pPr>
        <w:ind w:left="320" w:hanging="312"/>
        <w:spacing w:after="0" w:line="205"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Includes costs related to the Line 901 incident that occurred in May 2015, net of amounts we believe are probable of recovery from insurance.</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5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5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31</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segment profit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530</w:t>
            </w:r>
          </w:p>
        </w:tc>
        <w:tc>
          <w:tcPr>
            <w:tcW w:w="2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57</w:t>
            </w:r>
          </w:p>
        </w:tc>
        <w:tc>
          <w:tcPr>
            <w:tcW w:w="24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0"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57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7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Including costs recognized during the period related to the Line 901 incident that occurred during May 2015, Implied DCF would have been $242 million and $687 million for the three and six months ended June 30, 2015,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3"/>
                <w:szCs w:val="13"/>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Income/(Loss) per Common Unit</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165"/>
        </w:trPr>
        <w:tc>
          <w:tcPr>
            <w:tcW w:w="4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34"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income/(loss) per common unit</w:t>
            </w:r>
          </w:p>
        </w:tc>
        <w:tc>
          <w:tcPr>
            <w:tcW w:w="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4"/>
                <w:szCs w:val="14"/>
                <w:color w:val="auto"/>
              </w:rPr>
              <w:t xml:space="preserve">Diluted adjusted net income/(loss) per common unit </w:t>
            </w:r>
            <w:r>
              <w:rPr>
                <w:rFonts w:ascii="Arial" w:cs="Arial" w:eastAsia="Arial" w:hAnsi="Arial"/>
                <w:sz w:val="18"/>
                <w:szCs w:val="18"/>
                <w:color w:val="auto"/>
                <w:vertAlign w:val="superscript"/>
              </w:rPr>
              <w:t>(4)</w:t>
            </w:r>
          </w:p>
        </w:tc>
        <w:tc>
          <w:tcPr>
            <w:tcW w:w="620" w:type="dxa"/>
            <w:vAlign w:val="bottom"/>
            <w:gridSpan w:val="2"/>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66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980" w:type="dxa"/>
            <w:vAlign w:val="bottom"/>
            <w:gridSpan w:val="2"/>
            <w:shd w:val="clear" w:color="auto" w:fill="CCEEFF"/>
          </w:tcPr>
          <w:p>
            <w:pPr>
              <w:jc w:val="right"/>
              <w:ind w:right="220"/>
              <w:spacing w:after="0" w:line="81" w:lineRule="exact"/>
              <w:rPr>
                <w:sz w:val="20"/>
                <w:szCs w:val="20"/>
                <w:color w:val="auto"/>
              </w:rPr>
            </w:pPr>
            <w:r>
              <w:rPr>
                <w:rFonts w:ascii="Arial" w:cs="Arial" w:eastAsia="Arial" w:hAnsi="Arial"/>
                <w:sz w:val="9"/>
                <w:szCs w:val="9"/>
                <w:color w:val="auto"/>
              </w:rPr>
              <w:t>(0.12</w:t>
            </w:r>
          </w:p>
        </w:tc>
        <w:tc>
          <w:tcPr>
            <w:tcW w:w="500" w:type="dxa"/>
            <w:vAlign w:val="bottom"/>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months ended June 30, 2016 as the effect was antidilutive.</w:t>
      </w:r>
    </w:p>
    <w:p>
      <w:pPr>
        <w:spacing w:after="0" w:line="1" w:lineRule="exact"/>
        <w:rPr>
          <w:rFonts w:ascii="Arial" w:cs="Arial" w:eastAsia="Arial" w:hAnsi="Arial"/>
          <w:sz w:val="23"/>
          <w:szCs w:val="23"/>
          <w:color w:val="auto"/>
          <w:vertAlign w:val="superscript"/>
        </w:rPr>
      </w:pPr>
    </w:p>
    <w:p>
      <w:pPr>
        <w:ind w:left="340" w:right="14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 2016</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INCOME/(EXPENSE)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interests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7,571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3" w:name="page14"/>
    <w:bookmarkEnd w:id="1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w:t>
            </w:r>
          </w:p>
        </w:tc>
        <w:tc>
          <w:tcPr>
            <w:tcW w:w="1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0.30</w:t>
            </w:r>
          </w:p>
        </w:tc>
        <w:tc>
          <w:tcPr>
            <w:tcW w:w="19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880" w:type="dxa"/>
            <w:vAlign w:val="bottom"/>
            <w:gridSpan w:val="2"/>
            <w:vMerge w:val="continue"/>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9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1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0.29</w:t>
            </w:r>
          </w:p>
        </w:tc>
        <w:tc>
          <w:tcPr>
            <w:tcW w:w="19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880" w:type="dxa"/>
            <w:vAlign w:val="bottom"/>
            <w:gridSpan w:val="2"/>
            <w:vMerge w:val="continue"/>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9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260</w:t>
            </w:r>
          </w:p>
        </w:tc>
        <w:tc>
          <w:tcPr>
            <w:tcW w:w="1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60" w:type="dxa"/>
            <w:vAlign w:val="bottom"/>
            <w:gridSpan w:val="2"/>
            <w:vMerge w:val="restart"/>
            <w:shd w:val="clear" w:color="auto" w:fill="CCEEFF"/>
          </w:tcPr>
          <w:p>
            <w:pPr>
              <w:jc w:val="right"/>
              <w:ind w:right="1520"/>
              <w:spacing w:after="0"/>
              <w:rPr>
                <w:sz w:val="20"/>
                <w:szCs w:val="20"/>
                <w:color w:val="auto"/>
              </w:rPr>
            </w:pPr>
            <w:r>
              <w:rPr>
                <w:rFonts w:ascii="Arial" w:cs="Arial" w:eastAsia="Arial" w:hAnsi="Arial"/>
                <w:sz w:val="18"/>
                <w:szCs w:val="18"/>
                <w:color w:val="auto"/>
              </w:rPr>
              <w:t>652</w:t>
            </w:r>
          </w:p>
        </w:tc>
        <w:tc>
          <w:tcPr>
            <w:tcW w:w="1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gridSpan w:val="2"/>
            <w:vMerge w:val="continue"/>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 discounts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and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credits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ectPr>
          <w:pgSz w:w="11900" w:h="16843" w:orient="portrait"/>
          <w:cols w:equalWidth="0" w:num="1">
            <w:col w:w="11420"/>
          </w:cols>
          <w:pgMar w:left="240" w:top="346" w:right="239" w:bottom="0" w:gutter="0" w:footer="0" w:header="0"/>
        </w:sectPr>
      </w:pPr>
    </w:p>
    <w:bookmarkStart w:id="14" w:name="page15"/>
    <w:bookmarkEnd w:id="14"/>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Q2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7/29/16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(59%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(41%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7/29/16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(1)</w:t>
            </w:r>
          </w:p>
        </w:tc>
        <w:tc>
          <w:tcPr>
            <w:tcW w:w="4140" w:type="dxa"/>
            <w:vAlign w:val="bottom"/>
          </w:tcPr>
          <w:p>
            <w:pPr>
              <w:ind w:left="8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(2)</w:t>
            </w:r>
          </w:p>
        </w:tc>
        <w:tc>
          <w:tcPr>
            <w:tcW w:w="4140" w:type="dxa"/>
            <w:vAlign w:val="bottom"/>
          </w:tcPr>
          <w:p>
            <w:pPr>
              <w:ind w:left="8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Incremental net income allocated to PAGP resulting from</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assumed exchange of AAP units and AAP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Net income allocated to PAGP including incremental net</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w w:val="98"/>
              </w:rPr>
              <w:t>income from assumed exchange of AAP units and AAP</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189</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Management Units</w:t>
            </w:r>
          </w:p>
        </w:tc>
        <w:tc>
          <w:tcPr>
            <w:tcW w:w="6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Dilutive shares resulting from assumed exchange of AAP</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 and AAP Management 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Class A share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0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w w:val="92"/>
              </w:rPr>
              <w:t>Al Swanson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5"/>
          </w:tcPr>
          <w:p>
            <w:pPr>
              <w:ind w:left="460"/>
              <w:spacing w:after="0"/>
              <w:rPr>
                <w:sz w:val="20"/>
                <w:szCs w:val="20"/>
                <w:color w:val="auto"/>
              </w:rPr>
            </w:pPr>
            <w:r>
              <w:rPr>
                <w:rFonts w:ascii="Arial" w:cs="Arial" w:eastAsia="Arial" w:hAnsi="Arial"/>
                <w:sz w:val="18"/>
                <w:szCs w:val="18"/>
                <w:color w:val="auto"/>
                <w:w w:val="97"/>
              </w:rPr>
              <w:t>Executive Vice President, CFO</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2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jc w:val="right"/>
              <w:ind w:right="3370"/>
              <w:spacing w:after="0"/>
              <w:rPr>
                <w:sz w:val="20"/>
                <w:szCs w:val="20"/>
                <w:color w:val="auto"/>
              </w:rPr>
            </w:pPr>
            <w:r>
              <w:rPr>
                <w:rFonts w:ascii="Arial" w:cs="Arial" w:eastAsia="Arial" w:hAnsi="Arial"/>
                <w:sz w:val="18"/>
                <w:szCs w:val="18"/>
                <w:color w:val="auto"/>
                <w:w w:val="90"/>
              </w:rPr>
              <w:t>(866) 809-1291</w:t>
            </w:r>
          </w:p>
        </w:tc>
        <w:tc>
          <w:tcPr>
            <w:tcW w:w="2320" w:type="dxa"/>
            <w:vAlign w:val="bottom"/>
          </w:tcPr>
          <w:p>
            <w:pPr>
              <w:jc w:val="right"/>
              <w:spacing w:after="0"/>
              <w:rPr>
                <w:sz w:val="20"/>
                <w:szCs w:val="20"/>
                <w:color w:val="auto"/>
              </w:rPr>
            </w:pPr>
            <w:r>
              <w:rPr>
                <w:rFonts w:ascii="Arial" w:cs="Arial" w:eastAsia="Arial" w:hAnsi="Arial"/>
                <w:sz w:val="18"/>
                <w:szCs w:val="18"/>
                <w:color w:val="auto"/>
              </w:rPr>
              <w:t>(800) 564-3036</w:t>
            </w: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600" w:type="dxa"/>
            <w:vAlign w:val="bottom"/>
          </w:tcPr>
          <w:p>
            <w:pPr>
              <w:spacing w:after="0"/>
              <w:rPr>
                <w:sz w:val="24"/>
                <w:szCs w:val="24"/>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600" w:type="dxa"/>
            <w:vAlign w:val="bottom"/>
          </w:tcPr>
          <w:p>
            <w:pPr>
              <w:jc w:val="right"/>
              <w:ind w:right="13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Houston, Texas 77002</w:t>
            </w:r>
          </w:p>
        </w:tc>
        <w:tc>
          <w:tcPr>
            <w:tcW w:w="450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19"/>
                <w:szCs w:val="19"/>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2020-01-20T23:39:30Z</dcterms:created>
  <dcterms:modified xsi:type="dcterms:W3CDTF">2020-01-20T23:39:30Z</dcterms:modified>
</cp:coreProperties>
</file>