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DUCKETT W DAVID</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888 3RD STREET S.W., # 1400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ind w:left="7"/>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0000FF"/>
        </w:rPr>
        <w:t xml:space="preserve">PAA </w:t>
      </w:r>
      <w:r>
        <w:rPr>
          <w:rFonts w:ascii="Times New Roman" w:cs="Times New Roman" w:eastAsia="Times New Roman" w:hAnsi="Times New Roman"/>
          <w:sz w:val="21"/>
          <w:szCs w:val="21"/>
          <w:color w:val="000000"/>
        </w:rPr>
        <w:t>]</w:t>
      </w:r>
    </w:p>
    <w:p>
      <w:pPr>
        <w:spacing w:after="0" w:line="22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0000FF"/>
        </w:rPr>
        <w:t>05/27/2014</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18"/>
          <w:szCs w:val="18"/>
          <w:color w:val="0000FF"/>
        </w:rPr>
        <w:t>Pres. of subsidiary-PMC ULC</w:t>
      </w:r>
    </w:p>
    <w:p>
      <w:pPr>
        <w:spacing w:after="0" w:line="277" w:lineRule="exact"/>
        <w:rPr>
          <w:sz w:val="24"/>
          <w:szCs w:val="24"/>
          <w:color w:val="auto"/>
        </w:rPr>
      </w:pPr>
    </w:p>
    <w:p>
      <w:pPr>
        <w:sectPr>
          <w:pgSz w:w="11900" w:h="16838" w:orient="portrait"/>
          <w:cols w:equalWidth="0" w:num="3">
            <w:col w:w="3353" w:space="720"/>
            <w:col w:w="3727" w:space="257"/>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1020" w:type="dxa"/>
            <w:vAlign w:val="bottom"/>
            <w:shd w:val="clear" w:color="auto" w:fill="9A9A9A"/>
          </w:tcPr>
          <w:p>
            <w:pPr>
              <w:spacing w:after="0"/>
              <w:rPr>
                <w:sz w:val="3"/>
                <w:szCs w:val="3"/>
                <w:color w:val="auto"/>
              </w:rPr>
            </w:pPr>
          </w:p>
        </w:tc>
        <w:tc>
          <w:tcPr>
            <w:tcW w:w="1260" w:type="dxa"/>
            <w:vAlign w:val="bottom"/>
            <w:tcBorders>
              <w:right w:val="single" w:sz="8" w:color="9A9A9A"/>
            </w:tcBorders>
            <w:shd w:val="clear" w:color="auto" w:fill="9A9A9A"/>
          </w:tcPr>
          <w:p>
            <w:pPr>
              <w:spacing w:after="0"/>
              <w:rPr>
                <w:sz w:val="3"/>
                <w:szCs w:val="3"/>
                <w:color w:val="auto"/>
              </w:rPr>
            </w:pPr>
          </w:p>
        </w:tc>
        <w:tc>
          <w:tcPr>
            <w:tcW w:w="414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140" w:type="dxa"/>
            <w:vAlign w:val="bottom"/>
            <w:gridSpan w:val="8"/>
            <w:vMerge w:val="continue"/>
          </w:tcPr>
          <w:p>
            <w:pPr>
              <w:spacing w:after="0"/>
              <w:rPr>
                <w:sz w:val="10"/>
                <w:szCs w:val="10"/>
                <w:color w:val="auto"/>
              </w:rPr>
            </w:pPr>
          </w:p>
        </w:tc>
        <w:tc>
          <w:tcPr>
            <w:tcW w:w="33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gridSpan w:val="3"/>
          </w:tcPr>
          <w:p>
            <w:pPr>
              <w:spacing w:after="0"/>
              <w:rPr>
                <w:sz w:val="20"/>
                <w:szCs w:val="20"/>
                <w:color w:val="auto"/>
              </w:rPr>
            </w:pPr>
            <w:r>
              <w:rPr>
                <w:rFonts w:ascii="Arial" w:cs="Arial" w:eastAsia="Arial" w:hAnsi="Arial"/>
                <w:sz w:val="14"/>
                <w:szCs w:val="14"/>
                <w:color w:val="auto"/>
                <w:w w:val="96"/>
              </w:rPr>
              <w:t>Line)</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CALGARY</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9"/>
              </w:rPr>
              <w:t>A0</w:t>
            </w:r>
          </w:p>
        </w:tc>
        <w:tc>
          <w:tcPr>
            <w:tcW w:w="1020" w:type="dxa"/>
            <w:vAlign w:val="bottom"/>
          </w:tcPr>
          <w:p>
            <w:pPr>
              <w:spacing w:after="0"/>
              <w:rPr>
                <w:sz w:val="22"/>
                <w:szCs w:val="22"/>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T2P 5C5</w:t>
            </w: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6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6"/>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920" w:type="dxa"/>
            <w:vAlign w:val="bottom"/>
            <w:tcBorders>
              <w:top w:val="single" w:sz="8" w:color="2C2C2C"/>
            </w:tcBorders>
            <w:gridSpan w:val="15"/>
          </w:tcPr>
          <w:p>
            <w:pPr>
              <w:jc w:val="center"/>
              <w:ind w:left="1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tcPr>
          <w:p>
            <w:pPr>
              <w:ind w:left="40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Units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0000FF"/>
              </w:rPr>
              <w:t>05/27/2014</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w w:val="76"/>
              </w:rPr>
              <w:t>S</w:t>
            </w:r>
          </w:p>
        </w:tc>
        <w:tc>
          <w:tcPr>
            <w:tcW w:w="540" w:type="dxa"/>
            <w:vAlign w:val="bottom"/>
          </w:tcPr>
          <w:p>
            <w:pPr>
              <w:spacing w:after="0"/>
              <w:rPr>
                <w:sz w:val="22"/>
                <w:szCs w:val="22"/>
                <w:color w:val="auto"/>
              </w:rPr>
            </w:pP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0000FF"/>
              </w:rPr>
              <w:t>148,297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D</w:t>
            </w:r>
          </w:p>
        </w:tc>
        <w:tc>
          <w:tcPr>
            <w:tcW w:w="940" w:type="dxa"/>
            <w:vAlign w:val="bottom"/>
            <w:gridSpan w:val="3"/>
            <w:vMerge w:val="restart"/>
          </w:tcPr>
          <w:p>
            <w:pPr>
              <w:ind w:left="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55.6574</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59,885</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Units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0000FF"/>
              </w:rPr>
              <w:t>05/29/2014</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w w:val="76"/>
              </w:rPr>
              <w:t>S</w:t>
            </w:r>
          </w:p>
        </w:tc>
        <w:tc>
          <w:tcPr>
            <w:tcW w:w="540" w:type="dxa"/>
            <w:vAlign w:val="bottom"/>
          </w:tcPr>
          <w:p>
            <w:pPr>
              <w:spacing w:after="0"/>
              <w:rPr>
                <w:sz w:val="22"/>
                <w:szCs w:val="22"/>
                <w:color w:val="auto"/>
              </w:rPr>
            </w:pPr>
          </w:p>
        </w:tc>
        <w:tc>
          <w:tcPr>
            <w:tcW w:w="9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0000FF"/>
              </w:rPr>
              <w:t>59,885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D</w:t>
            </w:r>
          </w:p>
        </w:tc>
        <w:tc>
          <w:tcPr>
            <w:tcW w:w="940" w:type="dxa"/>
            <w:vAlign w:val="bottom"/>
            <w:gridSpan w:val="3"/>
            <w:vMerge w:val="restart"/>
          </w:tcPr>
          <w:p>
            <w:pPr>
              <w:ind w:left="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56.1202</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vMerge w:val="restart"/>
          </w:tcPr>
          <w:p>
            <w:pPr>
              <w:jc w:val="center"/>
              <w:ind w:right="497"/>
              <w:spacing w:after="0"/>
              <w:rPr>
                <w:sz w:val="20"/>
                <w:szCs w:val="20"/>
                <w:color w:val="auto"/>
              </w:rPr>
            </w:pPr>
            <w:r>
              <w:rPr>
                <w:rFonts w:ascii="Times New Roman" w:cs="Times New Roman" w:eastAsia="Times New Roman" w:hAnsi="Times New Roman"/>
                <w:sz w:val="18"/>
                <w:szCs w:val="18"/>
                <w:color w:val="0000FF"/>
                <w:w w:val="88"/>
              </w:rPr>
              <w:t>0</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Units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30,500</w:t>
            </w:r>
          </w:p>
        </w:tc>
        <w:tc>
          <w:tcPr>
            <w:tcW w:w="300" w:type="dxa"/>
            <w:vAlign w:val="bottom"/>
          </w:tcPr>
          <w:p>
            <w:pPr>
              <w:spacing w:after="0"/>
              <w:rPr>
                <w:sz w:val="23"/>
                <w:szCs w:val="2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4"/>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00" w:type="dxa"/>
            <w:vAlign w:val="bottom"/>
            <w:gridSpan w:val="10"/>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900" w:type="dxa"/>
            <w:vAlign w:val="bottom"/>
            <w:vMerge w:val="restart"/>
          </w:tcPr>
          <w:p>
            <w:pPr>
              <w:ind w:left="300"/>
              <w:spacing w:after="0"/>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5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vMerge w:val="continue"/>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41"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in column 4 is a weighted average price. The units were sold in multiple transactions at prices ranging from $55.56 to $56.00. Reporting Person undertakes to provide to the SEC staff, the Issuer or any unitholder of the Issuer, upon request, full information regarding the number of units sold at each separate price.</w:t>
      </w:r>
    </w:p>
    <w:p>
      <w:pPr>
        <w:spacing w:after="0" w:line="27" w:lineRule="exact"/>
        <w:rPr>
          <w:rFonts w:ascii="Times New Roman" w:cs="Times New Roman" w:eastAsia="Times New Roman" w:hAnsi="Times New Roman"/>
          <w:sz w:val="14"/>
          <w:szCs w:val="14"/>
          <w:color w:val="008000"/>
        </w:rPr>
      </w:pPr>
    </w:p>
    <w:p>
      <w:pPr>
        <w:ind w:left="40" w:right="180" w:firstLine="9"/>
        <w:spacing w:after="0" w:line="241"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in column 4 is a weighted average price. The units were sold in multiple transactions at prices ranging from $56.00 to $56.305. Reporting Person undertakes to provide to the SEC staff, the Issuer or any unitholder of the Issuer, upon request, full information regarding the number of units sold at each separate price.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W. Dave Duckett</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05/29/2014</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542"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2020-01-27T14:46:04Z</dcterms:created>
  <dcterms:modified xsi:type="dcterms:W3CDTF">2020-01-27T14:46:04Z</dcterms:modified>
</cp:coreProperties>
</file>