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09-36206_110k.htm"/>
        <w:bookmarkStart w:id="1" w:name="ksa0936206_110k"/>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10-K</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8"/>
        <w:gridCol w:w="9487"/>
      </w:tblGrid>
      <w:tr>
        <w:trPr/>
        <w:tc>
          <w:tcPr>
            <w:tcW w:w="10205"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 One)</w:t>
            </w:r>
          </w:p>
        </w:tc>
      </w:tr>
      <w:tr>
        <w:trPr/>
        <w:tc>
          <w:tcPr>
            <w:tcW w:w="718" w:type="dxa"/>
            <w:tcBorders/>
            <w:shd w:fill="auto" w:val="clear"/>
          </w:tcPr>
          <w:p>
            <w:pPr>
              <w:pStyle w:val="TableContents"/>
              <w:spacing w:before="0" w:after="0"/>
              <w:ind w:left="0" w:right="0" w:hanging="0"/>
              <w:rPr/>
            </w:pPr>
            <w:r>
              <w:rPr/>
              <w:t> </w:t>
            </w:r>
          </w:p>
        </w:tc>
        <w:tc>
          <w:tcPr>
            <w:tcW w:w="9487" w:type="dxa"/>
            <w:tcBorders/>
            <w:shd w:fill="auto" w:val="clear"/>
            <w:vAlign w:val="bottom"/>
          </w:tcPr>
          <w:p>
            <w:pPr>
              <w:pStyle w:val="TableContents"/>
              <w:spacing w:before="0" w:after="0"/>
              <w:ind w:left="0" w:right="0" w:hanging="0"/>
              <w:rPr/>
            </w:pPr>
            <w:r>
              <w:rPr/>
              <w:t> </w:t>
            </w:r>
          </w:p>
        </w:tc>
      </w:tr>
      <w:tr>
        <w:trPr/>
        <w:tc>
          <w:tcPr>
            <w:tcW w:w="718" w:type="dxa"/>
            <w:tcBorders/>
            <w:shd w:fill="auto" w:val="clear"/>
          </w:tcPr>
          <w:p>
            <w:pPr>
              <w:pStyle w:val="TableContents"/>
              <w:spacing w:before="0" w:after="0"/>
              <w:ind w:left="0" w:right="0" w:hanging="0"/>
              <w:rPr>
                <w:rFonts w:ascii="Wingdings" w:hAnsi="Wingdings"/>
                <w:sz w:val="20"/>
              </w:rPr>
            </w:pPr>
            <w:r>
              <w:rPr>
                <w:rFonts w:ascii="Wingdings" w:hAnsi="Wingdings"/>
                <w:sz w:val="20"/>
              </w:rPr>
              <w:t>x</w:t>
            </w:r>
          </w:p>
        </w:tc>
        <w:tc>
          <w:tcPr>
            <w:tcW w:w="9487" w:type="dxa"/>
            <w:tcBorders/>
            <w:shd w:fill="auto" w:val="clear"/>
            <w:vAlign w:val="bottom"/>
          </w:tcPr>
          <w:p>
            <w:pPr>
              <w:pStyle w:val="TableContents"/>
              <w:spacing w:before="0" w:after="0"/>
              <w:ind w:left="0" w:right="0" w:hanging="0"/>
              <w:rPr>
                <w:rFonts w:ascii="Times New Roman" w:hAnsi="Times New Roman"/>
                <w:b/>
                <w:sz w:val="20"/>
              </w:rPr>
            </w:pPr>
            <w:r>
              <w:rPr>
                <w:rFonts w:ascii="Times New Roman" w:hAnsi="Times New Roman"/>
                <w:b/>
                <w:sz w:val="20"/>
              </w:rPr>
              <w:t>ANNUAL REPORT PURSUANT TO SECTION 13 OR 15(d) OF THE SECURITIES EXCHANGE ACT OF 1934</w:t>
            </w:r>
          </w:p>
        </w:tc>
      </w:tr>
      <w:tr>
        <w:trPr/>
        <w:tc>
          <w:tcPr>
            <w:tcW w:w="718" w:type="dxa"/>
            <w:tcBorders/>
            <w:shd w:fill="auto" w:val="clear"/>
          </w:tcPr>
          <w:p>
            <w:pPr>
              <w:pStyle w:val="TableContents"/>
              <w:spacing w:before="0" w:after="0"/>
              <w:ind w:left="0" w:right="0" w:hanging="0"/>
              <w:rPr/>
            </w:pPr>
            <w:r>
              <w:rPr/>
              <w:t> </w:t>
            </w:r>
          </w:p>
        </w:tc>
        <w:tc>
          <w:tcPr>
            <w:tcW w:w="9487" w:type="dxa"/>
            <w:tcBorders/>
            <w:shd w:fill="auto" w:val="clear"/>
            <w:vAlign w:val="bottom"/>
          </w:tcPr>
          <w:p>
            <w:pPr>
              <w:pStyle w:val="TableContents"/>
              <w:spacing w:before="0" w:after="0"/>
              <w:ind w:left="0" w:right="0" w:hanging="0"/>
              <w:rPr/>
            </w:pPr>
            <w:r>
              <w:rPr/>
              <w:t>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For the fiscal year ended December 31, 2009</w:t>
            </w:r>
          </w:p>
        </w:tc>
      </w:tr>
      <w:tr>
        <w:trPr/>
        <w:tc>
          <w:tcPr>
            <w:tcW w:w="10205" w:type="dxa"/>
            <w:gridSpan w:val="2"/>
            <w:tcBorders/>
            <w:shd w:fill="auto" w:val="clear"/>
          </w:tcPr>
          <w:p>
            <w:pPr>
              <w:pStyle w:val="TableContents"/>
              <w:spacing w:before="0" w:after="0"/>
              <w:ind w:left="0" w:right="0" w:hanging="0"/>
              <w:jc w:val="center"/>
              <w:rPr/>
            </w:pPr>
            <w:r>
              <w:rPr/>
              <w:t>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or</w:t>
            </w:r>
          </w:p>
        </w:tc>
      </w:tr>
      <w:tr>
        <w:trPr/>
        <w:tc>
          <w:tcPr>
            <w:tcW w:w="10205" w:type="dxa"/>
            <w:gridSpan w:val="2"/>
            <w:tcBorders/>
            <w:shd w:fill="auto" w:val="clear"/>
          </w:tcPr>
          <w:p>
            <w:pPr>
              <w:pStyle w:val="TableContents"/>
              <w:spacing w:before="0" w:after="0"/>
              <w:ind w:left="0" w:right="0" w:hanging="0"/>
              <w:jc w:val="center"/>
              <w:rPr/>
            </w:pPr>
            <w:r>
              <w:rPr/>
              <w:t> </w:t>
            </w:r>
          </w:p>
        </w:tc>
      </w:tr>
      <w:tr>
        <w:trPr/>
        <w:tc>
          <w:tcPr>
            <w:tcW w:w="718"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9487" w:type="dxa"/>
            <w:tcBorders/>
            <w:shd w:fill="auto" w:val="clear"/>
            <w:vAlign w:val="bottom"/>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pPr>
            <w:r>
              <w:rPr>
                <w:rFonts w:ascii="Times New Roman" w:hAnsi="Times New Roman"/>
                <w:b/>
                <w:sz w:val="17"/>
              </w:rPr>
              <w:t>Delaware</w:t>
              <w:br/>
            </w:r>
            <w:r>
              <w:rPr>
                <w:sz w:val="17"/>
              </w:rPr>
              <w:t>(State or other jurisdiction of</w:t>
              <w:br/>
              <w:t>incorporation or organization)</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b/>
                <w:sz w:val="17"/>
              </w:rPr>
              <w:t>76-0582150</w:t>
              <w:br/>
            </w:r>
            <w:r>
              <w:rPr>
                <w:sz w:val="17"/>
              </w:rPr>
              <w:t>(I.R.S. Employer</w:t>
              <w:br/>
              <w:t>Identification No.)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pPr>
            <w:r>
              <w:rPr>
                <w:rFonts w:ascii="Times New Roman" w:hAnsi="Times New Roman"/>
                <w:b/>
                <w:sz w:val="17"/>
              </w:rPr>
              <w:t>333 Clay Street, Suite 1600, Houston, Texas</w:t>
              <w:br/>
            </w:r>
            <w:r>
              <w:rPr>
                <w:sz w:val="17"/>
              </w:rPr>
              <w:t>(Address of principal 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b/>
                <w:sz w:val="17"/>
              </w:rPr>
              <w:t>77002</w:t>
              <w:br/>
            </w:r>
            <w:r>
              <w:rPr>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Securities registered pursuant to Section 12(b) of the Act:</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1249"/>
        <w:gridCol w:w="3749"/>
        <w:gridCol w:w="208"/>
        <w:gridCol w:w="3749"/>
        <w:gridCol w:w="1250"/>
      </w:tblGrid>
      <w:tr>
        <w:trPr/>
        <w:tc>
          <w:tcPr>
            <w:tcW w:w="1249" w:type="dxa"/>
            <w:tcBorders/>
            <w:shd w:fill="auto" w:val="clear"/>
            <w:vAlign w:val="bottom"/>
          </w:tcPr>
          <w:p>
            <w:pPr>
              <w:pStyle w:val="TableContents"/>
              <w:spacing w:before="0" w:after="0"/>
              <w:ind w:left="0" w:right="0" w:hanging="0"/>
              <w:jc w:val="center"/>
              <w:rPr/>
            </w:pPr>
            <w:r>
              <w:rPr/>
              <w:t> </w:t>
            </w:r>
          </w:p>
        </w:tc>
        <w:tc>
          <w:tcPr>
            <w:tcW w:w="37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Each Class</w:t>
            </w:r>
          </w:p>
        </w:tc>
        <w:tc>
          <w:tcPr>
            <w:tcW w:w="208" w:type="dxa"/>
            <w:tcBorders/>
            <w:shd w:fill="auto" w:val="clear"/>
            <w:vAlign w:val="bottom"/>
          </w:tcPr>
          <w:p>
            <w:pPr>
              <w:pStyle w:val="TableContents"/>
              <w:spacing w:before="0" w:after="0"/>
              <w:ind w:left="0" w:right="0" w:hanging="0"/>
              <w:jc w:val="center"/>
              <w:rPr/>
            </w:pPr>
            <w:r>
              <w:rPr/>
              <w:t> </w:t>
            </w:r>
          </w:p>
        </w:tc>
        <w:tc>
          <w:tcPr>
            <w:tcW w:w="37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Name of Each Exchange on Which Registered</w:t>
            </w:r>
          </w:p>
        </w:tc>
        <w:tc>
          <w:tcPr>
            <w:tcW w:w="1250" w:type="dxa"/>
            <w:tcBorders/>
            <w:shd w:fill="auto" w:val="clear"/>
            <w:vAlign w:val="bottom"/>
          </w:tcPr>
          <w:p>
            <w:pPr>
              <w:pStyle w:val="TableContents"/>
              <w:spacing w:before="0" w:after="0"/>
              <w:ind w:left="0" w:right="0" w:hanging="0"/>
              <w:jc w:val="center"/>
              <w:rPr/>
            </w:pPr>
            <w:r>
              <w:rPr/>
              <w:t> </w:t>
            </w:r>
          </w:p>
        </w:tc>
      </w:tr>
      <w:tr>
        <w:trPr/>
        <w:tc>
          <w:tcPr>
            <w:tcW w:w="1249" w:type="dxa"/>
            <w:tcBorders/>
            <w:shd w:fill="auto" w:val="clear"/>
          </w:tcPr>
          <w:p>
            <w:pPr>
              <w:pStyle w:val="TableContents"/>
              <w:spacing w:before="0" w:after="0"/>
              <w:ind w:left="0" w:right="0" w:hanging="0"/>
              <w:jc w:val="center"/>
              <w:rPr/>
            </w:pPr>
            <w:r>
              <w:rPr/>
              <w:t> </w:t>
            </w:r>
          </w:p>
        </w:tc>
        <w:tc>
          <w:tcPr>
            <w:tcW w:w="374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Common Units</w:t>
            </w:r>
          </w:p>
        </w:tc>
        <w:tc>
          <w:tcPr>
            <w:tcW w:w="208" w:type="dxa"/>
            <w:tcBorders/>
            <w:shd w:fill="auto" w:val="clear"/>
            <w:vAlign w:val="bottom"/>
          </w:tcPr>
          <w:p>
            <w:pPr>
              <w:pStyle w:val="TableContents"/>
              <w:spacing w:before="0" w:after="0"/>
              <w:ind w:left="0" w:right="0" w:hanging="0"/>
              <w:rPr/>
            </w:pPr>
            <w:r>
              <w:rPr/>
              <w:t> </w:t>
            </w:r>
          </w:p>
        </w:tc>
        <w:tc>
          <w:tcPr>
            <w:tcW w:w="374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c>
          <w:tcPr>
            <w:tcW w:w="1250"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Securities registered pursuant to Section 12(g) of the Act:</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the registrant is a well-known seasoned issuer, as defined in Rule 405 of the Securities Act. Yes </w:t>
      </w:r>
      <w:r>
        <w:rPr>
          <w:rFonts w:ascii="Wingdings" w:hAnsi="Wingdings"/>
          <w:sz w:val="17"/>
        </w:rPr>
        <w:t>x</w:t>
      </w:r>
      <w:r>
        <w:rPr>
          <w:rFonts w:ascii="Times New Roman" w:hAnsi="Times New Roman"/>
        </w:rPr>
        <w:t xml:space="preserve">  </w:t>
      </w:r>
      <w:r>
        <w:rPr>
          <w:rFonts w:ascii="Times New Roman" w:hAnsi="Times New Roman"/>
          <w:sz w:val="17"/>
        </w:rPr>
        <w:t>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the registrant is not required to file reports pursuant to Section 13 or Section 15(d) of the Act. Yes </w:t>
      </w:r>
      <w:r>
        <w:rPr>
          <w:rFonts w:ascii="Wingdings" w:hAnsi="Wingdings"/>
          <w:sz w:val="17"/>
        </w:rPr>
        <w:t>o</w:t>
      </w:r>
      <w:r>
        <w:rPr>
          <w:rFonts w:ascii="Times New Roman" w:hAnsi="Times New Roman"/>
        </w:rPr>
        <w:t xml:space="preserve">  </w:t>
      </w:r>
      <w:r>
        <w:rPr>
          <w:rFonts w:ascii="Times New Roman" w:hAnsi="Times New Roman"/>
          <w:sz w:val="17"/>
        </w:rPr>
        <w:t>No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rFonts w:ascii="Times New Roman" w:hAnsi="Times New Roman"/>
        </w:rPr>
        <w:t xml:space="preserve">  </w:t>
      </w:r>
      <w:r>
        <w:rPr>
          <w:rFonts w:ascii="Times New Roman" w:hAnsi="Times New Roman"/>
          <w:sz w:val="17"/>
        </w:rPr>
        <w:t>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has submitted electronically and posted on its corporate Web site, if any, every</w:t>
      </w:r>
    </w:p>
    <w:p>
      <w:pPr>
        <w:pStyle w:val="TextBody"/>
        <w:spacing w:before="0" w:after="0"/>
        <w:ind w:left="0" w:right="0" w:hanging="0"/>
        <w:rPr>
          <w:rFonts w:ascii="Times New Roman" w:hAnsi="Times New Roman"/>
        </w:rPr>
      </w:pPr>
      <w:r>
        <w:rPr>
          <w:rFonts w:ascii="Times New Roman" w:hAnsi="Times New Roman"/>
          <w:sz w:val="17"/>
        </w:rPr>
        <w:t xml:space="preserve">Interactive Data File required to be submitted and posted pursuant to Rule 405 of Regulation S-T during the preceding 12 months (or for such shorter period that the registrant was required to submit and post such files). Yes </w:t>
      </w:r>
      <w:r>
        <w:rPr>
          <w:rFonts w:ascii="Wingdings" w:hAnsi="Wingdings"/>
          <w:sz w:val="17"/>
        </w:rPr>
        <w:t>x</w:t>
      </w:r>
      <w:r>
        <w:rPr>
          <w:rFonts w:ascii="Times New Roman" w:hAnsi="Times New Roman"/>
        </w:rPr>
        <w:t xml:space="preserve"> </w:t>
      </w:r>
      <w:r>
        <w:rPr>
          <w:rFonts w:ascii="Times New Roman" w:hAnsi="Times New Roman"/>
          <w:sz w:val="17"/>
        </w:rPr>
        <w:t xml:space="preserve">No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17"/>
        </w:rPr>
        <w: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38"/>
        <w:gridCol w:w="212"/>
        <w:gridCol w:w="2021"/>
        <w:gridCol w:w="212"/>
        <w:gridCol w:w="2552"/>
        <w:gridCol w:w="318"/>
        <w:gridCol w:w="2552"/>
      </w:tblGrid>
      <w:tr>
        <w:trPr/>
        <w:tc>
          <w:tcPr>
            <w:tcW w:w="2338"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12" w:type="dxa"/>
            <w:tcBorders/>
            <w:shd w:fill="auto" w:val="clear"/>
          </w:tcPr>
          <w:p>
            <w:pPr>
              <w:pStyle w:val="TableContents"/>
              <w:spacing w:before="0" w:after="0"/>
              <w:ind w:left="0" w:right="0" w:hanging="0"/>
              <w:rPr/>
            </w:pPr>
            <w:r>
              <w:rPr/>
              <w:t> </w:t>
            </w:r>
          </w:p>
        </w:tc>
        <w:tc>
          <w:tcPr>
            <w:tcW w:w="2021"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c>
          <w:tcPr>
            <w:tcW w:w="212" w:type="dxa"/>
            <w:tcBorders/>
            <w:shd w:fill="auto" w:val="clear"/>
          </w:tcPr>
          <w:p>
            <w:pPr>
              <w:pStyle w:val="TableContents"/>
              <w:spacing w:before="0" w:after="0"/>
              <w:ind w:left="0" w:right="0" w:hanging="0"/>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318" w:type="dxa"/>
            <w:tcBorders/>
            <w:shd w:fill="auto" w:val="clear"/>
            <w:vAlign w:val="bottom"/>
          </w:tcPr>
          <w:p>
            <w:pPr>
              <w:pStyle w:val="TableContents"/>
              <w:spacing w:before="0" w:after="0"/>
              <w:ind w:left="0" w:right="0" w:hanging="0"/>
              <w:rPr/>
            </w:pPr>
            <w:r>
              <w:rPr/>
              <w:t> </w:t>
            </w:r>
          </w:p>
        </w:tc>
        <w:tc>
          <w:tcPr>
            <w:tcW w:w="255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2338" w:type="dxa"/>
            <w:tcBorders/>
            <w:shd w:fill="auto" w:val="clear"/>
          </w:tcPr>
          <w:p>
            <w:pPr>
              <w:pStyle w:val="TableContents"/>
              <w:spacing w:before="0" w:after="0"/>
              <w:ind w:left="0" w:right="0" w:hanging="0"/>
              <w:jc w:val="center"/>
              <w:rPr/>
            </w:pPr>
            <w:r>
              <w:rPr/>
              <w:t> </w:t>
            </w:r>
          </w:p>
        </w:tc>
        <w:tc>
          <w:tcPr>
            <w:tcW w:w="212" w:type="dxa"/>
            <w:tcBorders/>
            <w:shd w:fill="auto" w:val="clear"/>
          </w:tcPr>
          <w:p>
            <w:pPr>
              <w:pStyle w:val="TableContents"/>
              <w:spacing w:before="0" w:after="0"/>
              <w:ind w:left="0" w:right="0" w:hanging="0"/>
              <w:rPr/>
            </w:pPr>
            <w:r>
              <w:rPr/>
              <w:t> </w:t>
            </w:r>
          </w:p>
        </w:tc>
        <w:tc>
          <w:tcPr>
            <w:tcW w:w="2021" w:type="dxa"/>
            <w:tcBorders/>
            <w:shd w:fill="auto" w:val="clear"/>
          </w:tcPr>
          <w:p>
            <w:pPr>
              <w:pStyle w:val="TableContents"/>
              <w:spacing w:before="0" w:after="0"/>
              <w:ind w:left="0" w:right="0" w:hanging="0"/>
              <w:rPr/>
            </w:pPr>
            <w:r>
              <w:rPr/>
              <w:t> </w:t>
            </w:r>
          </w:p>
        </w:tc>
        <w:tc>
          <w:tcPr>
            <w:tcW w:w="212" w:type="dxa"/>
            <w:tcBorders/>
            <w:shd w:fill="auto" w:val="clear"/>
          </w:tcPr>
          <w:p>
            <w:pPr>
              <w:pStyle w:val="TableContents"/>
              <w:spacing w:before="0" w:after="0"/>
              <w:ind w:left="0" w:right="0" w:hanging="0"/>
              <w:rPr/>
            </w:pPr>
            <w:r>
              <w:rPr/>
              <w:t> </w:t>
            </w:r>
          </w:p>
        </w:tc>
        <w:tc>
          <w:tcPr>
            <w:tcW w:w="255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w:t>
              <w:br/>
              <w:t>reporting company)</w:t>
            </w:r>
          </w:p>
        </w:tc>
        <w:tc>
          <w:tcPr>
            <w:tcW w:w="318" w:type="dxa"/>
            <w:tcBorders/>
            <w:shd w:fill="auto" w:val="clear"/>
            <w:vAlign w:val="bottom"/>
          </w:tcPr>
          <w:p>
            <w:pPr>
              <w:pStyle w:val="TableContents"/>
              <w:spacing w:before="0" w:after="0"/>
              <w:ind w:left="0" w:right="0" w:hanging="0"/>
              <w:rPr/>
            </w:pPr>
            <w:r>
              <w:rPr/>
              <w:t> </w:t>
            </w:r>
          </w:p>
        </w:tc>
        <w:tc>
          <w:tcPr>
            <w:tcW w:w="255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Indicate by check mark whether the registrant is a shell company (as defined in Rule 12b-2 of the Exchange Act). Yes </w:t>
      </w:r>
      <w:r>
        <w:rPr>
          <w:rFonts w:ascii="Wingdings" w:hAnsi="Wingdings"/>
          <w:sz w:val="17"/>
        </w:rPr>
        <w:t>o</w:t>
      </w:r>
      <w:r>
        <w:rPr>
          <w:rFonts w:ascii="Times New Roman" w:hAnsi="Times New Roman"/>
        </w:rPr>
        <w:t>   </w:t>
      </w:r>
      <w:r>
        <w:rPr>
          <w:rFonts w:ascii="Times New Roman" w:hAnsi="Times New Roman"/>
          <w:sz w:val="17"/>
        </w:rPr>
        <w:t>No </w:t>
      </w:r>
      <w:r>
        <w:rPr>
          <w:rFonts w:ascii="Wingdings" w:hAnsi="Wingdings"/>
          <w:sz w:val="17"/>
        </w:rPr>
        <w:t>x</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aggregate market value of the Common Units held by non-affiliates of the registrant (treating all executive officers and directors of the registrant and holders of 10% or more of the Common Units outstanding, for this purpose, as if they may be affiliates of the registrant) was approximately $4.8 billion on June 30, 2009, based on $42.55 per unit, the closing price of the Common Units as reported on the New York Stock Exchange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February 22, 2010, there were outstanding 136,135,988 Common Units.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DOCUMENTS INCORPORATED BY REFERENCE</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FORM 10-K2009 ANNUAL REPORT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bookmarkStart w:id="2" w:name="TableOfContents"/>
      <w:bookmarkEnd w:id="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35"/>
        <w:gridCol w:w="8249"/>
        <w:gridCol w:w="721"/>
      </w:tblGrid>
      <w:tr>
        <w:trPr/>
        <w:tc>
          <w:tcPr>
            <w:tcW w:w="1235" w:type="dxa"/>
            <w:tcBorders/>
            <w:shd w:fill="auto" w:val="clear"/>
            <w:vAlign w:val="bottom"/>
          </w:tcPr>
          <w:p>
            <w:pPr>
              <w:pStyle w:val="TableContents"/>
              <w:spacing w:before="0" w:after="0"/>
              <w:ind w:left="0" w:right="0" w:hanging="0"/>
              <w:rPr/>
            </w:pPr>
            <w:r>
              <w:rPr/>
              <w:t> </w:t>
            </w:r>
          </w:p>
        </w:tc>
        <w:tc>
          <w:tcPr>
            <w:tcW w:w="8249" w:type="dxa"/>
            <w:tcBorders/>
            <w:shd w:fill="auto" w:val="clear"/>
            <w:vAlign w:val="bottom"/>
          </w:tcPr>
          <w:p>
            <w:pPr>
              <w:pStyle w:val="TableContents"/>
              <w:spacing w:before="0" w:after="0"/>
              <w:ind w:left="0" w:right="0" w:hanging="0"/>
              <w:jc w:val="center"/>
              <w:rPr/>
            </w:pPr>
            <w:r>
              <w:rPr/>
              <w:t> </w:t>
            </w:r>
          </w:p>
        </w:tc>
        <w:tc>
          <w:tcPr>
            <w:tcW w:w="72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0205" w:type="dxa"/>
            <w:gridSpan w:val="3"/>
            <w:tcBorders/>
            <w:shd w:fill="auto" w:val="clear"/>
          </w:tcPr>
          <w:p>
            <w:pPr>
              <w:pStyle w:val="TableContents"/>
              <w:spacing w:before="0" w:after="0"/>
              <w:ind w:left="0" w:right="0" w:hanging="0"/>
              <w:jc w:val="center"/>
              <w:rPr/>
            </w:pPr>
            <w:hyperlink w:anchor="Parti_133920">
              <w:r>
                <w:rPr>
                  <w:rStyle w:val="InternetLink"/>
                  <w:rFonts w:ascii="Times New Roman" w:hAnsi="Times New Roman"/>
                  <w:b/>
                  <w:sz w:val="17"/>
                </w:rPr>
                <w:t>PART I</w:t>
              </w:r>
            </w:hyperlink>
          </w:p>
        </w:tc>
      </w:tr>
      <w:tr>
        <w:trPr/>
        <w:tc>
          <w:tcPr>
            <w:tcW w:w="1235" w:type="dxa"/>
            <w:tcBorders/>
            <w:shd w:fill="auto" w:val="clear"/>
          </w:tcPr>
          <w:p>
            <w:pPr>
              <w:pStyle w:val="TableContents"/>
              <w:spacing w:before="0" w:after="0"/>
              <w:ind w:left="0" w:right="0" w:hanging="0"/>
              <w:rPr/>
            </w:pPr>
            <w:hyperlink w:anchor="Items1And2_BusinessAndProperties_133923">
              <w:r>
                <w:rPr>
                  <w:rStyle w:val="InternetLink"/>
                  <w:rFonts w:ascii="Times New Roman" w:hAnsi="Times New Roman"/>
                  <w:sz w:val="17"/>
                </w:rPr>
                <w:t>Items 1 and 2.</w:t>
              </w:r>
            </w:hyperlink>
          </w:p>
        </w:tc>
        <w:tc>
          <w:tcPr>
            <w:tcW w:w="8249" w:type="dxa"/>
            <w:tcBorders/>
            <w:shd w:fill="auto" w:val="clear"/>
          </w:tcPr>
          <w:p>
            <w:pPr>
              <w:pStyle w:val="TableContents"/>
              <w:spacing w:before="0" w:after="0"/>
              <w:ind w:left="0" w:right="0" w:hanging="0"/>
              <w:rPr/>
            </w:pPr>
            <w:hyperlink w:anchor="Items1And2_BusinessAndProperties_133923">
              <w:r>
                <w:rPr>
                  <w:rStyle w:val="InternetLink"/>
                  <w:rFonts w:ascii="Times New Roman" w:hAnsi="Times New Roman"/>
                  <w:sz w:val="17"/>
                </w:rPr>
                <w:t>Business and Properties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235" w:type="dxa"/>
            <w:tcBorders/>
            <w:shd w:fill="auto" w:val="clear"/>
          </w:tcPr>
          <w:p>
            <w:pPr>
              <w:pStyle w:val="TableContents"/>
              <w:spacing w:before="0" w:after="0"/>
              <w:ind w:left="0" w:right="0" w:hanging="0"/>
              <w:rPr/>
            </w:pPr>
            <w:hyperlink w:anchor="Item1a_RiskFactors_164357">
              <w:r>
                <w:rPr>
                  <w:rStyle w:val="InternetLink"/>
                  <w:rFonts w:ascii="Times New Roman" w:hAnsi="Times New Roman"/>
                  <w:sz w:val="17"/>
                </w:rPr>
                <w:t>Item 1A.</w:t>
              </w:r>
            </w:hyperlink>
          </w:p>
        </w:tc>
        <w:tc>
          <w:tcPr>
            <w:tcW w:w="8249" w:type="dxa"/>
            <w:tcBorders/>
            <w:shd w:fill="auto" w:val="clear"/>
          </w:tcPr>
          <w:p>
            <w:pPr>
              <w:pStyle w:val="TableContents"/>
              <w:spacing w:before="0" w:after="0"/>
              <w:ind w:left="0" w:right="0" w:hanging="0"/>
              <w:rPr/>
            </w:pPr>
            <w:hyperlink w:anchor="Item1a_RiskFactors_164357">
              <w:r>
                <w:rPr>
                  <w:rStyle w:val="InternetLink"/>
                  <w:rFonts w:ascii="Times New Roman" w:hAnsi="Times New Roman"/>
                  <w:sz w:val="17"/>
                </w:rPr>
                <w:t>Risk Factors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235" w:type="dxa"/>
            <w:tcBorders/>
            <w:shd w:fill="auto" w:val="clear"/>
          </w:tcPr>
          <w:p>
            <w:pPr>
              <w:pStyle w:val="TableContents"/>
              <w:spacing w:before="0" w:after="0"/>
              <w:ind w:left="0" w:right="0" w:hanging="0"/>
              <w:rPr/>
            </w:pPr>
            <w:hyperlink w:anchor="Item1b_UnresolvedStaffComments_164445">
              <w:r>
                <w:rPr>
                  <w:rStyle w:val="InternetLink"/>
                  <w:rFonts w:ascii="Times New Roman" w:hAnsi="Times New Roman"/>
                  <w:sz w:val="17"/>
                </w:rPr>
                <w:t>Item 1B.</w:t>
              </w:r>
            </w:hyperlink>
          </w:p>
        </w:tc>
        <w:tc>
          <w:tcPr>
            <w:tcW w:w="8249" w:type="dxa"/>
            <w:tcBorders/>
            <w:shd w:fill="auto" w:val="clear"/>
          </w:tcPr>
          <w:p>
            <w:pPr>
              <w:pStyle w:val="TableContents"/>
              <w:spacing w:before="0" w:after="0"/>
              <w:ind w:left="0" w:right="0" w:hanging="0"/>
              <w:rPr/>
            </w:pPr>
            <w:hyperlink w:anchor="Item1b_UnresolvedStaffComments_164445">
              <w:r>
                <w:rPr>
                  <w:rStyle w:val="InternetLink"/>
                  <w:rFonts w:ascii="Times New Roman" w:hAnsi="Times New Roman"/>
                  <w:sz w:val="17"/>
                </w:rPr>
                <w:t>Unresolved Staff Comments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235" w:type="dxa"/>
            <w:tcBorders/>
            <w:shd w:fill="auto" w:val="clear"/>
          </w:tcPr>
          <w:p>
            <w:pPr>
              <w:pStyle w:val="TableContents"/>
              <w:spacing w:before="0" w:after="0"/>
              <w:ind w:left="0" w:right="0" w:hanging="0"/>
              <w:rPr/>
            </w:pPr>
            <w:hyperlink w:anchor="Item3_LegalProceedings_164449">
              <w:r>
                <w:rPr>
                  <w:rStyle w:val="InternetLink"/>
                  <w:rFonts w:ascii="Times New Roman" w:hAnsi="Times New Roman"/>
                  <w:sz w:val="17"/>
                </w:rPr>
                <w:t>Item 3.</w:t>
              </w:r>
            </w:hyperlink>
          </w:p>
        </w:tc>
        <w:tc>
          <w:tcPr>
            <w:tcW w:w="8249" w:type="dxa"/>
            <w:tcBorders/>
            <w:shd w:fill="auto" w:val="clear"/>
          </w:tcPr>
          <w:p>
            <w:pPr>
              <w:pStyle w:val="TableContents"/>
              <w:spacing w:before="0" w:after="0"/>
              <w:ind w:left="0" w:right="0" w:hanging="0"/>
              <w:rPr/>
            </w:pPr>
            <w:hyperlink w:anchor="Item3_LegalProceedings_164449">
              <w:r>
                <w:rPr>
                  <w:rStyle w:val="InternetLink"/>
                  <w:rFonts w:ascii="Times New Roman" w:hAnsi="Times New Roman"/>
                  <w:sz w:val="17"/>
                </w:rPr>
                <w:t>Legal Proceedings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r>
        <w:trPr/>
        <w:tc>
          <w:tcPr>
            <w:tcW w:w="1235" w:type="dxa"/>
            <w:tcBorders/>
            <w:shd w:fill="auto" w:val="clear"/>
          </w:tcPr>
          <w:p>
            <w:pPr>
              <w:pStyle w:val="TableContents"/>
              <w:spacing w:before="0" w:after="0"/>
              <w:ind w:left="0" w:right="0" w:hanging="0"/>
              <w:rPr/>
            </w:pPr>
            <w:hyperlink w:anchor="Item4_SubmissionOfMattersToAVoteO_100829">
              <w:r>
                <w:rPr>
                  <w:rStyle w:val="InternetLink"/>
                  <w:rFonts w:ascii="Times New Roman" w:hAnsi="Times New Roman"/>
                  <w:sz w:val="17"/>
                </w:rPr>
                <w:t>Item 4.</w:t>
              </w:r>
            </w:hyperlink>
          </w:p>
        </w:tc>
        <w:tc>
          <w:tcPr>
            <w:tcW w:w="8249" w:type="dxa"/>
            <w:tcBorders/>
            <w:shd w:fill="auto" w:val="clear"/>
          </w:tcPr>
          <w:p>
            <w:pPr>
              <w:pStyle w:val="TableContents"/>
              <w:spacing w:before="0" w:after="0"/>
              <w:ind w:left="0" w:right="0" w:hanging="0"/>
              <w:rPr/>
            </w:pPr>
            <w:hyperlink w:anchor="Item4_SubmissionOfMattersToAVoteO_100829">
              <w:r>
                <w:rPr>
                  <w:rStyle w:val="InternetLink"/>
                  <w:rFonts w:ascii="Times New Roman" w:hAnsi="Times New Roman"/>
                  <w:sz w:val="17"/>
                </w:rPr>
                <w:t>Submission of Matters to a Vote of Security Holders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r>
      <w:tr>
        <w:trPr/>
        <w:tc>
          <w:tcPr>
            <w:tcW w:w="10205" w:type="dxa"/>
            <w:gridSpan w:val="3"/>
            <w:tcBorders/>
            <w:shd w:fill="auto" w:val="clear"/>
            <w:vAlign w:val="bottom"/>
          </w:tcPr>
          <w:p>
            <w:pPr>
              <w:pStyle w:val="TableContents"/>
              <w:spacing w:before="0" w:after="0"/>
              <w:ind w:left="0" w:right="0" w:hanging="0"/>
              <w:jc w:val="center"/>
              <w:rPr/>
            </w:pPr>
            <w:hyperlink w:anchor="Partii_121312">
              <w:r>
                <w:rPr>
                  <w:rStyle w:val="InternetLink"/>
                  <w:rFonts w:ascii="Times New Roman" w:hAnsi="Times New Roman"/>
                  <w:b/>
                  <w:sz w:val="17"/>
                </w:rPr>
                <w:t>PART II</w:t>
              </w:r>
            </w:hyperlink>
          </w:p>
        </w:tc>
      </w:tr>
      <w:tr>
        <w:trPr/>
        <w:tc>
          <w:tcPr>
            <w:tcW w:w="1235" w:type="dxa"/>
            <w:tcBorders/>
            <w:shd w:fill="auto" w:val="clear"/>
          </w:tcPr>
          <w:p>
            <w:pPr>
              <w:pStyle w:val="TableContents"/>
              <w:spacing w:before="0" w:after="0"/>
              <w:ind w:left="0" w:right="0" w:hanging="0"/>
              <w:rPr/>
            </w:pPr>
            <w:hyperlink w:anchor="Item5_MarketForRegistrantsCommonU_121316">
              <w:r>
                <w:rPr>
                  <w:rStyle w:val="InternetLink"/>
                  <w:rFonts w:ascii="Times New Roman" w:hAnsi="Times New Roman"/>
                  <w:sz w:val="17"/>
                </w:rPr>
                <w:t>Item 5.</w:t>
              </w:r>
            </w:hyperlink>
          </w:p>
        </w:tc>
        <w:tc>
          <w:tcPr>
            <w:tcW w:w="8249" w:type="dxa"/>
            <w:tcBorders/>
            <w:shd w:fill="auto" w:val="clear"/>
          </w:tcPr>
          <w:p>
            <w:pPr>
              <w:pStyle w:val="TableContents"/>
              <w:spacing w:before="0" w:after="0"/>
              <w:ind w:left="0" w:right="0" w:hanging="0"/>
              <w:rPr/>
            </w:pPr>
            <w:hyperlink w:anchor="Item5_MarketForRegistrantsCommonU_121316">
              <w:r>
                <w:rPr>
                  <w:rStyle w:val="InternetLink"/>
                  <w:rFonts w:ascii="Times New Roman" w:hAnsi="Times New Roman"/>
                  <w:sz w:val="17"/>
                </w:rPr>
                <w:t>Market for Registrants Common Units, Related Unitholder Matters and Issuer Purchases of Equity Securities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1235" w:type="dxa"/>
            <w:tcBorders/>
            <w:shd w:fill="auto" w:val="clear"/>
          </w:tcPr>
          <w:p>
            <w:pPr>
              <w:pStyle w:val="TableContents"/>
              <w:spacing w:before="0" w:after="0"/>
              <w:ind w:left="0" w:right="0" w:hanging="0"/>
              <w:rPr/>
            </w:pPr>
            <w:hyperlink w:anchor="Item6_SelectedFinancialData_121740">
              <w:r>
                <w:rPr>
                  <w:rStyle w:val="InternetLink"/>
                  <w:rFonts w:ascii="Times New Roman" w:hAnsi="Times New Roman"/>
                  <w:sz w:val="17"/>
                </w:rPr>
                <w:t>Item 6.</w:t>
              </w:r>
            </w:hyperlink>
          </w:p>
        </w:tc>
        <w:tc>
          <w:tcPr>
            <w:tcW w:w="8249" w:type="dxa"/>
            <w:tcBorders/>
            <w:shd w:fill="auto" w:val="clear"/>
          </w:tcPr>
          <w:p>
            <w:pPr>
              <w:pStyle w:val="TableContents"/>
              <w:spacing w:before="0" w:after="0"/>
              <w:ind w:left="0" w:right="0" w:hanging="0"/>
              <w:rPr/>
            </w:pPr>
            <w:hyperlink w:anchor="Item6_SelectedFinancialData_121740">
              <w:r>
                <w:rPr>
                  <w:rStyle w:val="InternetLink"/>
                  <w:rFonts w:ascii="Times New Roman" w:hAnsi="Times New Roman"/>
                  <w:sz w:val="17"/>
                </w:rPr>
                <w:t>Selected Financial Data</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1235" w:type="dxa"/>
            <w:tcBorders/>
            <w:shd w:fill="auto" w:val="clear"/>
          </w:tcPr>
          <w:p>
            <w:pPr>
              <w:pStyle w:val="TableContents"/>
              <w:spacing w:before="0" w:after="0"/>
              <w:ind w:left="0" w:right="0" w:hanging="0"/>
              <w:rPr/>
            </w:pPr>
            <w:hyperlink w:anchor="Item7_ManagementsDiscussionAndAna_122734">
              <w:r>
                <w:rPr>
                  <w:rStyle w:val="InternetLink"/>
                  <w:rFonts w:ascii="Times New Roman" w:hAnsi="Times New Roman"/>
                  <w:sz w:val="17"/>
                </w:rPr>
                <w:t>Item 7.</w:t>
              </w:r>
            </w:hyperlink>
          </w:p>
        </w:tc>
        <w:tc>
          <w:tcPr>
            <w:tcW w:w="8249" w:type="dxa"/>
            <w:tcBorders/>
            <w:shd w:fill="auto" w:val="clear"/>
          </w:tcPr>
          <w:p>
            <w:pPr>
              <w:pStyle w:val="TableContents"/>
              <w:spacing w:before="0" w:after="0"/>
              <w:ind w:left="0" w:right="0" w:hanging="0"/>
              <w:rPr/>
            </w:pPr>
            <w:hyperlink w:anchor="Item7_ManagementsDiscussionAndAna_122734">
              <w:r>
                <w:rPr>
                  <w:rStyle w:val="InternetLink"/>
                  <w:rFonts w:ascii="Times New Roman" w:hAnsi="Times New Roman"/>
                  <w:sz w:val="17"/>
                </w:rPr>
                <w:t>Managements Discussion and Analysis of Financial Condition and Results of Operations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r>
      <w:tr>
        <w:trPr/>
        <w:tc>
          <w:tcPr>
            <w:tcW w:w="1235" w:type="dxa"/>
            <w:tcBorders/>
            <w:shd w:fill="auto" w:val="clear"/>
          </w:tcPr>
          <w:p>
            <w:pPr>
              <w:pStyle w:val="TableContents"/>
              <w:spacing w:before="0" w:after="0"/>
              <w:ind w:left="0" w:right="0" w:hanging="0"/>
              <w:rPr/>
            </w:pPr>
            <w:hyperlink w:anchor="Item7a_QuantitativeAndQualitative_125855">
              <w:r>
                <w:rPr>
                  <w:rStyle w:val="InternetLink"/>
                  <w:rFonts w:ascii="Times New Roman" w:hAnsi="Times New Roman"/>
                  <w:sz w:val="17"/>
                </w:rPr>
                <w:t>Item 7A.</w:t>
              </w:r>
            </w:hyperlink>
          </w:p>
        </w:tc>
        <w:tc>
          <w:tcPr>
            <w:tcW w:w="8249" w:type="dxa"/>
            <w:tcBorders/>
            <w:shd w:fill="auto" w:val="clear"/>
          </w:tcPr>
          <w:p>
            <w:pPr>
              <w:pStyle w:val="TableContents"/>
              <w:spacing w:before="0" w:after="0"/>
              <w:ind w:left="0" w:right="0" w:hanging="0"/>
              <w:rPr/>
            </w:pPr>
            <w:hyperlink w:anchor="Item7a_QuantitativeAndQualitative_125855">
              <w:r>
                <w:rPr>
                  <w:rStyle w:val="InternetLink"/>
                  <w:rFonts w:ascii="Times New Roman" w:hAnsi="Times New Roman"/>
                  <w:sz w:val="17"/>
                </w:rPr>
                <w:t>Quantitative and Qualitative Disclosures About Market Risk</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r>
      <w:tr>
        <w:trPr/>
        <w:tc>
          <w:tcPr>
            <w:tcW w:w="1235" w:type="dxa"/>
            <w:tcBorders/>
            <w:shd w:fill="auto" w:val="clear"/>
          </w:tcPr>
          <w:p>
            <w:pPr>
              <w:pStyle w:val="TableContents"/>
              <w:spacing w:before="0" w:after="0"/>
              <w:ind w:left="0" w:right="0" w:hanging="0"/>
              <w:rPr/>
            </w:pPr>
            <w:hyperlink w:anchor="Item8_FinancialStatementsAndSuppl_125906">
              <w:r>
                <w:rPr>
                  <w:rStyle w:val="InternetLink"/>
                  <w:rFonts w:ascii="Times New Roman" w:hAnsi="Times New Roman"/>
                  <w:sz w:val="17"/>
                </w:rPr>
                <w:t>Item 8.</w:t>
              </w:r>
            </w:hyperlink>
          </w:p>
        </w:tc>
        <w:tc>
          <w:tcPr>
            <w:tcW w:w="8249" w:type="dxa"/>
            <w:tcBorders/>
            <w:shd w:fill="auto" w:val="clear"/>
          </w:tcPr>
          <w:p>
            <w:pPr>
              <w:pStyle w:val="TableContents"/>
              <w:spacing w:before="0" w:after="0"/>
              <w:ind w:left="0" w:right="0" w:hanging="0"/>
              <w:rPr/>
            </w:pPr>
            <w:hyperlink w:anchor="Item8_FinancialStatementsAndSuppl_125906">
              <w:r>
                <w:rPr>
                  <w:rStyle w:val="InternetLink"/>
                  <w:rFonts w:ascii="Times New Roman" w:hAnsi="Times New Roman"/>
                  <w:sz w:val="17"/>
                </w:rPr>
                <w:t>Financial Statements and Supplementary Data</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r>
      <w:tr>
        <w:trPr/>
        <w:tc>
          <w:tcPr>
            <w:tcW w:w="1235" w:type="dxa"/>
            <w:tcBorders/>
            <w:shd w:fill="auto" w:val="clear"/>
          </w:tcPr>
          <w:p>
            <w:pPr>
              <w:pStyle w:val="TableContents"/>
              <w:spacing w:before="0" w:after="0"/>
              <w:ind w:left="0" w:right="0" w:hanging="0"/>
              <w:rPr/>
            </w:pPr>
            <w:hyperlink w:anchor="Item9_ChangesInAndDisagreementsWi_125907">
              <w:r>
                <w:rPr>
                  <w:rStyle w:val="InternetLink"/>
                  <w:rFonts w:ascii="Times New Roman" w:hAnsi="Times New Roman"/>
                  <w:sz w:val="17"/>
                </w:rPr>
                <w:t>Item 9.</w:t>
              </w:r>
            </w:hyperlink>
          </w:p>
        </w:tc>
        <w:tc>
          <w:tcPr>
            <w:tcW w:w="8249" w:type="dxa"/>
            <w:tcBorders/>
            <w:shd w:fill="auto" w:val="clear"/>
          </w:tcPr>
          <w:p>
            <w:pPr>
              <w:pStyle w:val="TableContents"/>
              <w:spacing w:before="0" w:after="0"/>
              <w:ind w:left="0" w:right="0" w:hanging="0"/>
              <w:rPr/>
            </w:pPr>
            <w:hyperlink w:anchor="Item9_ChangesInAndDisagreementsWi_125907">
              <w:r>
                <w:rPr>
                  <w:rStyle w:val="InternetLink"/>
                  <w:rFonts w:ascii="Times New Roman" w:hAnsi="Times New Roman"/>
                  <w:sz w:val="17"/>
                </w:rPr>
                <w:t>Changes in and Disagreements With Accountants on Accounting and Financial Disclosure</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r>
      <w:tr>
        <w:trPr/>
        <w:tc>
          <w:tcPr>
            <w:tcW w:w="1235" w:type="dxa"/>
            <w:tcBorders/>
            <w:shd w:fill="auto" w:val="clear"/>
          </w:tcPr>
          <w:p>
            <w:pPr>
              <w:pStyle w:val="TableContents"/>
              <w:spacing w:before="0" w:after="0"/>
              <w:ind w:left="0" w:right="0" w:hanging="0"/>
              <w:rPr/>
            </w:pPr>
            <w:hyperlink w:anchor="Item9a_ControlsAndProcedures_125914">
              <w:r>
                <w:rPr>
                  <w:rStyle w:val="InternetLink"/>
                  <w:rFonts w:ascii="Times New Roman" w:hAnsi="Times New Roman"/>
                  <w:sz w:val="17"/>
                </w:rPr>
                <w:t>Item 9A.</w:t>
              </w:r>
            </w:hyperlink>
          </w:p>
        </w:tc>
        <w:tc>
          <w:tcPr>
            <w:tcW w:w="8249" w:type="dxa"/>
            <w:tcBorders/>
            <w:shd w:fill="auto" w:val="clear"/>
          </w:tcPr>
          <w:p>
            <w:pPr>
              <w:pStyle w:val="TableContents"/>
              <w:spacing w:before="0" w:after="0"/>
              <w:ind w:left="0" w:right="0" w:hanging="0"/>
              <w:rPr/>
            </w:pPr>
            <w:hyperlink w:anchor="Item9a_ControlsAndProcedures_125914">
              <w:r>
                <w:rPr>
                  <w:rStyle w:val="InternetLink"/>
                  <w:rFonts w:ascii="Times New Roman" w:hAnsi="Times New Roman"/>
                  <w:sz w:val="17"/>
                </w:rPr>
                <w:t>Controls and Procedures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r>
      <w:tr>
        <w:trPr/>
        <w:tc>
          <w:tcPr>
            <w:tcW w:w="1235" w:type="dxa"/>
            <w:tcBorders/>
            <w:shd w:fill="auto" w:val="clear"/>
          </w:tcPr>
          <w:p>
            <w:pPr>
              <w:pStyle w:val="TableContents"/>
              <w:spacing w:before="0" w:after="0"/>
              <w:ind w:left="0" w:right="0" w:hanging="0"/>
              <w:rPr/>
            </w:pPr>
            <w:hyperlink w:anchor="Item9b_OtherInformation_125916">
              <w:r>
                <w:rPr>
                  <w:rStyle w:val="InternetLink"/>
                  <w:rFonts w:ascii="Times New Roman" w:hAnsi="Times New Roman"/>
                  <w:sz w:val="17"/>
                </w:rPr>
                <w:t>Item 9B.</w:t>
              </w:r>
            </w:hyperlink>
          </w:p>
        </w:tc>
        <w:tc>
          <w:tcPr>
            <w:tcW w:w="8249" w:type="dxa"/>
            <w:tcBorders/>
            <w:shd w:fill="auto" w:val="clear"/>
          </w:tcPr>
          <w:p>
            <w:pPr>
              <w:pStyle w:val="TableContents"/>
              <w:spacing w:before="0" w:after="0"/>
              <w:ind w:left="0" w:right="0" w:hanging="0"/>
              <w:rPr/>
            </w:pPr>
            <w:hyperlink w:anchor="Item9b_OtherInformation_125916">
              <w:r>
                <w:rPr>
                  <w:rStyle w:val="InternetLink"/>
                  <w:rFonts w:ascii="Times New Roman" w:hAnsi="Times New Roman"/>
                  <w:sz w:val="17"/>
                </w:rPr>
                <w:t>Other Information</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r>
      <w:tr>
        <w:trPr/>
        <w:tc>
          <w:tcPr>
            <w:tcW w:w="10205" w:type="dxa"/>
            <w:gridSpan w:val="3"/>
            <w:tcBorders/>
            <w:shd w:fill="auto" w:val="clear"/>
            <w:vAlign w:val="bottom"/>
          </w:tcPr>
          <w:p>
            <w:pPr>
              <w:pStyle w:val="TableContents"/>
              <w:spacing w:before="0" w:after="0"/>
              <w:ind w:left="0" w:right="0" w:hanging="0"/>
              <w:jc w:val="center"/>
              <w:rPr/>
            </w:pPr>
            <w:hyperlink w:anchor="Partiii_064721">
              <w:r>
                <w:rPr>
                  <w:rStyle w:val="InternetLink"/>
                  <w:rFonts w:ascii="Times New Roman" w:hAnsi="Times New Roman"/>
                  <w:b/>
                  <w:sz w:val="17"/>
                </w:rPr>
                <w:t>PART III</w:t>
              </w:r>
            </w:hyperlink>
          </w:p>
        </w:tc>
      </w:tr>
      <w:tr>
        <w:trPr/>
        <w:tc>
          <w:tcPr>
            <w:tcW w:w="1235" w:type="dxa"/>
            <w:tcBorders/>
            <w:shd w:fill="auto" w:val="clear"/>
          </w:tcPr>
          <w:p>
            <w:pPr>
              <w:pStyle w:val="TableContents"/>
              <w:spacing w:before="0" w:after="0"/>
              <w:ind w:left="0" w:right="0" w:hanging="0"/>
              <w:rPr/>
            </w:pPr>
            <w:hyperlink w:anchor="Item10_DirectorsAndExecutiveOffic_064723">
              <w:r>
                <w:rPr>
                  <w:rStyle w:val="InternetLink"/>
                  <w:rFonts w:ascii="Times New Roman" w:hAnsi="Times New Roman"/>
                  <w:sz w:val="17"/>
                </w:rPr>
                <w:t>Item 10.</w:t>
              </w:r>
            </w:hyperlink>
          </w:p>
        </w:tc>
        <w:tc>
          <w:tcPr>
            <w:tcW w:w="8249" w:type="dxa"/>
            <w:tcBorders/>
            <w:shd w:fill="auto" w:val="clear"/>
          </w:tcPr>
          <w:p>
            <w:pPr>
              <w:pStyle w:val="TableContents"/>
              <w:spacing w:before="0" w:after="0"/>
              <w:ind w:left="0" w:right="0" w:hanging="0"/>
              <w:rPr/>
            </w:pPr>
            <w:hyperlink w:anchor="Item10_DirectorsAndExecutiveOffic_064723">
              <w:r>
                <w:rPr>
                  <w:rStyle w:val="InternetLink"/>
                  <w:rFonts w:ascii="Times New Roman" w:hAnsi="Times New Roman"/>
                  <w:sz w:val="17"/>
                </w:rPr>
                <w:t>Directors and Executive Officers of Our General Partner and Corporate Governance</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r>
      <w:tr>
        <w:trPr/>
        <w:tc>
          <w:tcPr>
            <w:tcW w:w="1235" w:type="dxa"/>
            <w:tcBorders/>
            <w:shd w:fill="auto" w:val="clear"/>
          </w:tcPr>
          <w:p>
            <w:pPr>
              <w:pStyle w:val="TableContents"/>
              <w:spacing w:before="0" w:after="0"/>
              <w:ind w:left="0" w:right="0" w:hanging="0"/>
              <w:rPr/>
            </w:pPr>
            <w:hyperlink w:anchor="Item11_ExecutiveCompensation_065621">
              <w:r>
                <w:rPr>
                  <w:rStyle w:val="InternetLink"/>
                  <w:rFonts w:ascii="Times New Roman" w:hAnsi="Times New Roman"/>
                  <w:sz w:val="17"/>
                </w:rPr>
                <w:t>Item 11.</w:t>
              </w:r>
            </w:hyperlink>
          </w:p>
        </w:tc>
        <w:tc>
          <w:tcPr>
            <w:tcW w:w="8249" w:type="dxa"/>
            <w:tcBorders/>
            <w:shd w:fill="auto" w:val="clear"/>
          </w:tcPr>
          <w:p>
            <w:pPr>
              <w:pStyle w:val="TableContents"/>
              <w:spacing w:before="0" w:after="0"/>
              <w:ind w:left="0" w:right="0" w:hanging="0"/>
              <w:rPr/>
            </w:pPr>
            <w:hyperlink w:anchor="Item11_ExecutiveCompensation_065621">
              <w:r>
                <w:rPr>
                  <w:rStyle w:val="InternetLink"/>
                  <w:rFonts w:ascii="Times New Roman" w:hAnsi="Times New Roman"/>
                  <w:sz w:val="17"/>
                </w:rPr>
                <w:t>Executive Compensation</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r>
      <w:tr>
        <w:trPr/>
        <w:tc>
          <w:tcPr>
            <w:tcW w:w="1235" w:type="dxa"/>
            <w:tcBorders/>
            <w:shd w:fill="auto" w:val="clear"/>
          </w:tcPr>
          <w:p>
            <w:pPr>
              <w:pStyle w:val="TableContents"/>
              <w:spacing w:before="0" w:after="0"/>
              <w:ind w:left="0" w:right="0" w:hanging="0"/>
              <w:rPr/>
            </w:pPr>
            <w:hyperlink w:anchor="Item12_SecurityOwnershipOfCertain_065718">
              <w:r>
                <w:rPr>
                  <w:rStyle w:val="InternetLink"/>
                  <w:rFonts w:ascii="Times New Roman" w:hAnsi="Times New Roman"/>
                  <w:sz w:val="17"/>
                </w:rPr>
                <w:t>Item 12.</w:t>
              </w:r>
            </w:hyperlink>
          </w:p>
        </w:tc>
        <w:tc>
          <w:tcPr>
            <w:tcW w:w="8249" w:type="dxa"/>
            <w:tcBorders/>
            <w:shd w:fill="auto" w:val="clear"/>
          </w:tcPr>
          <w:p>
            <w:pPr>
              <w:pStyle w:val="TableContents"/>
              <w:spacing w:before="0" w:after="0"/>
              <w:ind w:left="0" w:right="0" w:hanging="0"/>
              <w:rPr/>
            </w:pPr>
            <w:hyperlink w:anchor="Item12_SecurityOwnershipOfCertain_065718">
              <w:r>
                <w:rPr>
                  <w:rStyle w:val="InternetLink"/>
                  <w:rFonts w:ascii="Times New Roman" w:hAnsi="Times New Roman"/>
                  <w:sz w:val="17"/>
                </w:rPr>
                <w:t>Security Ownership of Certain Beneficial Owners and Management and Related Unitholder Matters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r>
      <w:tr>
        <w:trPr/>
        <w:tc>
          <w:tcPr>
            <w:tcW w:w="1235" w:type="dxa"/>
            <w:tcBorders/>
            <w:shd w:fill="auto" w:val="clear"/>
          </w:tcPr>
          <w:p>
            <w:pPr>
              <w:pStyle w:val="TableContents"/>
              <w:spacing w:before="0" w:after="0"/>
              <w:ind w:left="0" w:right="0" w:hanging="0"/>
              <w:rPr/>
            </w:pPr>
            <w:hyperlink w:anchor="Item13_CertainRelationshipsAndRel_065815">
              <w:r>
                <w:rPr>
                  <w:rStyle w:val="InternetLink"/>
                  <w:rFonts w:ascii="Times New Roman" w:hAnsi="Times New Roman"/>
                  <w:sz w:val="17"/>
                </w:rPr>
                <w:t>Item 13.</w:t>
              </w:r>
            </w:hyperlink>
          </w:p>
        </w:tc>
        <w:tc>
          <w:tcPr>
            <w:tcW w:w="8249" w:type="dxa"/>
            <w:tcBorders/>
            <w:shd w:fill="auto" w:val="clear"/>
          </w:tcPr>
          <w:p>
            <w:pPr>
              <w:pStyle w:val="TableContents"/>
              <w:spacing w:before="0" w:after="0"/>
              <w:ind w:left="0" w:right="0" w:hanging="0"/>
              <w:rPr/>
            </w:pPr>
            <w:hyperlink w:anchor="Item13_CertainRelationshipsAndRel_065815">
              <w:r>
                <w:rPr>
                  <w:rStyle w:val="InternetLink"/>
                  <w:rFonts w:ascii="Times New Roman" w:hAnsi="Times New Roman"/>
                  <w:sz w:val="17"/>
                </w:rPr>
                <w:t>Certain Relationships and Related Transactions, and Director Independence</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r>
      <w:tr>
        <w:trPr/>
        <w:tc>
          <w:tcPr>
            <w:tcW w:w="1235" w:type="dxa"/>
            <w:tcBorders/>
            <w:shd w:fill="auto" w:val="clear"/>
          </w:tcPr>
          <w:p>
            <w:pPr>
              <w:pStyle w:val="TableContents"/>
              <w:spacing w:before="0" w:after="0"/>
              <w:ind w:left="0" w:right="0" w:hanging="0"/>
              <w:rPr/>
            </w:pPr>
            <w:hyperlink w:anchor="Item14_PrincipalAccountantFeesAnd_065907">
              <w:r>
                <w:rPr>
                  <w:rStyle w:val="InternetLink"/>
                  <w:rFonts w:ascii="Times New Roman" w:hAnsi="Times New Roman"/>
                  <w:sz w:val="17"/>
                </w:rPr>
                <w:t>Item 14.</w:t>
              </w:r>
            </w:hyperlink>
          </w:p>
        </w:tc>
        <w:tc>
          <w:tcPr>
            <w:tcW w:w="8249" w:type="dxa"/>
            <w:tcBorders/>
            <w:shd w:fill="auto" w:val="clear"/>
          </w:tcPr>
          <w:p>
            <w:pPr>
              <w:pStyle w:val="TableContents"/>
              <w:spacing w:before="0" w:after="0"/>
              <w:ind w:left="0" w:right="0" w:hanging="0"/>
              <w:rPr/>
            </w:pPr>
            <w:hyperlink w:anchor="Item14_PrincipalAccountantFeesAnd_065907">
              <w:r>
                <w:rPr>
                  <w:rStyle w:val="InternetLink"/>
                  <w:rFonts w:ascii="Times New Roman" w:hAnsi="Times New Roman"/>
                  <w:sz w:val="17"/>
                </w:rPr>
                <w:t>Principal Accountant Fees and Services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r>
      <w:tr>
        <w:trPr/>
        <w:tc>
          <w:tcPr>
            <w:tcW w:w="10205" w:type="dxa"/>
            <w:gridSpan w:val="3"/>
            <w:tcBorders/>
            <w:shd w:fill="auto" w:val="clear"/>
            <w:vAlign w:val="bottom"/>
          </w:tcPr>
          <w:p>
            <w:pPr>
              <w:pStyle w:val="TableContents"/>
              <w:spacing w:before="0" w:after="0"/>
              <w:ind w:left="0" w:right="0" w:hanging="0"/>
              <w:jc w:val="center"/>
              <w:rPr/>
            </w:pPr>
            <w:hyperlink w:anchor="Partiv_125056">
              <w:r>
                <w:rPr>
                  <w:rStyle w:val="InternetLink"/>
                  <w:rFonts w:ascii="Times New Roman" w:hAnsi="Times New Roman"/>
                  <w:b/>
                  <w:sz w:val="17"/>
                </w:rPr>
                <w:t>PART IV</w:t>
              </w:r>
            </w:hyperlink>
          </w:p>
        </w:tc>
      </w:tr>
      <w:tr>
        <w:trPr/>
        <w:tc>
          <w:tcPr>
            <w:tcW w:w="1235" w:type="dxa"/>
            <w:tcBorders/>
            <w:shd w:fill="auto" w:val="clear"/>
          </w:tcPr>
          <w:p>
            <w:pPr>
              <w:pStyle w:val="TableContents"/>
              <w:spacing w:before="0" w:after="0"/>
              <w:ind w:left="0" w:right="0" w:hanging="0"/>
              <w:rPr/>
            </w:pPr>
            <w:hyperlink w:anchor="Item15_ExhibitsAndFinancialStatem_141829">
              <w:r>
                <w:rPr>
                  <w:rStyle w:val="InternetLink"/>
                  <w:rFonts w:ascii="Times New Roman" w:hAnsi="Times New Roman"/>
                  <w:sz w:val="17"/>
                </w:rPr>
                <w:t>Item 15.</w:t>
              </w:r>
            </w:hyperlink>
          </w:p>
        </w:tc>
        <w:tc>
          <w:tcPr>
            <w:tcW w:w="8249" w:type="dxa"/>
            <w:tcBorders/>
            <w:shd w:fill="auto" w:val="clear"/>
          </w:tcPr>
          <w:p>
            <w:pPr>
              <w:pStyle w:val="TableContents"/>
              <w:spacing w:before="0" w:after="0"/>
              <w:ind w:left="0" w:right="0" w:hanging="0"/>
              <w:rPr/>
            </w:pPr>
            <w:hyperlink w:anchor="Item15_ExhibitsAndFinancialStatem_141829">
              <w:r>
                <w:rPr>
                  <w:rStyle w:val="InternetLink"/>
                  <w:rFonts w:ascii="Times New Roman" w:hAnsi="Times New Roman"/>
                  <w:sz w:val="17"/>
                </w:rPr>
                <w:t>Exhibits and Financial Statement Schedules</w:t>
              </w:r>
            </w:hyperlink>
          </w:p>
        </w:tc>
        <w:tc>
          <w:tcPr>
            <w:tcW w:w="72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13306_579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4" w:name="PB_3_113301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deteriorated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or factors that are unknown or unpredictable, could also have a material adverse effect on future results. Please read Item 1A. Risk Factors.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w:t>
      </w:r>
      <w:bookmarkStart w:id="5" w:name="Parti_133920"/>
      <w:bookmarkEnd w:id="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Items 1 and 2.  </w:t>
      </w:r>
      <w:r>
        <w:rPr>
          <w:rFonts w:ascii="Times New Roman" w:hAnsi="Times New Roman"/>
          <w:b/>
          <w:i/>
          <w:sz w:val="17"/>
        </w:rPr>
        <w:t>Business and Properties</w:t>
      </w:r>
      <w:bookmarkStart w:id="6" w:name="Items1And2_BusinessAndProperties_133923"/>
      <w:bookmarkEnd w:id="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Our operations are conducted directly and indirectly through our primary operating subsidiaries. As used in this Form 10-K and unless the context indicates otherwise, the terms Partnership, Plains, we, us, our, ours and similar terms refer to Plains All American Pipeline, 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business activities are conducted through three segments: Transportation, Facilities and Supply and Logistics.  We previously referred to the Supply and Logistics segment as the Marketing segment.  We revised the segment name to better describe the business activities conducted within that segment.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Organizational History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were formed as a master limited partnership to acquire and operate the midstream crude oil businesses and assets of a predecessor entity and completed our initial public offering in 1998. Our 2% general partner interest is held by PAA GP LLC, a Delaware limited liability company, whose sole member is Plains AAP, L.P., a Delaware limited partnership. Plains All American GP LLC, a Delaware limited liability company, is Plains AAP, L.P.s general partner. References to our general partner, as the context requires, include any or all of PAA GP LLC, Plains AAP, L.P. and Plains All American GP LLC. Plains AAP, L.P. and Plains All American GP LLC are owned by 13 holders, with four of these holders owning an aggregate interest of 95%. See Item 12. Security Ownership of Certain Beneficial Owners and Management and Related Unitholder MattersBeneficial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Partnership Structure and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are conducted through, and our operating assets are owned by, our subsidiaries. Plains All American GP LLC has ultimate responsibility for conducting our business and managing our operations. See Item 10. Directors and Executive Officers of our General Partner and Corporate Governance. Our general partner does not receive a management fee or other compensation in connection with its management of our business, but it is reimbursed for substantially all direct and indirect expenses incurred on our behalf (other than expenses related to the Class B units of 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7" w:name="PB_4_113316_2897"/>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chart below depicts the current structure and ownership of Plains All American Pipeline, L.P. and certain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Partnership Structure</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5334000" cy="438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34000" cy="4381500"/>
                    </a:xfrm>
                    <a:prstGeom prst="rect">
                      <a:avLst/>
                    </a:prstGeom>
                  </pic:spPr>
                </pic:pic>
              </a:graphicData>
            </a:graphic>
          </wp:inline>
        </w:drawing>
      </w:r>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Based on Form 4 filings for executive officers and directors, 13D filings for Paul G. Allen and Richard Kayne and other information believed to be reliable for the remaining investors, this group, or affiliates of such investors, owns approximately 25 million limited partner units, representing approximately 18% of all outstanding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Incentive Distribution Rights (IDRs). See Item 5. Market for Registrants Common Units, Related Unitholder Matters and Issuer Purchases of Equity Securities for discussion of our general partners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Partnership holds direct and indirect ownership interests in consolidated operating subsidiaries including, but not limited to, Plains Pipeline, L.P., Plains Marketing, L.P., Plains LPG Services, L.P., Pacific Energy Group LLC, PMC (Nova Scotia) Company, Plains Marketing Canada, L.P., PAA Natural Gas Storage, LLC (PNGS) and Plains Midstream Canada ULC.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Partnership holds direct and indirect equity interests in unconsolidated entities including Settoon Towing, LLC (Settoon Towing), Butte Pipe Line Company (Butte) and Frontier Pipeline Company (Frontier).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Business Strategy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storage in the United States and Canada by combining the strategic location and capabilities of our transportation, terminalling and storage assets with our extensive supply, logistics and distribution expertise.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8" w:name="PB_5_113336_3020"/>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successful execution of this strategy will enable us to generate sustainable earnings and cash flow. We intend to manage and grow our business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optimizing our existing assets and realizing cost efficiencies through operational improvements;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developing and implementing internal growth projects that (i) address evolving crude oil, refined products and LPG needs in the midstream transportation and infrastructure sector and (ii) are well positioned to benefit from long-term industry trends and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utilizing our assets along the Gulf, West and East Coasts along with our terminals and leased assets to optimize our presence in the waterborne importation of foreign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selectively pursuing strategic and accretive acquisitions of crude oil, refined products and LPG transportation, terminalling, storage and supply and logistics assets and businesses that complement our existing asset base and distribution capabilities;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using our terminalling and storage assets in conjunction with our supply and logistics activities to capitalize on inefficient energy markets and to address physical market imbalances, mitigate inherent risks and increase margin.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PNGSs natural gas storage assets are also well-positioned to benefit from long-term industry trends and opportunities. PNGSs growth strategies are to develop and implement internal growth projects and to selectively pursue strategic and accretive natural gas storage projects and facilities. Through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Financial Strategy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Targeted Credit Profile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major factor in our continued success is our ability to maintain a competitive cost of capital and access to the capital markets. We intend to maintain a credit profile that we believe is consistent with an investment grade credit rating. We have targeted a general credit profile with the following attributes: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long-term debt-to-total capitalization ratio of approximately 50%;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long-term debt-to-adjusted EBITDA multiple of approximately 3.5x (adjusted EBITDA is earnings before interest, taxes, depreciation and amortization, equity compensation plan charges, gains and losses from derivative activities and selected items that are generally unusual or non-recurring);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total debt-to-total capitalization ratio of approximately 60%;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adjusted EBITDA-to-interest coverage multiple of approximately 3.3x or better.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first two of these four metrics include long-term debt as a critical measure.  In certain market conditions, we also incur short-term debt in connection with supply and logistics activities that involve the simultaneous purchase and forward sale of crude oil, refined products and LPG. The crude oil, refined products and LPG purchased in these transactions are hedged. We do not consider the working capital borrowings associated with this activity to be part of our long-term capital structure. These borrowings are self-liquidating as they are repaid with sales proceeds. We also incur short-term debt for New York Mercantile Exchange (NYMEX) and IntercontinentalExchange (ICE) margin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order for us to maintain our targeted credit profile and achieve growth through internal growth projects and acquisitions, we intend to fund at least 50% of the capital requirements associated with these activities with equity and cash flow in excess of distributions. From time to time, we may be outside the parameters of our targeted credit profile as, in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9" w:name="PB_6_113355_7748"/>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cases, these capital expenditures and acquisitions may be financed initially using debt or there may be delays in realizing anticipated synergies from acquisitions or contributions from capital expansion projects to adjusted EBITDA.</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Rating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February 2010, our senior unsecured ratings with Standard &amp; Poors Ratings Services and Moodys Investors Service were BBB-, stable outlook, and Baa3, stable outlook, respectively, both of which are considered investment grade ratings. We have targeted the attainment of stronger investment grade ratings of mid to high-BBB and Baa categories for Standard &amp; Poors and Moodys, respectively. However, our current ratings might not remain in effect for any given period of time, we might not be able to attain the higher ratings we have targeted and one or both of these ratings might be lowered or withdrawn entirely by the rating agencies. Note that a credit rating is not a recommendation to buy, sell or hold securities, and may be revised or withdrawn at any time. See Item 1A. Risk FactorsRisks Related to Our BusinessLoss of credit rating or the ability to receive open credit could negatively affect our ability to use the counter-cyclical aspects of our asset base or to capitalize on a volatile market for discussion of the potential impacts of a downgrade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Competitive Strengths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following competitive strengths position us to successfully execute our principal business strategy: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Many of our transportation segment and facilities segment assets are strategically located and operationally flexible.</w:t>
      </w:r>
      <w:r>
        <w:rPr>
          <w:rFonts w:ascii="Times New Roman" w:hAnsi="Times New Roman"/>
        </w:rPr>
        <w:t xml:space="preserve"> </w:t>
      </w:r>
      <w:r>
        <w:rPr>
          <w:rFonts w:ascii="Times New Roman" w:hAnsi="Times New Roman"/>
          <w:sz w:val="17"/>
        </w:rPr>
        <w:t>The majority of our primary transportation segment assets are in crude oil service, are located in well-established oil producing regions and transportation corridors, and are connected, directly or indirectly, with our facilities segment assets located at major trading locations and premium markets that serve as gateways to major North American refinery and distribution markets where we have strong business relationships.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We possess specialized crude oil market knowledge.  </w:t>
      </w:r>
      <w:r>
        <w:rPr>
          <w:rFonts w:ascii="Times New Roman" w:hAnsi="Times New Roman"/>
          <w:sz w:val="17"/>
        </w:rPr>
        <w:t>We believe our business relationships with participants in various phases of the crude oil distribution chain, from crude oil producers to refiners, as well as our own industry expertise, provide us with an extensive understanding of the North American physical crude oil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 xml:space="preserve">Our crude oil supply and logistics activities are counter-cyclically balanced.  </w:t>
      </w:r>
      <w:r>
        <w:rPr>
          <w:rFonts w:ascii="Times New Roman" w:hAnsi="Times New Roman"/>
          <w:sz w:val="17"/>
        </w:rPr>
        <w:t>We believe the variety of activities executed within our supply and logistics segment provides us with a counter-cyclical balance that generally affords us the flexibility (i) to maintain a base level of margin irrespective of crude oil market conditions and (ii), in certain circumstances, to realize incremental margin during volatile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Natural gas storage provides diversifying growth to fee-based business</w:t>
      </w:r>
      <w:r>
        <w:rPr>
          <w:rFonts w:ascii="Times New Roman" w:hAnsi="Times New Roman"/>
          <w:sz w:val="17"/>
        </w:rPr>
        <w:t>.  This business is underpinned by long term capacity contracts serviced by two facilities including the Pine Prairie facility.  Expansion activity at the Pine Prairie facility will enable us to benefit from anticipated long-term growth in demand for natural gas storage capacity in North America.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We have the evaluation, integration and engineering skill sets and the financial flexibility to continue to pursue acquisition and expansion opportunities.</w:t>
      </w:r>
      <w:r>
        <w:rPr>
          <w:rFonts w:ascii="Times New Roman" w:hAnsi="Times New Roman"/>
        </w:rPr>
        <w:t xml:space="preserve"> </w:t>
      </w:r>
      <w:r>
        <w:rPr>
          <w:rFonts w:ascii="Times New Roman" w:hAnsi="Times New Roman"/>
          <w:sz w:val="17"/>
        </w:rPr>
        <w:t>Over the past twelve years, we have completed and integrated 59 acquisitions with an aggregate purchase price of approximately $6.4 billion. We have also implemented internal expansion capital projects totaling approximately $2.1 billion. In addition, we believe we have resources to finance future strategic expansion and acquisition opportunities. As of December 31, 2009, we had approximately $950 million available under our committed credit facilities, subject to continued covenant compliance.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rPr>
        <w:t>We have an experienced management team whose interests are aligned with those of our unitholders.</w:t>
      </w:r>
      <w:r>
        <w:rPr>
          <w:rFonts w:ascii="Times New Roman" w:hAnsi="Times New Roman"/>
        </w:rPr>
        <w:t xml:space="preserve"> </w:t>
      </w:r>
      <w:r>
        <w:rPr>
          <w:rFonts w:ascii="Times New Roman" w:hAnsi="Times New Roman"/>
          <w:sz w:val="17"/>
        </w:rPr>
        <w:t>Our executive management team has an average of 25 years industry experience, and an average of 16 years with us or our predecessors and affiliates. In addition, through their ownership of common units, indirect interests in our general partner, grants of phantom units and the Class B units in Plains AAP, L.P., our management team has a vested interest in our continued success.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acquisition of assets and businesses that are strategic and complementary to our existing operations constitutes an integral component of our business strategy and growth objective. Such assets and businesses include crude oil related assets, refined products assets, LPG assets and natural gas storage assets, as well as other energy transportation related assets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0" w:name="PB_7_113411_141"/>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that have characteristics and opportunities similar to these business lines and enable us to leverage our asset base, knowledge base and skill 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acquisitions greater than $50 million that we have completed over the past five years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73"/>
        <w:gridCol w:w="111"/>
        <w:gridCol w:w="847"/>
        <w:gridCol w:w="111"/>
        <w:gridCol w:w="4316"/>
        <w:gridCol w:w="111"/>
        <w:gridCol w:w="164"/>
        <w:gridCol w:w="1051"/>
        <w:gridCol w:w="221"/>
      </w:tblGrid>
      <w:tr>
        <w:trPr/>
        <w:tc>
          <w:tcPr>
            <w:tcW w:w="327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847"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4316"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21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Approximate</w:t>
            </w:r>
          </w:p>
        </w:tc>
        <w:tc>
          <w:tcPr>
            <w:tcW w:w="221" w:type="dxa"/>
            <w:tcBorders/>
            <w:shd w:fill="auto" w:val="clear"/>
            <w:vAlign w:val="bottom"/>
          </w:tcPr>
          <w:p>
            <w:pPr>
              <w:pStyle w:val="TableContents"/>
              <w:spacing w:before="0" w:after="0"/>
              <w:ind w:left="0" w:right="0" w:hanging="0"/>
              <w:jc w:val="center"/>
              <w:rPr/>
            </w:pPr>
            <w:r>
              <w:rPr/>
              <w:t> </w:t>
            </w:r>
          </w:p>
        </w:tc>
      </w:tr>
      <w:tr>
        <w:trPr/>
        <w:tc>
          <w:tcPr>
            <w:tcW w:w="327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111" w:type="dxa"/>
            <w:tcBorders/>
            <w:shd w:fill="auto" w:val="clear"/>
            <w:vAlign w:val="bottom"/>
          </w:tcPr>
          <w:p>
            <w:pPr>
              <w:pStyle w:val="TableContents"/>
              <w:spacing w:before="0" w:after="0"/>
              <w:ind w:left="0" w:right="0" w:hanging="0"/>
              <w:jc w:val="center"/>
              <w:rPr/>
            </w:pPr>
            <w:r>
              <w:rPr/>
              <w:t> </w:t>
            </w:r>
          </w:p>
        </w:tc>
        <w:tc>
          <w:tcPr>
            <w:tcW w:w="84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c>
          <w:tcPr>
            <w:tcW w:w="111" w:type="dxa"/>
            <w:tcBorders/>
            <w:shd w:fill="auto" w:val="clear"/>
            <w:vAlign w:val="bottom"/>
          </w:tcPr>
          <w:p>
            <w:pPr>
              <w:pStyle w:val="TableContents"/>
              <w:spacing w:before="0" w:after="0"/>
              <w:ind w:left="0" w:right="0" w:hanging="0"/>
              <w:jc w:val="center"/>
              <w:rPr/>
            </w:pPr>
            <w:r>
              <w:rPr/>
              <w:t> </w:t>
            </w:r>
          </w:p>
        </w:tc>
        <w:tc>
          <w:tcPr>
            <w:tcW w:w="43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c>
          <w:tcPr>
            <w:tcW w:w="111"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Purchase Price</w:t>
            </w:r>
          </w:p>
        </w:tc>
        <w:tc>
          <w:tcPr>
            <w:tcW w:w="221" w:type="dxa"/>
            <w:tcBorders/>
            <w:shd w:fill="auto" w:val="clear"/>
            <w:vAlign w:val="bottom"/>
          </w:tcPr>
          <w:p>
            <w:pPr>
              <w:pStyle w:val="TableContents"/>
              <w:spacing w:before="0" w:after="0"/>
              <w:ind w:left="0" w:right="0" w:hanging="0"/>
              <w:jc w:val="center"/>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Southcap Pipe Line Co. (Southcap)</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Dec-2009</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pPr>
            <w:r>
              <w:rPr>
                <w:rFonts w:ascii="Times New Roman" w:hAnsi="Times New Roman"/>
                <w:sz w:val="17"/>
              </w:rPr>
              <w:t xml:space="preserve">An additional 21% undivided joint interest in the Capline Pipeline System (Capline) and additional tankage </w:t>
            </w:r>
            <w:r>
              <w:rPr>
                <w:sz w:val="11"/>
              </w:rPr>
              <w:t>(1)</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top w:val="single" w:sz="8" w:space="0" w:color="000000"/>
            </w:tcBorders>
            <w:shd w:fill="CCEEFF"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Sep-2009</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Remaining 50% interest in PNGS</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2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Rainbow Pipeline Company (Rainbow)</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May-2008</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gathering and transportation assets in Alberta, Canada</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687</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Tirzah Storage Facility</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Oct-2007</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storage facility</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Bumstead Storage Facility</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Jul-2007</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storage facility</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Pacific Energy Partners LP (Pacific)</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Nov-2006</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Merger of Pacific Energy Partners with and into the Partnership</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2,456</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El Paso to Albuquerque Products Pipeline Systems</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Sep-2006</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Three refined products pipeline systems</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CAM/BOA/HIPS Crude oil systems</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Jul-2006</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pPr>
            <w:r>
              <w:rPr>
                <w:rFonts w:ascii="Times New Roman" w:hAnsi="Times New Roman"/>
                <w:sz w:val="17"/>
              </w:rPr>
              <w:t xml:space="preserve">60% interest in the Clovelly-to-Meraux (CAM) Pipeline system; 100% interest in the Bay Marchand-to-Ostrica-to-Alliance (BOA) system and various interests in the High Island Pipeline System (HIPS) </w:t>
            </w:r>
            <w:r>
              <w:rPr>
                <w:sz w:val="11"/>
              </w:rPr>
              <w:t>(3)</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pPr>
            <w:r>
              <w:rPr>
                <w:rFonts w:ascii="Times New Roman" w:hAnsi="Times New Roman"/>
                <w:sz w:val="17"/>
              </w:rPr>
              <w:t>Andrews Petroleum and Lone Star Trucking</w:t>
            </w:r>
            <w:r>
              <w:rPr/>
              <w:t xml:space="preserve"> </w:t>
            </w:r>
            <w:r>
              <w:rPr>
                <w:sz w:val="17"/>
              </w:rPr>
              <w:t>(Andrews)</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Apr-2006</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Isomerization, fractionation, marketing and transportation services</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South Louisiana Gathering and Transportation Assets </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Apr-2006</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gathering and transportation assets, including inventory and related contracts in South Louisiana</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21" w:type="dxa"/>
            <w:tcBorders/>
            <w:shd w:fill="CCEEFF" w:val="clear"/>
            <w:vAlign w:val="bottom"/>
          </w:tcPr>
          <w:p>
            <w:pPr>
              <w:pStyle w:val="TableContents"/>
              <w:spacing w:before="0" w:after="0"/>
              <w:ind w:left="0" w:right="0" w:hanging="0"/>
              <w:rPr/>
            </w:pPr>
            <w:r>
              <w:rPr/>
              <w:t> </w:t>
            </w:r>
          </w:p>
        </w:tc>
      </w:tr>
      <w:tr>
        <w:trPr/>
        <w:tc>
          <w:tcPr>
            <w:tcW w:w="3273"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847" w:type="dxa"/>
            <w:tcBorders/>
            <w:shd w:fill="auto" w:val="clear"/>
          </w:tcPr>
          <w:p>
            <w:pPr>
              <w:pStyle w:val="TableContents"/>
              <w:spacing w:before="0" w:after="0"/>
              <w:ind w:left="0" w:right="0" w:hanging="0"/>
              <w:rPr/>
            </w:pPr>
            <w:r>
              <w:rPr/>
              <w:t> </w:t>
            </w:r>
          </w:p>
        </w:tc>
        <w:tc>
          <w:tcPr>
            <w:tcW w:w="111" w:type="dxa"/>
            <w:tcBorders/>
            <w:shd w:fill="auto" w:val="clear"/>
          </w:tcPr>
          <w:p>
            <w:pPr>
              <w:pStyle w:val="TableContents"/>
              <w:spacing w:before="0" w:after="0"/>
              <w:ind w:left="0" w:right="0" w:hanging="0"/>
              <w:rPr/>
            </w:pPr>
            <w:r>
              <w:rPr/>
              <w:t> </w:t>
            </w:r>
          </w:p>
        </w:tc>
        <w:tc>
          <w:tcPr>
            <w:tcW w:w="4316" w:type="dxa"/>
            <w:tcBorders/>
            <w:shd w:fill="auto" w:val="clear"/>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pPr>
            <w:r>
              <w:rPr/>
              <w:t> </w:t>
            </w:r>
          </w:p>
        </w:tc>
        <w:tc>
          <w:tcPr>
            <w:tcW w:w="1215" w:type="dxa"/>
            <w:gridSpan w:val="2"/>
            <w:tcBorders/>
            <w:shd w:fill="auto" w:val="clear"/>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r>
      <w:tr>
        <w:trPr/>
        <w:tc>
          <w:tcPr>
            <w:tcW w:w="32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 in Natural Gas Storage Facilities</w:t>
            </w:r>
          </w:p>
        </w:tc>
        <w:tc>
          <w:tcPr>
            <w:tcW w:w="111" w:type="dxa"/>
            <w:tcBorders/>
            <w:shd w:fill="CCEEFF" w:val="clear"/>
          </w:tcPr>
          <w:p>
            <w:pPr>
              <w:pStyle w:val="TableContents"/>
              <w:spacing w:before="0" w:after="0"/>
              <w:ind w:left="0" w:right="0" w:hanging="0"/>
              <w:rPr/>
            </w:pPr>
            <w:r>
              <w:rPr/>
              <w:t> </w:t>
            </w:r>
          </w:p>
        </w:tc>
        <w:tc>
          <w:tcPr>
            <w:tcW w:w="84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Sep-2005</w:t>
            </w:r>
          </w:p>
        </w:tc>
        <w:tc>
          <w:tcPr>
            <w:tcW w:w="111" w:type="dxa"/>
            <w:tcBorders/>
            <w:shd w:fill="CCEEFF" w:val="clear"/>
          </w:tcPr>
          <w:p>
            <w:pPr>
              <w:pStyle w:val="TableContents"/>
              <w:spacing w:before="0" w:after="0"/>
              <w:ind w:left="0" w:right="0" w:hanging="0"/>
              <w:rPr/>
            </w:pPr>
            <w:r>
              <w:rPr/>
              <w:t> </w:t>
            </w:r>
          </w:p>
        </w:tc>
        <w:tc>
          <w:tcPr>
            <w:tcW w:w="43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50% interest in PNGS</w:t>
            </w:r>
          </w:p>
        </w:tc>
        <w:tc>
          <w:tcPr>
            <w:tcW w:w="111" w:type="dxa"/>
            <w:tcBorders/>
            <w:shd w:fill="CCEEFF" w:val="clear"/>
            <w:vAlign w:val="bottom"/>
          </w:tcPr>
          <w:p>
            <w:pPr>
              <w:pStyle w:val="TableContents"/>
              <w:spacing w:before="0" w:after="0"/>
              <w:ind w:left="0" w:right="0" w:hanging="0"/>
              <w:rPr/>
            </w:pPr>
            <w:r>
              <w:rPr/>
              <w:t> </w:t>
            </w:r>
          </w:p>
        </w:tc>
        <w:tc>
          <w:tcPr>
            <w:tcW w:w="1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acquired our initial 22% undivided joint interest in the Capline Pipeline System in March 2004.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 connection with the PNGS acquisition we consolidated and subsequently refinanced approximately $450 million of previously non-recourse joint venture debt.  See Note 3 to our Consolidated Financial Statements for additional discussion regarding the 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We relinquished our interest in HIPS in November 2006.</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2009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On</w:t>
      </w:r>
      <w:r>
        <w:rPr>
          <w:rFonts w:ascii="Times New Roman" w:hAnsi="Times New Roman"/>
        </w:rPr>
        <w:t xml:space="preserve"> </w:t>
      </w:r>
      <w:r>
        <w:rPr>
          <w:rFonts w:ascii="Times New Roman" w:hAnsi="Times New Roman"/>
          <w:sz w:val="17"/>
        </w:rPr>
        <w:t>September 3, 2009, we acquired the remaining 50% indirect interest in PNGS for an aggregate purchase price of $215 million (PNGS Acquisition).  See Note 3 to our Consolidated Financial Statements for additional discussion regarding the PNGS acquisition. As a result of the transaction, we now own 100% of PNGSs natural gas storage business and related operating entities, which are accounted for on a consolidated basis beginning in September 2009. We historically accounted for our 50% indirect interest in PNGS under the equity method. We recorded a net gain of approximately $9 million, recorded in other income, in connection with (i) adjusting our previously owned 50% investment in PNGS to fair value and (ii) terminating an agreement to supply natural gas to PNGS.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PNGS currently owns and operates two natural gas storage facilities located in Louisiana and Michigan that have an aggregate working gas storage capacity of 40 billion cubic feet (Bcf) and an aggregate peak injection and withdrawal capacity of 1.7 Bcf per day and 3.2 Bcf per day, respectively. PNGS also leases storage capacity and pipeline transportation capacity from third parties from time to time in order to increase its operational flexibility and enhance the services it offers its customers.  As of December 31, 2009, PNGS had 3 Bcf of storage capacity under lease from third parties and had secured the right to 379 MMcf per day of firm transportation service on various pipelines.  Substantially all of PNGSs revenues are derived from the provision of firm storage services under multi-year, fee-based contracts. The gas storage operations are reflected in our facilities segment.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1" w:name="PB_8_115029_7608"/>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we completed six additional acquisitions for aggregate consideration of approximately $178 million.  These included an additional 21% undivided joint interest in Capline and associated tankage, as well as various crude oil pipelines and pipeline systems that are all included within our transportation segment.  We also acquired a natural gas processing business, a refined products terminal and various crude oil storage tanks and other related assets that are all included within our facilities segment.  The goodwill associated with such acquisitions was approximately $24 million.  Please read Item 7. Managements Discussion and Analysis of Financial Condition and Results of OperationsAcquisitions and Internal Growth ProjectsAcquisitions and see Note 3 to our Consolidated Financial Statements for further discussion of our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Ongoing Acquisition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Consistent with our business strategy, we are continuously engaged in discussions with potential sellers regarding the possible purchase of assets and operations that are strategic and complementary to our existing operations. Such assets and operations include crude oil, refined products, LPG and natural gas storage related assets. In addition, we have in the past evaluated and pursued, and intend in the future to evaluate and pursue, other energy related assets that have characteristics and opportunities similar to these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Even after we have reached agreement on a purchase price with a potential seller, confirmatory due diligence or negotiations regarding other terms of the acquisition can cause discussions to be terminated. Accordingly, we typically do not announce a transaction until after we have executed a definitive acquisition agreement. Although we expect the acquisitions we make to be accretive in the long term, we can provide no assurance that our expectations will ultimately be realized. See Item 1A. Risk FactorsRisks Related to Our BusinessIf we do not make acquisitions on economically acceptable terms, our future growth may be limited and Our acquisition strategy involves risks that may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Global Petroleum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United States comprises less than 5% of the worlds population and generates only 11% of the worlds petroleum production, but consumes 22% of the worlds petroleum production. The following table sets forth projected world supply and demand for petroleum products (including crude oil, natural gas liquids and other liquid petroleum products) and is derived from the Energy Information Administrations (EIA) Annual Energy Outlook 2009 Early Release (see EIA website at </w:t>
      </w:r>
      <w:r>
        <w:rPr>
          <w:rFonts w:ascii="Times New Roman" w:hAnsi="Times New Roman"/>
          <w:i/>
          <w:sz w:val="17"/>
        </w:rPr>
        <w:t>www.eia.doe.gov</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2" w:name="PB_9_115224_8146"/>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68"/>
        <w:gridCol w:w="207"/>
        <w:gridCol w:w="1250"/>
        <w:gridCol w:w="208"/>
        <w:gridCol w:w="1249"/>
        <w:gridCol w:w="208"/>
        <w:gridCol w:w="1250"/>
        <w:gridCol w:w="207"/>
        <w:gridCol w:w="1250"/>
        <w:gridCol w:w="208"/>
      </w:tblGrid>
      <w:tr>
        <w:trPr/>
        <w:tc>
          <w:tcPr>
            <w:tcW w:w="4168"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41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2009 </w:t>
            </w:r>
            <w:r>
              <w:rPr>
                <w:b/>
                <w:sz w:val="8"/>
              </w:rPr>
              <w:t>(1)</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5622" w:type="dxa"/>
            <w:gridSpan w:val="7"/>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CCEEFF" w:val="clear"/>
            <w:vAlign w:val="bottom"/>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Supply</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pPr>
            <w:r>
              <w:rPr>
                <w:rFonts w:ascii="Times New Roman" w:hAnsi="Times New Roman"/>
                <w:sz w:val="17"/>
              </w:rPr>
              <w:t xml:space="preserve">OECD </w:t>
            </w:r>
            <w:r>
              <w:rPr>
                <w:sz w:val="11"/>
              </w:rPr>
              <w:t>(2)</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8" w:type="dxa"/>
            <w:tcBorders/>
            <w:shd w:fill="CCEEFF"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OECD</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08" w:type="dxa"/>
            <w:tcBorders/>
            <w:shd w:fill="CCEEFF"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Organization of the Petroleum Exporting Countries</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08" w:type="dxa"/>
            <w:tcBorders/>
            <w:shd w:fill="auto" w:val="clear"/>
            <w:vAlign w:val="bottom"/>
          </w:tcPr>
          <w:p>
            <w:pPr>
              <w:pStyle w:val="TableContents"/>
              <w:spacing w:before="0" w:after="0"/>
              <w:ind w:left="0" w:right="0" w:hanging="0"/>
              <w:rPr/>
            </w:pPr>
            <w:r>
              <w:rPr/>
              <w:t> </w:t>
            </w:r>
          </w:p>
        </w:tc>
      </w:tr>
      <w:tr>
        <w:trPr/>
        <w:tc>
          <w:tcPr>
            <w:tcW w:w="4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7"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207"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8" w:type="dxa"/>
            <w:tcBorders/>
            <w:shd w:fill="CCEEFF" w:val="clear"/>
            <w:vAlign w:val="bottom"/>
          </w:tcPr>
          <w:p>
            <w:pPr>
              <w:pStyle w:val="TableContents"/>
              <w:spacing w:before="0" w:after="0"/>
              <w:ind w:left="0" w:right="0" w:hanging="0"/>
              <w:rPr/>
            </w:pPr>
            <w:r>
              <w:rPr/>
              <w:t> </w:t>
            </w:r>
          </w:p>
        </w:tc>
      </w:tr>
      <w:tr>
        <w:trPr/>
        <w:tc>
          <w:tcPr>
            <w:tcW w:w="4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World Production</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84.2</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85.9</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w:t>
            </w:r>
          </w:p>
        </w:tc>
        <w:tc>
          <w:tcPr>
            <w:tcW w:w="20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67"/>
        <w:gridCol w:w="208"/>
        <w:gridCol w:w="1250"/>
        <w:gridCol w:w="207"/>
        <w:gridCol w:w="1250"/>
        <w:gridCol w:w="208"/>
        <w:gridCol w:w="1249"/>
        <w:gridCol w:w="208"/>
        <w:gridCol w:w="1250"/>
        <w:gridCol w:w="208"/>
      </w:tblGrid>
      <w:tr>
        <w:trPr/>
        <w:tc>
          <w:tcPr>
            <w:tcW w:w="416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416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208" w:type="dxa"/>
            <w:tcBorders/>
            <w:shd w:fill="auto" w:val="clear"/>
            <w:vAlign w:val="bottom"/>
          </w:tcPr>
          <w:p>
            <w:pPr>
              <w:pStyle w:val="TableContents"/>
              <w:spacing w:before="0" w:after="0"/>
              <w:ind w:left="0" w:right="0" w:hanging="0"/>
              <w:jc w:val="center"/>
              <w:rPr/>
            </w:pPr>
            <w:r>
              <w:rPr/>
              <w:t> </w:t>
            </w:r>
          </w:p>
        </w:tc>
      </w:tr>
      <w:tr>
        <w:trPr/>
        <w:tc>
          <w:tcPr>
            <w:tcW w:w="416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2009 </w:t>
            </w:r>
            <w:r>
              <w:rPr>
                <w:b/>
                <w:sz w:val="8"/>
              </w:rPr>
              <w:t>(1)</w:t>
            </w:r>
          </w:p>
        </w:tc>
        <w:tc>
          <w:tcPr>
            <w:tcW w:w="207"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208" w:type="dxa"/>
            <w:tcBorders/>
            <w:shd w:fill="auto" w:val="clear"/>
            <w:vAlign w:val="bottom"/>
          </w:tcPr>
          <w:p>
            <w:pPr>
              <w:pStyle w:val="TableContents"/>
              <w:spacing w:before="0" w:after="0"/>
              <w:ind w:left="0" w:right="0" w:hanging="0"/>
              <w:jc w:val="center"/>
              <w:rPr/>
            </w:pPr>
            <w:r>
              <w:rPr/>
              <w:t> </w:t>
            </w:r>
          </w:p>
        </w:tc>
      </w:tr>
      <w:tr>
        <w:trPr/>
        <w:tc>
          <w:tcPr>
            <w:tcW w:w="416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5622" w:type="dxa"/>
            <w:gridSpan w:val="7"/>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208" w:type="dxa"/>
            <w:tcBorders/>
            <w:shd w:fill="auto" w:val="clear"/>
            <w:vAlign w:val="bottom"/>
          </w:tcPr>
          <w:p>
            <w:pPr>
              <w:pStyle w:val="TableContents"/>
              <w:spacing w:before="0" w:after="0"/>
              <w:ind w:left="0" w:right="0" w:hanging="0"/>
              <w:jc w:val="center"/>
              <w:rPr/>
            </w:pPr>
            <w:r>
              <w:rPr/>
              <w:t> </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u w:val="single"/>
              </w:rPr>
            </w:pPr>
            <w:r>
              <w:rPr>
                <w:rFonts w:ascii="Times New Roman" w:hAnsi="Times New Roman"/>
                <w:sz w:val="17"/>
                <w:u w:val="single"/>
              </w:rPr>
              <w:t>Demand</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r>
      <w:tr>
        <w:trPr/>
        <w:tc>
          <w:tcPr>
            <w:tcW w:w="4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OECD</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208" w:type="dxa"/>
            <w:tcBorders/>
            <w:shd w:fill="CCEEFF" w:val="clear"/>
            <w:vAlign w:val="bottom"/>
          </w:tcPr>
          <w:p>
            <w:pPr>
              <w:pStyle w:val="TableContents"/>
              <w:spacing w:before="0" w:after="0"/>
              <w:ind w:left="0" w:right="0" w:hanging="0"/>
              <w:rPr/>
            </w:pPr>
            <w:r>
              <w:rPr/>
              <w:t> </w:t>
            </w:r>
          </w:p>
        </w:tc>
      </w:tr>
      <w:tr>
        <w:trPr/>
        <w:tc>
          <w:tcPr>
            <w:tcW w:w="4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08" w:type="dxa"/>
            <w:tcBorders/>
            <w:shd w:fill="auto" w:val="clear"/>
            <w:vAlign w:val="bottom"/>
          </w:tcPr>
          <w:p>
            <w:pPr>
              <w:pStyle w:val="TableContents"/>
              <w:spacing w:before="0" w:after="0"/>
              <w:ind w:left="0" w:right="0" w:hanging="0"/>
              <w:rPr/>
            </w:pPr>
            <w:r>
              <w:rPr/>
              <w:t> </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OECD</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08" w:type="dxa"/>
            <w:tcBorders/>
            <w:shd w:fill="CCEEFF" w:val="clear"/>
            <w:vAlign w:val="bottom"/>
          </w:tcPr>
          <w:p>
            <w:pPr>
              <w:pStyle w:val="TableContents"/>
              <w:spacing w:before="0" w:after="0"/>
              <w:ind w:left="0" w:right="0" w:hanging="0"/>
              <w:rPr/>
            </w:pPr>
            <w:r>
              <w:rPr/>
              <w:t> </w:t>
            </w:r>
          </w:p>
        </w:tc>
      </w:tr>
      <w:tr>
        <w:trPr/>
        <w:tc>
          <w:tcPr>
            <w:tcW w:w="4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39.5</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43.2</w:t>
            </w:r>
          </w:p>
        </w:tc>
        <w:tc>
          <w:tcPr>
            <w:tcW w:w="208" w:type="dxa"/>
            <w:tcBorders/>
            <w:shd w:fill="auto" w:val="clear"/>
            <w:vAlign w:val="bottom"/>
          </w:tcPr>
          <w:p>
            <w:pPr>
              <w:pStyle w:val="TableContents"/>
              <w:spacing w:before="0" w:after="0"/>
              <w:ind w:left="0" w:right="0" w:hanging="0"/>
              <w:rPr/>
            </w:pPr>
            <w:r>
              <w:rPr/>
              <w:t> </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World Consumption</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84.1</w:t>
            </w:r>
          </w:p>
        </w:tc>
        <w:tc>
          <w:tcPr>
            <w:tcW w:w="207"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85.9</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87.2</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90.9</w:t>
            </w:r>
          </w:p>
        </w:tc>
        <w:tc>
          <w:tcPr>
            <w:tcW w:w="208" w:type="dxa"/>
            <w:tcBorders/>
            <w:shd w:fill="CCEEFF" w:val="clear"/>
            <w:vAlign w:val="bottom"/>
          </w:tcPr>
          <w:p>
            <w:pPr>
              <w:pStyle w:val="TableContents"/>
              <w:spacing w:before="0" w:after="0"/>
              <w:ind w:left="0" w:right="0" w:hanging="0"/>
              <w:rPr/>
            </w:pPr>
            <w:r>
              <w:rPr/>
              <w:t> </w:t>
            </w:r>
          </w:p>
        </w:tc>
      </w:tr>
      <w:tr>
        <w:trPr/>
        <w:tc>
          <w:tcPr>
            <w:tcW w:w="416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World Production/(Consumption)</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8" w:type="dxa"/>
            <w:tcBorders/>
            <w:shd w:fill="CCEEFF" w:val="clear"/>
            <w:vAlign w:val="bottom"/>
          </w:tcPr>
          <w:p>
            <w:pPr>
              <w:pStyle w:val="TableContents"/>
              <w:spacing w:before="0" w:after="0"/>
              <w:ind w:left="0" w:right="0" w:hanging="0"/>
              <w:rPr/>
            </w:pPr>
            <w:r>
              <w:rPr/>
              <w:t> </w:t>
            </w:r>
          </w:p>
        </w:tc>
      </w:tr>
      <w:tr>
        <w:trPr/>
        <w:tc>
          <w:tcPr>
            <w:tcW w:w="4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Production as % of World Production</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U.S. Consumption as % of World Consumption</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U.S. Consumption</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2009 amounts are based on ten months of actual data and two months of data derived from a short-term energy model published by the EIA.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Organization for Economic Co-operation and Development.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World economic growth is a driver of the world petroleum market. The challenging global economic climate has resulted in reduced demand and continued uncertainty in the petroleum market. To the extent that an event causes weaker world economic growth, energy demand would likely decline and result in lower energy prices, depending on the production responses of producers.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Crude Oil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definition of a commodity is a mass-produced unspecialized product and implies the attribute of fungibility. Crude oil is typically referred to as a commodity, however it is neither unspecialized nor fungible. The crude slate available to U.S. and world-wide refineries consists of a substantial number of different grades and varieties of crude oil. Each crude grade has distinguishing physical properties, such as specific gravity (generally referred to as light or heavy), sulfur content (generally referred to as sweet or sour) and metals content, which collectively result in varying economic attributes. In many cases, these factors result in the need for such grades to be batched or segregated in the transportation and storage processes, blended to precise specifications or adjusted in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drives the refinerys choice of feedstock.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assets and our business strategy are designed to serve our producer and refiner customers by addressing regional crude oil supply and demand imbalances that exist in the United States and Canada.  For the 20-year time period beginning in 1985 through 2004, U.S. refinery demand for crude oil increased 29% from 12.0 million barrels per day to approximately 15.5 million barrels per day.  U.S. refinery demand for crude oil demand remained effectively flat from 2005 through 2007, after which refinery demand decreased to average approximately 14.5 million barrels per day for the 12 months ended October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3" w:name="PB_10_121345_5335"/>
      <w:bookmarkEnd w:id="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2009.  Of this amount, only 5.2 million barrels per day was produced domestically. Accordingly, approximately 64% of the crude oil used by U.S. domestic refineries is imported. This imbalance represents a continuing trend, with foreign imports of crude oil tripling over a 23-year period, from 3.2 million barrels per day in 1985 to approximately 10.1 million barrels per day from 2005-2007. Concurrent with decreased refinery demand, during 2008 and 2009 foreign crude imports slowed to 9.3 million barrels per day for the 12 months ended October 2009. The table below shows the overall domestic petroleum consumption projected out to 2015 and is derived from recent information published by the EIA (see EIA website at </w:t>
      </w:r>
      <w:r>
        <w:rPr>
          <w:rFonts w:ascii="Times New Roman" w:hAnsi="Times New Roman"/>
          <w:i/>
          <w:sz w:val="17"/>
        </w:rPr>
        <w:t>www.eia.doe.gov</w:t>
      </w:r>
      <w:r>
        <w:rPr>
          <w:rFonts w:ascii="Times New Roman" w:hAnsi="Times New Roman"/>
          <w:sz w:val="17"/>
        </w:rPr>
        <w:t>). The amounts in the 2009 column are based on the twelve months from November 2008 to October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87"/>
        <w:gridCol w:w="208"/>
        <w:gridCol w:w="1146"/>
        <w:gridCol w:w="208"/>
        <w:gridCol w:w="1145"/>
        <w:gridCol w:w="208"/>
        <w:gridCol w:w="1146"/>
        <w:gridCol w:w="208"/>
        <w:gridCol w:w="1145"/>
        <w:gridCol w:w="104"/>
      </w:tblGrid>
      <w:tr>
        <w:trPr/>
        <w:tc>
          <w:tcPr>
            <w:tcW w:w="468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8" w:type="dxa"/>
            <w:tcBorders/>
            <w:shd w:fill="auto" w:val="clear"/>
            <w:vAlign w:val="bottom"/>
          </w:tcPr>
          <w:p>
            <w:pPr>
              <w:pStyle w:val="TableContents"/>
              <w:spacing w:before="0" w:after="0"/>
              <w:ind w:left="0" w:right="0" w:hanging="0"/>
              <w:jc w:val="center"/>
              <w:rPr/>
            </w:pPr>
            <w:r>
              <w:rPr/>
              <w:t> </w:t>
            </w:r>
          </w:p>
        </w:tc>
        <w:tc>
          <w:tcPr>
            <w:tcW w:w="38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Projected</w:t>
            </w:r>
          </w:p>
        </w:tc>
        <w:tc>
          <w:tcPr>
            <w:tcW w:w="104" w:type="dxa"/>
            <w:tcBorders/>
            <w:shd w:fill="auto" w:val="clear"/>
            <w:vAlign w:val="bottom"/>
          </w:tcPr>
          <w:p>
            <w:pPr>
              <w:pStyle w:val="TableContents"/>
              <w:spacing w:before="0" w:after="0"/>
              <w:ind w:left="0" w:right="0" w:hanging="0"/>
              <w:jc w:val="center"/>
              <w:rPr/>
            </w:pPr>
            <w:r>
              <w:rPr/>
              <w:t> </w:t>
            </w:r>
          </w:p>
        </w:tc>
      </w:tr>
      <w:tr>
        <w:trPr/>
        <w:tc>
          <w:tcPr>
            <w:tcW w:w="468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8" w:type="dxa"/>
            <w:tcBorders/>
            <w:shd w:fill="auto" w:val="clear"/>
            <w:vAlign w:val="bottom"/>
          </w:tcPr>
          <w:p>
            <w:pPr>
              <w:pStyle w:val="TableContents"/>
              <w:spacing w:before="0" w:after="0"/>
              <w:ind w:left="0" w:right="0" w:hanging="0"/>
              <w:jc w:val="center"/>
              <w:rPr/>
            </w:pPr>
            <w:r>
              <w:rPr/>
              <w:t> </w:t>
            </w:r>
          </w:p>
        </w:tc>
        <w:tc>
          <w:tcPr>
            <w:tcW w:w="11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8" w:type="dxa"/>
            <w:tcBorders/>
            <w:shd w:fill="auto" w:val="clear"/>
            <w:vAlign w:val="bottom"/>
          </w:tcPr>
          <w:p>
            <w:pPr>
              <w:pStyle w:val="TableContents"/>
              <w:spacing w:before="0" w:after="0"/>
              <w:ind w:left="0" w:right="0" w:hanging="0"/>
              <w:jc w:val="center"/>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8" w:type="dxa"/>
            <w:tcBorders/>
            <w:shd w:fill="auto" w:val="clear"/>
            <w:vAlign w:val="bottom"/>
          </w:tcPr>
          <w:p>
            <w:pPr>
              <w:pStyle w:val="TableContents"/>
              <w:spacing w:before="0" w:after="0"/>
              <w:ind w:left="0" w:right="0" w:hanging="0"/>
              <w:jc w:val="center"/>
              <w:rPr/>
            </w:pPr>
            <w:r>
              <w:rPr/>
              <w:t> </w:t>
            </w:r>
          </w:p>
        </w:tc>
        <w:tc>
          <w:tcPr>
            <w:tcW w:w="11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04" w:type="dxa"/>
            <w:tcBorders/>
            <w:shd w:fill="auto" w:val="clear"/>
            <w:vAlign w:val="bottom"/>
          </w:tcPr>
          <w:p>
            <w:pPr>
              <w:pStyle w:val="TableContents"/>
              <w:spacing w:before="0" w:after="0"/>
              <w:ind w:left="0" w:right="0" w:hanging="0"/>
              <w:jc w:val="center"/>
              <w:rPr/>
            </w:pPr>
            <w:r>
              <w:rPr/>
              <w:t> </w:t>
            </w:r>
          </w:p>
        </w:tc>
      </w:tr>
      <w:tr>
        <w:trPr/>
        <w:tc>
          <w:tcPr>
            <w:tcW w:w="4687"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5206" w:type="dxa"/>
            <w:gridSpan w:val="7"/>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of barrels per day)</w:t>
            </w:r>
          </w:p>
        </w:tc>
        <w:tc>
          <w:tcPr>
            <w:tcW w:w="104" w:type="dxa"/>
            <w:tcBorders/>
            <w:shd w:fill="auto" w:val="clear"/>
            <w:vAlign w:val="bottom"/>
          </w:tcPr>
          <w:p>
            <w:pPr>
              <w:pStyle w:val="TableContents"/>
              <w:spacing w:before="0" w:after="0"/>
              <w:ind w:left="0" w:right="0" w:hanging="0"/>
              <w:jc w:val="center"/>
              <w:rPr/>
            </w:pPr>
            <w:r>
              <w:rPr/>
              <w:t> </w:t>
            </w:r>
          </w:p>
        </w:tc>
      </w:tr>
      <w:tr>
        <w:trPr/>
        <w:tc>
          <w:tcPr>
            <w:tcW w:w="46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w:t>
            </w:r>
          </w:p>
        </w:tc>
        <w:tc>
          <w:tcPr>
            <w:tcW w:w="208"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145"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145"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6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Domestic Crude Oil Production</w:t>
            </w:r>
          </w:p>
        </w:tc>
        <w:tc>
          <w:tcPr>
            <w:tcW w:w="208"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8" w:type="dxa"/>
            <w:tcBorders/>
            <w:shd w:fill="auto" w:val="clear"/>
            <w:vAlign w:val="bottom"/>
          </w:tcPr>
          <w:p>
            <w:pPr>
              <w:pStyle w:val="TableContents"/>
              <w:spacing w:before="0" w:after="0"/>
              <w:ind w:left="0" w:right="0" w:hanging="0"/>
              <w:rPr/>
            </w:pPr>
            <w:r>
              <w:rPr/>
              <w:t> </w:t>
            </w:r>
          </w:p>
        </w:tc>
        <w:tc>
          <w:tcPr>
            <w:tcW w:w="11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8"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8" w:type="dxa"/>
            <w:tcBorders/>
            <w:shd w:fill="auto" w:val="clear"/>
            <w:vAlign w:val="bottom"/>
          </w:tcPr>
          <w:p>
            <w:pPr>
              <w:pStyle w:val="TableContents"/>
              <w:spacing w:before="0" w:after="0"/>
              <w:ind w:left="0" w:right="0" w:hanging="0"/>
              <w:rPr/>
            </w:pPr>
            <w:r>
              <w:rPr/>
              <w:t> </w:t>
            </w:r>
          </w:p>
        </w:tc>
        <w:tc>
          <w:tcPr>
            <w:tcW w:w="11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04" w:type="dxa"/>
            <w:tcBorders/>
            <w:shd w:fill="auto" w:val="clear"/>
            <w:vAlign w:val="bottom"/>
          </w:tcPr>
          <w:p>
            <w:pPr>
              <w:pStyle w:val="TableContents"/>
              <w:spacing w:before="0" w:after="0"/>
              <w:ind w:left="0" w:right="0" w:hanging="0"/>
              <w:rPr/>
            </w:pPr>
            <w:r>
              <w:rPr/>
              <w:t> </w:t>
            </w:r>
          </w:p>
        </w:tc>
      </w:tr>
      <w:tr>
        <w:trPr/>
        <w:tc>
          <w:tcPr>
            <w:tcW w:w="46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Imports - Crude Oil</w:t>
            </w:r>
          </w:p>
        </w:tc>
        <w:tc>
          <w:tcPr>
            <w:tcW w:w="208"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8" w:type="dxa"/>
            <w:tcBorders/>
            <w:shd w:fill="CCEEFF" w:val="clear"/>
            <w:vAlign w:val="bottom"/>
          </w:tcPr>
          <w:p>
            <w:pPr>
              <w:pStyle w:val="TableContents"/>
              <w:spacing w:before="0" w:after="0"/>
              <w:ind w:left="0" w:right="0" w:hanging="0"/>
              <w:rPr/>
            </w:pPr>
            <w:r>
              <w:rPr/>
              <w:t> </w:t>
            </w:r>
          </w:p>
        </w:tc>
        <w:tc>
          <w:tcPr>
            <w:tcW w:w="11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8" w:type="dxa"/>
            <w:tcBorders/>
            <w:shd w:fill="CCEEFF" w:val="clear"/>
            <w:vAlign w:val="bottom"/>
          </w:tcPr>
          <w:p>
            <w:pPr>
              <w:pStyle w:val="TableContents"/>
              <w:spacing w:before="0" w:after="0"/>
              <w:ind w:left="0" w:right="0" w:hanging="0"/>
              <w:rPr/>
            </w:pPr>
            <w:r>
              <w:rPr/>
              <w:t> </w:t>
            </w:r>
          </w:p>
        </w:tc>
        <w:tc>
          <w:tcPr>
            <w:tcW w:w="114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8" w:type="dxa"/>
            <w:tcBorders/>
            <w:shd w:fill="CCEEFF" w:val="clear"/>
            <w:vAlign w:val="bottom"/>
          </w:tcPr>
          <w:p>
            <w:pPr>
              <w:pStyle w:val="TableContents"/>
              <w:spacing w:before="0" w:after="0"/>
              <w:ind w:left="0" w:right="0" w:hanging="0"/>
              <w:rPr/>
            </w:pPr>
            <w:r>
              <w:rPr/>
              <w:t> </w:t>
            </w:r>
          </w:p>
        </w:tc>
        <w:tc>
          <w:tcPr>
            <w:tcW w:w="114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04" w:type="dxa"/>
            <w:tcBorders/>
            <w:shd w:fill="CCEEFF" w:val="clear"/>
            <w:vAlign w:val="bottom"/>
          </w:tcPr>
          <w:p>
            <w:pPr>
              <w:pStyle w:val="TableContents"/>
              <w:spacing w:before="0" w:after="0"/>
              <w:ind w:left="0" w:right="0" w:hanging="0"/>
              <w:rPr/>
            </w:pPr>
            <w:r>
              <w:rPr/>
              <w:t> </w:t>
            </w:r>
          </w:p>
        </w:tc>
      </w:tr>
      <w:tr>
        <w:trPr/>
        <w:tc>
          <w:tcPr>
            <w:tcW w:w="46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Input to Domestic Refineries</w:t>
            </w:r>
          </w:p>
        </w:tc>
        <w:tc>
          <w:tcPr>
            <w:tcW w:w="208"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1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08" w:type="dxa"/>
            <w:tcBorders/>
            <w:shd w:fill="auto" w:val="clear"/>
            <w:vAlign w:val="bottom"/>
          </w:tcPr>
          <w:p>
            <w:pPr>
              <w:pStyle w:val="TableContents"/>
              <w:spacing w:before="0" w:after="0"/>
              <w:ind w:left="0" w:right="0" w:hanging="0"/>
              <w:rPr/>
            </w:pPr>
            <w:r>
              <w:rPr/>
              <w:t> </w:t>
            </w:r>
          </w:p>
        </w:tc>
        <w:tc>
          <w:tcPr>
            <w:tcW w:w="11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1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04" w:type="dxa"/>
            <w:tcBorders/>
            <w:shd w:fill="auto" w:val="clear"/>
            <w:vAlign w:val="bottom"/>
          </w:tcPr>
          <w:p>
            <w:pPr>
              <w:pStyle w:val="TableContents"/>
              <w:spacing w:before="0" w:after="0"/>
              <w:ind w:left="0" w:right="0" w:hanging="0"/>
              <w:rPr/>
            </w:pPr>
            <w:r>
              <w:rPr/>
              <w:t> </w:t>
            </w:r>
          </w:p>
        </w:tc>
      </w:tr>
      <w:tr>
        <w:trPr/>
        <w:tc>
          <w:tcPr>
            <w:tcW w:w="46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Product Imports</w:t>
            </w:r>
          </w:p>
        </w:tc>
        <w:tc>
          <w:tcPr>
            <w:tcW w:w="208"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08" w:type="dxa"/>
            <w:tcBorders/>
            <w:shd w:fill="CCEEFF" w:val="clear"/>
            <w:vAlign w:val="bottom"/>
          </w:tcPr>
          <w:p>
            <w:pPr>
              <w:pStyle w:val="TableContents"/>
              <w:spacing w:before="0" w:after="0"/>
              <w:ind w:left="0" w:right="0" w:hanging="0"/>
              <w:rPr/>
            </w:pPr>
            <w:r>
              <w:rPr/>
              <w:t> </w:t>
            </w:r>
          </w:p>
        </w:tc>
        <w:tc>
          <w:tcPr>
            <w:tcW w:w="11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8" w:type="dxa"/>
            <w:tcBorders/>
            <w:shd w:fill="CCEEFF" w:val="clear"/>
            <w:vAlign w:val="bottom"/>
          </w:tcPr>
          <w:p>
            <w:pPr>
              <w:pStyle w:val="TableContents"/>
              <w:spacing w:before="0" w:after="0"/>
              <w:ind w:left="0" w:right="0" w:hanging="0"/>
              <w:rPr/>
            </w:pPr>
            <w:r>
              <w:rPr/>
              <w:t> </w:t>
            </w:r>
          </w:p>
        </w:tc>
        <w:tc>
          <w:tcPr>
            <w:tcW w:w="11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8" w:type="dxa"/>
            <w:tcBorders/>
            <w:shd w:fill="CCEEFF" w:val="clear"/>
            <w:vAlign w:val="bottom"/>
          </w:tcPr>
          <w:p>
            <w:pPr>
              <w:pStyle w:val="TableContents"/>
              <w:spacing w:before="0" w:after="0"/>
              <w:ind w:left="0" w:right="0" w:hanging="0"/>
              <w:rPr/>
            </w:pPr>
            <w:r>
              <w:rPr/>
              <w:t> </w:t>
            </w:r>
          </w:p>
        </w:tc>
        <w:tc>
          <w:tcPr>
            <w:tcW w:w="11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4" w:type="dxa"/>
            <w:tcBorders/>
            <w:shd w:fill="CCEEFF" w:val="clear"/>
            <w:vAlign w:val="bottom"/>
          </w:tcPr>
          <w:p>
            <w:pPr>
              <w:pStyle w:val="TableContents"/>
              <w:spacing w:before="0" w:after="0"/>
              <w:ind w:left="0" w:right="0" w:hanging="0"/>
              <w:rPr/>
            </w:pPr>
            <w:r>
              <w:rPr/>
              <w:t> </w:t>
            </w:r>
          </w:p>
        </w:tc>
      </w:tr>
      <w:tr>
        <w:trPr/>
        <w:tc>
          <w:tcPr>
            <w:tcW w:w="46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 (NGL Production, Refinery Processing Gain)</w:t>
            </w:r>
          </w:p>
        </w:tc>
        <w:tc>
          <w:tcPr>
            <w:tcW w:w="208"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8" w:type="dxa"/>
            <w:tcBorders/>
            <w:shd w:fill="auto" w:val="clear"/>
            <w:vAlign w:val="bottom"/>
          </w:tcPr>
          <w:p>
            <w:pPr>
              <w:pStyle w:val="TableContents"/>
              <w:spacing w:before="0" w:after="0"/>
              <w:ind w:left="0" w:right="0" w:hanging="0"/>
              <w:rPr/>
            </w:pPr>
            <w:r>
              <w:rPr/>
              <w:t> </w:t>
            </w:r>
          </w:p>
        </w:tc>
        <w:tc>
          <w:tcPr>
            <w:tcW w:w="114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8" w:type="dxa"/>
            <w:tcBorders/>
            <w:shd w:fill="auto" w:val="clear"/>
            <w:vAlign w:val="bottom"/>
          </w:tcPr>
          <w:p>
            <w:pPr>
              <w:pStyle w:val="TableContents"/>
              <w:spacing w:before="0" w:after="0"/>
              <w:ind w:left="0" w:right="0" w:hanging="0"/>
              <w:rPr/>
            </w:pPr>
            <w:r>
              <w:rPr/>
              <w:t> </w:t>
            </w:r>
          </w:p>
        </w:tc>
        <w:tc>
          <w:tcPr>
            <w:tcW w:w="114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shd w:fill="auto" w:val="clear"/>
            <w:vAlign w:val="bottom"/>
          </w:tcPr>
          <w:p>
            <w:pPr>
              <w:pStyle w:val="TableContents"/>
              <w:spacing w:before="0" w:after="0"/>
              <w:ind w:left="0" w:right="0" w:hanging="0"/>
              <w:rPr/>
            </w:pPr>
            <w:r>
              <w:rPr/>
              <w:t> </w:t>
            </w:r>
          </w:p>
        </w:tc>
        <w:tc>
          <w:tcPr>
            <w:tcW w:w="114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04" w:type="dxa"/>
            <w:tcBorders/>
            <w:shd w:fill="auto" w:val="clear"/>
            <w:vAlign w:val="bottom"/>
          </w:tcPr>
          <w:p>
            <w:pPr>
              <w:pStyle w:val="TableContents"/>
              <w:spacing w:before="0" w:after="0"/>
              <w:ind w:left="0" w:right="0" w:hanging="0"/>
              <w:rPr/>
            </w:pPr>
            <w:r>
              <w:rPr/>
              <w:t> </w:t>
            </w:r>
          </w:p>
        </w:tc>
      </w:tr>
      <w:tr>
        <w:trPr/>
        <w:tc>
          <w:tcPr>
            <w:tcW w:w="46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Domestic Petroleum Consumption</w:t>
            </w:r>
          </w:p>
        </w:tc>
        <w:tc>
          <w:tcPr>
            <w:tcW w:w="208"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208" w:type="dxa"/>
            <w:tcBorders/>
            <w:shd w:fill="CCEEFF" w:val="clear"/>
            <w:vAlign w:val="bottom"/>
          </w:tcPr>
          <w:p>
            <w:pPr>
              <w:pStyle w:val="TableContents"/>
              <w:spacing w:before="0" w:after="0"/>
              <w:ind w:left="0" w:right="0" w:hanging="0"/>
              <w:rPr/>
            </w:pPr>
            <w:r>
              <w:rPr/>
              <w:t> </w:t>
            </w:r>
          </w:p>
        </w:tc>
        <w:tc>
          <w:tcPr>
            <w:tcW w:w="11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8" w:type="dxa"/>
            <w:tcBorders/>
            <w:shd w:fill="CCEEFF" w:val="clear"/>
            <w:vAlign w:val="bottom"/>
          </w:tcPr>
          <w:p>
            <w:pPr>
              <w:pStyle w:val="TableContents"/>
              <w:spacing w:before="0" w:after="0"/>
              <w:ind w:left="0" w:right="0" w:hanging="0"/>
              <w:rPr/>
            </w:pPr>
            <w:r>
              <w:rPr/>
              <w:t> </w:t>
            </w:r>
          </w:p>
        </w:tc>
        <w:tc>
          <w:tcPr>
            <w:tcW w:w="11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08" w:type="dxa"/>
            <w:tcBorders/>
            <w:shd w:fill="CCEEFF" w:val="clear"/>
            <w:vAlign w:val="bottom"/>
          </w:tcPr>
          <w:p>
            <w:pPr>
              <w:pStyle w:val="TableContents"/>
              <w:spacing w:before="0" w:after="0"/>
              <w:ind w:left="0" w:right="0" w:hanging="0"/>
              <w:rPr/>
            </w:pPr>
            <w:r>
              <w:rPr/>
              <w:t> </w:t>
            </w:r>
          </w:p>
        </w:tc>
        <w:tc>
          <w:tcPr>
            <w:tcW w:w="11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October 2009 and is derived from information published by the EIA (see EIA website at </w:t>
      </w:r>
      <w:r>
        <w:rPr>
          <w:rFonts w:ascii="Times New Roman" w:hAnsi="Times New Roman"/>
          <w:i/>
          <w:sz w:val="17"/>
        </w:rPr>
        <w:t>www.eia.doe.gov</w:t>
      </w:r>
      <w:r>
        <w:rPr>
          <w:rFonts w:ascii="Times New Roman" w:hAnsi="Times New Roman"/>
          <w:sz w:val="17"/>
        </w:rPr>
        <w:t>) (in millions of barrels per day).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29"/>
        <w:gridCol w:w="208"/>
        <w:gridCol w:w="1249"/>
        <w:gridCol w:w="208"/>
        <w:gridCol w:w="1250"/>
        <w:gridCol w:w="207"/>
        <w:gridCol w:w="1250"/>
        <w:gridCol w:w="104"/>
      </w:tblGrid>
      <w:tr>
        <w:trPr/>
        <w:tc>
          <w:tcPr>
            <w:tcW w:w="572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Regional</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Refinery</w:t>
            </w:r>
          </w:p>
        </w:tc>
        <w:tc>
          <w:tcPr>
            <w:tcW w:w="207" w:type="dxa"/>
            <w:tcBorders/>
            <w:shd w:fill="auto" w:val="clear"/>
            <w:vAlign w:val="bottom"/>
          </w:tcPr>
          <w:p>
            <w:pPr>
              <w:pStyle w:val="TableContents"/>
              <w:spacing w:before="0" w:after="0"/>
              <w:ind w:left="0" w:right="0" w:hanging="0"/>
              <w:jc w:val="center"/>
              <w:rPr/>
            </w:pPr>
            <w:r>
              <w:rPr/>
              <w:t> </w:t>
            </w:r>
          </w:p>
        </w:tc>
        <w:tc>
          <w:tcPr>
            <w:tcW w:w="125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r>
          </w:p>
        </w:tc>
        <w:tc>
          <w:tcPr>
            <w:tcW w:w="104" w:type="dxa"/>
            <w:tcBorders/>
            <w:shd w:fill="auto" w:val="clear"/>
            <w:vAlign w:val="bottom"/>
          </w:tcPr>
          <w:p>
            <w:pPr>
              <w:pStyle w:val="TableContents"/>
              <w:spacing w:before="0" w:after="0"/>
              <w:ind w:left="0" w:right="0" w:hanging="0"/>
              <w:jc w:val="center"/>
              <w:rPr/>
            </w:pPr>
            <w:r>
              <w:rPr/>
              <w:t> </w:t>
            </w:r>
          </w:p>
        </w:tc>
      </w:tr>
      <w:tr>
        <w:trPr/>
        <w:tc>
          <w:tcPr>
            <w:tcW w:w="572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Petroleum Administration Defense District</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Demand</w:t>
            </w:r>
          </w:p>
        </w:tc>
        <w:tc>
          <w:tcPr>
            <w:tcW w:w="207"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Shortfall</w:t>
            </w:r>
          </w:p>
        </w:tc>
        <w:tc>
          <w:tcPr>
            <w:tcW w:w="104" w:type="dxa"/>
            <w:tcBorders/>
            <w:shd w:fill="auto" w:val="clear"/>
            <w:vAlign w:val="bottom"/>
          </w:tcPr>
          <w:p>
            <w:pPr>
              <w:pStyle w:val="TableContents"/>
              <w:spacing w:before="0" w:after="0"/>
              <w:ind w:left="0" w:right="0" w:hanging="0"/>
              <w:jc w:val="center"/>
              <w:rPr/>
            </w:pPr>
            <w:r>
              <w:rPr/>
              <w:t> </w:t>
            </w:r>
          </w:p>
        </w:tc>
      </w:tr>
      <w:tr>
        <w:trPr/>
        <w:tc>
          <w:tcPr>
            <w:tcW w:w="5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PADD I (East Coast)</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PADD II (Midwest)</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PADD III (South)</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7"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PADD IV (Rockies)</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7"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PADD V (West Coast)</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7"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U.S.</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07"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PADD III has the largest absolute volume supply shortfall, we believe PADD II is the most critical region with respect to supply and transportation logistics because it is the largest, most highly populated area of the U.S. that does not have direct access to oceanborne cargoes.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Over the last 24 years, crude oil production in PADD II has declined from approximately 1.0 million barrels per day to approximately 600,000 barrels per day. Over this same time period, refinery demand has increased from approximately 2.7 million barrels per day in 1985 to 3.2 million barrels per day for the twelve months ended October 2009. As a result, the volume of crude oil transported into PADD II has increased approximately 47% in absolute terms or 1.6% annually from 1.7 million barrels per day to 2.6 million barrels per day. This aggregate shortfall is principally supplied by direct imports from Canada to the north and from the Gulf Coast area and the Cushing Interchange to the south.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Volatility in various aspects of the crude oil market including absolute price, market structure, grade and location differentials has increased over time and we expect this volatility to persist. Some factors that we believe are causing and will continue to cause volatility in the market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multi-year trend narrowing the gap between supply and demand;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Temporal increases in the gap related to supply response following price spikes and declines in the rate of demand growth due to worldwide economic slowdown;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Regional supply and demand imbalances;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4" w:name="PB_11_122226_5796"/>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Political instability in critical producing nations;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Policy decisions made by various governments around the world attempting to navigate energy challenges;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Significant fluctuations in absolute price as well as grade and location differentials.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complexity and volatility of the crude oil market creates opportunities to solve the logistical inefficiencies inherent in the business.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Refined Products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Once crude oil is transported to a refinery, it is processed into different petroleum products. These refined products fall into three major categories: transportation fuels such as motor gasoline and distillate fuel oil (diesel fuel and jet fuel); finished non-fuel products such as solvents, lubricating oils and asphalt; and feedstocks for the petrochemical industry such as naphtha and various refinery gases. Demand is greatest for transportation fuels, particularly motor gasoline.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characteristics of the gasoline produced depend upon the setup of the refinery at which it is produced. Gasoline characteristics are also impacted by other ingredients that may be blended into it, such as ethanol and octane enhancers. The performance of the gasoline must meet strictly defined industry standards and environmental regulations that vary based on season and location.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After crude oil is refined into gasoline and other petroleum products, the products are distributed to consumers. The majority of products are shipped by pipeline to storage terminals near consuming areas, and then loaded into trucks for delivery to gasoline stations and end users. Products that are used as feedstocks are typically transported by pipeline or barges to chemical plants.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Demand for refined products has generally been affected by price levels, economic growth trends and, to a lesser extent, weather conditions. According to the EIA, consumption of refined products in the United States has risen from approximately 15.7 million barrels per day in 1985 to a recent peak in 2005 of 20.8 million barrels, yielding an average annual increase of approximately 1.5%.  Due to recent economic weakness, refined product demand has decreased to average approximately 18.7 million barrels per day for the twelve months ended October 2009. Given the decreased demand for refined products and resulting excess refining capacity, a number of U.S. refineries have reduced output and, in some cases, indefinitely closed.  The EIA is currently forecasting growth in refined product demand to resume in 2010 and continue thereafter.  We believe that this projected additional intermediate and long-term demand will be met primarily by increased utilization of available capacity as well as increased imports of refined products, the combination of which we believe will generate incremental demand for midstream infrastructure, including pipelines and terminals.  We believe that demand for refined products pipeline and terminalling infrastructure will also be driven by the following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multiple specifications of existing products (also referred to as boutique gasoline blends);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specification changes to existing products, such as lower sulfur limits;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acceptance and mandates of biofuels.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5" w:name="PB_12_122241_2897"/>
      <w:bookmarkEnd w:id="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complexity and volatility of the refined products market creates opportunities to solve the logistical inefficiencies inherent in the business.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 xml:space="preserve">LPG Products Market Overview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LPGs are hydrogen-based gases that are derived from crude oil refining and natural gas processing and include propane, butane and isobutane. These gases liquefy at moderate pressures thus allowing transportation and storage opportunities. LPG is produced domestically or imported into the U.S. from Canada and other parts of the world. Individual LPG products have varying uses. For example, propane is used in domestic applications (home heating and cooking), industrial applications, agricultural applications (crop drying) and as an automotive fuel. Normal butane is used as a petrochemical feedstock, as a blendstock for motor gasoline, and to derive isobutane through isomerization. Isobutane is principally used in refinery alkylation to enhance the octane content of motor gasoline or in the production of isooctane or other octane additives. Certain LPGs are also used as diluents in the transportation of heavy oil, particularly in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LPG market is driven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seasonal shifts in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seasonal changes in gasoline specifications affecting demand for butane;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alternating needs of refineries to store and blend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petro-chemical demand;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diluent requirements for Canadian heavy oil;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inefficiencies caused by regional supply and demand imbalances.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complexity and volatility of the LPG market creates opportunities to solve the logistical inefficiencies inherent in the business.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Market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After treatment for impurities such as carbon dioxide and hydrogen sulfide and processing to separate heavier hydrocarbons from the gas stream, natural gas from one source generally is fungible with natural gas from any other source. Because of its fungibility and physical volatility and the fact that it is transported in a gaseous state, natural gas presents different logistical transportation challenges than 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Drivers of Demand for Storage.</w:t>
      </w:r>
      <w:r>
        <w:rPr>
          <w:rFonts w:ascii="Times New Roman" w:hAnsi="Times New Roman"/>
        </w:rPr>
        <w:t xml:space="preserve"> </w:t>
      </w:r>
      <w:r>
        <w:rPr>
          <w:rFonts w:ascii="Times New Roman" w:hAnsi="Times New Roman"/>
          <w:sz w:val="17"/>
        </w:rPr>
        <w:t>The long-term demand for storage services in the United States is driven primarily by the long-term demand for natural gas and the overall lack of balance between the supply of and demand for natural gas on a seasonal, monthly, daily or other basis. In general, to the extent the overall demand for natural gas increases and such growth includes higher demand from seasonal or weather-sensitive end-users (such as gas-fired power generators and residential and commercial consumers), demand for natural gas storage services should also grow. In addition, any factors that contribute to more frequent and severe imbalances between the supply of and demand for natural gas, whether caused by supply or demand fluctuations, should increase the need for and value of storage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Demand.</w:t>
      </w:r>
      <w:r>
        <w:rPr>
          <w:rFonts w:ascii="Times New Roman" w:hAnsi="Times New Roman"/>
        </w:rPr>
        <w:t xml:space="preserve"> </w:t>
      </w:r>
      <w:r>
        <w:rPr>
          <w:rFonts w:ascii="Times New Roman" w:hAnsi="Times New Roman"/>
          <w:sz w:val="17"/>
        </w:rPr>
        <w:t>According to the EIA, during the period from 1998 through 2008, natural gas consumption increased by 4.1% overall from an average of approximately 60.9 Bcf per day in 1998 to an average of approximately 63.4 Bcf per day in 2008. Although the change in consumption levels during this period was variable on a year-to-year basis, growth was highest in the seasonal and weather-sensitive power generation and commercial/residential sectors, where consumption grew by approximately 45.2% and 6.2%, respectively. The growth in these sectors was partially offset by an approximate 20.5% decline in gas consumption in the less seasonal industrial sector.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Despite the increased use of natural-gas fired generation during the summer cooling months, the seasonality of natural gas consumption has remained strong. According to EIA data, during the last decade, consumption during the winter months averaged approximately 40% more than consumption during the summer months.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Supply.</w:t>
      </w:r>
      <w:r>
        <w:rPr>
          <w:rFonts w:ascii="Times New Roman" w:hAnsi="Times New Roman"/>
        </w:rPr>
        <w:t xml:space="preserve"> </w:t>
      </w:r>
      <w:r>
        <w:rPr>
          <w:rFonts w:ascii="Times New Roman" w:hAnsi="Times New Roman"/>
          <w:sz w:val="17"/>
        </w:rPr>
        <w:t xml:space="preserve">For the majority of the last decade, domestic production has been relatively flat and has failed to keep pace with domestic consumption.  Over the past few years, however, domestic production has been growing, primarily due to increases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6" w:name="PB_13_122257_3020"/>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production from developing shale resource plays. According to EIA data during the two-year period from January 1, 2007 through December 31, 2008, domestic production of natural gas increased by an average of approximately 5% per year and estimates of proved natural gas reserves increased by an average of approximately 7.5% per year, in each case largely due to continued development of shale resources. Beginning in 2007, leasing and development activities increased in a number of new shale resource plays, which in 2009 caused the EIA to significantly increase its outlook for domestic natural gas production. Notably, the typical production profile for shale production is short lived with initial high levels of production and steep declines thereafter. For this reason, and because producing gas from shale formations is generally more complex and expensive than conventional onshore production, it is difficult to predict future shale resource production levels with certainty.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emergence of domestic shale plays as a significant supply source, over the past several years, the U.S. has developed significant infrastructure for the import of liquefied natural gas (LNG). In recent years, U.S. and Canadian LNG imports have averaged an aggregate of approximately 1 to 3 Bcf per day, while the total LNG import capacity of U.S. and Canadian infrastructure is approximately 16 Bcf per day. In addition, total worldwide liquefaction capacity for LNG has been increasing over the last several years and additional capacity is scheduled to come online over the next few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foreseeable future, we believe there will be ample supplies of natural gas from a combination of domestic production, pipeline imports and waterborne imports of LNG. We also believe, however, that it is difficult to predict the extent to which domestic production from shale resources and LNG imports will increase or decrease and that this source of supply uncertainty adds an element of volatility to natural gas markets that will drive greater demand for storage services, especially from well-positioned, high performance facilities that can provide customers with access to both LNG imports and shale production.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Description of Segments and Associated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business activities are conducted through three segmentsTransportation, Facilities and Supply and Logistics. We have an extensive network of transportation, terminalling and storage facilities at major market hubs and in key oil producing basins and crude oil, refined product and LPG transportation corridors in the United States and Canada.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is a description of the activities and assets for each of our business segments.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 party leases of pipeline capacity and transportation fees. Our transportation segment also includes our equity earnings from our investments in Butte, Frontier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we employed a variety of owned or leased long-term physical assets throughout the United States and Canada in this segment, including approximately: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16,000 miles of active crude oil and refined products pipelines and gathering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28 million barrels of active, above-ground tank capacity used primarily to facilitate pipeline throughput;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84 trucks and 353 trailers;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68 transport and storage barges and 39 transport tugs through our interest in Settoon Towing.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7" w:name="PB_14_122312_7748"/>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is a tabular presentation of our active pipeline assets in the United States and Canada as of December 31, 2009, grouped by geographic location:</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012"/>
        <w:gridCol w:w="205"/>
        <w:gridCol w:w="1340"/>
        <w:gridCol w:w="205"/>
        <w:gridCol w:w="1340"/>
        <w:gridCol w:w="103"/>
      </w:tblGrid>
      <w:tr>
        <w:trPr/>
        <w:tc>
          <w:tcPr>
            <w:tcW w:w="7012" w:type="dxa"/>
            <w:tcBorders>
              <w:bottom w:val="single" w:sz="8" w:space="0" w:color="000000"/>
            </w:tcBorders>
            <w:shd w:fill="auto" w:val="clear"/>
            <w:vAlign w:val="bottom"/>
          </w:tcPr>
          <w:p>
            <w:pPr>
              <w:pStyle w:val="TableContents"/>
              <w:spacing w:before="0" w:after="0"/>
              <w:ind w:left="0" w:right="0" w:hanging="0"/>
              <w:rPr/>
            </w:pPr>
            <w:r>
              <w:rPr>
                <w:rFonts w:ascii="Times New Roman" w:hAnsi="Times New Roman"/>
                <w:b/>
                <w:sz w:val="13"/>
              </w:rPr>
              <w:t xml:space="preserve">Region / Pipeline and Gathering Systems </w:t>
            </w:r>
            <w:r>
              <w:rPr>
                <w:b/>
                <w:sz w:val="8"/>
              </w:rPr>
              <w:t>(1)</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System Miles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2009 Average Net</w:t>
              <w:br/>
              <w:t>Barrels</w:t>
            </w:r>
            <w:r>
              <w:rPr>
                <w:b/>
                <w:sz w:val="13"/>
              </w:rPr>
              <w:br/>
              <w:t>per Day</w:t>
            </w:r>
            <w:r>
              <w:rPr/>
              <w:t xml:space="preserve"> </w:t>
            </w:r>
            <w:r>
              <w:rPr>
                <w:b/>
                <w:sz w:val="8"/>
              </w:rPr>
              <w:t>(2)</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7012" w:type="dxa"/>
            <w:tcBorders/>
            <w:shd w:fill="auto" w:val="clear"/>
            <w:tcMar>
              <w:bottom w:w="0" w:type="dxa"/>
            </w:tcMar>
            <w:vAlign w:val="bottom"/>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shd w:fill="auto" w:val="clear"/>
            <w:tcMar>
              <w:bottom w:w="0" w:type="dxa"/>
            </w:tcMar>
            <w:vAlign w:val="bottom"/>
          </w:tcPr>
          <w:p>
            <w:pPr>
              <w:pStyle w:val="TableContents"/>
              <w:spacing w:before="0" w:after="0"/>
              <w:ind w:left="0" w:right="0" w:hanging="0"/>
              <w:jc w:val="center"/>
              <w:rPr/>
            </w:pPr>
            <w:r>
              <w:rPr/>
              <w:t> </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340"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thousands)</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Southwest US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3,601</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Southwest US Subtotal</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4,120</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878</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Western US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Western US Subtotal</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718</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US Rocky Mountain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708</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US Rocky Mountain Subtotal</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4,021</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US Gulf Coast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Capline</w:t>
            </w:r>
            <w:r>
              <w:rPr>
                <w:sz w:val="11"/>
              </w:rPr>
              <w:t>(3)</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US Gulf Coast Subtotal</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1,575</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483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Central US Subtotal</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2,546</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362</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Domestic Total</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12,980</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2,379</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Canada</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635</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7012" w:type="dxa"/>
            <w:tcBorders/>
            <w:shd w:fill="auto"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Canada Total</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3,035</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340" w:type="dxa"/>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457</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701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Grand Total</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16,015</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340" w:type="dxa"/>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2,836</w:t>
            </w:r>
          </w:p>
        </w:tc>
        <w:tc>
          <w:tcPr>
            <w:tcW w:w="10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Ownership percentage varies on each pipeline and gathering system ranging from approximately 20% to 100%.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Represents average volumes for the entire year of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Non-operated pipeline.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Southwest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Basin Pipeline System.</w:t>
      </w:r>
      <w:r>
        <w:rPr>
          <w:rFonts w:ascii="Times New Roman" w:hAnsi="Times New Roman"/>
        </w:rPr>
        <w:t xml:space="preserve">  </w:t>
      </w:r>
      <w:r>
        <w:rPr>
          <w:rFonts w:ascii="Times New Roman" w:hAnsi="Times New Roman"/>
          <w:sz w:val="17"/>
        </w:rPr>
        <w:t>We own an approximate 87% undivided joint interest in and act as operator of the Basin Pipeline system. The Basin system is a primary route for transporting crude oil from the Permian Basin (in west Texas and southern New Mexico) to Cushing, Oklahoma, for further delivery to Mid-Continent and Midwest refining centers. The Basin system is a 519-mile mainline, telescoping crude oil system with a system capacity ranging from approximately 144,000 barrels per day to 400,000 barrels per day depending on the segment. System throughput (as measured by system deliveries) was approximately 394,000 barrels per day (attributable to our interest) during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8" w:name="PB_15_122625_141"/>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Basin system consists of four primary movements of crude oil: (i) barrels that are shipped from Jal, New Mexico to the West Texas markets of Wink and Midland; (ii) barrels that are shipped from Midland to connecting carriers at Colorado City; (iii) barrels that are shipped from Midland and Colorado City to connecting carriers at either Wichita Falls or Cushing and (iv) foreign and Gulf of Mexico barrels that are delivered into Basin at Wichita Falls and delivered to connecting carriers at Cushing. The system also includes approximately 7 million barrels of tankage located along the system. The Basin system is subject to tariff rates regulated by the Federal Energy Regulatory Commission (FERC).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Western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All American Pipeline System.</w:t>
      </w:r>
      <w:r>
        <w:rPr>
          <w:rFonts w:ascii="Times New Roman" w:hAnsi="Times New Roman"/>
        </w:rPr>
        <w:t xml:space="preserve">  </w:t>
      </w:r>
      <w:r>
        <w:rPr>
          <w:rFonts w:ascii="Times New Roman" w:hAnsi="Times New Roman"/>
          <w:sz w:val="17"/>
        </w:rPr>
        <w:t>We own a 100% interest in the All American Pipeline system. The All American Pipeline is a common 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128 miles to our station in Emidio, California (30-inch diameter pipe). Between Gaviota and our Emidio Station, the All American Pipeline interconnects with our San Joaquin Valley Gathering System, Line 2000 and Line 63, as well as other third party intrastate pipelines. The system is subject to tariff rates regulated by the FERC.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All American Pipeline currently transports OCS crude oil received at the onshore facilities of the Santa Ynez field at Las Flores and the onshore facilities of the Point Arguello field located at Gaviota. ExxonMobil, which owns all of the Santa Ynez production, and Plains Exploration and Production Company and other producers that together own approximately 70% of the Point Arguello production, have entered into transportation agreements committing to transport all of their production from these fields on the All American Pipeline. These agreements provide for a minimum tariff with annual escalations based on specific composite indices. The producers from the Point Arguello field that do not have contracts with us have no other existing means of transporting their production and, therefore, ship their volumes on the All American Pipeline at the filed (or contracted) tariffs. For 2009, 2008 and 2007, tariffs on the All American Pipeline averaged $2.46 per barrel, $2.24 per barrel and $2.18 per barrel, respectively. The agreements do not require these owners to transport a minimum volume. These agreements include an annual one year evergreen provision that requires one years advance notice to cancel.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the acquisition of Line 63 and Line 2000, a portion of our transportation segment profit is derived from the pipeline transportation business associated with the Santa Ynez and Point Arguello fields and fields located in the San Joaquin Valley. Volumes shipped from the OCS are in decline (as reflected in the table below). See Item 1A. Risk Factors for discussion of the estimated impact of a decline in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sets forth the historical volumes received from both of these fields for the past five years (barrels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91"/>
        <w:gridCol w:w="209"/>
        <w:gridCol w:w="1053"/>
        <w:gridCol w:w="209"/>
        <w:gridCol w:w="1052"/>
        <w:gridCol w:w="210"/>
        <w:gridCol w:w="1052"/>
        <w:gridCol w:w="210"/>
        <w:gridCol w:w="1052"/>
        <w:gridCol w:w="209"/>
        <w:gridCol w:w="1053"/>
        <w:gridCol w:w="105"/>
      </w:tblGrid>
      <w:tr>
        <w:trPr/>
        <w:tc>
          <w:tcPr>
            <w:tcW w:w="379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6100"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05" w:type="dxa"/>
            <w:tcBorders/>
            <w:shd w:fill="auto" w:val="clear"/>
            <w:vAlign w:val="bottom"/>
          </w:tcPr>
          <w:p>
            <w:pPr>
              <w:pStyle w:val="TableContents"/>
              <w:spacing w:before="0" w:after="0"/>
              <w:ind w:left="0" w:right="0" w:hanging="0"/>
              <w:jc w:val="center"/>
              <w:rPr/>
            </w:pPr>
            <w:r>
              <w:rPr/>
              <w:t> </w:t>
            </w:r>
          </w:p>
        </w:tc>
      </w:tr>
      <w:tr>
        <w:trPr/>
        <w:tc>
          <w:tcPr>
            <w:tcW w:w="379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2005</w:t>
            </w:r>
          </w:p>
        </w:tc>
        <w:tc>
          <w:tcPr>
            <w:tcW w:w="105" w:type="dxa"/>
            <w:tcBorders/>
            <w:shd w:fill="auto" w:val="clear"/>
            <w:vAlign w:val="bottom"/>
          </w:tcPr>
          <w:p>
            <w:pPr>
              <w:pStyle w:val="TableContents"/>
              <w:spacing w:before="0" w:after="0"/>
              <w:ind w:left="0" w:right="0" w:hanging="0"/>
              <w:jc w:val="center"/>
              <w:rPr/>
            </w:pPr>
            <w:r>
              <w:rPr/>
              <w:t> </w:t>
            </w:r>
          </w:p>
        </w:tc>
      </w:tr>
      <w:tr>
        <w:trPr/>
        <w:tc>
          <w:tcPr>
            <w:tcW w:w="37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received from:</w:t>
            </w:r>
          </w:p>
        </w:tc>
        <w:tc>
          <w:tcPr>
            <w:tcW w:w="209"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052" w:type="dxa"/>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r>
      <w:tr>
        <w:trPr/>
        <w:tc>
          <w:tcPr>
            <w:tcW w:w="37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Point Arguello (at Gaviota)</w:t>
            </w:r>
          </w:p>
        </w:tc>
        <w:tc>
          <w:tcPr>
            <w:tcW w:w="209"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9"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0" w:type="dxa"/>
            <w:tcBorders/>
            <w:shd w:fill="auto" w:val="clear"/>
            <w:vAlign w:val="bottom"/>
          </w:tcPr>
          <w:p>
            <w:pPr>
              <w:pStyle w:val="TableContents"/>
              <w:spacing w:before="0" w:after="0"/>
              <w:ind w:left="0" w:right="0" w:hanging="0"/>
              <w:rPr/>
            </w:pPr>
            <w:r>
              <w:rPr/>
              <w:t> </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9"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05" w:type="dxa"/>
            <w:tcBorders/>
            <w:shd w:fill="auto" w:val="clear"/>
            <w:vAlign w:val="bottom"/>
          </w:tcPr>
          <w:p>
            <w:pPr>
              <w:pStyle w:val="TableContents"/>
              <w:spacing w:before="0" w:after="0"/>
              <w:ind w:left="0" w:right="0" w:hanging="0"/>
              <w:rPr/>
            </w:pPr>
            <w:r>
              <w:rPr/>
              <w:t> </w:t>
            </w:r>
          </w:p>
        </w:tc>
      </w:tr>
      <w:tr>
        <w:trPr/>
        <w:tc>
          <w:tcPr>
            <w:tcW w:w="37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Santa Ynez (at Las Flores)</w:t>
            </w:r>
          </w:p>
        </w:tc>
        <w:tc>
          <w:tcPr>
            <w:tcW w:w="209" w:type="dxa"/>
            <w:tcBorders/>
            <w:shd w:fill="CCEEFF" w:val="clear"/>
            <w:vAlign w:val="bottom"/>
          </w:tcPr>
          <w:p>
            <w:pPr>
              <w:pStyle w:val="TableContents"/>
              <w:spacing w:before="0" w:after="0"/>
              <w:ind w:left="0" w:right="0" w:hanging="0"/>
              <w:rPr/>
            </w:pPr>
            <w:r>
              <w:rPr/>
              <w:t> </w:t>
            </w:r>
          </w:p>
        </w:tc>
        <w:tc>
          <w:tcPr>
            <w:tcW w:w="105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9"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0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9" w:type="dxa"/>
            <w:tcBorders/>
            <w:shd w:fill="CCEEFF" w:val="clear"/>
            <w:vAlign w:val="bottom"/>
          </w:tcPr>
          <w:p>
            <w:pPr>
              <w:pStyle w:val="TableContents"/>
              <w:spacing w:before="0" w:after="0"/>
              <w:ind w:left="0" w:right="0" w:hanging="0"/>
              <w:rPr/>
            </w:pPr>
            <w:r>
              <w:rPr/>
              <w:t> </w:t>
            </w:r>
          </w:p>
        </w:tc>
        <w:tc>
          <w:tcPr>
            <w:tcW w:w="105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05" w:type="dxa"/>
            <w:tcBorders/>
            <w:shd w:fill="CCEEFF" w:val="clear"/>
            <w:vAlign w:val="bottom"/>
          </w:tcPr>
          <w:p>
            <w:pPr>
              <w:pStyle w:val="TableContents"/>
              <w:spacing w:before="0" w:after="0"/>
              <w:ind w:left="0" w:right="0" w:hanging="0"/>
              <w:rPr/>
            </w:pPr>
            <w:r>
              <w:rPr/>
              <w:t> </w:t>
            </w:r>
          </w:p>
        </w:tc>
      </w:tr>
      <w:tr>
        <w:trPr/>
        <w:tc>
          <w:tcPr>
            <w:tcW w:w="379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9" w:type="dxa"/>
            <w:tcBorders/>
            <w:shd w:fill="auto" w:val="clear"/>
            <w:vAlign w:val="bottom"/>
          </w:tcPr>
          <w:p>
            <w:pPr>
              <w:pStyle w:val="TableContents"/>
              <w:spacing w:before="0" w:after="0"/>
              <w:ind w:left="0" w:right="0" w:hanging="0"/>
              <w:rPr/>
            </w:pPr>
            <w:r>
              <w:rPr/>
              <w:t> </w:t>
            </w:r>
          </w:p>
        </w:tc>
        <w:tc>
          <w:tcPr>
            <w:tcW w:w="10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9"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0" w:type="dxa"/>
            <w:tcBorders/>
            <w:shd w:fill="auto" w:val="clear"/>
            <w:vAlign w:val="bottom"/>
          </w:tcPr>
          <w:p>
            <w:pPr>
              <w:pStyle w:val="TableContents"/>
              <w:spacing w:before="0" w:after="0"/>
              <w:ind w:left="0" w:right="0" w:hanging="0"/>
              <w:rPr/>
            </w:pPr>
            <w:r>
              <w:rPr/>
              <w:t> </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09" w:type="dxa"/>
            <w:tcBorders/>
            <w:shd w:fill="auto" w:val="clear"/>
            <w:vAlign w:val="bottom"/>
          </w:tcPr>
          <w:p>
            <w:pPr>
              <w:pStyle w:val="TableContents"/>
              <w:spacing w:before="0" w:after="0"/>
              <w:ind w:left="0" w:right="0" w:hanging="0"/>
              <w:rPr/>
            </w:pPr>
            <w:r>
              <w:rPr/>
              <w:t> </w:t>
            </w:r>
          </w:p>
        </w:tc>
        <w:tc>
          <w:tcPr>
            <w:tcW w:w="10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0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Line 63.</w:t>
      </w:r>
      <w:r>
        <w:rPr>
          <w:rFonts w:ascii="Times New Roman" w:hAnsi="Times New Roman"/>
        </w:rPr>
        <w:t xml:space="preserve">  </w:t>
      </w:r>
      <w:r>
        <w:rPr>
          <w:rFonts w:ascii="Times New Roman" w:hAnsi="Times New Roman"/>
          <w:sz w:val="17"/>
        </w:rPr>
        <w:t>We own a 100% interest in the Line 63 system. The Line 63 system is an intrastate common carrier crude oil pipeline system that transports crude oil produced in the San Joaquin Valley and California OCS to refineries and terminal facilities in the Los Angeles Basin and in Bakersfield. The Line 63 system consists of a 115-mile trunk pipeline (of which 101 miles is 14-inch pipe and 14 miles is 16-inch pipe), originating at our Kelley Pump Station in Kern County, California and terminating at our West Hynes Station in Long Beach, California. The trunk pipeline has a capacity of approximately 110,000 barrels per day. The Line 63 system includes 26 miles of distribution pipelines in the Los Angeles Basin, with a throughput capacity of approximately 144,000 barrels per day, and 188 miles of gathering pipelines in the San Joaquin Valley, with a throughput capacity of approximately 72,000 barrels per day. We also have 25 storage tanks with approximately 1 million barrels of storage capacity on this system. These storage assets are used primarily to facilitate the transportation of crude oil on the Line 63 system.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fourth quarter of 2009, a 71-mile segment of Line 63 was temporarily taken out of service to allow for certain repairs and realignments to be performed.  Line 63 volumes are currently being redirected from the north end of this out-of-service segment to the parallel Line 2000.  The product is then batched along Line 2000 until it is re-injected into the active portion of Line 63, which is south of the out-of-service segment, for subsequent delivery to customers.  This temporary pipeline segment closure and redirection of product has not impacted our normal throughput levels on this line.  For 2009, combined throughput on Line 63 totaled an average of approximately 67,000 barrels per day.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19" w:name="PB_16_122815_7608"/>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Line 2000.</w:t>
      </w:r>
      <w:r>
        <w:rPr>
          <w:rFonts w:ascii="Times New Roman" w:hAnsi="Times New Roman"/>
        </w:rPr>
        <w:t xml:space="preserve">  </w:t>
      </w:r>
      <w:r>
        <w:rPr>
          <w:rFonts w:ascii="Times New Roman" w:hAnsi="Times New Roman"/>
          <w:sz w:val="17"/>
        </w:rPr>
        <w:t>We own and operate 100% of Line 2000, an intrastate common carrier crude oil pipeline that originates at our Emidio Pump Station (part of the All American Pipeline System) and transports crude oil produced in the San Joaquin Valley and California OCS to refineries and terminal facilities in the Los Angeles Basin. Line 2000 is a 130-mile, 20-inch trunk pipeline with a throughput capacity of 130,000 barrels per day. During 2009, throughput on Line 2000 averaged approximately 64,000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US Rocky Mountain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Salt Lake City Area Systems.</w:t>
      </w:r>
      <w:r>
        <w:rPr>
          <w:rFonts w:ascii="Times New Roman" w:hAnsi="Times New Roman"/>
        </w:rPr>
        <w:t xml:space="preserve">  </w:t>
      </w:r>
      <w:r>
        <w:rPr>
          <w:rFonts w:ascii="Times New Roman" w:hAnsi="Times New Roman"/>
          <w:sz w:val="17"/>
        </w:rPr>
        <w:t>We operate the Salt Lake City Area systems, in which we own between 75% and 100% interests. The Salt Lake City Area systems include interstate and intrastate common carrier crude oil pipeline systems that transport crude oil produced in Canada and the U.S. Rocky Mountain region to refiners in Salt Lake City, Utah and to other pipelines at Ft. Laramie, Wyoming. The Salt Lake City Area systems consist of 708 miles of pipelines (including the Wahsatch pipeline discussed below) and storage tanks with a total storage capacity of approximately 1 million barrels. The trunk pipeline originates at Wamsutter, Wyoming and receives deliveries from local trucks and gathering systems and can deliver to Salt Lake City, Utah and Ft. Laramie, Wyoming. The Salt Lake City Area systems have a combined throughput capacity of approximately 120,000 barrels per day to Salt Lake City and 20,000 barrels per day to Ft. Laramie.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fourth quarter of 2008, construction was completed on the 94-mile expansion of the Salt Lake City Area system from the terminus of Frontier Pipeline to Salt Lake City, which has throughput capacity of 120,000 barrels per day and is referred to as the Wahsatch pipeline. This line was placed into service in the first quarter of 2009.  Ten-year transportation contracts have been executed with four Salt Lake City refiners for service on this pipeline. In the first quarter of 2009, we executed an agreement in which we sold a 25% interest in this line to Holly Energy Partners-Operating, L.P. As part of this agreement, Holly Refining and Marketing Company also entered into a 10-year transportation agreement making it the fifth refinery to commit. Plains portion of the total project cost was approximately $228 million. For 2009, throughput on the Salt Lake City Area Systems in total averaged approximately 131,000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US Gulf Coast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Capline Pipeline System.</w:t>
      </w:r>
      <w:r>
        <w:rPr>
          <w:rFonts w:ascii="Times New Roman" w:hAnsi="Times New Roman"/>
        </w:rPr>
        <w:t xml:space="preserve">  </w:t>
      </w:r>
      <w:r>
        <w:rPr>
          <w:rFonts w:ascii="Times New Roman" w:hAnsi="Times New Roman"/>
          <w:sz w:val="17"/>
        </w:rPr>
        <w:t>The Capline Pipeline system is a 632-mile, 40-inch mainline crude oil pipeline originating in St. James, Louisiana, and terminating in Patoka, Illinois. In December 2009, we purchased an additional 21% undivided interest in the Capline Pipeline System. The assets purchased also included a 100% interest in 720,000 barrels of tankage at Patoka, Illinois. We acquired our initial 22% interest in Capline in 2004, and as a result of this transaction, we now have an aggregate undivided joint interest of 43%.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Capline Pipeline system is one of the primary transportation routes for crude oil shipped into the Midwestern U.S., accessing approximately 3 million barrels of refining capacity in PADD II. Shell is the operator of this system through August 2013. Capline has direct connections to a significant amount of crude production in the Gulf of Mexico. In addition, with its two active docks capable of handling 600,000-barrel tankers as well as access to the Louisiana Offshore Oil Port, it is a key transporter of sweet and light sour foreign crude to PADD II. Total system operating capacity is approximately 1 million barrels per day of crude oil, of which approximately 248,000 barrels per day were attributable to our interest during 2009. In connection with the purchase of our additional undivided interest in the system, our attributable interest has increased to approximately 470,000 barrels per day. Throughput on our interest averaged approximately 193,000 barrels per day during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Canada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Rangeland System.</w:t>
      </w:r>
      <w:r>
        <w:rPr>
          <w:rFonts w:ascii="Times New Roman" w:hAnsi="Times New Roman"/>
        </w:rPr>
        <w:t xml:space="preserve">  </w:t>
      </w:r>
      <w:r>
        <w:rPr>
          <w:rFonts w:ascii="Times New Roman" w:hAnsi="Times New Roman"/>
          <w:sz w:val="17"/>
        </w:rPr>
        <w:t xml:space="preserve">We own a 100% interest in the Rangeland system, which includes the Mid Alberta Pipeline (MAPL) and the Rangeland Pipeline.  The Rangeland system consists of a 592 mile, 8-inch to16-inch mainline pipeline and 660 miles of 3-inch to 8-inch gathering pipelines.  Rangeland transports butane, condensate, light sweet crude and light sour crude either north to Edmonton, Alberta via third-party pipeline connections or south to the U.S./Canadian border near Cutbank, Montana, where it connects to our Western Corridor system.   Currently, MAPL originates in Edmonton, Alberta and terminates in Sundre, Alberta where it connects to the Rangeland Pipeline.  We plan to reverse MAPL allowing for flow from Rangelands Sundre terminal directly to Edmonton.  During 2009, we acquired the Valley and Cremona pipeline systems which are included in the 660 miles of gathering pipeline.  These acquisitions expanded our gathering system in central Alberta and bring us closer to providing single pipeline access to the Edmonton market. During 2009, Plains built and commissioned 240,000 barrels of tankage bringing our storage capability at Edmonton to 320,000 barrels.  Total average throughput during 2009 on the Rangeland system was approximately 53,000 barrels per day.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0" w:name="PB_17_122828_8146"/>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System.</w:t>
      </w:r>
      <w:r>
        <w:rPr>
          <w:rFonts w:ascii="Times New Roman" w:hAnsi="Times New Roman"/>
        </w:rPr>
        <w:t xml:space="preserve">  </w:t>
      </w:r>
      <w:r>
        <w:rPr>
          <w:rFonts w:ascii="Times New Roman" w:hAnsi="Times New Roman"/>
          <w:sz w:val="17"/>
        </w:rPr>
        <w:t>We own a 100% interest in the Rainbow system. The Rainbow system consists of a 480-mile, 20-inch to 24-inch mainline crude oil pipeline extending from the Norman Wells Pipeline located in Zama, Alberta to Edmonton, Alberta and 114 miles of gathering pipelines. During 2009, we added a heavy oil truck terminal at Nipisi, Alberta to provide producers with additional access to Rainbow. The system has a throughput capacity of approximately 200,000 barrels per day and transported approximately 183,000 barrels per day during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Manito.</w:t>
      </w:r>
      <w:r>
        <w:rPr>
          <w:rFonts w:ascii="Times New Roman" w:hAnsi="Times New Roman"/>
        </w:rPr>
        <w:t xml:space="preserve">  </w:t>
      </w:r>
      <w:r>
        <w:rPr>
          <w:rFonts w:ascii="Times New Roman" w:hAnsi="Times New Roman"/>
          <w:sz w:val="17"/>
        </w:rPr>
        <w:t>We own a 100% interest in the Manito heavy oil system. This 554-mile system is comprised of the Manito pipeline, the North Sask pipeline and the Bodo/Cactus Lake pipeline. The North Sask pipeline is 84 miles in length and originates near Turtleford, Saskatchewan and terminates in Dulwich, Saskatchewan. The Manito pipeline includes 334 miles of pipeline, the mainline segment originates at Dulwich and terminates at Kerrobert, Saskatchewan. The Bodo/Cactus Lake pipeline is 136 miles long and originates in Bodo, Alberta and also terminates at our Kerrobert storage facility. The Kerrobert storage and terminalling facility is connected to the Enbridge pipeline system. For 2009, approximately 63,000 barrels per day of crude oil were transported on the Manito system.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 Revenues generated in this segment include (i) storage fees that are generated when we lease storage capacity, (ii) terminalling fees, or throughput fees, that are generated when we receive crude oil, refined products, LPG or natural gas from one connecting pipeline and redeliver the applicable product to another connecting carrier, (iii) hub service fees for the movement of natural gas across our header systems, and (iv) fees from LPG fractionation and isomerization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we owned, operated and employed a variety of long-term physical assets throughout the United States and Canada in this segment, including: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51 million barrels of crude oil and refined products capacity primarily at our terminalling and storage 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6 million barrels of LPG storage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40 Bcf of natural gas storage capacity;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9 Bcf of base gas in storage facilities owned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fractionation plant in Canada with a processing capacity of 4,400 barrels per day, and a fractionation and isomerization facility in California with an aggregate processing capacity of 22,500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As of December 31, 2009, we were in the process of constructing approximately 7 million barrels of additional above-ground crude oil and refined product terminalling and storage capacities and an</w:t>
      </w:r>
      <w:r>
        <w:rPr>
          <w:rFonts w:ascii="Times New Roman" w:hAnsi="Times New Roman"/>
        </w:rPr>
        <w:t xml:space="preserve"> </w:t>
      </w:r>
      <w:r>
        <w:rPr>
          <w:rFonts w:ascii="Times New Roman" w:hAnsi="Times New Roman"/>
          <w:sz w:val="17"/>
        </w:rPr>
        <w:t>additional 31 Bcf of high-deliverability salt-cavern natural gas storage capacity.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1" w:name="PB_18_122839_7091"/>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is a tabular presentation of our active facilities segment assets in the United States and Canada as of December 31, 2009, grouped by product type:</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042"/>
        <w:gridCol w:w="206"/>
        <w:gridCol w:w="1854"/>
        <w:gridCol w:w="103"/>
      </w:tblGrid>
      <w:tr>
        <w:trPr/>
        <w:tc>
          <w:tcPr>
            <w:tcW w:w="804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Facility</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854"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Capacity</w:t>
              <w:br/>
            </w:r>
            <w:r>
              <w:rPr>
                <w:b/>
                <w:sz w:val="13"/>
              </w:rPr>
              <w:t>(in millions of barrels,</w:t>
              <w:br/>
              <w:t>except where noted)</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Crude Oil and Refined Products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Cushing</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Kerrobert</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LA Basin</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Martinez and Richmond</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Mobile and Ten Mile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Patoka</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Philadelphia Area</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St. James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Other</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Subtotal</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51</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LPG</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Bumstead</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Tirzah</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Other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bottom w:val="single" w:sz="8"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Subtotal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6</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Natural Gas</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8042" w:type="dxa"/>
            <w:tcBorders/>
            <w:shd w:fill="auto"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Pine Prairie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85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 Bcf</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8042" w:type="dxa"/>
            <w:tcBorders/>
            <w:shd w:fill="CCEEFF" w:val="clear"/>
            <w:tcMar>
              <w:bottom w:w="0" w:type="dxa"/>
            </w:tcM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Bluewater/Kimball</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85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26 Bcf</w:t>
            </w:r>
          </w:p>
        </w:tc>
        <w:tc>
          <w:tcPr>
            <w:tcW w:w="10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discussion below contains a detailed description of our more significant facilities segment assets.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Major Facilities Assets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Cushing Terminal.</w:t>
      </w:r>
      <w:r>
        <w:rPr>
          <w:rFonts w:ascii="Times New Roman" w:hAnsi="Times New Roman"/>
        </w:rPr>
        <w:t xml:space="preserve">  </w:t>
      </w:r>
      <w:r>
        <w:rPr>
          <w:rFonts w:ascii="Times New Roman" w:hAnsi="Times New Roman"/>
          <w:sz w:val="17"/>
        </w:rPr>
        <w:t>Our Cushing, Oklahoma Terminal (the Cushing Terminal) is located at the Cushing Interchange,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facility is designed to handle multiple grades of crude oil while minimizing the interface and enabling deliveries to connecting carriers at their maximum rate. The facility also incorporates numerous environmental and operational safeguards that distinguish it from other facilities at the Cushing Interchange.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1999, we have completed six separate expansion phases, which increased the capacity of the Cushing Terminal to a total of approximately 11 million barrels. See Crude Oil Storage Facilities Under Construction and Under Development below for discussion of ongoing expansion activities at this facility.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Kerrobert Terminal.</w:t>
      </w:r>
      <w:r>
        <w:rPr>
          <w:rFonts w:ascii="Times New Roman" w:hAnsi="Times New Roman"/>
        </w:rPr>
        <w:t xml:space="preserve">  </w:t>
      </w:r>
      <w:r>
        <w:rPr>
          <w:rFonts w:ascii="Times New Roman" w:hAnsi="Times New Roman"/>
          <w:sz w:val="17"/>
        </w:rPr>
        <w:t>We own a crude oil and condensate storage and terminalling facility, which is located near Kerrobert, Saskatchewan and is connected to our Manito and Cactus Lake pipeline systems. In 2008, we commenced a project at the Kerrobert terminal, which provides receipt access to heavy oil from the Enbridge system and increases delivery capacity while reducing third-party costs. The cost of the project is estimated to be approximately $42 million, of which approximately $33 million was incurred in 2009. The total storage capacity at the Kerrobert terminal is approximately 1 million barrels.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L.A. Basin.</w:t>
      </w:r>
      <w:r>
        <w:rPr>
          <w:rFonts w:ascii="Times New Roman" w:hAnsi="Times New Roman"/>
        </w:rPr>
        <w:t xml:space="preserve">  </w:t>
      </w:r>
      <w:r>
        <w:rPr>
          <w:rFonts w:ascii="Times New Roman" w:hAnsi="Times New Roman"/>
          <w:sz w:val="17"/>
        </w:rPr>
        <w:t xml:space="preserve">We own five crude oil and refined product storage facilities in the Los Angeles area with a total of 10 million barrels of storage capacity and a distribution pipeline system of approximately 70 miles of pipeline in the Los Angeles Basin. Approximately 9 million barrels of the storage capacity are used for commercial service and 1 million barrels are used primarily for throughput to other storage tanks and for displacement oil and do not generate revenue independently. We use the Los Angeles area storage and distribution system to service the storage and distribution needs of the refining, pipeline and marine terminal industries in the Los Angeles Basin. The Los Angeles area systems pipeline distribution assets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2" w:name="PB_19_123725_4141"/>
      <w:bookmarkEnd w:id="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connect its storage assets with major refineries, our Line 2000 pipeline, and third-party pipelines and marine terminals in the Los Angeles Basin. The system is capable of loading and off-loading marine shipments at a rate of 25,000 barrels per hour and transporting the product directly to or from certain refineries, other pipelines or its storage facilities. In addition, we can deliver crude oil and feedstocks from our storage facilities to the refineries served by this system at rates of up to 6,000 barrels per hour.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Martinez and Richmond Terminals.</w:t>
      </w:r>
      <w:r>
        <w:rPr>
          <w:rFonts w:ascii="Times New Roman" w:hAnsi="Times New Roman"/>
        </w:rPr>
        <w:t xml:space="preserve">  </w:t>
      </w:r>
      <w:r>
        <w:rPr>
          <w:rFonts w:ascii="Times New Roman" w:hAnsi="Times New Roman"/>
          <w:sz w:val="17"/>
        </w:rPr>
        <w:t>We own two terminals in the San Francisco, California area: a terminal at Martinez (which provides refined product and crude oil service) and a terminal at Richmond (which provides refined product service). Our San Francisco area terminals have approximately 5 million barrels of combined storage capacity that are connected to area refineries through a network of owned and third-party pipelines that carry crude oil and refined products to and from area refineries. The terminals have dock facilities that can load between approximately 4,000 and 10,000 barrels per hour of refined products. There is also a rail spur at the Richmond terminal that is able to receive products by train.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Mobile and Ten Mile Terminal.</w:t>
      </w:r>
      <w:r>
        <w:rPr>
          <w:rFonts w:ascii="Times New Roman" w:hAnsi="Times New Roman"/>
        </w:rPr>
        <w:t xml:space="preserve">  </w:t>
      </w:r>
      <w:r>
        <w:rPr>
          <w:rFonts w:ascii="Times New Roman" w:hAnsi="Times New Roman"/>
          <w:sz w:val="17"/>
        </w:rPr>
        <w:t>We have a marine terminal in Mobile, Alabama (the Mobile Terminal) that has current useable capacity of approximately 2 million barrels. Approximately 3 million barrels of additional storage capacity is available at our nearby Ten Mile Facility through a 36-inch pipeline connecting the two facilities, of which approximately half of the storage capacity is included within the 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Mobile Terminal is equipped with a ship/tanker dock, barge dock, truck unloading facilities and various third party connections for crude oil movements to area refiners. Additionally, the Mobile Terminal serves as a source for imports of foreign crude oil to PADD II refiners through our Mississippi/Alabama pipeline system, which connects to the Capline System at our station in Liberty, Mississippi.</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Patoka Terminal.</w:t>
      </w:r>
      <w:r>
        <w:rPr>
          <w:rFonts w:ascii="Times New Roman" w:hAnsi="Times New Roman"/>
        </w:rPr>
        <w:t xml:space="preserve">  </w:t>
      </w:r>
      <w:r>
        <w:rPr>
          <w:rFonts w:ascii="Times New Roman" w:hAnsi="Times New Roman"/>
          <w:sz w:val="17"/>
        </w:rPr>
        <w:t>Our Patoka Terminal has approximately 3 million barrels of storage capacity and the associated manifold and header system at the Patoka Interchange located in southern Illinois.  We anticipate Patoka to be a growing regional hub with access to domestic and foreign crude oil volumes moving north on the Capline system as well as Canadian barrels moving south. This project will have the ability to be expanded should market conditions warrant. See Crude Oil Storage Facilities Under Construction and Under Development below for discussion of ongoing expansion activities at this facility.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Philadelphia Area Terminals.</w:t>
      </w:r>
      <w:r>
        <w:rPr>
          <w:rFonts w:ascii="Times New Roman" w:hAnsi="Times New Roman"/>
        </w:rPr>
        <w:t xml:space="preserve">  </w:t>
      </w:r>
      <w:r>
        <w:rPr>
          <w:rFonts w:ascii="Times New Roman" w:hAnsi="Times New Roman"/>
          <w:sz w:val="17"/>
        </w:rPr>
        <w:t>We own four refined product terminals in the Philadelphia, Pennsylvania area. Our Philadelphia area terminals have a combined storage capacity of approximately 4 million barrels. The terminals have 20 truck loading lanes, two barge docks and a ship dock. The Philadelphia area terminals provide services and products to all of the refiners in the Philadelphia harbor, and include two dock facilities that can load approximately 10,000 to 12,000 barrels per hour of refined products and black oils (heavy crude oils). The Philadelphia area terminals also receive products from connecting pipelines and offer truck loading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 James Terminal.</w:t>
      </w:r>
      <w:r>
        <w:rPr>
          <w:rFonts w:ascii="Times New Roman" w:hAnsi="Times New Roman"/>
        </w:rPr>
        <w:t xml:space="preserve">  </w:t>
      </w:r>
      <w:r>
        <w:rPr>
          <w:rFonts w:ascii="Times New Roman" w:hAnsi="Times New Roman"/>
          <w:sz w:val="17"/>
        </w:rPr>
        <w:t>We have approximately 6 million barrels of crude oil storage capacity at the St. James crude oil interchange in Louisiana, which is one of the three most liquid crude oil interchanges in the United States.  The facility also includes a manifold and header system that allows for receipts and deliveries with connecting pipelines at their maximum operating capacity. During the fourth quarter of 2009, we also substantially completed construction of a marine dock that is able to receive both barges and tankers. We are currently able to receive barges and will bring the dock into full service for tankers during the first quarter of 2010.  See Crude Oil Storage Facilities Under Construction and Under Development below for discussion of ongoing expansion activities at this facility.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Crude Oil Storage Facilities Under Construction and Under Development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Cushing Terminal &amp; Mid-Continent Area.</w:t>
      </w:r>
      <w:r>
        <w:rPr>
          <w:rFonts w:ascii="Times New Roman" w:hAnsi="Times New Roman"/>
        </w:rPr>
        <w:t xml:space="preserve">  </w:t>
      </w:r>
      <w:r>
        <w:rPr>
          <w:rFonts w:ascii="Times New Roman" w:hAnsi="Times New Roman"/>
          <w:sz w:val="17"/>
        </w:rPr>
        <w:t>During 2009, we began construction on additional crude oil tankage at our Cushing Terminal. The project included the construction of approximately 2 million barrels of storage that is projected to be completed during 2010. This expansion is supported by long-term customer commitments. As of December 31, 2009, we have spent approximately $25 million towards this project out of a total estimated cost of approximately $42 million.  In addition, late in 2009 we approved the construction of approximately 1 million barrels of storage capacity at our Cushing Terminal, which has an anticipated total cost of approximately $18 million, and another approximately 1 million barrels of storage capacity at our Wichita Falls, Texas facility at a cost of approximately $13 million.  These expansions are expected to be completed in 2011 and are supported by long-term customer 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Patoka &amp; St. James Terminals and Dock.</w:t>
      </w:r>
      <w:r>
        <w:rPr>
          <w:rFonts w:ascii="Times New Roman" w:hAnsi="Times New Roman"/>
        </w:rPr>
        <w:t xml:space="preserve">  </w:t>
      </w:r>
      <w:r>
        <w:rPr>
          <w:rFonts w:ascii="Times New Roman" w:hAnsi="Times New Roman"/>
          <w:sz w:val="17"/>
        </w:rPr>
        <w:t xml:space="preserve">During 2009, we began construction on light-product storage tankage at the Patoka and St. James terminal locations. These projects will include the construction of 600,000 barrels of storage capacity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23" w:name="PB_20_123743_8627"/>
      <w:bookmarkEnd w:id="2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Patoka terminal and 900,000 barrels of storage capacity at the St. James terminal. This new tankage will be completed in 2010 and complements the marine dock that is near completion at the St. James location. The cost of the project at the St. James terminal in aggregate is estimated to be approximately $132 million. Additionally, the expansion of our Patoka Terminal with approximately 800,000 barrels of additional storage capacity for crude oil service has been approved and will be completed in 2011 at an approximate cost of $28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Pier 400.</w:t>
      </w:r>
      <w:r>
        <w:rPr>
          <w:rFonts w:ascii="Times New Roman" w:hAnsi="Times New Roman"/>
        </w:rPr>
        <w:t xml:space="preserve">  </w:t>
      </w:r>
      <w:r>
        <w:rPr>
          <w:rFonts w:ascii="Times New Roman" w:hAnsi="Times New Roman"/>
          <w:sz w:val="17"/>
        </w:rPr>
        <w:t>For a number of years, we or our predecessors have been involved in an effort to develop a deepwater petroleum import terminal at Pier 400 and Terminal Island in the Port of Los Angeles to handle marine receipts of crude oil and refinery feedstocks. As currently envisioned, the project would include a deep water berth, high capacity transfer infrastructure and storage tanks, with a pipeline distribution system that will connect to various customers.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2004, 2005 and 2007, we entered into or modified agreements with refiners in the Los Angeles Basin that provide long-term customer commitments to off-load a total of 200,000 barrels per day of crude oil at the Pier 400 dock. The agreements are subject to satisfaction of various conditions, such as the achievement of various progress milestones, financing, continued economic viability and completion of other ancillary agreements related to the project.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Due primarily to regulatory processes and delays, we did not meet certain project milestone dates and other economic conditions set forth in our agreements with our customers, and we could not meet certain key conditions in each of our agreements. As of the end of 2009, we have formally cancelled two of three agreements and are in the process of canceling a third agreement. We are in discussions with each of the three key customers and are working on developing new replacement agreements that reflect revised terms and conditions and a downsized initial project.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project is subject to regulation by a number of state, local and federal agencies and regulatory bodies. The regulatory processes are complex and interrelated with our customer negotiations. These regulatory bodies include the Los Angeles Board of Harbor Commissioners, the South Coast Air Quality Management District, various departments of the City of Los Angeles, the Port of Los Angeles, the Los Angeles City Council and the U.S. Army Corps of Engineers. In addition, final construction of the Pier 400 project is subject to the completion and execution of a land lease (that may also require a dock construction agreement) with the Port of Los Angeles, satisfaction of environmental permit requirements and receipt of other approvals.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project Environmental Impact Report (EIR) was approved by the Board of Harbor Commissioners of the Port of Los Angeles on November 20, 2008 and subsequently, through the denial of an appeal of the Harbor Commission action, by the Los Angeles City Council on April 15, 2009.  On May 15, 2009 a Petition for Writ of Mandate alleging a violation of the California Environmental Quality Act (CEQA) and violation of the Los Angeles municipal code and charter was filed in the Los Angeles Superior Court against the City of Los Angeles, the Port of Los Angeles, the Los Angeles Board of Harbor Commissioners and Pacific L. A. Marine Terminal LLC (PLAMT).  This issue was formally heard by the court on January 15, 2010 and a final ruling was issued in favor of the respondents on January 19, 2010.  All remaining permits and legal agreements related to the project are expected to be finalized in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estimated cost of the project has increased significantly during the regulatory approval process due to increased service and supply costs of the original project, changes in scope of the project to meet long-term objectives of the various regulatory bodies and incremental costs associated with adapting to environmental safeguards, requirements and protections required by the governing bodies. We have reduced the scope of the project and have completed an updated cost estimate for the Pier 400 project, and based on conditions existing in late 2009 we estimate that the project will cost approximately $445 million (plus, potentially, an amount for dock construction) to complete, including $76 million of costs associated with emission reduction credits and development and engineering costs incurred to date and $63 million of estimated capitalized interest to be incurred during the construction period. This estimate is subject to change depending on various factors, including the final scope of the project and the requirements imposed through the permitting process. This cost estimate assumes the construction of 1.5 million barrels of storage.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LPG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Bumstead.</w:t>
      </w:r>
      <w:r>
        <w:rPr>
          <w:rFonts w:ascii="Times New Roman" w:hAnsi="Times New Roman"/>
        </w:rPr>
        <w:t xml:space="preserve">  </w:t>
      </w:r>
      <w:r>
        <w:rPr>
          <w:rFonts w:ascii="Times New Roman" w:hAnsi="Times New Roman"/>
          <w:sz w:val="17"/>
        </w:rPr>
        <w:t>The Bumstead facility is located at a major rail transit point near Phoenix, Arizona. With 133 million gallons of working capacity (approximately 100 million gallons, or approximately 2 million barrels, of useable capacity), the facilitys primary assets include three salt-dome storage caverns, a 24-car rail rack and six truck racks.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2010, we intend to begin upgrading and improving our Bumstead LPG storage facility, which will increase the capacity by approximately 700,000 barrels.  This project is expected to be completed late in 2010 at a cost of approximately $17 million.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24" w:name="PB_21_123753_7906"/>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Tirzah.</w:t>
      </w:r>
      <w:r>
        <w:rPr>
          <w:rFonts w:ascii="Times New Roman" w:hAnsi="Times New Roman"/>
        </w:rPr>
        <w:t xml:space="preserve">  </w:t>
      </w:r>
      <w:r>
        <w:rPr>
          <w:rFonts w:ascii="Times New Roman" w:hAnsi="Times New Roman"/>
          <w:sz w:val="17"/>
        </w:rPr>
        <w:t>The Tirzah facility is located in South Carolina and has an underground granite storage cavern with approximately 1 million barrels of capacity and is connected to the Dixie Pipeline System (a third-party system) via our 62-mile pipeline.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LPG Processing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Shafter.</w:t>
      </w:r>
      <w:r>
        <w:rPr>
          <w:rFonts w:ascii="Times New Roman" w:hAnsi="Times New Roman"/>
        </w:rPr>
        <w:t xml:space="preserve">  </w:t>
      </w:r>
      <w:r>
        <w:rPr>
          <w:rFonts w:ascii="Times New Roman" w:hAnsi="Times New Roman"/>
          <w:sz w:val="17"/>
        </w:rPr>
        <w:t>Our Shafter facility located near Bakersfield, California provides isomerization and fractionation services to producers and customers of natural gas liquids (NGL). The primary assets consist of 200,000 barrels of NGL storage and a processing facility with butane isomerization capacity of 14,000 barrels per day and NGL fractionation capacity of 8,500 barrels per day.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Natural Gas Storage Facilities</w:t>
      </w:r>
    </w:p>
    <w:p>
      <w:pPr>
        <w:pStyle w:val="TextBody"/>
        <w:spacing w:before="0" w:after="0"/>
        <w:ind w:left="0" w:right="0" w:hanging="0"/>
        <w:rPr/>
      </w:pPr>
      <w:r>
        <w:rPr/>
        <w:t> </w:t>
      </w:r>
    </w:p>
    <w:p>
      <w:pPr>
        <w:pStyle w:val="TextBody"/>
        <w:shd w:fill="FFFFFF" w:val="clear"/>
        <w:spacing w:before="0" w:after="0"/>
        <w:ind w:left="0" w:right="0" w:hanging="0"/>
        <w:rPr>
          <w:rFonts w:ascii="Times New Roman" w:hAnsi="Times New Roman"/>
        </w:rPr>
      </w:pPr>
      <w:r>
        <w:rPr>
          <w:rFonts w:ascii="Times New Roman" w:hAnsi="Times New Roman"/>
          <w:i/>
          <w:sz w:val="17"/>
        </w:rPr>
        <w:t>Pine Prairie.</w:t>
      </w:r>
      <w:r>
        <w:rPr>
          <w:rFonts w:ascii="Times New Roman" w:hAnsi="Times New Roman"/>
        </w:rPr>
        <w:t>  </w:t>
      </w:r>
      <w:r>
        <w:rPr>
          <w:rFonts w:ascii="Times New Roman" w:hAnsi="Times New Roman"/>
          <w:sz w:val="17"/>
        </w:rPr>
        <w:t>As a strategically located, high-deliverability storage facility, Pine Prairie has attracted customers whose storage needs include both traditional seasonal storage services and short-term storage services. Pine Prairie is located northwest of Lafayette, Louisiana and is strategically positioned relative to several major market hubs, including:</w:t>
      </w:r>
    </w:p>
    <w:p>
      <w:pPr>
        <w:pStyle w:val="TextBody"/>
        <w:shd w:fill="FFFFFF" w:val="clear"/>
        <w:spacing w:before="0" w:after="0"/>
        <w:ind w:left="0" w:right="0" w:hanging="0"/>
        <w:rPr/>
      </w:pPr>
      <w:r>
        <w:rPr/>
        <w:t> </w:t>
      </w:r>
    </w:p>
    <w:p>
      <w:pPr>
        <w:pStyle w:val="TextBody"/>
        <w:shd w:fill="FFFFFF" w:val="clear"/>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Henry Hub, which is the delivery point for NYMEX natural gas futures contracts and is located approximately 50 miles to the southeast of Pine Prairie;</w:t>
      </w:r>
    </w:p>
    <w:p>
      <w:pPr>
        <w:pStyle w:val="TextBody"/>
        <w:shd w:fill="FFFFFF" w:val="clear"/>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Carthage Hub in east Texas, which is located approximately 150 miles northwest of Pine Prairie; and</w:t>
      </w:r>
    </w:p>
    <w:p>
      <w:pPr>
        <w:pStyle w:val="TextBody"/>
        <w:shd w:fill="FFFFFF" w:val="clear"/>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Perryville Hub in north Louisiana, which is located approximately 130 miles north of Pine Prairie.</w:t>
      </w:r>
    </w:p>
    <w:p>
      <w:pPr>
        <w:pStyle w:val="TextBody"/>
        <w:shd w:fill="FFFFFF" w:val="clear"/>
        <w:spacing w:before="0" w:after="0"/>
        <w:ind w:left="0" w:right="0" w:hanging="0"/>
        <w:rPr/>
      </w:pPr>
      <w:r>
        <w:rPr/>
        <w:t> </w:t>
      </w:r>
    </w:p>
    <w:p>
      <w:pPr>
        <w:pStyle w:val="TextBody"/>
        <w:shd w:fill="FFFFFF" w:val="clear"/>
        <w:spacing w:before="0" w:after="0"/>
        <w:ind w:left="0" w:right="0" w:hanging="0"/>
        <w:rPr>
          <w:rFonts w:ascii="Times New Roman" w:hAnsi="Times New Roman"/>
          <w:sz w:val="17"/>
        </w:rPr>
      </w:pPr>
      <w:r>
        <w:rPr>
          <w:rFonts w:ascii="Times New Roman" w:hAnsi="Times New Roman"/>
          <w:sz w:val="17"/>
        </w:rPr>
        <w:t>Pine Prairies pipeline header system, which includes an aggregate of 74 miles of 24-inch diameter pipe located within a 20-mile radius of Pine Prairie, is directly connected to eight large-diameter interstate pipelines through nine interconnects that service both conventional and unconventional natural gas production in Texas and Louisiana, including production from existing and emerging shale plays, as well as Gulf of Mexico production and LNG imports. These interconnects also provide direct or indirect access to each of the market hubs described above and to consumer and industrial markets in the Gulf Coast, Midwest, Northeast and Southeast regions of the United States. This interconnectivity, combined with existing compression capacity and approximately 50 MMcf per day of leased third-party pipeline transportation capacity as of December 31, 2009, gives Pine Prairie the operational flexibility to receive from and deliver to multiple pipelines simultaneously.</w:t>
      </w:r>
    </w:p>
    <w:p>
      <w:pPr>
        <w:pStyle w:val="TextBody"/>
        <w:shd w:fill="FFFFFF" w:val="clear"/>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Pine Prairie began commercial operations in October 2008 and currently has 14 Bcf of working gas storage capacity in two caverns, and planned expansions that will increase Pine Prairies total capacity to 42 Bcf by mid-2012 and 45 Bcf by mid-2015, making it one of the largest high-deliverability salt-cavern natural gas storage facilities in North America. Subject to market demand, project execution, sufficient pipeline capacity, available financing and receipt of future permits, we have the property rights and operational capacity to expand our Pine Prairie facility significantly beyond our current permitted capacity of 48 Bcf.</w:t>
      </w:r>
    </w:p>
    <w:p>
      <w:pPr>
        <w:pStyle w:val="TextBody"/>
        <w:spacing w:before="0" w:after="0"/>
        <w:ind w:left="0" w:right="0" w:hanging="0"/>
        <w:rPr/>
      </w:pPr>
      <w:r>
        <w:rPr/>
        <w:t> </w:t>
      </w:r>
    </w:p>
    <w:p>
      <w:pPr>
        <w:pStyle w:val="TextBody"/>
        <w:shd w:fill="FFFFFF" w:val="clear"/>
        <w:spacing w:before="0" w:after="0"/>
        <w:ind w:left="0" w:right="0" w:hanging="0"/>
        <w:rPr>
          <w:rFonts w:ascii="Times New Roman" w:hAnsi="Times New Roman"/>
        </w:rPr>
      </w:pPr>
      <w:r>
        <w:rPr>
          <w:rFonts w:ascii="Times New Roman" w:hAnsi="Times New Roman"/>
          <w:i/>
          <w:sz w:val="17"/>
        </w:rPr>
        <w:t>Bluewater.</w:t>
      </w:r>
      <w:r>
        <w:rPr>
          <w:rFonts w:ascii="Times New Roman" w:hAnsi="Times New Roman"/>
        </w:rPr>
        <w:t xml:space="preserve">   </w:t>
      </w:r>
      <w:r>
        <w:rPr>
          <w:rFonts w:ascii="Times New Roman" w:hAnsi="Times New Roman"/>
          <w:sz w:val="17"/>
        </w:rPr>
        <w:t>The Bluewater gas storage facility is located in the State of Michigan, which contains more natural gas storage capacity than any other state in the U.S., and primarily services seasonal storage needs throughout the Midwest and Northeast portions of the U.S. and the Southeast portion of Canada. Bluewaters 30-mile, 20-inch diameter pipeline header system is supported by 13,350 horsepower of compression and is connected to three interstate and three intrastate natural gas pipelines that provide access to the major market hubs of Chicago, Illinois and Dawn, Ontario, which supply natural gas to eastern Ontario and the northeastern United States. These interconnects also provide access to natural gas utilities that serve local markets in Michigan and Ontario.</w:t>
      </w:r>
    </w:p>
    <w:p>
      <w:pPr>
        <w:pStyle w:val="TextBody"/>
        <w:shd w:fill="FFFFFF" w:val="clear"/>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Bluewater has total working gas storage capacity of approximately 26 Bcf in two depleted reservoirs and we expect to increase Bluewaters working gas capacity by 2 Bcf ratably over a 10-year period beginning in 2011. Bluewater also leases third-party storage capacity and pipeline transportation capacity from time to time to increase its operational flexibility and enhance its service offerings. As of December 31, 2009, we had leased approximately 3 Bcf of additional capacity at third-party natural gas storage facilities as well as 329 MMcf per day of related pipeline transportation capacity.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supply and logistics segment operations generally consist of the following merchant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25" w:name="PB_22_123909_3736"/>
      <w:bookmarkEnd w:id="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and the bulk purchase of crude oil at pipeline and terminal facilities, as well as the purchase of foreign cargoes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refined products and LPG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refined products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refined products and LPG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the majority of activities that are carried out within our supply and logistics segment are counter-cyclically balanced to produce a stable baseline of results in a variety of market conditions, while at the same time providing upside potential associated with opportunities inherent in volatile market conditions. These activities utilize storage facilities at major interchange and terminalling locations and various hedging strategies to provide a counter-cyclical balance. 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 See Crude Oil Volatility; Counter-Cyclical Balance; Risk Management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pre-defined inventory positions, our policy is generally (i) to purchase only product for which we have a market, (ii) to structure our sales contracts so that price fluctuations do not materially affect the segment profit we receive, and (iii) not to acquire and hold physical inventory, futures contracts or other derivative products for the purpose of speculating on outright commodity price changes.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substantial working inventories associated with its merchant activities, as of December 31, 2009, our supply and logistics segment also owned significant volumes of crude oil and LPG classified as long-term assets for linefill or minimum inventory requirements under service arrangements with transportation carriers and terminalling providers. The supply and logistics segment also employs a variety of owned or leased physical assets throughout the United States and Canada, including approximately: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10 million barrels of crude oil and LPG linefill in pipelines owned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2 million barrels of crude oil and LPG linefill in pipelines owned by third parties and other long-term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522 trucks and 630 trailers;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1,473 railcars.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its operations, the supply and logistics segment secures transportation and facilities services from our other two segments as well as third-party service providers under month-to-month and multi-year arrangements. Intersegment sales are based on posted tariff rates, rates similar to those charged to third parties or rates that we believe approximate market rates. However, certain terminalling and storage rates recognized within our facilities segment are discounted to our supply and logistics segment to reflect the fact that these services may be canceled on short notice to enable the facilities segment to provide services to third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purchase crude oil and LPG from multiple producers and believe that we have established long-term, broad-based relationships with the crude oil and LPG producers in our areas of operations. Supply and logistics activities involve relatively large volumes of transactions, often with lower overall margins than transportation and facilities operations. Supply and logistics activities for LPG typically consist of smaller volumes per transaction relative to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shows the average daily volume of our supply and logistics activities for the year ended December 31, 2009 (in thousands of barrels per day):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26" w:name="PB_23_123921_8715"/>
      <w:bookmarkEnd w:id="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660"/>
        <w:gridCol w:w="206"/>
        <w:gridCol w:w="1237"/>
        <w:gridCol w:w="102"/>
      </w:tblGrid>
      <w:tr>
        <w:trPr/>
        <w:tc>
          <w:tcPr>
            <w:tcW w:w="8660"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2" w:type="dxa"/>
            <w:tcBorders/>
            <w:shd w:fill="auto" w:val="clear"/>
            <w:vAlign w:val="bottom"/>
          </w:tcPr>
          <w:p>
            <w:pPr>
              <w:pStyle w:val="TableContents"/>
              <w:spacing w:before="0" w:after="0"/>
              <w:ind w:left="0" w:right="0" w:hanging="0"/>
              <w:jc w:val="center"/>
              <w:rPr/>
            </w:pPr>
            <w:r>
              <w:rPr/>
              <w:t> </w:t>
            </w:r>
          </w:p>
        </w:tc>
      </w:tr>
      <w:tr>
        <w:trPr/>
        <w:tc>
          <w:tcPr>
            <w:tcW w:w="86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102" w:type="dxa"/>
            <w:tcBorders/>
            <w:shd w:fill="CCEEFF" w:val="clear"/>
            <w:vAlign w:val="bottom"/>
          </w:tcPr>
          <w:p>
            <w:pPr>
              <w:pStyle w:val="TableContents"/>
              <w:spacing w:before="0" w:after="0"/>
              <w:ind w:left="0" w:right="0" w:hanging="0"/>
              <w:rPr/>
            </w:pPr>
            <w:r>
              <w:rPr/>
              <w:t> </w:t>
            </w:r>
          </w:p>
        </w:tc>
      </w:tr>
      <w:tr>
        <w:trPr/>
        <w:tc>
          <w:tcPr>
            <w:tcW w:w="86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206"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2" w:type="dxa"/>
            <w:tcBorders/>
            <w:shd w:fill="auto" w:val="clear"/>
            <w:vAlign w:val="bottom"/>
          </w:tcPr>
          <w:p>
            <w:pPr>
              <w:pStyle w:val="TableContents"/>
              <w:spacing w:before="0" w:after="0"/>
              <w:ind w:left="0" w:right="0" w:hanging="0"/>
              <w:rPr/>
            </w:pPr>
            <w:r>
              <w:rPr/>
              <w:t> </w:t>
            </w:r>
          </w:p>
        </w:tc>
      </w:tr>
      <w:tr>
        <w:trPr/>
        <w:tc>
          <w:tcPr>
            <w:tcW w:w="86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6"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2" w:type="dxa"/>
            <w:tcBorders/>
            <w:shd w:fill="CCEEFF" w:val="clear"/>
            <w:vAlign w:val="bottom"/>
          </w:tcPr>
          <w:p>
            <w:pPr>
              <w:pStyle w:val="TableContents"/>
              <w:spacing w:before="0" w:after="0"/>
              <w:ind w:left="0" w:right="0" w:hanging="0"/>
              <w:rPr/>
            </w:pPr>
            <w:r>
              <w:rPr/>
              <w:t> </w:t>
            </w:r>
          </w:p>
        </w:tc>
      </w:tr>
      <w:tr>
        <w:trPr/>
        <w:tc>
          <w:tcPr>
            <w:tcW w:w="86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6"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02" w:type="dxa"/>
            <w:tcBorders/>
            <w:shd w:fill="auto" w:val="clear"/>
            <w:vAlign w:val="bottom"/>
          </w:tcPr>
          <w:p>
            <w:pPr>
              <w:pStyle w:val="TableContents"/>
              <w:spacing w:before="0" w:after="0"/>
              <w:ind w:left="0" w:right="0" w:hanging="0"/>
              <w:rPr/>
            </w:pPr>
            <w:r>
              <w:rPr/>
              <w:t> </w:t>
            </w:r>
          </w:p>
        </w:tc>
      </w:tr>
      <w:tr>
        <w:trPr/>
        <w:tc>
          <w:tcPr>
            <w:tcW w:w="86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6"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10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Purchases.</w:t>
      </w:r>
      <w:r>
        <w:rPr>
          <w:rFonts w:ascii="Times New Roman" w:hAnsi="Times New Roman"/>
        </w:rPr>
        <w:t xml:space="preserve">  </w:t>
      </w:r>
      <w:r>
        <w:rPr>
          <w:rFonts w:ascii="Times New Roman" w:hAnsi="Times New Roman"/>
          <w:sz w:val="17"/>
        </w:rPr>
        <w:t>We purchase crude oil in North America from producers under contracts, the majority of which range in term from a thirty-day evergreen to three years. We utilize our truck fleet and gathering pipelines as well as third-party pipelines, trucks and barges to transport the crude oil to market. In addition, we purchase foreign crude oil. Under these contracts we may purchase crude oil upon delivery in the U.S. or we may purchase crude oil in foreign locations and transport it on third-party tankers.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purchase LPG from producers, refiners, and other LPG marketing companies under contracts that generally range from immediate delivery to one year in term. We utilize our trucking fleet as well as leased railcars and third-party tank trucks or pipelines to transport LPG.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purchasing crude oil from producers, we purchase both domestic and foreign crude oil in bulk at major pipeline terminal locations and barge facilities. We also purchase LPG in bulk at major pipeline terminal points and storage facilities from major oil companies, large independent producers or other LPG marketing companies. Crude oil and LPG is purchased in bulk when we believe additional opportunities exist to realize margins further downstream in the crude oil or LPG distribution chain. The opportunities to earn additional margins vary over time with changing market conditions. Accordingly, the margins associated with our bulk purchases will fluctuate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Sales.</w:t>
      </w:r>
      <w:r>
        <w:rPr>
          <w:rFonts w:ascii="Times New Roman" w:hAnsi="Times New Roman"/>
        </w:rPr>
        <w:t xml:space="preserve">  </w:t>
      </w:r>
      <w:r>
        <w:rPr>
          <w:rFonts w:ascii="Times New Roman" w:hAnsi="Times New Roman"/>
          <w:sz w:val="17"/>
        </w:rPr>
        <w:t>The activities involved in the supply, logistics and distribution of crude oil and LPG are complex and require current detailed knowledge of crude oil and LPG sources and end markets and a familiarity with a number of factors including grades of crude oil, individual refinery demand for specific grades of crude oil, area market price structures, location of customers, various modes and availability of transportation facilities and timing and costs (including storage) involved in delivering crude oil and LPG to the appropriate customer.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sell our crude oil to major integrated oil companies, independent refiners and other resellers in various types of sale and exchange transactions. The majority of these contracts are at market price and have terms ranging from one month to three years. We sell LPG primarily to retailers and refiners, and limited volumes to other marketers. We establish a margin for the crude oil and LPG we purchase by entering into physical sales contracts with third parties, or by entering into a future delivery obligation with respect to futures contracts on the NYMEX, ICE or over-the-counter. Through these transactions, we seek to maintain a position that is substantially balanced between purchases and sales and future delivery obligations. From time to time, we enter into various types of sale and exchange transactions including fixed price delivery contracts, floating price collar arrangements, financial swaps and crude oil and LPG-related futures contracts as hedging devices.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and LPG Exchanges.</w:t>
      </w:r>
      <w:r>
        <w:rPr>
          <w:rFonts w:ascii="Times New Roman" w:hAnsi="Times New Roman"/>
        </w:rPr>
        <w:t xml:space="preserve">  </w:t>
      </w:r>
      <w:r>
        <w:rPr>
          <w:rFonts w:ascii="Times New Roman" w:hAnsi="Times New Roman"/>
          <w:sz w:val="17"/>
        </w:rPr>
        <w:t>We pursue exchange opportunities to enhance margins throughout the gathering and marketing process. When opportunities arise to increase our margin or to acquire a grade, type or volume of crude oil or LPG that more closely matches our physical delivery requirement, location or the preferences of our customers, we exchange physical crude oil or LPG, as appropriate, with third parties. These exchanges are effected through contracts called exchange or buy/sell agreements. Through an exchange agreement, we agree to buy crude oil or LPG that differs in terms of geographic location, grade of crude oil or type of LPG, or physical delivery schedule from crude oil or LPG we have available for sale. Generally, we enter into exchanges to acquire crude oil or LPG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Credit.</w:t>
      </w:r>
      <w:r>
        <w:rPr>
          <w:rFonts w:ascii="Times New Roman" w:hAnsi="Times New Roman"/>
        </w:rPr>
        <w:t xml:space="preserve">  </w:t>
      </w:r>
      <w:r>
        <w:rPr>
          <w:rFonts w:ascii="Times New Roman" w:hAnsi="Times New Roman"/>
          <w:sz w:val="17"/>
        </w:rPr>
        <w:t>Our merchant activities involve the purchase of crude oil, LPG and refined products for resale and require significant extensions of credit by our suppliers. In order to assure our ability to perform our obligations under the purchase agreements, various credit arrangements are negotiated with our suppliers. These arrangements include open lines of credit and, to a lesser extent, standby letters of credit issued under our senior unsecured revolving credit facility.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27" w:name="PB_24_124024_563"/>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we sell crude oil, LPG and refined products, we must determine the amount, if any, of the line of credit to be extended to any given customer. We manage our exposure to credit risk through credit analysis, credit approvals, credit limits and monitoring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credit risk exposure related to our sales of LPG and refined products; however, because our sales are typically in relatively small amounts to individual customers, we do not believe that these transactions pose a material concentration of credit risk. Typically, we enter into annual contracts to sell LPG on a forward basis, as well as to sell LPG on a current basis to local distributors and retailers. In certain cases our LPG customers prepay for their purchases, in amounts ranging from approximately $1 per barrel to 100% of their contracted amounts. Generally, sales of LPG and refined products settle within 10 days of the invoice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activities in our supply and logistics segment are affected by seasonal aspects, primarily with respect to LPG supply and logistics activities, which generally have higher activity levels during the first and fourth quarters of each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Crude Oil Volatility; Counter-Cyclical Balance; 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Crude oil commodity prices have historically been very volatile and cyclical, and continue to reflect such a trend. For example, over the last 23 years, NYMEX West Texas Intermediate crude oil benchmark prices have ranged from a low of approximately $10 per barrel during March 1986 to a high of over $147 per barrel during July 2008. Segment profit from our supply and logistics activities is dependent on our ability to sell crude oil and LPG at prices in excess of our aggregate cost. Although segment profit may be affected during transitional periods, our crude oil supply, logistics and distribution operations are not directly affected by the absolute level of crude oil prices, but are affected by overall levels of supply and demand for crude oil and relative fluctuations in market-related indices.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Counter-Cyclical Balance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periods when supply exceeds the demand for crude oil in the near term, the market for crude oil is often in contango, meaning that the price of crude oil for future deliveries is higher than current prices. A contango market generally has a negative impact on our lease gathering margins, but is favorable to our commercial strategies that are associated with storage tankage leased from the facilities segment or from third parties. Those who control storage at major trading locations (such as the Cushing Interchange) can simultaneously purchase production at current prices for storage and sell forward at higher prices for future delivery.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there is a higher demand than supply of crude oil in the near term, the market is backwardated, meaning that the price of crude oil for future deliveries is lower than current prices. A backwardated market is favorable to our lease gathering margins because crude oil gatherers can capture a premium for prompt deliveries. In this environment, there is little incentive to store crude oil as current prices are above delivery prices in the futures markets.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periods between a backwardated market and a contango market are referred to as transition periods. Depending on the overall duration of these transition periods, how we have allocated our assets to particular strategies and the duration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most difficult environment for our supply and logistics segment. When the market is in contango, we will use our tankage to improve our lease gathering margins by storing crude oil we have purchased for delivery in future months that are selling at a higher price. In a backwardated market, we use less storage capacity but increased lease gathering margins provide an offset to this reduced cash flow. We believe that the combination of our lease gathering activities and the commercial strategies used with our tankage provides a counter-cyclical balance that has a stabilizing effect on our operations and cash flow. In addition, we supplement the counter-cyclical balance of our asset base with derivative hedging activities in an effort to maintain a base level of margin irrespective of crude oil market conditions and, in certain circumstances, to realize incremental margin during volatile market conditions. References to counter-cyclical balance elsewhere in this report are referring to this relationship between our facilities activities and our supply and logistics activities in transitioning crude oil markets.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28" w:name="PB_25_124034_9497"/>
      <w:bookmarkEnd w:id="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 of the financial markets for crude oil by producers, refiners, utilities and trading entities has increased, risk management strategies have become increasingly important in creating and maintaining margins. In order to hedge margins involving our physical assets and manage risks associated with our various commodity purchase and sale obligations (mainly relating to crude oil) and, in certain circumstances, to realize incremental margin during volatile market conditions, we use derivative instruments. These derivative instruments include exchange traded futures, options and swaps,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our core business; rather, those risks arise as a result of engaging in the trading activity. Our policy is to manage the enterprise level risks inherent in our core businesses, rather than trying to profit from trading activity. Our risk management policies and procedures are designed to monitor NYMEX, ICE and over-the-counter positions, as well as physical volumes, grades, locations, delivery schedules and storage capacity to help ensure that our hedging activities address our risks.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 level risks that are inherent in our core businesses.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generally to purchase only product for which we have a market, and to structure our sales contracts so that price fluctuations do not materially affect the segment profit we receive. We do not acquire and hold physical inventory, futures contracts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Although we seek to maintain a position that is substantially balanced within our supply and logistics activities, we purchase crude oil, refined products and LPG from thousands of locations and</w:t>
      </w:r>
      <w:r>
        <w:rPr>
          <w:rFonts w:ascii="Times New Roman" w:hAnsi="Times New Roman"/>
        </w:rPr>
        <w:t xml:space="preserve"> </w:t>
      </w:r>
      <w:r>
        <w:rPr>
          <w:rFonts w:ascii="Times New Roman" w:hAnsi="Times New Roman"/>
          <w:sz w:val="17"/>
        </w:rPr>
        <w:t>may experience net unbalanced positions for short periods of time as a result of production, transportation and delivery variances as well as logistical issues associated with inclement weather conditions and other uncontrollable events that occur within each month.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Geographic Data; Financial Information about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15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Customers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Marathon Petroleum Company, LLC accounted for 14%, 14% and 19% of our revenues for each of the three years ended December 31, 2009, 2008 and 2007, respectively. Valero Marketing &amp; Supply Company accounted for 10% of our revenues for the year ended December 31, 2007. ConocoPhillips Company accounted for 12%, 12% and 11% of our revenues for each of the three years ended December 31, 2009, 2008 and 2007, respectively. No other customers accounted for 10% or more of our revenues during any of the last three years.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8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third-party owned pipelines or owners with joint venture pipelines with excess capacity in the vicinity of our operations, we are exposed to significant competition based on the relatively low incremental cost of moving an incremental barrel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also face competition with respect to our supply and logistics and facilities services. Our competitors include other crude oil pipeline companies, the major integrated oil companies, their marketing affiliates and independent gatherers, investment banks that have established a trading platform, brokers and marketers of widely varying sizes, financial resources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29" w:name="PB_26_124042_3641"/>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experience. Some of these competitors have capital resources many times greater than ours, and control greater supplies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penalties.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but we do not believe that these laws and regulations affect us in a significantly different manner than our competitors. We may at any time also be required to apply significant resources in responding to governmental requests for information. We are cooperating in a Department of Justice/Environmental Protection Agency proceeding regarding certain releases of crude oil. The proceeding could result in injunctive remedies the effect of which would subject us to operational requirements and constraints that would not apply to our competitors. See Item 3.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Following is a discussion of certain, but not all, of the laws and regulations affecting our operations.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Environmental, Health and Safety Regulation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Failure to comply with these laws and regulations could result in the assessment of administrative, civil, and criminal penalties, the imposition of investigatory and remedial liabilities, and the issuance of injunctions that may subject us to additional operational constraints that our competitors are not required to follow.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and safety laws and regulations to which our operations are subject.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Pipeline Safety/Pipeline and Storage Tank Integrity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substantial portion of our petroleum pipelines and our storage tank facilities in the United States are subject to regulation by the Pipeline and Hazardous Materials Safety Administration (the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National Energy Board (NEB) and provincial agencies.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30" w:name="PB_27_124053_5250"/>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more frequent inspections, correction of identified anomalies and other measures to ensure pipeline safety in high consequence areas, such as high population areas, areas unusually sensitive to environmental damage and commercially navigable waterways. Costs associated with the inspection, testing and correction of identified anomalies were approximately $25 million in 2009, $23 million in 2008 and $15 million in 2007. Based on currently available information, our preliminary estimate for 2010 is that we will incur approximately $11 million in operational expenditures and approximately $25 million in capital expenditures associated with our pipeline integrity management program. The acquisitions we have completed over the last several years have included pipeline assets of varying ages and maintenance and operational histories. Accordingly, we will continue to focus on pipeline integrity management as a primary operational emphasis. Significant additional expenses could be incurred if new or more stringently interpreted pipeline safety requirements are implemented. Currently, we believe our pipelines are in substantial compliance with HLPSA and the more recent 2002 and 2006 amendments.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Effective July 2008, PHMSA amended its pipeline safety regulations to extend protection to designated unusually sensitive areas or USAs that could be damaged by failure of certain rural onshore hazardous liquid gathering lines or low-stress pipelines. These USAs include locations containing sole-source drinking water, endangered species, or other ecological resources. Operators of rural onshore hazardous liquid gathering lines located within a defined buffer area around a USA must comply with safety requirements to address threats of corrosion and third-party damage to their lines by developing a damage prevention program, complying with specified corrosion control requirements, and monitoring and mitigating conditions that could lead to internal corrosion. The amended rules narrow the regulatory exception for rural onshore low-stress hazardous liquid pipelines by extending existing safety regulations (including integrity management requirements) to certain low-stress pipelines within a defined buffer area around a USA. We have less than 300 miles of pipeline subject to the amended rules and do not expect compliance to have a material effect on our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expanded an internal review process in which we are reviewing the condition and operating history of certain pipelines and gathering assets to determine if such assets warrant additional investment or replacement. Accordingly, in addition to potential cost increases related to unanticipated regulatory changes or injunctive remedies resulting from U.S. Environmental Protection Agency (EPA) enforcement actions, we may elect (as a result of our own internal initiatives) to spend substantial sums to ensure the integrity of and upgrade our pipeline systems and, in some cases, we may take pipelines out of service if we believe the cost of upgrades will exceed the value of the pipelines.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DOT has issued guidelines with respect to securing regulated facilities against terrorist attack. We have instituted security measures and procedures in accordance with such guidelines to enhance the protection of certain of our facilities. We cannot provide any assurance that these security measures would fully protect our facilities from an attack.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The DOT has adopted American Petroleum Institute Standard 653 (API 653) as the standard for the inspection, repair, alteration and reconstruction of </w:t>
      </w:r>
      <w:r>
        <w:rPr>
          <w:rFonts w:ascii="Times New Roman" w:hAnsi="Times New Roman"/>
        </w:rPr>
        <w:t> </w:t>
      </w:r>
      <w:r>
        <w:rPr>
          <w:rFonts w:ascii="Times New Roman" w:hAnsi="Times New Roman"/>
          <w:sz w:val="17"/>
        </w:rPr>
        <w:t>steel aboveground petroleum</w:t>
      </w:r>
      <w:r>
        <w:rPr>
          <w:rFonts w:ascii="Times New Roman" w:hAnsi="Times New Roman"/>
        </w:rPr>
        <w:t xml:space="preserve"> </w:t>
      </w:r>
      <w:r>
        <w:rPr>
          <w:rFonts w:ascii="Times New Roman" w:hAnsi="Times New Roman"/>
          <w:sz w:val="17"/>
        </w:rPr>
        <w:t>storage tanks subject to DOT jurisdiction. API 653 requires regularly scheduled inspection and repair of tanks remaining in service. Initial compliance, subject to an applicable waiver or stay, was required in May 2009. Costs associated with this program were approximately $22 million, $41 million and $18 million in 2009, 2008 and 2007, respectively. For 2010, we have budgeted approximately $28 million in connection with continued API 653 compliance activities and similar new EPA regulations for non-DOT tanks. Certain storage tanks may be taken out of service if we believe the cost of compliance will exceed the value of the storage tanks or replacement tankage may be constructed. In addition, market conditions may result in a significant demand for storage capacity. Accordingly, we may elect to spend more in 2010 than initially forecasted if economic conditions warrant.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Canada, the NEB and provincial agencies such as the Energy Resources Conservation Board (ERCB) in Alberta and the Saskatchewan Ministry of Energy and Resources regulate the construction, alteration, inspection and repair of crude oil storage tanks. We have incurred and will continue to incur costs under laws and regulations related to pipeline and storage tank integrity, such as operator competency programs, regulatory upgrades to our operating and maintenance systems and environmental upgrades of buried sump tanks. We spent approximately $20 million in 2009, $8 million in 2008 and $6 million in 2007 on these types of costs. Our preliminary estimate for 2010 is approximately $21 million. Certain of these costs are recurring in nature and thus will affect future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31" w:name="PB_28_124058_7672"/>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pipeline operations are in substantial compliance with currently applicable regulatory requirements, we cannot predict the potential costs associated with additional, future regulation. Asset acquisitions are an integral part of our business strategy. As we acquire additional assets, we may be required to incur additional costs in order to ensure that the acquired assets comply with the regulatory standards in the U.S. and Canada.</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Occupational Safety and Health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under the Criminal Code of Canada, organizations, corporations and individuals may be prosecuted criminally for violating the duty to protect employee and public safety. We believe that our operations are in substantial compliance with applicable occupational health and safety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Solid Waste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oil and gas wastes may be included as hazardous wastes under RCRA, in which event our wastes as well as the wastes of our competitors will be subject to more rigorous and costly disposal requirements, resulting in additional capital expenditures or operating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Hazardous Substances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We have knowledge of two Superfund sites where an affiliate (Scurlock Permian LLC) of a predecessor owner (Marathon Ashland Petroleum or MAP) of assets we now own was alleged to have deposited waste oils, but MAP has contractually indemnified us for any liabilities associated with these two sites. Canadian and provincial laws also impose liabilities for releases of certain substances into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 Remediation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own or lease, and in the past have owned or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32" w:name="PB_29_120808_455"/>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2009, we had incurred approximately $16 million of remediation costs associated with these sites, while SOPs share has been approximately $6 million. In another example, as a result of our merger with Pacific, we assumed liability for a number of ongoing remediation sites associated with releases from pipeline or storage operations. We have evaluated each of the sites requiring remediation and developed reserve estimates for the Pacific sites, which total approximately $18 million. See Item 3. Legal Proceedings.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we have acquired or will acquire in the future may have environmental remediation liabilities for which we are not indemnified.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Air Emissions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are subject to the U.S. Clean Air Act (Clean Air Act) and comparable state and provincial laws. Under these laws, permits may be required before construction can commence on a new source of potentially significant air emissions, and operating permits may be required for sources already constructed. We may be required to incur certain capital and operating expenditures in the next several years to install air pollution control equipment and otherwise comply with more stringent state and regional air emissions control when we attempt to obtain or maintain permits and approvals for sources of air emissions. Although we believe that our operations are in substantial compliance with these laws in the areas in which we operate, we can provide no assurance that future compliance obligations will not have a material adverse effect on our financial condition or results of operations. For example, EPA has recently proposed a significant tightening of the national ambient air quality standards for ozone which, if adopted, could require significant reductions in emissions of volatile organic compounds and nitrogen oxides in regions of the U.S. that have not previously been subject to the most stringent emissions limitations.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Climate Change Initiatives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response to recent studies suggesting that emissions of carbon dioxide, methane and certain other gases may be contributing to warming of the Earths atmosphere, many nations, including Canada, have agreed to limit emissions of these gases, generally referred to as greenhouse gases (GHG), pursuant to the United Nations Framework Convention on Climate Change, also known as the Kyoto Protocol. The Kyoto Protocol requires Canada to reduce its emissions of GHG to 6% below 1990 levels by 2012. In response to the Kyoto Protocol, the Canadian federal government introduced the </w:t>
      </w:r>
      <w:r>
        <w:rPr>
          <w:rFonts w:ascii="Times New Roman" w:hAnsi="Times New Roman"/>
          <w:i/>
          <w:sz w:val="17"/>
        </w:rPr>
        <w:t>Regulatory Framework for Air Emissions</w:t>
      </w:r>
      <w:r>
        <w:rPr>
          <w:rFonts w:ascii="Times New Roman" w:hAnsi="Times New Roman"/>
          <w:sz w:val="17"/>
        </w:rPr>
        <w:t xml:space="preserve"> (the Regulatory Framework) for regulating air pollution and industrial GHG emissions by establishing mandatory emissions reduction requirements on a sector basis. Sector-specific regulations are expected to become effective in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Although the United States is not participating in the Kyoto Protocol, the U.S. Congress has been actively considering legislation to reduce emissions of GHGs. In addition, more than one-third of the states already have begun implementing legal measures to reduce emissions of GHGs, primarily through the development of GHG emission inventories and/or regional GHG cap and trade programs. Also, on December 15, 2009, the EPA officially published its findings that emissions of carbon dioxide, methane and other GHGs present an endangerment to human health and the environment. These findings by the EPA allow the agency to proceed with the adoption and implementation of regulations that would restrict emissions of GHGs under existing provisions of the federal Clean Air Act. In late September 2009, the EPA had proposed two sets of regulations in anticipation of finalizing its findings that would require a reduction in emissions of GHGs from motor vehicles that could also lead to the imposition of GHG emission limitations in Clean Air Act permits for certain stationary sources. In addition, on September 22, 2009, the EPA issued a final rule requiring the reporting of GHG emissions from specified large GHG emission sources in the United States beginning in 2011 for emissions occurring in 2010. Although the vast majority of our facilities were not subject to the EPAs GHG reporting rule adopted in September 2009. EPA has indicated that it is evaluating whether the rule should be applied to oil and gas production activities, perhaps on a field-wide basis.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33" w:name="PB_30_120814_4141"/>
      <w:bookmarkEnd w:id="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Operational components of our stationary facilities that require the combustion of carbon-based fuel (such as compression stations, line heaters and internal combustion engine-driven pumps) produce GHG emissions in the form of CO2. Although we believe that these emissions in the aggregate are not significant relative to other industries that are fuel-combustion intensive, we have commenced a process of identifying potential emission sources and establishing GHG inventories for such sources.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financial condition, demand for our services, results of operations, and cash flows. Finally, it should be noted that some scientists have concluded that increasing concentrations of GHGs in the Earths atmosphere may produce climate changes that have significant physical effects, such as increased frequency and severity of storms, droughts, and floods and other climate events, that could have an adverse effect on our assets and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See Pipeline Safety/Pipeline and Storage Tank Integrity Management and Note 11 to our Consolidated Financial Statements. Federal, state and provincial regulatory agencies can impose administrative, civil and/or criminal penalties for non-compliance with discharge permits or other requirements of the CWA.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We believe that we are in substantial compliance with applicable OPA requirements. State and Canadian federal and provincial laws also impose requirements relating to the prevention of oil releases and the remediation of areas affected by releases when they occur. We believe that we are in substantial compliance with all such federal, state and Canadian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Transportation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activities are subject to regulation by multiple governmental agencies. Our historical and projected operating costs reflect the recurring costs resulting from compliance with these regulations, and we do not anticipate material expenditures in excess of these amounts in the absence of future acquisitions or changes in regulation, or discovery of existing but unknown compliance issues. The following is a summary of the types of transportation regulation that may impact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 Interstate Regulation.</w:t>
      </w:r>
      <w:r>
        <w:rPr>
          <w:rFonts w:ascii="Times New Roman" w:hAnsi="Times New Roman"/>
        </w:rPr>
        <w:t xml:space="preserve">  </w:t>
      </w:r>
      <w:r>
        <w:rPr>
          <w:rFonts w:ascii="Times New Roman" w:hAnsi="Times New Roman"/>
          <w:sz w:val="17"/>
        </w:rPr>
        <w:t>Our interstate common carrier pipeline operations are subject to rate regulation by the FERC under the Interstate Commerce Act (ICA). The ICA requires that tariff rates for petroleum pipelines, which include both crude oil pipelines and refined products pipelines, be just and reasonable and non-discriminatory.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State Regulation.</w:t>
      </w:r>
      <w:r>
        <w:rPr>
          <w:rFonts w:ascii="Times New Roman" w:hAnsi="Times New Roman"/>
        </w:rPr>
        <w:t xml:space="preserve">  </w:t>
      </w:r>
      <w:r>
        <w:rPr>
          <w:rFonts w:ascii="Times New Roman" w:hAnsi="Times New Roman"/>
          <w:sz w:val="17"/>
        </w:rPr>
        <w:t>Our intrastate pipeline transportation activities are subject to various state laws and regulations, as well as orders of state regulatory bodies, including the California Public Utility Commission, which prohibits certain of our subsidiaries from acting as guarantors of our senior notes and credit facilities. See Note 13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Canadian Regulation.</w:t>
      </w:r>
      <w:r>
        <w:rPr>
          <w:rFonts w:ascii="Times New Roman" w:hAnsi="Times New Roman"/>
        </w:rPr>
        <w:t xml:space="preserve">  </w:t>
      </w:r>
      <w:r>
        <w:rPr>
          <w:rFonts w:ascii="Times New Roman" w:hAnsi="Times New Roman"/>
          <w:sz w:val="17"/>
        </w:rPr>
        <w:t>Our Canadian pipeline assets are subject to regulation by the NEB and by provincial authorities, such as the Alberta ERCB. With respect to a pipeline 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Regulation of OCS Pipelines.</w:t>
      </w:r>
      <w:r>
        <w:rPr>
          <w:rFonts w:ascii="Times New Roman" w:hAnsi="Times New Roman"/>
        </w:rPr>
        <w:t xml:space="preserve">  </w:t>
      </w:r>
      <w:r>
        <w:rPr>
          <w:rFonts w:ascii="Times New Roman" w:hAnsi="Times New Roman"/>
          <w:sz w:val="17"/>
        </w:rPr>
        <w:t>The Outer Continental Shelf Lands Act requires that all pipelines operating on or across the OCS provide open access, non-discriminatory transportation service. In June 2008, the Minerals Management Service issued a final rule establishing formal and informal complaint procedures for shippers that believe they have been denied open and nondiscriminatory access to transportation on the OCS. We do not expect the rule to have a material impact on our operations or results.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34" w:name="PB_31_120824_8627"/>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Energy Policy Act of 1992 and Subsequent Developments.</w:t>
      </w:r>
      <w:r>
        <w:rPr>
          <w:rFonts w:ascii="Times New Roman" w:hAnsi="Times New Roman"/>
        </w:rPr>
        <w:t xml:space="preserve">  </w:t>
      </w:r>
      <w:r>
        <w:rPr>
          <w:rFonts w:ascii="Times New Roman" w:hAnsi="Times New Roman"/>
          <w:sz w:val="17"/>
        </w:rPr>
        <w:t>In October 1992, Congress passed the Energy Policy Act of 1992 (EPAct), which, among other things, required the FERC to issue rules to establish a simplified and generally applicable ratemaking methodology for petroleum pipelines and to streamline procedures in petroleum pipeline proceedings. The FERC responded to this mandate by establishing a methodology for petroleum pipelines to change their rates within prescribed ceiling levels that are tied to an inflation index (currently, the producer price index for finished goods plus 1.3 percent). Pipelines are allowed to raise their rates to the rate ceiling level generated by application of the index. If the methodology reduces the ceiling level such that it is lower than a pipelines filed rate, the pipeline must reduce its rate to conform with the lower ceiling unless doing so would reduce a rate grandfathered by EPAct (see below) to below the grandfathered level. A pipeline must, as a general rule, use the indexing methodology to change its rates. The FERC, however, retained cost-of-service ratemaking, market-based rates, agreement with an unaffiliated shipper, and settlement as alternatives to the indexing approach that may be used in certain specified circumstances. The FERCs indexing methodology is subject to review every five years; the current methodology will remain in place through June 30, 2011. Because the indexing methodology is tied to an inflation index and is not based on pipeline-specific costs, the indexing methodology could hamper our ability to recover cost increases.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Under the EPAct, petroleum pipeline rates in effect for the 365-day period ending on the date of enactment of EPAct are deemed to be just and reasonable under the ICA, if such rates had not been subject to complaint, protest or investigation during that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FERC permits entities owning public utility assets, including oil pipelines, to include an income tax allowance in their cost-of-service rates to reflect the actual or potential income tax liability attributable to their public utility income, regardless of the form of ownership. A tax pass-through entity such as a master limited partnership (MLP) seeking such an income tax allowance would have to establish that its partners or members have an actual or potential income tax obligation on the entitys public utility income. Whether a pipelines owners have such actual or potential income tax liability will be reviewed by the FERC on a case-by-case basis. Although the FERCs current income tax allowance policy is generally favorable for pipelines that are organized as pass-through entities, such as MLPs, it still entails rate risk due to the case-by-case review requirement. FERC continues to refine its tax allowance policy in case-by-case reviews; how the tax allowance policy is applied in practice to pipelines owned by MLPs could affect the rates of pipelines regulated by FERC.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Our Pipelines.</w:t>
      </w:r>
      <w:r>
        <w:rPr>
          <w:rFonts w:ascii="Times New Roman" w:hAnsi="Times New Roman"/>
        </w:rPr>
        <w:t xml:space="preserve">  </w:t>
      </w:r>
      <w:r>
        <w:rPr>
          <w:rFonts w:ascii="Times New Roman" w:hAnsi="Times New Roman"/>
          <w:sz w:val="17"/>
        </w:rPr>
        <w:t>The FERC generally has not investigated rates on its own initiative when those rates have not been the subject of a protest or complaint by a shipper. Substantially all of our transportation segment profit in the U.S. is produced by rates that are either grandfathered or set by agreement with one or more shippers. In Canada, rates are set to cover operating costs and a return on capital, without specific agreements with shippers.  Shippers may make application to federal or provincial regulatory agencies if they disagree with rates that have been set.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Trucking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driver operations, log book maintenance, truck manifest preparations, safety placard placement on the trucks and trailer vehicles, drug and alcohol testing, operation and equipment safety, and many other aspects of truck operations. We are also subject to OSHA with respect to our trucking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Cross Border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our Canadian acquisitions and cross border activities, including importation of crude oil between the United States and Canada,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licensing,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35" w:name="PB_32_120831_7906"/>
      <w:bookmarkEnd w:id="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Regulation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Interstate Regulation.</w:t>
      </w:r>
      <w:r>
        <w:rPr>
          <w:rFonts w:ascii="Times New Roman" w:hAnsi="Times New Roman"/>
        </w:rPr>
        <w:t xml:space="preserve">  </w:t>
      </w:r>
      <w:r>
        <w:rPr>
          <w:rFonts w:ascii="Times New Roman" w:hAnsi="Times New Roman"/>
          <w:sz w:val="17"/>
        </w:rPr>
        <w:t>The interstate storage facilities in which we have an investment are or will be subject to rate regulation by the FERC under the Natural Gas Act. The Natural Gas Act requires that tariff rates for gas storage facilities be just and reasonable and non-discriminatory. The FERC has authority to regulate rates and charges for natural gas transported and stored in U.S. interstate commerce or sold by a natural gas company via interstate commerce for resale. The FERC has granted our Pine Prairie and Bluewater gas storage facilies the authority to charge market-based rates.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FERC also has authority over the construction and operation of U.S. transportation and storage facilities and related facilities used in the transportation, storage and sale of natural gas in interstate commerce, including the extension, enlargement or abandonment of such facilities. In addition, FERCs authority extends to maintenance of accounts and records, terms and conditions of service, depreciation and amortization policies, acquisition and disposition of facilities, initiation and discontinuation of services, imposition of creditworthiness and credit support requirements applicable to customers and relationships among pipelines and storage companies and certain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Standards of Conduct for Transmission Providers.</w:t>
      </w:r>
      <w:r>
        <w:rPr>
          <w:rFonts w:ascii="Times New Roman" w:hAnsi="Times New Roman"/>
        </w:rPr>
        <w:t xml:space="preserve">  </w:t>
      </w:r>
      <w:r>
        <w:rPr>
          <w:rFonts w:ascii="Times New Roman" w:hAnsi="Times New Roman"/>
          <w:sz w:val="17"/>
        </w:rPr>
        <w:t>Historically, FERCs standards of conduct regulations (now vacated) generally restricted access to U.S. interstate natural gas storage customer data by marketing and other energy affiliates, and placed certain conditions on services provided by U.S. storage facility operators to their affiliated gas marketing entities. The standards of conduct did not apply, however, to natural gas storage providers authorized to charge market-based rates that (i) were not interconnected with the jurisdictional facilities of any affiliated interstate natural gas pipeline, and (ii) had no exclusive franchise area, no captive ratepayers, and no market power. The FERC found that Pine Prairie qualified for this exemption from the standards of conduct in January 2006 and Bluewater qualified for this exemption in October 2006.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November 2006, the D.C. Circuit vacated the standards of conduct regulations with respect to natural gas pipelines and storage companies, and remanded the matter to the FERC. Following a notice of proposed rulemaking, in October 2008, the FERC issued its revised Standards of Conduct for Transmission Providers (Standards of Conduct). The Standards of Conduct continue to exempt natural gas storage providers like Pine Prairie and Bluewater.  However, requests for rehearing are pending with the FERC. Accordingly, there may be further modifications to the Standards of Conduct upon rehearing.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Energy Policy Act of 2005.</w:t>
      </w:r>
      <w:r>
        <w:rPr>
          <w:rFonts w:ascii="Times New Roman" w:hAnsi="Times New Roman"/>
        </w:rPr>
        <w:t xml:space="preserve">  </w:t>
      </w:r>
      <w:r>
        <w:rPr>
          <w:rFonts w:ascii="Times New Roman" w:hAnsi="Times New Roman"/>
          <w:sz w:val="17"/>
        </w:rPr>
        <w:t>Pursuant to the EPAct 2005 and related regulations, it is unlawful in connection with the purchase or sale of natural gas or transportation services subject to the jurisdiction of the FERC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also gives the FERC authority to impose civil penalties for violations of the Natural Gas Act up to $1,000,000 per day per violation for violations occurring after August 8, 2005. The anti-manipulation rule and enhanced civil penalty authority reflect an expansion of the FERCs Natural Gas Act enforcement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Proposed Regulation.  </w:t>
      </w:r>
      <w:r>
        <w:rPr>
          <w:rFonts w:ascii="Times New Roman" w:hAnsi="Times New Roman"/>
          <w:sz w:val="17"/>
        </w:rPr>
        <w:t>Additional proposals and proceedings that might affect the natural gas industry are pending before Congress, the FERC, state commissions and the courts. The natural gas industry historically has been heavily regulated. Accordingly, we cannot provide assurances that the less stringent and pro-competition regulatory approach recently pursued by the FERC and Congress will continue.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Operational Hazards and 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the time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1,500%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As a result, we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36" w:name="PB_33_120837_3736"/>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have elected to self-insure more activities against certain of these operating hazards and expect this trend will continue in the future. Due to the events of September 11, 2001, insurers have excluded acts of terrorism and sabotage from our insurance policies. We have elected to purchase a separate insurance policy for acts of terrorism and sabotage.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Title to Properties and Rights-of-Way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satisfactory title to all of our assets. Although title to such properties is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our predecessor, or subsequently granted by us, we believe that none of these burdens will materially detract from the value of such properties or from our interest therein or will materially interfere with their use in the operation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that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leases. In certain states and under certain circumstances, we have the right of eminent domain to acquire rights-of-way and lands necessary for our common carrier pipelines.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We believe that we have obtained such third party consents, permits and authorizations as are sufficient for the transfer to us of the assets necessary for us to operate our business in all material respects as described in this report. With respect to any consents, permits or authorizations that have not yet been obtained, we believe that such consents, permits or authorizations will be obtained within a reasonable period, or that the failure to obtain such consents, permits or authorizations will have no material adverse effect on the operation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Employees and Labor Relations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carry out our operations, our general partner or its affiliates (including PMC (Nova Scotia) Company) employed approximately 3,400 employees at December 31, 2009. None of the employees of our general partner were subject to a collective bargaining agreement, except for eight employees covered by one agreement and another eight employees covered by another agreement. One of the collective bargaining agreements is scheduled for renegotiation in September 2012, while the other agreement is in effect until September 30, 2010. Our general partner considers its employee relations to be good.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Summary of Tax Considerations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 xml:space="preserve">The following is a brief summary of material tax considerations of owning and disposing of common units, however, the tax consequences of ownership of common units depends in part on the owners individual tax circumstances. It is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37" w:name="PB_34_120919_9621"/>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responsibility of each unitholder, either individually or through a tax advisor, to investigate the legal and tax consequences, under the laws of pertinent U.S. federal, states and localities, including the Canadian provinces and Canada, of the unitholders investment in us. Further, it is the responsibility of each unitholder to file all U.S. federal, Canadian, state, provincial and local tax returns that may be required of the unitholder.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Partnership Status; Cash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are treated for federal income tax purposes as a partnership based upon our meeting certain requirements imposed by the Internal Revenue Code (the Code), which we must meet each year. The owners of our common units are considered partners in the Partnership so long as they do not loan their common units to others to cover short sales or otherwise dispose of those units. Accordingly, we pay no U.S.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Canadian withholding taxes are due on intercompany interest payments and dividend payments and are treated as distributions to our unitholders. </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Partnership Allocations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general, our income and loss is allocated to the general partner and the unitholders for each taxable year in accordance with their respective percentage interests in the Partnership (including, with respect to the general partner, its incentive distribution right),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In determining a unitholders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Any time incentive distributions are made to the general partner, gross income will be allocated to the recipient to the extent of those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unitholders initial tax basis for a common unit is generally the amount paid for the common unit and the unitholders share of our nonrecourse liabilities. A unitholders basis is generally increased by the unitholders share of our income and by any increases in the unitholders share of our nonrecourse liabilities. That basis will be decreased, but not below zero, by the unitholders share of our losses and distributions (including deemed distributions due to a decrease in the unitholders share of our nonrecourse liabilities).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Limitations on Deductibility of Partnership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case of taxpayers subject to the passive loss rules (generally, individuals and closely held corporations), any partnership losses generated by us are only available to offset future income generated by us and cannot be used to offset income from other activities, including passive activities or investments. Any losses unused or suspended by virtue of the passive loss rules may be fully deducted if the unitholder disposes of all of the unitholders common units in a taxable transaction with an unrelated party.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Section 754 Election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Disposition of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38" w:name="PB_35_120931_8715"/>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 because the amount realized includes a unitholders share of our nonrecourse liabilities, a unitholder may incur a tax liability in excess of the amount of cash the unitholder receives from the sale.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Foreign, State, Local and Other Tax Considerations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federal income taxes, unitholders will likely be subject to other taxes, such as foreign, state and local income taxes, unincorporated business taxes, and estate, inheritance or intangible taxes that are imposed by the various jurisdictions in which a unitholder resides or in which we conduct business or own property. We own property and conduct business in Canada as well as in most states in the United States. A unitholder will therefore be required to file Canadian federal income tax returns and to pay Canadian federal and provincial income taxes in respect of our Canadian source income earned through partnership entities. A unitholder may also be required to file state income tax returns and to pay taxes in various states. 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Ownership of Common Units by Tax-Exempt Organizations and Certain Other Investors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investment in common units by tax-exempt organizations (including IRAs and other retirement plans) and foreign persons raises issues unique to such persons. Virtually all of our income allocated to a unitholder that is a tax-exempt organization is unrelated business taxable income and, thus, is taxable to such a unitholder. A unitholder who is a nonresident alien, foreign corporation or other foreign person is regarded as being engaged in a trade or business in the United States as a result of ownership of a common unit and, thus, is required to file federal income tax returns and to pay tax on the unitholders share of our taxable income. Finally, distributions to foreign unitholders are subject to federal income tax withholding.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Available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make available, free of charge on our Internet website (http://www.paalp.com),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i/>
          <w:sz w:val="17"/>
        </w:rPr>
        <w:t>Risk Factors</w:t>
      </w:r>
      <w:bookmarkStart w:id="39" w:name="Item1a_RiskFactors_164357"/>
      <w:bookmarkEnd w:id="39"/>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Related to Our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40" w:name="PB_36_121029_563"/>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not be able to fully implement or capitalize upon planned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 number of organic growth projects that require the expenditure of significant amounts of capital, including the Pier 400 project, the Pine Prairie gas storage facility and the Cushing, St. James and Patoka terminal and dock projects. Many of these projects involve numerous regulatory, environmental, commercial, weather-related, political and legal uncertainties that will be beyond our control. As these projects are undertaken, required approvals may not be obtained, may be delayed or may be obtained with conditions that materially alter the expected return associated with the underlying projects. Moreover, revenues associated with these organic growth projects will not increase immediately upon the expenditures of funds with respect to a particular project and these projects may be completed behind schedule or in excess of budgeted cost. We may construct pipelines, facilities or other assets in anticipation of market demand that dissipates or market growth that never materializes. As a result of these uncertainties, the anticipated benefits associated with our capital projects may not be achieved.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Loss of credit rating or the ability to receive open credit could negatively affect our ability to use the counter-cyclical aspects of our asset base or to capitalize on a volatile market.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For example, our ability to utilize our crude oil storage capacity for merchant activities to capture contango market opportunities is dependent upon having adequate credit facilities, including the total amount of credit facilities and the cost of such credit facilities, which enables us to finance the storage of the crude oil from the time we complete the purchase of the oil until the time we complete the sale of the oil.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are exposed to the credit risk of our customers in the ordinary course of our supply and logistics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can be no assurance that we have adequately assessed the creditworthiness of our existing or future counterparties or that there will not be an unanticipated deterioration in their creditworthiness, which could have an adverse impact on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risk policies cannot eliminate all risks. In addition, any non-compliance with our risk policies could result in significant financial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Generally, it is our policy that we establish a margin for crude oil we purchase by selling crude oil for physical delivery to third party users, such as independent refiners or major oil companies, or by entering into a future delivery obligation under derivative contracts. Through these transactions, we seek to maintain a position that is substantially balanced between purchases on the one hand, and sales or future delivery obligations on the other hand. Our policy is not to acquire and hold physical inventory, futures contracts or derivative products for the purpose of speculating on commodity price changes. These policies and practices cannot, however, eliminate all risks. For example, any event that disrupts our anticipated physical supply of crude oil could expose us to risk of loss resulting from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41" w:name="PB_37_121035_9497"/>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price changes. We are also exposed to basis risk when crude oil is purchased against one pricing index and sold against a different index. Moreover, we are exposed to some risks that are not hedged, including risks on certain of our inventory, such as linefill, which must be maintained in order to transport crude oil on our pipelines. In an effort to maintain a balanced position, specifically authorized personnel can purchase or sell an aggregate limit of up to</w:t>
      </w:r>
      <w:r>
        <w:rPr>
          <w:rFonts w:ascii="Times New Roman" w:hAnsi="Times New Roman"/>
        </w:rPr>
        <w:t xml:space="preserve"> </w:t>
      </w:r>
      <w:r>
        <w:rPr>
          <w:rFonts w:ascii="Times New Roman" w:hAnsi="Times New Roman"/>
          <w:sz w:val="17"/>
        </w:rPr>
        <w:t>810,000 barrels of crude oil, refined products and LPG. Although this activity is monitored independently by our risk management function, it exposes us to risks within predefined limits and authorizations.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our operations involve the risk of non-compliance with our risk policies. We have taken steps within our organization to enhance our processes and procedures to detect future unauthorized trading. We cannot assure you, however, that these steps will detect and prevent all violations of our risk policies and procedures, particularly if deception or other intentional misconduct is involved.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nature of our business and assets exposes us to significant compliance costs and liabilities. Our asset base has more than tripled within the last five years. As we add assets, we historically have experienced a corresponding increase in the relative number of releases of crude oil into the environment. Although we believe we have reduced the trend, additional assets acquired in the future could again result in increased frequency of releases. Substantial expenditures may be required to maintain the integrity of aged and aging pipelines and terminals at acceptable levels.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involving the storage, treatment, processing, and transportation of liquid hydrocarbons, including crude oil and refined products, as well as our operations involving the storage of natural gas, are subject to stringent federal, state, and local laws and regulations governing the discharge of materials into the environment. Our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subject us to additional operational requirements and constraints, or claims of damages to property or persons resulting from our operations. The laws and regulations applicable to our operations are subject to change and interpretation by the relevant governmental agency. Any such change or interpretation adverse to us could have a material adverse effect on our operations, revenues and profitability.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Today we own more than two times the miles of pipeline we owned six years ago. We have also increased our terminalling and storage capacity and operate several facilities on or near navigable waters and domestic water supplies. Although we have implemented programs intended to enhance the integrity of our assets (discussed below), as we acquire additional assets we historically have observed an increase in the number of releases of liquid hydrocarbons into the environment. These releases expose us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During 2006 and 2007, we acquired refined products pipeline and terminalling assets. These assets are also subject to significant compliance costs and liabilities. In addition, because of their increased volatility and tendency to migrate farther and faster than crude oil,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our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devote substantial resources to comply with DOT-mandated pipeline integrity rules. The 2006 Pipeline Safety Act, enacted in December 2006, requires the DOT to issue regulations for certain pipelines that were not previously subject to regulation. These new regulations, adopted in July 2008, include requirements for the establishment of additional pipeline integrity management programs. See Items 1 and 2. Business and PropertiesRegulationEnvironmental, Health and Safety RegulationPipeline Safety/Pipeline and Storage Tank Integration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acquisitions we have completed over the last several years have included pipeline assets of varying ages and maintenance and operational histories. Accordingly, for 2010 and beyond we will continue to focus on pipeline integrity management as a primary operational emphasis. In that regard, we have added staff and implemented programs intended to improve the integrity of our assets, with a focus on risk reduction through testing, enhanced corrosion control, leak detection, and damage prevention. We have expanded an internal review process pursuant to which we review various aspects of our pipeline and gathering systems that are not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EPA enforcement actions, we may elect (as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42" w:name="PB_38_121052_3641"/>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See Item 3. Legal ProceedingsEnvironmental.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level of our profitability is dependent upon an adequate supply of crude oil from fields located offshore and onshore California. A shut-in of this production due to economic limitations or a significant event could adversely affect our profitability. In addition, these offshore fields have experienced substantial production declines since 1995.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portion of our transportation segment profit is derived from pipeline transportation tariff associated with the Santa Ynez and Point Arguello fields located offshore California and the onshore fields in the San Joaquin Valley. We expect that there will continue to be natural production declines from each of these fields as the underlying reservoirs are depleted. In addition, any significant production disruption from OCS fields and the San Joaquin Valley due to production problems, transportation problems, earthquakes or other reasons could have a material adverse effect on our business. We estimate that a 5,000 barrel per day decline in volumes shipped from these OCS fields would result in a decrease in annual transportation segment profit of approximately $7 million. A similar decline in volumes shipped from the San Joaquin Valley would result in an estimated $3 million decrease in annual transportation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profitability depends on the volume of crude oil, refined product and LPG shipped, purchased and gathered.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Third party shippers generally do not have long-term contractual commitments to ship crude oil on our pipelines. A decision by a shipper to substantially reduce or cease to ship volumes of crude oil on our pipelines could cause a significant decline in our revenues.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maintain the volumes of crude oil we purchase in connection with our operations, we must continue to contract for new supplies of crude oil to offset volumes lost because of natural declines in crude oil production from depleting wells or volumes lost to competitors.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Fluctuations in demand can negatively affect our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Fluctuations in demand for crude oil, such as caused by refinery downtime or shutdown,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If we do not make acquisitions on economically acceptable terms, our future growth may be limited.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ability to grow our distributions depends in part on our ability to make acquisitions that result in an increase in operating surplus per unit. If we are unable to make such accretive acquisitions either because we are (i) unable to identify attractive acquisition candidates or negotiate acceptable purchase contracts with the sellers, (ii) unable to raise financing for such acquisitions on economically acceptable terms or (iii) outbid by competitors, our future growth will be limited. As a result, we may not be able to complete the number or size of acquisitions that we have targeted internally or to continue to grow as quickly as we have historically.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evaluating acquisitions, we generally prepare one or more financial cases based on a number of business, industry, economic, legal, regulatory, and other assumptions applicable to the proposed transaction. Although we expect a reasonable basis will exist for those assumptions, the assumptions will generally involve current estimates of future conditions. Realization of many of the assumptions will be beyond our control. Moreover, the uncertainty and risk of inaccuracy associated with any financial projection will increase with the length of the forecasted period. Some acquisitions may not be accretive in the near term, and will be accretive in the long term only if we are able timely and effectively to integrate the underlying assets and such assets perform at or near the levels anticipated in our acquisition projections.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43" w:name="PB_39_121108_5250"/>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growth strategy requires access to new capital. Tightened capital markets or other factors that increase our cost of capital could impair our ability to grow.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continuously consider potential acquisitions and opportunities for internal growth. These transactions can be effected quickly, may occur at any time and may be significant in size relative to our existing assets and operations. Any material acquisition or internal growth project will require access to capital. Any limitations on our access to capital or increase in the cost of that capital could significantly impair our growth strategy. Our ability to maintain our targeted credit profile, including maintaining our credit ratings, could affect our cost of capital as well as our ability to execute our growth strategy.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acquisition strategy involves risks that may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acquisition involves potential risks, including: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performance from the acquired businesses or assets that is below the forecasts we used in evaluating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significant increase in our indebtedness and working capital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inability to timely and effectively integrate the operations of recently acquired businesses or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incurrence of substantial unforeseen environmental and other liabilities arising out of the acquired businesses or assets, including liabilities arising from the operation of the acquired businesses or assets prior to our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customer or key employee loss from the acquired businesses;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diversion of managements attention from other business concerns.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of these factors could adversely affect our ability to achieve anticipated levels of cash flows from our acquisitions, realize other anticipated benefits and our ability to pay distributions or meet our debt service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results of operations are influenced by the overall forward market for crude oil, and certain market structures or the absence of pricing volatility may adversely impact our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Results from our supply and logistics segment are influenced by the overall forward market for crude oil. A contango market (meaning that the price of crude oil for future deliveries is higher than current prices) is favorable to commercial strategies that are associated with storage tankage as it allows a party to simultaneously purchase production at current prices for storage and sell at higher prices for future delivery. Wide contango spreads combined with price structure volatility generally have a favorable impact on our results. A backwardated market (meaning that the price of crude oil for future deliveries is lower than current prices) has a positive impact on lease gathering margins because crude oil gatherers can capture a premium for prompt deliveries; however, in this environment there is little incentive to store crude oil as current prices are above future delivery prices. In either case, margins can be improved when prices are volatile. The periods between these two market structures are referred to as transition periods. If the market is in a backwardated to transitional structure, our results from our supply and logistics segment may be less than those generated during the more favorable contango market conditions. Additionally, a prolonged transition period or a lack of volatility in the pricing structure may further negatively impact our results.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effect on our aggregate segment profit. A prolonged transition from a backwardated market to a contango market, or vice versa (essentially a market that is neither in pronounced backwardation nor contango), represents the least beneficial environment for our supply and logistics segment.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44" w:name="PB_40_123233_8627"/>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assets are subject to federal, state and provincial regulation. Rate regulation or a successful challenge to the rates we charge on our U.S. and Canadian pipeline system may reduce the amount of cash we generate.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 interstate common carrier pipelines are subject to regulation by the FERC under the ICA. The ICA requires that tariff rates for petroleum pipelines be just and reasonable and non-discriminatory. We are also subject to the Pipeline Safety Regulations of the DOT. Our intrastate pipeline transportation activities are subject to various state laws and regulations as well as orders of regulatory bodies.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our U.S. interstate common carrier pipelines subject to FERC regulation under the ICA, shippers may protest our pipeline tariff filings, or the FERC can investigate on its own initiative. Under certain circumstances, the FERC could limit our ability to set rates based on our costs, or could order us to reduce our rates and could require the payment of reparations to complaining shippers for up to two years prior to the complaint. Natural gas storage facilities are subject to regulation by the FERC and certain state agencies.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Canadian pipelines are subject to regulation by the NEB and by provincial authorities. Under the National Energy Board Act, the NEB could investigate the tariff rates or the terms and conditions of service relating to a jurisdictional pipeline on its own initiative upon the filing of a toll or tariff application, or upon the filing of a written complaint. If it found the rates or terms of service relating to such pipeline to be unjust or unreasonable or unjustly discriminatory, the NEB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 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Some of our operations cross the U.S./Canada border and are subject to cross border regulation.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cross border activities with our Canadian subsidiaries subject us to regulatory matters, including import and export licenses, tariffs, Canadian and U.S. customs and tax issues and toxic substance certifications. Such regulations include the Short Supply Controls of the Export Administration Act, the North American Free Trade Agreement and the Toxic Substances Control Act. Violations of these licensing, tariff and tax reporting requirements could result in the imposition of significant administrative, civil and criminal penalties.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sales of oil, natural gas, NGLs and other energy commodities, and related hedging activities, expose us to potential regulatory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Federal Trade Commission, the FERC and the Commodity Futures Trading Commission hold statutory authority to monitor certain segments of the physical and futures energy commodities markets. These agencies have imposed broad regulations prohibiting fraud and manipulation of such markets. With regard to our physical sales of oil, natural gas, NGLs or other energy commodities, and any related hedging activities that we undertake, we are required to observe the market-related regulations enforced by these agencies, which hold substantial enforcement authority. Our sales may also be subject to certain reporting and other requirements. Additionally, to the extent that we enter into transportation contracts with natural gas pipelines that are subject to FERC regulation, we are subject to FERC requirements related to use of such capacity. Any failure on our part to comply with the FERCs regulations and policies, or with an interstate pipelines tariff,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face competition in our transportation, facilities and supply and logistics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competitors include other crude oil pipelines, the major integrated oil companies, their marketing affiliates, and independent gatherers, investment banks, brokers and marketers of widely varying sizes, financial resources and experience. Some of these competitors have capital resources many times greater than ours and control greater supplies of crude oil.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major pipeline companies and independent storage providers have existing storage facilities connected to their systems that compete with some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in the future encounter increased costs related to, and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Over the last several years, as the scale and scope of our business activities has expanded, the breadth and depth of available insurance markets has contracted. We can give no assurance that we will be able to maintain adequate insurance in the future at rates we consider reasonable. The occurrence of a significant event not fully insured could materially and adversely affect our operations and financial condition.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45" w:name="PB_41_123233_7906"/>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terms of our indebtedness may limit our ability to borrow additional funds or capitalize on business opportunities. In addition, our future debt level may limit our future financial and operating flexibility.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our consolidated debt outstanding was approximately $5.2 billion, consisting of approximately $4.1 billion principal amount of long-term debt (including senior notes) and approximately $1.1 billion of short-term borrowings. As of December 31, 2009, we had approximately $950 million of available borrowing capacity under our senior unsecured revolving credit facility and our senior secured hedged inventory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amount of our current or future indebtedness could have significant effects on our operations, including,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significant portion of our cash flow will be dedicated to the payment of principal and interest on our indebtedness and may not be available for other purposes, including the payment of distributions on our units and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credit rating agencies may view our debt level negatively;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covenants contained in our existing debt arrangements will require us to continue to meet financial tests that may adversely affect our flexibility in planning for and reacting to changes in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additional financing for working capital, capital expenditures, acquisitions and general partnership purposes may be limited;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may be at a competitive disadvantage relative to similar companies that have less debt;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may be more vulnerable to adverse economic and industry conditions as a result of our significant debt level.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facility treats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Facilities and Long-Term 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ability to access capital markets to raise capital on favorable terms will be affected by our debt level, our operating and financial performance, the amount of our debt maturing in the next several years and current maturities, and by prevailing market conditions. Moreover,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bank credit, as opposed to long-term public debt securities or equity securities.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pay cash distributions at expected rates.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Marine transportation of crude oil and refined product has inherent operating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supply and logistics operations include purchasing crude oil that is carried on third-party tankers. Our waterborne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Although certain of these risks may be covered under our insurance program, any of these circumstances or events could increase our costs or lower our revenues.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46" w:name="PB_42_123233_3736"/>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Maritime claimants could arrest the vessels carrying our cargoes.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are dependent on use of third-party assets for certain of our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business activities require the use of third-party assets over which we may have little or no control. For example, a portion of our storage and distribution business conducted in the Los Angeles basin (acquired in connection with the Pacific merger) receives waterborne crude oil through dock facilities operated by a third party in the Port of Long Beach. We are currently a hold-over tenant with respect to such facilities. If we are unable to renew the agreement that allows us to utilize these dock facilities, and if other alternative dock access cannot be arranged, the volumes of crude oil that we presently receive from our customers in the Los Angeles basin may be reduced, which could result in a reduction of facilities segment revenue and cash flow.</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Increases in interest rates could adversely affect our business and the trading price of our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both fixed and variable rate debt, and we are exposed to market risk due to the floating interest rates on our credit facilities. As of December 31, 2009, we had approximately $5.2 billion of consolidated debt, of which approximately $3.8 billion was at fixed interest rates and approximately $1.4 billion was at variable interest rates (including $300 million of interest rate derivatives that swap fixed-rate debt for floating). From time to time we use interest rate derivatives to hedge interest obligations on specific debt issuances, including anticipated debt issuances. Our results of operations, cash flows and financial position could be adversely affected by significant increases in interest rates above current levels. Additionally, increases in interest rates could adversely affect our supply and logistics segment results by increasing interest costs associated with the storage of hedged crude oil and LPG inventory. Further, the trading price of our common units may be sensitive to changes in interest rates and any rise in interest rates could adversely impact such trading price.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currency exchange rates could adversely affect our operating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we conduct operations in Canada, we are exposed to currency fluctuations and exchange rate risks that may adversely affect our results of operations. For example, the financial market turmoil, which started in 2007 and continued into 2009, impacted the exchange rate. The average monthly exchange rate for the Canadian dollar to U.S. dollar ranged between $1.05:1 and $1.26:1 during 2009.</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Terrorist attacks aimed at our facilities could adversely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Since the September 11, 2001 terrorist attacks, the U.S. government has issued warnings that energy assets, specifically the nations pipeline infrastructure, may be future targets of terrorist organizations. These developments will subject our operations to increased risks. Any future terrorist attack that may target our facilities, those of our customers and, in some cases, those of other pipelines, could have a material adverse effect on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 impairment of goodwill could reduce our earnings.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we had $1.3 billion of goodwill, of which approximately $875 million was recorded upon completion of our merger with Pacific. The purchase price for the Pacific merger was approximately $2.5 billion. Goodwill is recorded when the purchase price of a business exceeds the fair market value of the acquired tangible and separately measurable intangible net assets. U.S. generally accepted accounting principles, or GAAP, requires us to test goodwill for impairment on an annual basis or when events or circumstances occur indicating that goodwill might be impaired. If we were to determine that any of our goodwill was impaired, we would be required to take an immediate charge to earnings with a corresponding reduction of partners equity and increase in balance sheet leverage as measured by debt to total capitalization.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47" w:name="PB_43_123233_9621"/>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natural gas storage facilities are new and have limited operating history. The facilities may not be able to deliver as anticipated, which could prevent us from meeting our contractual obligations and cause us to incur significant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believe that our operating gas storage facilities at Bluewater and Pine Prairie have been designed to meet our contractual obligations with respect to wheeling, injection, withdrawal and gas specifications, the facilities are new and have a limited operating history. If we fail to wheel, inject or withdraw natural gas at contracted rates, or cannot deliver natural gas consistent with contractual quality specifications, we could incur significant costs to satisfy our contractual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Inherent in an Investment in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Cost reimbursements due to our general partner may be substantial and will reduce our cash available for distribution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making any distribution on our common units, we will reimburse our general partner and its affiliates, including officers and directors of the general partner, for all expenses incurred on our behalf (other than expenses related to the Class B units of Plains AAP, L.P.).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distributions are not guaranteed and may fluctuate with our performance and the establishment of financial reserves.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48" w:name="PB_44_123233_8715"/>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Unitholders may not be able to remove our general partner even if they wish to do so.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manages and operates the Partnership. Unlike the holders of common stock in a corporation, unitholders will have only limited voting rights on matters affecting our business. Unitholders have no right to elect the general partner or the directors of the general partner on an annual or any other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Furthermore, if unitholders are dissatisfied with the performance of our general partner, they currently have little practical ability to remove our general partner or otherwise change its management. Our general partner may not be removed except upon the vote of the holders of at least 66</w:t>
      </w:r>
      <w:r>
        <w:rPr>
          <w:rFonts w:ascii="Times New Roman" w:hAnsi="Times New Roman"/>
          <w:sz w:val="11"/>
        </w:rPr>
        <w:t>2</w:t>
      </w:r>
      <w:r>
        <w:rPr>
          <w:rFonts w:ascii="Times New Roman" w:hAnsi="Times New Roman"/>
          <w:sz w:val="17"/>
        </w:rPr>
        <w:t>/</w:t>
      </w:r>
      <w:r>
        <w:rPr>
          <w:rFonts w:ascii="Times New Roman" w:hAnsi="Times New Roman"/>
          <w:sz w:val="11"/>
        </w:rPr>
        <w:t>3</w:t>
      </w:r>
      <w:r>
        <w:rPr>
          <w:rFonts w:ascii="Times New Roman" w:hAnsi="Times New Roman"/>
          <w:sz w:val="17"/>
        </w:rPr>
        <w:t>% of our outstanding units (including units held by our general partner or its affiliates). Because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 following provisions of our partnership agreement may discourage a person or group from attempting to remove our general partner or otherwise change our management: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generally, if a person acquires 20% or more of any class of units then outstanding other than from our general partner or its affiliates, the units owned by such person cannot be voted on any matter;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limitations upon the ability of unitholders to call meetings or to acquire information about our operations, as well as other limitations upon the unitholders ability to influence the manner or direction of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these provisions, the price at which our common units will trade may be lower because of the absence or reduction of a takeover premium in the trading price.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may issue additional common units without unitholder approval, which would dilute a unitholders existing ownership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may cause us to issue an unlimited number of common units without unitholder approval (subject to applicable NYSE rules). We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existing unitholders proportionate ownership interest in the Partnership will decrease;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amount of cash available for distribution on each unit may decrease;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ratio of taxable income to distributions may increase;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relative voting strength of each previously outstanding unit may be diminished;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market price of the common units may decline.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general partner has a limited call right that may require unitholders to sell their units at an undesirable time or price.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Unitholders may not have limited liability if a court finds that unitholder actions constitute control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49" w:name="PB_45_123233_563"/>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Section 17-607 of the Delaware Revised Uniform Limited Partnership Act provides that under some circumstances, a unitholder may be liable to us for the amount of a distribution for a period of three years from the date of the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Conflicts of interest could arise among our general partner and us or the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conflicts may include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under our partnership agreement, we reimburse the general partner for the costs of managing and for operating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amount of cash expenditures, borrowings and reserves in any quarter may affect available cash to pay quarterly distributions to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general partner would not breach our partnership agreement by exercising its call rights to purchase limited partnership interests or by assigning its call rights to one of its affiliates or to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control of our general partner may be transferred to a third party without unitholder consent. A change of control may result in defaults under certain of our debt instruments and the triggering of payment obligations under compensation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general partner of our general partner to transfer its general partnership interest in our general partner to a third party. Any new owner of our general partner would be able to replace the board of directors and officers with its own choices and to control their decisions and 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a change of control would constitute an event of default under the indentures governing certain issues of our senior notes and under our revolving credit agreement. An event of default under certain of our indentures could require us to make an offer to purchase the senior notes issued thereunder at a purchase price equal to 101% of the aggregate principal amount, plus accrued and unpaid interest, if any, to the date of purchase. During the continuance of an event of default under our revolving credit agreement,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Risks Related to an Investment in Our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right to receive payments on our outstanding debt securities and subsidiary guarantees is unsecured and will be effectively subordinated to our existing and future secured indebtedness as well as to any existing and future indebtedness of our subsidiaries that do not guarantee the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debt securities are effectively subordinated to claims of our secured creditors and the guarantees are effectively subordinated to the claims of our secured creditors as well as the secured creditors of our subsidiary guarantors. Although many of our operating subsidiaries have guaranteed such debt securities, the guarantees are subject to release under certain circumstances, and we may have subsidiaries that are not guarantors. In that case, the debt securities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debt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50" w:name="PB_46_123233_9497"/>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leverage may limit our ability to borrow additional funds, comply with the terms of our indebtedness or capitalize on business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is significant in relation to our partners capital. At December 31, 2009, our total outstanding debt was approximately $5.2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 court may use fraudulent conveyance considerations to avoid or subordinate the subsidiary guarantees.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Various applicable fraudulent conveyance laws have been enacted for the protection of creditors. A court may use fraudulent conveyance laws to subordinate or avoid the subsidiary guarantees of our debt securities issued by any of our subsidiary guarantors. It is also possible that under certain circumstances a court could hold that the direct obligations of a subsidiary guaranteeing our debt securities could be superior to the obligations under that guarantee.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court could avoid or subordinate the guarantee of our debt securities by any of our subsidiaries in favor of that subsidiarys other debts or liabilities to the extent that the court determined either of the following were true at the time the subsidiary issued the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that subsidiary did not receive fair consideration or reasonable equivalent value for issuing the guarantee and, at the time it issued the guarantee, that subsidiary: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was insolvent or rendered insolvent by reason of the issuance of the guarantee;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was engaged or about to engage in a business or transaction for which the remaining assets of that subsidiary constituted unreasonably small capital;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intended to incur, or believed that it would incur, debts beyond its ability to pay such debts as they matured.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51" w:name="PB_47_123233_3641"/>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Among other things, a legal challenge of a subsidiarys guarantee of our debt securities on fraudulent conveyance grounds may focus on the benefits, if any, realized by that subsidiary as a result of our issuance of our debt securities. To the extent a subsidiarys guarantee of our debt securities is avoided as a result of fraudulent conveyance or held unenforceable for any other reason, the holders of our debt securities would cease to have any claim in respect of that guarantee.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ability to transfer our debt securities may be limited by the absence of a trading market.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have a holding company structure in which our subsidiaries conduct our operations and own our operating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do not have the same flexibility as other types of organizations to accumulate cash, which may limit cash available to service our debt securities or to repay them at maturity.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provide for the proper conduct of our business and the businesses of our operating partnerships (including reserves for future capital expenditures and for our anticipated future credit needs);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provide funds for distributions to our unitholders and the general partner for any one or more of the next four calendar quarters;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to comply with applicable law or any of our loan or other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Tax Risks to Common Unitholders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tax treatment depends on our status as a partnership for federal income tax purposes, as well as our not being subject to a material amount of additional entity-level taxation by individual states. If the IRS were to treat us as a corporation for federal income tax purposes or if we become subject to material additional amounts of entity-level taxation for state or foreign tax purposes, it would reduce the amount of cash available to pay distributions and our debt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we were treated as a corporation for federal income tax purposes, we would pay federal income tax on our taxable income at the corporate tax rate, which is currently a maximum of 35%, and would likely pay state income taxes at varying rates. Distributions to our unitholders would generally be taxed again as corporate distributions, and no income, gains, losses, deductions or credits would flow through to our unitholders. Because a tax would be imposed upon us as a corporation, the cash available for distributions or to pay our debt obligations would be substantially reduced. Therefore, treatment of us as a corporation would result in a material reduction in cash flow and after-tax returns to our unitholders, likely causing a substantial reduction in the value of our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anticipated after-tax economic benefit of an investment in our common units depends largely on our being treated as a partnership for federal income tax purposes. We have not requested, and do not plan to request, a ruling from the Internal Revenue Service, or the IRS, on this or any other tax matter affecting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Despite the fact that we are classified as a limited partnership under Delaware law, it is possible in certain circumstances for a partnership such as ours to be treated as a corporation for federal income tax purposes. Although we do not believe, based upon our current operations, that we will be so treated, a change in our business (or a change in current law) could cause us to be treated as a corporation for federal income tax purposes or otherwise subject us to taxation as an entity.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52" w:name="PB_48_123233_5250"/>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Current law may change causing us to be treated as a corporation for federal income tax purposes or otherwise subject us to entity-level taxation. In addition, because of widespread state budget deficits and other reasons, several states are evaluating ways to subject partnerships to entity-level taxation through the imposition of state income, franchise and other forms of taxation. Specifically, beginning in 2008, we became subject to a new entity level tax on the portion of our income that is generated in Texas in the prior year. Imposition of any such additional taxes on us will reduce the cash available for distribution to our unitholders. Our partnership agreement provides that if a law is enacted or existing law is modified or interpreted in a manner that subjects us to taxation as a corporation or otherwise subjects us to entity-level taxation for federal income tax purposes, our target distribution amounts will be adjusted to reflect the impact of that law on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Recent changes in Canadian tax law will subject our Canadian subsidiaries to entity-level tax, which will reduce the amount of cash available to pay distributions and our debt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Canadian subsidiaries are corporations for Canadian tax purposes, thus their operations are subject to Canadian federal and provincial income taxes. The remainder of our Canadian operations is conducted through an operating limited partnership, which has historically been treated as a flow-through entity for tax purposes. This entity is subject to Canadian legislation passed in June 2007 that imposes entity-level taxes on certain types of flow-through entities. This legislation refers to safe harbor guidelines that grandfather certain existing entities (which, we believe, would include us) and delay the effective date of such legislation until 2011 provided that the entities do not exceed the normal growth guidelines. Although we continuously review acquisition opportunities that, if consummated, could cause us to exceed the normal growth guidelines, we believe that we are currently within the normal growth guidelines. Additionally, in December 2008, the Fifth Protocol to the U.S./Canada Tax Treaty was ratified and contained language that increases the withholding tax on dividends and intercompany interest effective in 2010. As a result of these collective changes, we are evaluating a number of alternatives to restructure our Canadian subsidiaries to optimize both entity and equity owner level taxes.  We anticipate effecting any structural changes in 2010 or early 2011.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sale or exchange of 50% or more of our capital and profits interests during any twelve-month period will result in our termination as a partnership for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Our termination would, among other things, result in the closing of our taxable year for all unitholders, which would result in our filing two tax returns for one fiscal year and could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his taxable income for the year of termination. Our termination currently would not affect our classification as a partnership for federal income tax purposes, but it would result in our being treated as a new partnership for tax purposes. If we were treated as a new partnership, we would be required to make new tax elections and could be subject to penalties if we were unable to determine that a termination occurred.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If the IRS contests the federal income tax positions we take, the market for our common units may be adversely impacted and the cost of any IRS contest will reduce our cash available for distribution or debt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IRS has made no determination as to our status as a partnership for federal income tax purposes or as to any other matter affecting us. The IRS may adopt positions that differ from the positions we take. It may be necessary to resort to administrative or court proceedings to sustain some or all of the positions we take. A court may not agree with some or all positions we take. Any contest with the IRS may materially and adversely impact the market for our common units and the price at which they trade. In addition, our costs of any contest with the IRS will be borne indirectly by our unitholders and our general partner because the costs will reduce our cash available for distribution or debt service.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unitholders may be required to pay taxes on their share of our income even if they do not receive any cash distributions from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our unitholders will be treated as partners to whom we will allocate taxable income that could be different in amount than the cash we distribute, they will be required to pay any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53" w:name="PB_49_123233_7672"/>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 gain or loss on the disposition of our common units could be more or less than expected.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our unitholders sell their common units, they will recognize gain or loss equal to the difference between the amount realized and their tax basis in those common units. Because distributions in excess of a unitholders allocable share of our net taxable income decrease the unitholders tax basis in their common units, the amount of any such prior excess distributions with respect to their units will, in effect, become taxable income to the unitholder if the common units are sold at a price greater than the unitholders tax basis in those common units, even if the price the unitholder receives is less than the unitholders original cost. Furthermore, a substantial portion of the amount realized, whether or not representing gain, may be taxed as ordinary income due to potential recapture items, including depreciation recapture. In addition, because the amount realized includes a unitholders share of our nonrecourse liabilities, if a unitholder sells units, the unitholder may incur a tax liability in excess of the amount of cash received from the sale.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Tax-exempt entities and non-U.S. persons face unique tax issues from owning our common units that may result in adverse tax consequences to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Investment in common units by tax-exempt entities, such as employee benefit plans and individual retirement accounts (IRAs), and non-U.S. persons raises issues unique to them. For example, virtually all of our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our taxable income. Tax-exempt entities and non-U.S. persons should consult their tax advisor before investing in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treat each purchaser of our common units as having the same tax benefits without regard to the actual units purchased. The IRS may challenge this treatment, which could adversely affect the value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we cannot match transferors and transferees of common units, we have adopted depreciation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Our unitholders will likely be subject to state, local and foreign taxes and return filing requirements in states and jurisdictions where they do not live as a result of investing in our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federal income taxes, our unitholders will likely be subject to other taxes, including state, local and foreign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most states in the United States and Canada, most of which impose a personal income tax on individuals and an income tax on corporations and other entities. It is our unitholders responsibility to file all U.S. federal, state, local and foreign tax returns.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have adopted certain valuation methodologies that may result in a shift of income, gain, loss and deduction between our general partner and our unitholders. The IRS may challenge this treatment, which could adversely affect the value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When we issue additional units or engage in certain other transactions, we determine the fair market value of our assets and allocate any unrealized gain or loss attributable to our assets to the capital accounts of our unitholders and our general partner. Our methodology may be viewed as understating the value of our assets. In that case, there may be a shift of income, gain, loss and deduction between certain unitholders and the general partner, which may be unfavorable to such unitholders. Moreover, under our current valuation methods, subsequent purchasers of common units may have a greater portion of their Internal Revenue Code Section 743(b) adjustment allocated to our tangible assets and a lesser portion allocated to our intangible assets. The IRS may challenge our valuation methods, or our allocation of the Section 743(b) adjustment attributable to our tangible and intangible assets, and allocations of income, gain, loss and deduction between the general partner and certain of our unitholders.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54" w:name="PB_50_123448_5926"/>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successful IRS challenge to these methods or allocations could adversely affect the amount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 unitholder whose common units are loaned to a short seller to cover a short sale of common units may be considered as having disposed of those common units. If so, he would no longer be treated for tax purposes as a partner with respect to those common units during the period of the loan and may recognize gain or loss from the disposition.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there is no tax concept of loaning a partnership interest, a unitholder whose common units are loaned to a short seller to cover a short sale of common units may be considered as having disposed of the loaned units, he may no longer be treated for tax purposes as a partner with respect to those common units during the period of the loan to the short seller and the unitholder may recognize gain or loss from such disposition. Moreover, during the period of the loan to the short seller, any of our income, gain, loss or deduction with respect to those common units may not be reportable by the unitholder and any cash distributions received by the unitholder as to those common units could be fully taxable as ordinary income. Unitholders desiring to assure their status as partners and avoid the risk of gain recognition from a loan to a short seller should modify any applicable brokerage account agreements to prohibit their brokers from borrowing their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The tax treatment of (i) publicly traded partnerships or (ii) an investment in our units could be subject to potential legislative, judicial or administrative changes and differing interpretations, possibly on a retroactive basis.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present U.S. federal income tax treatment of (i) publicly traded partnerships, including us, or (ii) an investment in our common units may be modified by administrative, legislative or judicial interpretation at any time. For example, members of Congress have recently considered substantive changes to the existing federal income tax laws that affect publicly traded partnerships. Any modification to the U.S. federal income tax laws and interpretations thereof may or may not be applied retroactively and could make it more difficult or impossible to meet the exception for certain publicly traded partnerships to be treated as partnerships for U.S. federal income tax purposes. Although the considered legislation would not have appeared to have affected our treatment as a partnership, we are unable to predict whether any of these changes, or other proposals will be reintroduced or will ultimately be enacted. Any such changes could negatively impact the value of an investment in our common units. 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 will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method of proration of items of income, gain, loss and deduction between transferors and transferees may not be permitted under existing Treasury Regulations. If the IRS were to challenge this method or new Treasury regulations were issued, we may be required to change the allocation of items of income, gain, loss and deduction among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1B.</w:t>
      </w:r>
      <w:r>
        <w:rPr>
          <w:rFonts w:ascii="Times New Roman" w:hAnsi="Times New Roman"/>
        </w:rPr>
        <w:t xml:space="preserve">  </w:t>
      </w:r>
      <w:r>
        <w:rPr>
          <w:rFonts w:ascii="Times New Roman" w:hAnsi="Times New Roman"/>
          <w:b/>
          <w:i/>
          <w:sz w:val="17"/>
        </w:rPr>
        <w:t>Unresolved Staff Comments</w:t>
      </w:r>
      <w:bookmarkStart w:id="55" w:name="Item1b_UnresolvedStaffComments_164445"/>
      <w:bookmarkEnd w:id="5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3.  </w:t>
      </w:r>
      <w:r>
        <w:rPr>
          <w:rFonts w:ascii="Times New Roman" w:hAnsi="Times New Roman"/>
          <w:b/>
          <w:i/>
          <w:sz w:val="17"/>
        </w:rPr>
        <w:t>Legal Proceedings</w:t>
      </w:r>
      <w:bookmarkStart w:id="56" w:name="Item3_LegalProceedings_164449"/>
      <w:bookmarkEnd w:id="56"/>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Releases.</w:t>
      </w:r>
      <w:r>
        <w:rPr>
          <w:rFonts w:ascii="Times New Roman" w:hAnsi="Times New Roman"/>
        </w:rPr>
        <w:t xml:space="preserve">  </w:t>
      </w:r>
      <w:r>
        <w:rPr>
          <w:rFonts w:ascii="Times New Roman" w:hAnsi="Times New Roman"/>
          <w:sz w:val="17"/>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$5 million to $6 million. In cooperation with the appropriate state and federal environmental authorities, we have completed our work with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57" w:name="PB_51_123448_4688"/>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respect to site restoration, subject to some ongoing remediation at the Pecos River site. EPA has referred these two crude oil releases, as well as several other smaller releases, to the U.S. Department of Justice (the DOJ) for further investigation in connection with a civil penalty enforcement action under the Federal Clean Water Act. We have cooperated in the investigation and are currently involved in settlement discussions with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SemCrude L.P., et al  Debtors (U.S. Bankruptcy Court  Delaware)</w:t>
      </w:r>
      <w:r>
        <w:rPr>
          <w:rFonts w:ascii="Times New Roman" w:hAnsi="Times New Roman"/>
          <w:sz w:val="17"/>
        </w:rPr>
        <w:t>.  We will from time to time have claims relating to insolvent suppliers, customers or counterparties, such as the bankruptcy proceedings of SemCrude, which commenced in July 2008. As a result of our statutory protections and contractual rights of setoff, substantially all of our pre-petition claims against SemCrude should be satisfied. Certain creditors of SemCrude and its affiliates have challenged our contractual and statutory rights to set off certain of our payables to the debtor against our receivables from the debtor. The aggregate amount subject to challenge is approximately $23 million. Certain SemCrude creditors have also filed state court actions alleging a producers lien on crude oil sold to SemCrude, and the continuation of such lien when SemCrude sold the oil to subsequent purchasers such as us. These suits may be consolidated and heard in the U.S. Bankruptcy Court in Delaware. We intend to vigorously defend our contractual and statutory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15, 2006, we completed the Pacific merger. The following is a summary of the more significant matters that relate to Pacific, its assets or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United States of America v. Pacific Pipeline System, LLC</w:t>
      </w:r>
      <w:r>
        <w:rPr>
          <w:rFonts w:ascii="Times New Roman" w:hAnsi="Times New Roman"/>
        </w:rPr>
        <w:t xml:space="preserve"> </w:t>
      </w:r>
      <w:r>
        <w:rPr>
          <w:rFonts w:ascii="Times New Roman" w:hAnsi="Times New Roman"/>
          <w:i/>
          <w:sz w:val="17"/>
        </w:rPr>
        <w:t>(PPS).</w:t>
      </w:r>
      <w:r>
        <w:rPr>
          <w:rFonts w:ascii="Times New Roman" w:hAnsi="Times New Roman"/>
        </w:rPr>
        <w:t xml:space="preserve">  </w:t>
      </w:r>
      <w:r>
        <w:rPr>
          <w:rFonts w:ascii="Times New Roman" w:hAnsi="Times New Roman"/>
          <w:sz w:val="17"/>
        </w:rPr>
        <w:t>In March 2005, a release of approximately 3,400 barrels of crude oil occurred on Line 63, subsequently acquired by us in the Pacific merger. The release occurred when the pipeline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  In September 2008, the EPA filed a civil complaint against PPS, a subsidiary acquired in the Pacific merger, in connection with the Pyramid Lake release. The complaint, which was filed in the Federal District Court for the Central District of California, Civil Action No. CV08-5768DSF(SSX), seeks the maximum permissible penalty under the relevant statutes of approximately $3.7 million. In January 2010, the DOJ, EPA and PPS entered into a proposed consent decree, which will be published in the Federal Register and then be subject to a 30-day public comment period.  If there are no objections prior to the end of the public comment period, the Court is expected to sign the consent decree.  After the consent decree becomes effective, PPS will pay a civil penalty of $1.3 million and comply with other requirements set forth in the consent decree, which include performance of additional remediation and restoration tasks.  Total projected costs associated with this additional work are estimated at less than $6 million. PPS is also prohibited from transferring ownership of Line 63 to an unaffiliated entity unless the transferee agrees in writing to be bound by any provisions of the consent decree that have not been previously satisfied.  This prohibition on transfer will not apply if PPS retains a portion of ownership and continues as operator of the 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ExxonMobil Corp. v. GATX Corp. (Superior Court of New Jersey  Gloucester County).</w:t>
      </w:r>
      <w:r>
        <w:rPr>
          <w:rFonts w:ascii="Times New Roman" w:hAnsi="Times New Roman"/>
        </w:rPr>
        <w:t xml:space="preserve">  </w:t>
      </w:r>
      <w:r>
        <w:rPr>
          <w:rFonts w:ascii="Times New Roman" w:hAnsi="Times New Roman"/>
          <w:sz w:val="17"/>
        </w:rPr>
        <w:t>This Pacific legacy matter was filed by ExxonMobil in April 2003 and involves the allocation of responsibility for remediation of MTBE and other petroleum product contamination at the Pacific Atlantic Terminals LLC (PAT) facility at Paulsboro, New Jersey. We estimate that the maximum potential cost to effectively remediate ranges up to $10 million although the New Jersey Department of Environmental Protection (NJDEP) is asserting a much larger expenditure. Both ExxonMobil and GATX were prior owners of the terminal. We contend that ExxonMobil and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PAT is directly or indirectly liable for damages or costs associated with the contamination.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New Jersey Dept of Environmental Protection v. ExxonMobil Corp. et al.</w:t>
      </w:r>
      <w:r>
        <w:rPr>
          <w:rFonts w:ascii="Times New Roman" w:hAnsi="Times New Roman"/>
        </w:rPr>
        <w:t xml:space="preserve">  </w:t>
      </w:r>
      <w:r>
        <w:rPr>
          <w:rFonts w:ascii="Times New Roman" w:hAnsi="Times New Roman"/>
          <w:sz w:val="17"/>
        </w:rPr>
        <w:t>In a matter related to ExxonMobil v. GATX, in June 2007, the NJDEP brought suit against GATX and ExxonMobil to recover natural resources damages associated with, and to require remediation of, the contamination. ExxonMobil and GATX have filed third-party demands against PAT, seeking indemnity and contribution. NJDEP environmental consultants have asserted a significant clean-up expense as indicated. Discussions with the NJDEP have commenced.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EPA v. Rocky Mountain Pipeline System.</w:t>
      </w:r>
      <w:r>
        <w:rPr>
          <w:rFonts w:ascii="Times New Roman" w:hAnsi="Times New Roman"/>
        </w:rPr>
        <w:t xml:space="preserve">  </w:t>
      </w:r>
      <w:r>
        <w:rPr>
          <w:rFonts w:ascii="Times New Roman" w:hAnsi="Times New Roman"/>
          <w:sz w:val="17"/>
        </w:rPr>
        <w:t xml:space="preserve">In February 2009, we received a request for information from EPA regarding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58" w:name="PB_52_123448_2983"/>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aspects of the fuel handling activities of Rocky Mountain Pipeline System (RMPS), a subsidiary acquired in the Pacific merger, at two truck terminals in Colorado.  These activities, performed at the request of customers, included the mixture of certain blendstocks with gasoline. We provided the information requested, and cooperated in EPAs investigation of such activities.  In January 2010, we received a notice of violations from EPA, alleging failure of RMPS to comply with provisions of the Clean Air Act (CAA) related to registration, sampling, recording and reporting in connection with such activities.  EPA further alleges that the violations occurred on an ongoing basis from October 2006 through February 2009.  We plan to engage in discussion with EPA, and to emphasize factors intended to mitigate the severity of any penalties imposed. In December 2009, RMPS self-reported late filing of certain reports required under Clean Air Act Diesel Fuel Regulations. All reports have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Pacific-Legacy Matters.  </w:t>
      </w:r>
      <w:r>
        <w:rPr>
          <w:rFonts w:ascii="Times New Roman" w:hAnsi="Times New Roman"/>
          <w:sz w:val="17"/>
        </w:rPr>
        <w:t>At the time of its merger with Plains, Pacific had completed a number of acquisitions that had not been fully integrated into its operations. Accordingly, we have and may become aware of various instances in which some of these operations may not have been fully compliant with applicable environmental and safety regulations. Although we have been working to bring all of these operations into compliance with applicable requirements, any past noncompliance could result in the imposition of fines, penalties or corrective action requirements by governmental entities. Although we believe that our operations are presently in material compliance with applicable requirements, it is possible that EPA or other governmental entities may seek to impose fines, penalties or performance obligations on us, or on a portion of our operations, as a result of any past noncompliance that may have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Environmental.</w:t>
      </w:r>
      <w:r>
        <w:rPr>
          <w:rFonts w:ascii="Times New Roman" w:hAnsi="Times New Roman"/>
        </w:rPr>
        <w:t xml:space="preserve">  </w:t>
      </w: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help prevent releases, damages and liabilities incurred due to any such releases from our assets may substantially affect our business. As we expand our pipeline assets through acquisitions, we typically improve on (decrease) the rate of releases from such assets as we implement our procedures, remove selected assets from service and spend capital to upgrade the assets. See Items 1 and 2. Business and PropertiesRegulationEnvironmental, Health and Safety RegulationPipeline Safety/Pipeline and Storage Tank Integration Management.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 See Pipeline Releases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our reserve for environmental liabilities totaled approximately $62 million, of which approximately $10 million is classified as short-term and $52 million is classified as long-term. At December 31, 2009, we have recorded receivables totaling approximately $3 million for amounts that are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w:t>
      </w:r>
      <w:r>
        <w:rPr>
          <w:rFonts w:ascii="Times New Roman" w:hAnsi="Times New Roman"/>
        </w:rPr>
        <w:t xml:space="preserve">  </w:t>
      </w:r>
      <w:r>
        <w:rPr>
          <w:rFonts w:ascii="Times New Roman" w:hAnsi="Times New Roman"/>
          <w:sz w:val="17"/>
        </w:rPr>
        <w:t xml:space="preserve">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59" w:name="PB_53_123448_6228"/>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insurance policies are subject to deductibles that we consider reasonable and not excessive. Our insurance does not cover every potential risk associated with operating pipelines, terminals and other facilities, including the potential loss of significant revenues. Our environmental insurance coverage is generally structured to cover sudden environmental events but not gradual activities which may continue unnoticed for a material period of time. The overall trend in the environmental insurance industry appears to be a contraction in the breadth and depth of available coverage, while costs, deductibles and retention levels have increased.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Absent a material favorable change in the environmental insurance markets, this trend is expected to continue as we continue to grow and expand. As a result, we anticipate that we will elect to self-insure more of our environmental and wind damage exposures, incorporate higher retention in our insurance arrangements, pay higher premiums or some combinations of such 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4. </w:t>
      </w:r>
      <w:r>
        <w:rPr>
          <w:rFonts w:ascii="Times New Roman" w:hAnsi="Times New Roman"/>
          <w:b/>
          <w:i/>
          <w:sz w:val="17"/>
        </w:rPr>
        <w:t>Submission of Matters to a Vote of Security Holders</w:t>
      </w:r>
      <w:bookmarkStart w:id="60" w:name="Item4_SubmissionOfMattersToAVoteO_100829"/>
      <w:bookmarkEnd w:id="6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61" w:name="PB_54_123448_6479"/>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w:t>
      </w:r>
      <w:bookmarkStart w:id="62" w:name="Partii_121312"/>
      <w:bookmarkEnd w:id="62"/>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5.  </w:t>
      </w:r>
      <w:r>
        <w:rPr>
          <w:rFonts w:ascii="Times New Roman" w:hAnsi="Times New Roman"/>
          <w:b/>
          <w:i/>
          <w:sz w:val="17"/>
        </w:rPr>
        <w:t>Market for Registrants Common Units, Related Unitholder Matters and Issuer Purchases of Equity Securities</w:t>
      </w:r>
      <w:bookmarkStart w:id="63" w:name="Item5_MarketForRegistrantsCommonU_121316"/>
      <w:bookmarkEnd w:id="6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are listed and traded on the New York Stock Exchange (NYSE) under the symbol PAA.  As of February 22, 2010, the closing market price for our common units was $54.90 per unit and there were approximately 120,000 record holders and beneficial owners (held in street name). As of February 22, 2010, there were 136,135,988 common 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high and low sales prices for our common units and the cash distributions declared per common unit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80"/>
        <w:gridCol w:w="215"/>
        <w:gridCol w:w="140"/>
        <w:gridCol w:w="1224"/>
        <w:gridCol w:w="215"/>
        <w:gridCol w:w="140"/>
        <w:gridCol w:w="1224"/>
        <w:gridCol w:w="215"/>
        <w:gridCol w:w="162"/>
        <w:gridCol w:w="1363"/>
        <w:gridCol w:w="127"/>
      </w:tblGrid>
      <w:tr>
        <w:trPr/>
        <w:tc>
          <w:tcPr>
            <w:tcW w:w="518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9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w:t>
            </w:r>
          </w:p>
        </w:tc>
        <w:tc>
          <w:tcPr>
            <w:tcW w:w="215" w:type="dxa"/>
            <w:tcBorders/>
            <w:shd w:fill="auto" w:val="clear"/>
            <w:vAlign w:val="bottom"/>
          </w:tcPr>
          <w:p>
            <w:pPr>
              <w:pStyle w:val="TableContents"/>
              <w:spacing w:before="0" w:after="0"/>
              <w:ind w:left="0" w:right="0" w:hanging="0"/>
              <w:jc w:val="center"/>
              <w:rPr/>
            </w:pPr>
            <w:r>
              <w:rPr/>
              <w:t> </w:t>
            </w:r>
          </w:p>
        </w:tc>
        <w:tc>
          <w:tcPr>
            <w:tcW w:w="1525"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0"/>
              <w:ind w:left="0" w:right="0" w:hanging="0"/>
              <w:jc w:val="center"/>
              <w:rPr/>
            </w:pPr>
            <w:r>
              <w:rPr/>
              <w:t> </w:t>
            </w:r>
          </w:p>
        </w:tc>
      </w:tr>
      <w:tr>
        <w:trPr/>
        <w:tc>
          <w:tcPr>
            <w:tcW w:w="518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9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Range</w:t>
            </w:r>
          </w:p>
        </w:tc>
        <w:tc>
          <w:tcPr>
            <w:tcW w:w="215" w:type="dxa"/>
            <w:tcBorders/>
            <w:shd w:fill="auto" w:val="clear"/>
            <w:vAlign w:val="bottom"/>
          </w:tcPr>
          <w:p>
            <w:pPr>
              <w:pStyle w:val="TableContents"/>
              <w:spacing w:before="0" w:after="0"/>
              <w:ind w:left="0" w:right="0" w:hanging="0"/>
              <w:jc w:val="center"/>
              <w:rPr/>
            </w:pPr>
            <w:r>
              <w:rPr/>
              <w:t> </w:t>
            </w:r>
          </w:p>
        </w:tc>
        <w:tc>
          <w:tcPr>
            <w:tcW w:w="152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Cash</w:t>
            </w:r>
          </w:p>
        </w:tc>
        <w:tc>
          <w:tcPr>
            <w:tcW w:w="127" w:type="dxa"/>
            <w:tcBorders/>
            <w:shd w:fill="auto" w:val="clear"/>
            <w:vAlign w:val="bottom"/>
          </w:tcPr>
          <w:p>
            <w:pPr>
              <w:pStyle w:val="TableContents"/>
              <w:spacing w:before="0" w:after="0"/>
              <w:ind w:left="0" w:right="0" w:hanging="0"/>
              <w:jc w:val="center"/>
              <w:rPr/>
            </w:pPr>
            <w:r>
              <w:rPr/>
              <w:t> </w:t>
            </w:r>
          </w:p>
        </w:tc>
      </w:tr>
      <w:tr>
        <w:trPr/>
        <w:tc>
          <w:tcPr>
            <w:tcW w:w="518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5" w:type="dxa"/>
            <w:tcBorders/>
            <w:shd w:fill="auto" w:val="clear"/>
            <w:vAlign w:val="bottom"/>
          </w:tcPr>
          <w:p>
            <w:pPr>
              <w:pStyle w:val="TableContents"/>
              <w:spacing w:before="0" w:after="0"/>
              <w:ind w:left="0" w:right="0" w:hanging="0"/>
              <w:jc w:val="center"/>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5" w:type="dxa"/>
            <w:tcBorders/>
            <w:shd w:fill="auto" w:val="clear"/>
            <w:vAlign w:val="bottom"/>
          </w:tcPr>
          <w:p>
            <w:pPr>
              <w:pStyle w:val="TableContents"/>
              <w:spacing w:before="0" w:after="0"/>
              <w:ind w:left="0" w:right="0" w:hanging="0"/>
              <w:jc w:val="center"/>
              <w:rPr/>
            </w:pPr>
            <w:r>
              <w:rPr/>
              <w:t> </w:t>
            </w:r>
          </w:p>
        </w:tc>
        <w:tc>
          <w:tcPr>
            <w:tcW w:w="15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Distributions </w:t>
            </w:r>
            <w:r>
              <w:rPr>
                <w:b/>
                <w:sz w:val="8"/>
              </w:rPr>
              <w:t>(1)</w:t>
            </w:r>
          </w:p>
        </w:tc>
        <w:tc>
          <w:tcPr>
            <w:tcW w:w="127" w:type="dxa"/>
            <w:tcBorders/>
            <w:shd w:fill="auto" w:val="clear"/>
            <w:vAlign w:val="bottom"/>
          </w:tcPr>
          <w:p>
            <w:pPr>
              <w:pStyle w:val="TableContents"/>
              <w:spacing w:before="0" w:after="0"/>
              <w:ind w:left="0" w:right="0" w:hanging="0"/>
              <w:jc w:val="center"/>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2009</w:t>
            </w:r>
          </w:p>
        </w:tc>
        <w:tc>
          <w:tcPr>
            <w:tcW w:w="215" w:type="dxa"/>
            <w:tcBorders/>
            <w:shd w:fill="CCEEFF" w:val="clear"/>
            <w:vAlign w:val="bottom"/>
          </w:tcPr>
          <w:p>
            <w:pPr>
              <w:pStyle w:val="TableContents"/>
              <w:spacing w:before="0" w:after="0"/>
              <w:ind w:left="0" w:right="0" w:hanging="0"/>
              <w:rPr/>
            </w:pPr>
            <w:r>
              <w:rPr/>
              <w:t> </w:t>
            </w:r>
          </w:p>
        </w:tc>
        <w:tc>
          <w:tcPr>
            <w:tcW w:w="13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3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52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4th Quarter</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53.37</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45.45</w:t>
            </w:r>
          </w:p>
        </w:tc>
        <w:tc>
          <w:tcPr>
            <w:tcW w:w="2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0.9275</w:t>
            </w:r>
          </w:p>
        </w:tc>
        <w:tc>
          <w:tcPr>
            <w:tcW w:w="127" w:type="dxa"/>
            <w:tcBorders/>
            <w:shd w:fill="auto" w:val="clear"/>
            <w:vAlign w:val="bottom"/>
          </w:tcPr>
          <w:p>
            <w:pPr>
              <w:pStyle w:val="TableContents"/>
              <w:spacing w:before="0" w:after="0"/>
              <w:ind w:left="0" w:right="0" w:hanging="0"/>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3rd Quarter</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50.33</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42.50</w:t>
            </w:r>
          </w:p>
        </w:tc>
        <w:tc>
          <w:tcPr>
            <w:tcW w:w="215"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0.9200</w:t>
            </w:r>
          </w:p>
        </w:tc>
        <w:tc>
          <w:tcPr>
            <w:tcW w:w="127" w:type="dxa"/>
            <w:tcBorders/>
            <w:shd w:fill="CCEEFF" w:val="clear"/>
            <w:vAlign w:val="bottom"/>
          </w:tcPr>
          <w:p>
            <w:pPr>
              <w:pStyle w:val="TableContents"/>
              <w:spacing w:before="0" w:after="0"/>
              <w:ind w:left="0" w:right="0" w:hanging="0"/>
              <w:rPr/>
            </w:pPr>
            <w:r>
              <w:rPr/>
              <w:t> </w:t>
            </w:r>
          </w:p>
        </w:tc>
      </w:tr>
      <w:tr>
        <w:trPr/>
        <w:tc>
          <w:tcPr>
            <w:tcW w:w="5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2nd Quarter</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45.52</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36.25</w:t>
            </w:r>
          </w:p>
        </w:tc>
        <w:tc>
          <w:tcPr>
            <w:tcW w:w="2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127" w:type="dxa"/>
            <w:tcBorders/>
            <w:shd w:fill="auto" w:val="clear"/>
            <w:vAlign w:val="bottom"/>
          </w:tcPr>
          <w:p>
            <w:pPr>
              <w:pStyle w:val="TableContents"/>
              <w:spacing w:before="0" w:after="0"/>
              <w:ind w:left="0" w:right="0" w:hanging="0"/>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1st Quarter</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40.98</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34.00</w:t>
            </w:r>
          </w:p>
        </w:tc>
        <w:tc>
          <w:tcPr>
            <w:tcW w:w="215"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127" w:type="dxa"/>
            <w:tcBorders/>
            <w:shd w:fill="CCEEFF" w:val="clear"/>
            <w:vAlign w:val="bottom"/>
          </w:tcPr>
          <w:p>
            <w:pPr>
              <w:pStyle w:val="TableContents"/>
              <w:spacing w:before="0" w:after="0"/>
              <w:ind w:left="0" w:right="0" w:hanging="0"/>
              <w:rPr/>
            </w:pPr>
            <w:r>
              <w:rPr/>
              <w:t> </w:t>
            </w:r>
          </w:p>
        </w:tc>
      </w:tr>
      <w:tr>
        <w:trPr/>
        <w:tc>
          <w:tcPr>
            <w:tcW w:w="518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3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364"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525"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2008</w:t>
            </w:r>
          </w:p>
        </w:tc>
        <w:tc>
          <w:tcPr>
            <w:tcW w:w="215" w:type="dxa"/>
            <w:tcBorders/>
            <w:shd w:fill="CCEEFF" w:val="clear"/>
            <w:vAlign w:val="bottom"/>
          </w:tcPr>
          <w:p>
            <w:pPr>
              <w:pStyle w:val="TableContents"/>
              <w:spacing w:before="0" w:after="0"/>
              <w:ind w:left="0" w:right="0" w:hanging="0"/>
              <w:rPr/>
            </w:pPr>
            <w:r>
              <w:rPr/>
              <w:t> </w:t>
            </w:r>
          </w:p>
        </w:tc>
        <w:tc>
          <w:tcPr>
            <w:tcW w:w="13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364"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52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5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4th Quarter</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42.39</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23.25</w:t>
            </w:r>
          </w:p>
        </w:tc>
        <w:tc>
          <w:tcPr>
            <w:tcW w:w="2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127" w:type="dxa"/>
            <w:tcBorders/>
            <w:shd w:fill="auto" w:val="clear"/>
            <w:vAlign w:val="bottom"/>
          </w:tcPr>
          <w:p>
            <w:pPr>
              <w:pStyle w:val="TableContents"/>
              <w:spacing w:before="0" w:after="0"/>
              <w:ind w:left="0" w:right="0" w:hanging="0"/>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3rd Quarter</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48.36</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35.68</w:t>
            </w:r>
          </w:p>
        </w:tc>
        <w:tc>
          <w:tcPr>
            <w:tcW w:w="215"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127" w:type="dxa"/>
            <w:tcBorders/>
            <w:shd w:fill="CCEEFF" w:val="clear"/>
            <w:vAlign w:val="bottom"/>
          </w:tcPr>
          <w:p>
            <w:pPr>
              <w:pStyle w:val="TableContents"/>
              <w:spacing w:before="0" w:after="0"/>
              <w:ind w:left="0" w:right="0" w:hanging="0"/>
              <w:rPr/>
            </w:pPr>
            <w:r>
              <w:rPr/>
              <w:t> </w:t>
            </w:r>
          </w:p>
        </w:tc>
      </w:tr>
      <w:tr>
        <w:trPr/>
        <w:tc>
          <w:tcPr>
            <w:tcW w:w="5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2nd Quarter</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50.96</w:t>
            </w:r>
          </w:p>
        </w:tc>
        <w:tc>
          <w:tcPr>
            <w:tcW w:w="215"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44.54</w:t>
            </w:r>
          </w:p>
        </w:tc>
        <w:tc>
          <w:tcPr>
            <w:tcW w:w="215"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0.8875</w:t>
            </w:r>
          </w:p>
        </w:tc>
        <w:tc>
          <w:tcPr>
            <w:tcW w:w="127" w:type="dxa"/>
            <w:tcBorders/>
            <w:shd w:fill="auto" w:val="clear"/>
            <w:vAlign w:val="bottom"/>
          </w:tcPr>
          <w:p>
            <w:pPr>
              <w:pStyle w:val="TableContents"/>
              <w:spacing w:before="0" w:after="0"/>
              <w:ind w:left="0" w:right="0" w:hanging="0"/>
              <w:rPr/>
            </w:pPr>
            <w:r>
              <w:rPr/>
              <w:t> </w:t>
            </w:r>
          </w:p>
        </w:tc>
      </w:tr>
      <w:tr>
        <w:trPr/>
        <w:tc>
          <w:tcPr>
            <w:tcW w:w="5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1st Quarter</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52.44</w:t>
            </w:r>
          </w:p>
        </w:tc>
        <w:tc>
          <w:tcPr>
            <w:tcW w:w="215"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43.93</w:t>
            </w:r>
          </w:p>
        </w:tc>
        <w:tc>
          <w:tcPr>
            <w:tcW w:w="215"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0.8650</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Cash distributions for a quarter are declared and paid in the following calendar quarter.  See the Cash Distribution Policy below for a discussion of our policy regarding distribution payments.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are used as a form of compensation to our employees. Additional information regarding our equity compensation plans is included in Part III of this report under Item 13. Certain Relationships and Related Transactions and Director Independence.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Cash Distribution Policy</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17"/>
        </w:rPr>
        <w:t xml:space="preserve">We will distribute all of our available cash to our unitholders within 45 days following the end of each quarter </w:t>
      </w:r>
      <w:r>
        <w:rPr>
          <w:rFonts w:ascii="Times New Roman" w:hAnsi="Times New Roman"/>
          <w:sz w:val="20"/>
        </w:rPr>
        <w:t>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provide for the proper conduct of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comply with applicable law or any partnership debt instrument or other agreement; 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provide funds for distributions to unitholders and the general partner in respect of any one or more of the next four quarters.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and except for the agreed upon adjustment discussed below, to 15% of amounts we distribute in excess of $0.450 per unit, 25% of the amounts we distribute in excess of $0.495 per unit and 50% of amounts we distribute in excess of $0.675 per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following a significant acquisition, our general partner may agree to reduce the amounts due to it as incentive distributions.  Upon closing the acquisitions of Pacific Energy Partners LP (Pacific) in November 2006 and Rainbow Pipeline Company (Rainbow) in May 2008, our general partner agreed to reduce the amounts due to it as incentive distributions. Additionally, in connection with the PNGS acquisition in September 2009, our general partner agreed to further reduce its incentive distributions by an aggregate of $8 million over the next two years$1.25 million per quarter for the first four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64" w:name="PB_55_120627_5796"/>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quarters and $0.75 million per quarter for the next four quarters.  This incentive distribution reduction became effective upon payment of our November 2009 quarterly distribution of $0.9200 per limited partner unit.  The total reduction in incentive distributions related to the Pacific, Rainbow and PNGS acquisitions is $83 million as displayed on an annual basis in the following table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791"/>
        <w:gridCol w:w="216"/>
        <w:gridCol w:w="142"/>
        <w:gridCol w:w="854"/>
        <w:gridCol w:w="216"/>
        <w:gridCol w:w="142"/>
        <w:gridCol w:w="854"/>
        <w:gridCol w:w="216"/>
        <w:gridCol w:w="142"/>
        <w:gridCol w:w="854"/>
        <w:gridCol w:w="216"/>
        <w:gridCol w:w="142"/>
        <w:gridCol w:w="854"/>
        <w:gridCol w:w="216"/>
        <w:gridCol w:w="160"/>
        <w:gridCol w:w="835"/>
        <w:gridCol w:w="216"/>
        <w:gridCol w:w="146"/>
        <w:gridCol w:w="861"/>
        <w:gridCol w:w="132"/>
      </w:tblGrid>
      <w:tr>
        <w:trPr/>
        <w:tc>
          <w:tcPr>
            <w:tcW w:w="279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99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99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007"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2" w:type="dxa"/>
            <w:tcBorders/>
            <w:shd w:fill="auto" w:val="clear"/>
            <w:tcMar>
              <w:bottom w:w="0" w:type="dxa"/>
            </w:tcMar>
            <w:vAlign w:val="bottom"/>
          </w:tcPr>
          <w:p>
            <w:pPr>
              <w:pStyle w:val="TableContents"/>
              <w:spacing w:before="0" w:after="0"/>
              <w:ind w:left="0" w:right="0" w:hanging="0"/>
              <w:jc w:val="center"/>
              <w:rPr/>
            </w:pPr>
            <w:r>
              <w:rPr/>
              <w:t> </w:t>
            </w:r>
          </w:p>
        </w:tc>
      </w:tr>
      <w:tr>
        <w:trPr/>
        <w:tc>
          <w:tcPr>
            <w:tcW w:w="279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4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4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4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4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6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4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2" w:type="dxa"/>
            <w:tcBorders/>
            <w:shd w:fill="CCEEFF" w:val="clear"/>
            <w:tcMar>
              <w:bottom w:w="0" w:type="dxa"/>
            </w:tcMar>
            <w:vAlign w:val="bottom"/>
          </w:tcPr>
          <w:p>
            <w:pPr>
              <w:pStyle w:val="TableContents"/>
              <w:spacing w:before="0" w:after="0"/>
              <w:ind w:left="0" w:right="0" w:hanging="0"/>
              <w:rPr/>
            </w:pPr>
            <w:r>
              <w:rPr/>
              <w:t> </w:t>
            </w:r>
          </w:p>
        </w:tc>
      </w:tr>
      <w:tr>
        <w:trPr/>
        <w:tc>
          <w:tcPr>
            <w:tcW w:w="279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99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99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99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99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99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007"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2" w:type="dxa"/>
            <w:tcBorders/>
            <w:shd w:fill="auto" w:val="clear"/>
            <w:tcMar>
              <w:bottom w:w="0" w:type="dxa"/>
            </w:tcMar>
            <w:vAlign w:val="bottom"/>
          </w:tcPr>
          <w:p>
            <w:pPr>
              <w:pStyle w:val="TableContents"/>
              <w:spacing w:before="0" w:after="0"/>
              <w:ind w:left="0" w:right="0" w:hanging="0"/>
              <w:rPr/>
            </w:pPr>
            <w:r>
              <w:rPr/>
              <w:t> </w:t>
            </w:r>
          </w:p>
        </w:tc>
      </w:tr>
      <w:tr>
        <w:trPr/>
        <w:tc>
          <w:tcPr>
            <w:tcW w:w="279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99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007"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2" w:type="dxa"/>
            <w:tcBorders/>
            <w:shd w:fill="CCEEFF" w:val="clear"/>
            <w:tcMar>
              <w:bottom w:w="0" w:type="dxa"/>
            </w:tcMar>
            <w:vAlign w:val="bottom"/>
          </w:tcPr>
          <w:p>
            <w:pPr>
              <w:pStyle w:val="TableContents"/>
              <w:spacing w:before="0" w:after="0"/>
              <w:ind w:left="0" w:right="0" w:hanging="0"/>
              <w:rPr/>
            </w:pPr>
            <w:r>
              <w:rPr/>
              <w:t> </w:t>
            </w:r>
          </w:p>
        </w:tc>
      </w:tr>
      <w:tr>
        <w:trPr/>
        <w:tc>
          <w:tcPr>
            <w:tcW w:w="279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4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4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4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42"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4"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6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46"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3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the distribution in February 2010 (as discussed below), the aggregate remaining incentive distribution reductions will be approximately $18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paid $127 million to the general partner in incentive distributions in 2009. Additionally, on February 12, 2010, we paid a quarterly distribution of $0.9275 per unit applicable to the fourth quarter of 2009, of which approximately $40 million was paid to the general partner. See Item 13. Certain Relationships and Related Transactions, and Director IndependenceOur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Facilities and Long-Term 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Item 12. Security Ownership of Certain Beneficial Owners and Management and Related Unitholder Matters for information regarding securities authorized for issuance under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Issuer Purchases of Equity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did not repurchase any of our common units during the fourth quarter of fiscal 2009, and we do not have any announced or existing plans to repurchase any of our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6.  </w:t>
      </w:r>
      <w:r>
        <w:rPr>
          <w:rFonts w:ascii="Times New Roman" w:hAnsi="Times New Roman"/>
          <w:b/>
          <w:i/>
          <w:sz w:val="17"/>
        </w:rPr>
        <w:t>Selected Financial Data</w:t>
      </w:r>
      <w:bookmarkStart w:id="65" w:name="Item6_SelectedFinancialData_121740"/>
      <w:bookmarkEnd w:id="6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historical financial information below was derived from our audited consolidated financial statements as of December 31, 2009, 2008, 2007, 2006 and 2005 and for the years then ended. The selected financial data should be read in conjunction with the Consolidated Financial Statements, including the notes thereto, and Item 7. Managements Discussion and Analysis of Financial Condition and Results of Operations.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66" w:name="PB_56_121749_7056"/>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673"/>
        <w:gridCol w:w="212"/>
        <w:gridCol w:w="110"/>
        <w:gridCol w:w="761"/>
        <w:gridCol w:w="213"/>
        <w:gridCol w:w="110"/>
        <w:gridCol w:w="761"/>
        <w:gridCol w:w="213"/>
        <w:gridCol w:w="110"/>
        <w:gridCol w:w="761"/>
        <w:gridCol w:w="213"/>
        <w:gridCol w:w="110"/>
        <w:gridCol w:w="761"/>
        <w:gridCol w:w="213"/>
        <w:gridCol w:w="109"/>
        <w:gridCol w:w="761"/>
        <w:gridCol w:w="114"/>
      </w:tblGrid>
      <w:tr>
        <w:trPr/>
        <w:tc>
          <w:tcPr>
            <w:tcW w:w="4673" w:type="dxa"/>
            <w:tcBorders/>
            <w:shd w:fill="auto" w:val="clear"/>
            <w:vAlign w:val="bottom"/>
          </w:tcPr>
          <w:p>
            <w:pPr>
              <w:pStyle w:val="TableContents"/>
              <w:spacing w:before="0" w:after="0"/>
              <w:ind w:left="0" w:right="0" w:hanging="0"/>
              <w:rPr>
                <w:color w:val="000000"/>
              </w:rPr>
            </w:pPr>
            <w:bookmarkStart w:id="67" w:name="mrll_PB3"/>
            <w:bookmarkEnd w:id="67"/>
            <w:r>
              <w:rPr>
                <w:color w:val="000000"/>
              </w:rPr>
              <w:t> </w:t>
            </w:r>
          </w:p>
        </w:tc>
        <w:tc>
          <w:tcPr>
            <w:tcW w:w="212" w:type="dxa"/>
            <w:tcBorders/>
            <w:shd w:fill="auto" w:val="clear"/>
            <w:vAlign w:val="bottom"/>
          </w:tcPr>
          <w:p>
            <w:pPr>
              <w:pStyle w:val="TableContents"/>
              <w:spacing w:before="0" w:after="0"/>
              <w:ind w:left="0" w:right="0" w:hanging="0"/>
              <w:jc w:val="center"/>
              <w:rPr>
                <w:color w:val="000000"/>
              </w:rPr>
            </w:pPr>
            <w:r>
              <w:rPr>
                <w:color w:val="000000"/>
              </w:rPr>
              <w:t> </w:t>
            </w:r>
          </w:p>
        </w:tc>
        <w:tc>
          <w:tcPr>
            <w:tcW w:w="5206"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Year Ended December 31,</w:t>
            </w:r>
          </w:p>
        </w:tc>
        <w:tc>
          <w:tcPr>
            <w:tcW w:w="11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color w:val="000000"/>
              </w:rPr>
            </w:pPr>
            <w:r>
              <w:rPr>
                <w:color w:val="000000"/>
              </w:rPr>
              <w:t> </w:t>
            </w:r>
          </w:p>
        </w:tc>
        <w:tc>
          <w:tcPr>
            <w:tcW w:w="212" w:type="dxa"/>
            <w:tcBorders/>
            <w:shd w:fill="auto" w:val="clear"/>
            <w:vAlign w:val="bottom"/>
          </w:tcPr>
          <w:p>
            <w:pPr>
              <w:pStyle w:val="TableContents"/>
              <w:spacing w:before="0" w:after="0"/>
              <w:ind w:left="0" w:right="0" w:hanging="0"/>
              <w:jc w:val="center"/>
              <w:rPr>
                <w:color w:val="000000"/>
              </w:rPr>
            </w:pPr>
            <w:r>
              <w:rPr>
                <w:color w:val="000000"/>
              </w:rPr>
              <w:t> </w:t>
            </w:r>
          </w:p>
        </w:tc>
        <w:tc>
          <w:tcPr>
            <w:tcW w:w="8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2009</w:t>
            </w:r>
          </w:p>
        </w:tc>
        <w:tc>
          <w:tcPr>
            <w:tcW w:w="213" w:type="dxa"/>
            <w:tcBorders/>
            <w:shd w:fill="auto" w:val="clear"/>
            <w:vAlign w:val="bottom"/>
          </w:tcPr>
          <w:p>
            <w:pPr>
              <w:pStyle w:val="TableContents"/>
              <w:spacing w:before="0" w:after="0"/>
              <w:ind w:left="0" w:right="0" w:hanging="0"/>
              <w:jc w:val="center"/>
              <w:rPr>
                <w:color w:val="000000"/>
              </w:rPr>
            </w:pPr>
            <w:r>
              <w:rPr>
                <w:color w:val="000000"/>
              </w:rPr>
              <w:t> </w:t>
            </w:r>
          </w:p>
        </w:tc>
        <w:tc>
          <w:tcPr>
            <w:tcW w:w="8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2008</w:t>
            </w:r>
          </w:p>
        </w:tc>
        <w:tc>
          <w:tcPr>
            <w:tcW w:w="213" w:type="dxa"/>
            <w:tcBorders/>
            <w:shd w:fill="auto" w:val="clear"/>
            <w:vAlign w:val="bottom"/>
          </w:tcPr>
          <w:p>
            <w:pPr>
              <w:pStyle w:val="TableContents"/>
              <w:spacing w:before="0" w:after="0"/>
              <w:ind w:left="0" w:right="0" w:hanging="0"/>
              <w:jc w:val="center"/>
              <w:rPr>
                <w:color w:val="000000"/>
              </w:rPr>
            </w:pPr>
            <w:r>
              <w:rPr>
                <w:color w:val="000000"/>
              </w:rPr>
              <w:t> </w:t>
            </w:r>
          </w:p>
        </w:tc>
        <w:tc>
          <w:tcPr>
            <w:tcW w:w="8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2007</w:t>
            </w:r>
          </w:p>
        </w:tc>
        <w:tc>
          <w:tcPr>
            <w:tcW w:w="213" w:type="dxa"/>
            <w:tcBorders/>
            <w:shd w:fill="auto" w:val="clear"/>
            <w:vAlign w:val="bottom"/>
          </w:tcPr>
          <w:p>
            <w:pPr>
              <w:pStyle w:val="TableContents"/>
              <w:spacing w:before="0" w:after="0"/>
              <w:ind w:left="0" w:right="0" w:hanging="0"/>
              <w:jc w:val="center"/>
              <w:rPr>
                <w:color w:val="000000"/>
              </w:rPr>
            </w:pPr>
            <w:r>
              <w:rPr>
                <w:color w:val="000000"/>
              </w:rPr>
              <w:t> </w:t>
            </w:r>
          </w:p>
        </w:tc>
        <w:tc>
          <w:tcPr>
            <w:tcW w:w="8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2006</w:t>
            </w:r>
          </w:p>
        </w:tc>
        <w:tc>
          <w:tcPr>
            <w:tcW w:w="213" w:type="dxa"/>
            <w:tcBorders/>
            <w:shd w:fill="auto" w:val="clear"/>
            <w:vAlign w:val="bottom"/>
          </w:tcPr>
          <w:p>
            <w:pPr>
              <w:pStyle w:val="TableContents"/>
              <w:spacing w:before="0" w:after="0"/>
              <w:ind w:left="0" w:right="0" w:hanging="0"/>
              <w:jc w:val="center"/>
              <w:rPr>
                <w:color w:val="000000"/>
              </w:rPr>
            </w:pPr>
            <w:r>
              <w:rPr>
                <w:color w:val="000000"/>
              </w:rPr>
              <w:t> </w:t>
            </w:r>
          </w:p>
        </w:tc>
        <w:tc>
          <w:tcPr>
            <w:tcW w:w="8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2005</w:t>
            </w:r>
          </w:p>
        </w:tc>
        <w:tc>
          <w:tcPr>
            <w:tcW w:w="11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color w:val="000000"/>
              </w:rPr>
            </w:pPr>
            <w:r>
              <w:rPr>
                <w:color w:val="000000"/>
              </w:rPr>
              <w:t> </w:t>
            </w:r>
          </w:p>
        </w:tc>
        <w:tc>
          <w:tcPr>
            <w:tcW w:w="212" w:type="dxa"/>
            <w:tcBorders/>
            <w:shd w:fill="auto" w:val="clear"/>
            <w:vAlign w:val="bottom"/>
          </w:tcPr>
          <w:p>
            <w:pPr>
              <w:pStyle w:val="TableContents"/>
              <w:spacing w:before="0" w:after="0"/>
              <w:ind w:left="0" w:right="0" w:hanging="0"/>
              <w:jc w:val="center"/>
              <w:rPr>
                <w:color w:val="000000"/>
              </w:rPr>
            </w:pPr>
            <w:r>
              <w:rPr>
                <w:color w:val="000000"/>
              </w:rPr>
              <w:t> </w:t>
            </w:r>
          </w:p>
        </w:tc>
        <w:tc>
          <w:tcPr>
            <w:tcW w:w="5206" w:type="dxa"/>
            <w:gridSpan w:val="14"/>
            <w:tcBorders/>
            <w:shd w:fill="auto" w:val="cle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(in millions, except for per unit data)</w:t>
            </w:r>
          </w:p>
        </w:tc>
        <w:tc>
          <w:tcPr>
            <w:tcW w:w="11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b/>
                <w:color w:val="000000"/>
                <w:sz w:val="17"/>
              </w:rPr>
            </w:pPr>
            <w:r>
              <w:rPr>
                <w:rFonts w:ascii="Times New Roman" w:hAnsi="Times New Roman"/>
                <w:b/>
                <w:color w:val="000000"/>
                <w:sz w:val="17"/>
              </w:rPr>
              <w:t>Statement of operations data:</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0"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pPr>
            <w:r>
              <w:rPr>
                <w:rFonts w:ascii="Times New Roman" w:hAnsi="Times New Roman"/>
                <w:color w:val="000000"/>
                <w:sz w:val="17"/>
              </w:rPr>
              <w:t xml:space="preserve">Total revenues </w:t>
            </w:r>
            <w:r>
              <w:rPr>
                <w:color w:val="000000"/>
                <w:sz w:val="11"/>
              </w:rPr>
              <w:t>(1)</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18,520</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30,061</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20,394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22,445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31,177</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pPr>
            <w:r>
              <w:rPr>
                <w:rFonts w:ascii="Times New Roman" w:hAnsi="Times New Roman"/>
                <w:color w:val="000000"/>
                <w:sz w:val="17"/>
              </w:rPr>
              <w:t xml:space="preserve">Income before cumulative effect of change in accounting principle </w:t>
            </w:r>
            <w:r>
              <w:rPr>
                <w:color w:val="000000"/>
                <w:sz w:val="11"/>
              </w:rPr>
              <w:t>(2)</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580</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437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279</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218</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Net income</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580</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437</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218</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Net income attributable to Plains</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579</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437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218</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color w:val="000000"/>
              </w:rPr>
            </w:pPr>
            <w:r>
              <w:rPr>
                <w:color w:val="000000"/>
              </w:rPr>
              <w:t> </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0"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b/>
                <w:color w:val="000000"/>
                <w:sz w:val="17"/>
              </w:rPr>
            </w:pPr>
            <w:r>
              <w:rPr>
                <w:rFonts w:ascii="Times New Roman" w:hAnsi="Times New Roman"/>
                <w:b/>
                <w:color w:val="000000"/>
                <w:sz w:val="17"/>
              </w:rPr>
              <w:t>Per unit data:</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0"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pPr>
            <w:r>
              <w:rPr>
                <w:rFonts w:ascii="Times New Roman" w:hAnsi="Times New Roman"/>
                <w:color w:val="000000"/>
                <w:sz w:val="17"/>
              </w:rPr>
              <w:t xml:space="preserve">Basic net income before cumulative effect of change in accounting principle </w:t>
            </w:r>
            <w:r>
              <w:rPr>
                <w:color w:val="000000"/>
                <w:sz w:val="11"/>
              </w:rPr>
              <w:t>(2)</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3.34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2.66</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2.47</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2.83</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Basic net income after cumulative effect of change in accounting principle</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3.34</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2.66</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2.93</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2.83</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pPr>
            <w:r>
              <w:rPr>
                <w:rFonts w:ascii="Times New Roman" w:hAnsi="Times New Roman"/>
                <w:color w:val="000000"/>
                <w:sz w:val="17"/>
              </w:rPr>
              <w:t xml:space="preserve">Diluted net income before cumulative effect of change in accounting principle </w:t>
            </w:r>
            <w:r>
              <w:rPr>
                <w:color w:val="000000"/>
                <w:sz w:val="11"/>
              </w:rPr>
              <w:t>(2)</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3.32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2.78</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Diluted net income after cumulative effect of change in accounting principle</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3.32</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2.64</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2.90</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2.78</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pPr>
            <w:r>
              <w:rPr>
                <w:rFonts w:ascii="Times New Roman" w:hAnsi="Times New Roman"/>
                <w:color w:val="000000"/>
                <w:sz w:val="17"/>
              </w:rPr>
              <w:t xml:space="preserve">Declared distributions per limited partner unit </w:t>
            </w:r>
            <w:r>
              <w:rPr>
                <w:color w:val="000000"/>
                <w:sz w:val="11"/>
              </w:rPr>
              <w:t>(3)</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3.50</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3.28</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2.87</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2.58</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color w:val="000000"/>
              </w:rPr>
            </w:pPr>
            <w:r>
              <w:rPr>
                <w:color w:val="000000"/>
              </w:rPr>
              <w:t> </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0"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b/>
                <w:color w:val="000000"/>
                <w:sz w:val="17"/>
              </w:rPr>
            </w:pPr>
            <w:r>
              <w:rPr>
                <w:rFonts w:ascii="Times New Roman" w:hAnsi="Times New Roman"/>
                <w:b/>
                <w:color w:val="000000"/>
                <w:sz w:val="17"/>
              </w:rPr>
              <w:t>Balance sheet data (at end of period):</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0"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Total assets</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12,358</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10,032</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9,906</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8,715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4,120</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Long-term debt</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4,142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3,259</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2,624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2,626</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952</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Total debt</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5,216</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4,286</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3,584</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3,627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1,330</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Partners' capital</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4,159</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3,552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3,424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2,977</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1,331</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color w:val="000000"/>
              </w:rPr>
            </w:pPr>
            <w:r>
              <w:rPr>
                <w:color w:val="000000"/>
              </w:rPr>
              <w:t> </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1"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870" w:type="dxa"/>
            <w:gridSpan w:val="2"/>
            <w:tcBorders/>
            <w:shd w:fill="CCEEFF" w:val="clear"/>
            <w:vAlign w:val="bottom"/>
          </w:tcPr>
          <w:p>
            <w:pPr>
              <w:pStyle w:val="TableContents"/>
              <w:spacing w:before="0" w:after="0"/>
              <w:ind w:left="0" w:right="0" w:hanging="0"/>
              <w:jc w:val="right"/>
              <w:rPr>
                <w:color w:val="000000"/>
              </w:rPr>
            </w:pPr>
            <w:r>
              <w:rPr>
                <w:color w:val="000000"/>
              </w:rPr>
              <w:t> </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b/>
                <w:color w:val="000000"/>
                <w:sz w:val="17"/>
              </w:rPr>
            </w:pPr>
            <w:r>
              <w:rPr>
                <w:rFonts w:ascii="Times New Roman" w:hAnsi="Times New Roman"/>
                <w:b/>
                <w:color w:val="000000"/>
                <w:sz w:val="17"/>
              </w:rPr>
              <w:t>Other data:</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0"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Net cash provided by (used in) operating activities</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857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796</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(276</w:t>
            </w:r>
          </w:p>
        </w:tc>
        <w:tc>
          <w:tcPr>
            <w:tcW w:w="21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Net cash used in investing activities</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(660</w:t>
            </w:r>
          </w:p>
        </w:tc>
        <w:tc>
          <w:tcPr>
            <w:tcW w:w="21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(1,339</w:t>
            </w:r>
          </w:p>
        </w:tc>
        <w:tc>
          <w:tcPr>
            <w:tcW w:w="21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(663</w:t>
            </w:r>
          </w:p>
        </w:tc>
        <w:tc>
          <w:tcPr>
            <w:tcW w:w="21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1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(1,651</w:t>
            </w:r>
          </w:p>
        </w:tc>
        <w:tc>
          <w:tcPr>
            <w:tcW w:w="21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9"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(297</w:t>
            </w:r>
          </w:p>
        </w:tc>
        <w:tc>
          <w:tcPr>
            <w:tcW w:w="114"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Net cash provided by (used in) financing activities</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312</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464</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(124</w:t>
            </w:r>
          </w:p>
        </w:tc>
        <w:tc>
          <w:tcPr>
            <w:tcW w:w="21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1,927</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271</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Capital expenditures:</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1"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870"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Acquisitions</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393</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735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125</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3,021</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40</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Internal growth projects</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491</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525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332</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149</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4673"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Maintenance</w:t>
            </w:r>
          </w:p>
        </w:tc>
        <w:tc>
          <w:tcPr>
            <w:tcW w:w="212"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81</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81</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50</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w:t>
            </w:r>
          </w:p>
        </w:tc>
        <w:tc>
          <w:tcPr>
            <w:tcW w:w="213" w:type="dxa"/>
            <w:tcBorders/>
            <w:shd w:fill="CCEEFF" w:val="clear"/>
            <w:vAlign w:val="bottom"/>
          </w:tcPr>
          <w:p>
            <w:pPr>
              <w:pStyle w:val="TableContents"/>
              <w:spacing w:before="0" w:after="0"/>
              <w:ind w:left="0" w:right="0" w:hanging="0"/>
              <w:rPr>
                <w:color w:val="000000"/>
              </w:rPr>
            </w:pPr>
            <w:r>
              <w:rPr>
                <w:color w:val="000000"/>
              </w:rPr>
              <w:t> </w:t>
            </w:r>
          </w:p>
        </w:tc>
        <w:tc>
          <w:tcPr>
            <w:tcW w:w="1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14</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4673"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Investments in unconsolidated subsidiaries</w:t>
            </w:r>
          </w:p>
        </w:tc>
        <w:tc>
          <w:tcPr>
            <w:tcW w:w="212"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15</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37</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44</w:t>
            </w:r>
          </w:p>
        </w:tc>
        <w:tc>
          <w:tcPr>
            <w:tcW w:w="213" w:type="dxa"/>
            <w:tcBorders/>
            <w:shd w:fill="auto" w:val="clear"/>
            <w:vAlign w:val="bottom"/>
          </w:tcPr>
          <w:p>
            <w:pPr>
              <w:pStyle w:val="TableContents"/>
              <w:spacing w:before="0" w:after="0"/>
              <w:ind w:left="0" w:right="0" w:hanging="0"/>
              <w:rPr>
                <w:color w:val="000000"/>
              </w:rPr>
            </w:pPr>
            <w:r>
              <w:rPr>
                <w:color w:val="000000"/>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113</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68" w:name="PB_57_122217_5335"/>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438"/>
        <w:gridCol w:w="206"/>
        <w:gridCol w:w="927"/>
        <w:gridCol w:w="206"/>
        <w:gridCol w:w="927"/>
        <w:gridCol w:w="206"/>
        <w:gridCol w:w="927"/>
        <w:gridCol w:w="205"/>
        <w:gridCol w:w="928"/>
        <w:gridCol w:w="205"/>
        <w:gridCol w:w="928"/>
        <w:gridCol w:w="102"/>
      </w:tblGrid>
      <w:tr>
        <w:trPr/>
        <w:tc>
          <w:tcPr>
            <w:tcW w:w="4438" w:type="dxa"/>
            <w:tcBorders/>
            <w:shd w:fill="auto" w:val="clear"/>
            <w:vAlign w:val="bottom"/>
          </w:tcPr>
          <w:p>
            <w:pPr>
              <w:pStyle w:val="TableContents"/>
              <w:spacing w:before="0" w:after="0"/>
              <w:ind w:left="0" w:right="0" w:hanging="0"/>
              <w:rPr>
                <w:color w:val="000000"/>
              </w:rPr>
            </w:pPr>
            <w:bookmarkStart w:id="69" w:name="mrll_PB4"/>
            <w:bookmarkEnd w:id="69"/>
            <w:r>
              <w:rPr>
                <w:color w:val="000000"/>
              </w:rPr>
              <w:t> </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5459"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Year Ended December 31,</w:t>
            </w:r>
          </w:p>
        </w:tc>
        <w:tc>
          <w:tcPr>
            <w:tcW w:w="102"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2009</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2008</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2007</w:t>
            </w:r>
          </w:p>
        </w:tc>
        <w:tc>
          <w:tcPr>
            <w:tcW w:w="205" w:type="dxa"/>
            <w:tcBorders/>
            <w:shd w:fill="auto" w:val="clear"/>
            <w:vAlign w:val="bottom"/>
          </w:tcPr>
          <w:p>
            <w:pPr>
              <w:pStyle w:val="TableContents"/>
              <w:spacing w:before="0" w:after="0"/>
              <w:ind w:left="0" w:right="0" w:hanging="0"/>
              <w:jc w:val="center"/>
              <w:rPr>
                <w:color w:val="000000"/>
              </w:rPr>
            </w:pPr>
            <w:r>
              <w:rPr>
                <w:color w:val="000000"/>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2006</w:t>
            </w:r>
          </w:p>
        </w:tc>
        <w:tc>
          <w:tcPr>
            <w:tcW w:w="205" w:type="dxa"/>
            <w:tcBorders/>
            <w:shd w:fill="auto" w:val="clear"/>
            <w:vAlign w:val="bottom"/>
          </w:tcPr>
          <w:p>
            <w:pPr>
              <w:pStyle w:val="TableContents"/>
              <w:spacing w:before="0" w:after="0"/>
              <w:ind w:left="0" w:right="0" w:hanging="0"/>
              <w:jc w:val="center"/>
              <w:rPr>
                <w:color w:val="000000"/>
              </w:rPr>
            </w:pPr>
            <w:r>
              <w:rPr>
                <w:color w:val="000000"/>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2005</w:t>
            </w:r>
          </w:p>
        </w:tc>
        <w:tc>
          <w:tcPr>
            <w:tcW w:w="102"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pPr>
            <w:r>
              <w:rPr>
                <w:rFonts w:ascii="Times New Roman" w:hAnsi="Times New Roman"/>
                <w:b/>
                <w:color w:val="000000"/>
                <w:sz w:val="17"/>
              </w:rPr>
              <w:t xml:space="preserve">Volumes </w:t>
            </w:r>
            <w:r>
              <w:rPr>
                <w:b/>
                <w:color w:val="000000"/>
                <w:sz w:val="11"/>
              </w:rPr>
              <w:t xml:space="preserve">(4) (5) (6)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Transportation segment (average daily volumes in thousands of barrels):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Tariff activities</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2,836</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2,851</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2,712</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2,106</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1,799</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Trucking</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85</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97</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105</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101</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84</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Transportation segment total</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2,921</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2,948</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2,817</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2,207</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1,883</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Facilities segment:</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 xml:space="preserve">Crude oil, refined products and LPG storage </w:t>
              <w:br/>
              <w:t>(average monthly capacity in millions of barrels)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56</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53</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46</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25</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22</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 xml:space="preserve">Natural gas storage </w:t>
              <w:br/>
              <w:t>(average monthly capacity in billion cubic feet (Bcf))</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14</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 xml:space="preserve">LPG processing </w:t>
              <w:br/>
              <w:t>(average daily throughput in thousands of barrels)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15</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17</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18</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 xml:space="preserve">Facilities segment total </w:t>
              <w:br/>
              <w:t>(average monthly capacity in millions of barrels)</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61</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56</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48</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27</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22</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color w:val="000000"/>
              </w:rPr>
            </w:pPr>
            <w:r>
              <w:rPr>
                <w:color w:val="000000"/>
              </w:rPr>
              <w:t> </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Supply &amp; Logistics segment (average daily volumes in thousands of barrels):</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color w:val="000000"/>
              </w:rPr>
            </w:pPr>
            <w:r>
              <w:rPr>
                <w:color w:val="000000"/>
              </w:rPr>
              <w:t> </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Crude oil lease gathering purchases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612</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658</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685</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650</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610</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Refined products sales</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35</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26</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11</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N/A</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N/A</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LPG sales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105</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103</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90</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70</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56</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r>
        <w:trPr/>
        <w:tc>
          <w:tcPr>
            <w:tcW w:w="443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Waterborne foreign crude imported</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55</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80</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92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71</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63</w:t>
            </w:r>
          </w:p>
        </w:tc>
        <w:tc>
          <w:tcPr>
            <w:tcW w:w="205" w:type="dxa"/>
            <w:tcBorders/>
            <w:shd w:fill="CCEEFF" w:val="clear"/>
            <w:vAlign w:val="bottom"/>
          </w:tcPr>
          <w:p>
            <w:pPr>
              <w:pStyle w:val="TableContents"/>
              <w:spacing w:before="0" w:after="0"/>
              <w:ind w:left="0" w:right="0" w:hanging="0"/>
              <w:rPr>
                <w:color w:val="000000"/>
              </w:rPr>
            </w:pPr>
            <w:r>
              <w:rPr>
                <w:color w:val="000000"/>
              </w:rPr>
              <w:t> </w:t>
            </w:r>
          </w:p>
        </w:tc>
        <w:tc>
          <w:tcPr>
            <w:tcW w:w="92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59</w:t>
            </w:r>
          </w:p>
        </w:tc>
        <w:tc>
          <w:tcPr>
            <w:tcW w:w="102" w:type="dxa"/>
            <w:tcBorders/>
            <w:shd w:fill="CCEEFF" w:val="clear"/>
            <w:vAlign w:val="bottom"/>
          </w:tcPr>
          <w:p>
            <w:pPr>
              <w:pStyle w:val="TableContents"/>
              <w:spacing w:before="0" w:after="0"/>
              <w:ind w:left="0" w:right="0" w:hanging="0"/>
              <w:rPr>
                <w:color w:val="000000"/>
              </w:rPr>
            </w:pPr>
            <w:r>
              <w:rPr>
                <w:color w:val="000000"/>
              </w:rPr>
              <w:t> </w:t>
            </w:r>
          </w:p>
        </w:tc>
      </w:tr>
      <w:tr>
        <w:trPr/>
        <w:tc>
          <w:tcPr>
            <w:tcW w:w="4438"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Supply &amp; Logistics segment total</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807</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867</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92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857</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783</w:t>
            </w:r>
          </w:p>
        </w:tc>
        <w:tc>
          <w:tcPr>
            <w:tcW w:w="205" w:type="dxa"/>
            <w:tcBorders/>
            <w:shd w:fill="auto" w:val="clear"/>
            <w:vAlign w:val="bottom"/>
          </w:tcPr>
          <w:p>
            <w:pPr>
              <w:pStyle w:val="TableContents"/>
              <w:spacing w:before="0" w:after="0"/>
              <w:ind w:left="0" w:right="0" w:hanging="0"/>
              <w:rPr>
                <w:color w:val="000000"/>
              </w:rPr>
            </w:pPr>
            <w:r>
              <w:rPr>
                <w:color w:val="000000"/>
              </w:rPr>
              <w:t> </w:t>
            </w:r>
          </w:p>
        </w:tc>
        <w:tc>
          <w:tcPr>
            <w:tcW w:w="9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725</w:t>
            </w:r>
          </w:p>
        </w:tc>
        <w:tc>
          <w:tcPr>
            <w:tcW w:w="102" w:type="dxa"/>
            <w:tcBorders/>
            <w:shd w:fill="auto" w:val="clear"/>
            <w:vAlign w:val="bottom"/>
          </w:tcPr>
          <w:p>
            <w:pPr>
              <w:pStyle w:val="TableContents"/>
              <w:spacing w:before="0" w:after="0"/>
              <w:ind w:left="0" w:right="0" w:hanging="0"/>
              <w:rPr>
                <w:color w:val="000000"/>
              </w:rPr>
            </w:pPr>
            <w:r>
              <w:rPr>
                <w:color w:val="000000"/>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Includes gross presentation of buy/sell transactions for all periods prior to the second quarter of 2006. See Note 2 to our Consolidated Financial Statements for further discussion of buy/sell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Income from continuing operations before cumulative effect of change in accounting principle pro forma for the impact of the January 1, 2006 change in our method of accounting for unit-based payment transactions would have been $224 million for 2005. In addition, basic net income per limited partner unit before cumulative effect of change in accounting principle would have been $2.81 ($2.76 diluted) for 2005.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(3)</w:t>
      </w:r>
      <w:r>
        <w:rPr>
          <w:rFonts w:ascii="Times New Roman" w:hAnsi="Times New Roman"/>
          <w:sz w:val="17"/>
        </w:rPr>
        <w:t>                                     Our general partner is entitled, directly or indirectly, to receive 2% proportional distributions, and also incentive distributions if the amount we distribute with respect to any quarter exceeds levels specified in our partnership agreement. See Note 5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(4)</w:t>
      </w:r>
      <w:r>
        <w:rPr>
          <w:rFonts w:ascii="Times New Roman" w:hAnsi="Times New Roman"/>
          <w:sz w:val="17"/>
        </w:rPr>
        <w:t>                                     Volumes associated with acquisitions represent total volumes for the number of days or months we actually owned the assets divided by the number of days or months in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(5)</w:t>
      </w:r>
      <w:r>
        <w:rPr>
          <w:rFonts w:ascii="Times New Roman" w:hAnsi="Times New Roman"/>
          <w:sz w:val="17"/>
        </w:rPr>
        <w:t>                                     In September 2009, we acquired the remaining 50% indirect interest in PNGS, which resulted in our 100% ownership of the natural gas storage business and related operating entities.  Therefore, natural gas storage volumes for September 2005 through August 2009 are netted to our 50% interest in PNGS.  September through December 2009 volumes represent our 100% interest in PNGS.  See Note 3 to our Consolidated Financial Statements for additional discussion regarding the PNGS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bookmarkStart w:id="70" w:name="PB_58_122722_7056"/>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1"/>
        </w:rPr>
        <w:t>(6)</w:t>
      </w:r>
      <w:r>
        <w:rPr>
          <w:rFonts w:ascii="Times New Roman" w:hAnsi="Times New Roman"/>
          <w:sz w:val="17"/>
        </w:rPr>
        <w:t>                                     Facilities total is calculated as the sum of: (i) crude oil, refined products and LPG storage capacity; (ii) natural gas storage capacity divided by 6 to account for the 6:1 mcf of gas to crude oil barrel ratio; and (iii) LPG processing volumes multiplied by the number of days in the year and divided by the number of months in the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7.  </w:t>
      </w:r>
      <w:r>
        <w:rPr>
          <w:rFonts w:ascii="Times New Roman" w:hAnsi="Times New Roman"/>
          <w:b/>
          <w:i/>
          <w:sz w:val="17"/>
        </w:rPr>
        <w:t>Managements Discussion and Analysis of Financial Condition and Results of Operations</w:t>
      </w:r>
      <w:bookmarkStart w:id="71" w:name="Item7_ManagementsDiscussionAndAna_122734"/>
      <w:bookmarkEnd w:id="7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Overview of Operating Results, Capital Spending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Outlook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provide transportation, storage, terminalling, supply and logistics services with respect to crude oil, refined products and LPG.  We are also engaged in the development and operation of natural gas storage facilities. We were formed in 1998, and our operations are conducted directly and indirectly through our operating subsidiaries and are managed through three operating segments: (i) Transportation, (ii) Facilities and (iii) Supply and Logistics. We previously referred to the Supply and Logistics segment as the Marketing segment.  We revised the segment name to better describe the business activities conducted within that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Results of OperationsAnalysis of Operating Segments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Spending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our operations provided favorable growth over 2008 and 2007 levels. All three of our segments provided favorable operating results, particularly our supply and logistics segment. The supply and logistics segment benefited from the favorable steep contango crude oil market structure early in the period. Our LPG margins also benefited from strong demand for propane. Our transportation and facilities operating results benefited from expansions in our asset base through acquisitions and our ongoing internal growth projects. Additional key items impacting 2009 include: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59</w:t>
      </w:r>
      <w:bookmarkStart w:id="72" w:name="PB_59_122824_5335"/>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The issuance of 5,750,000 common units at $36.90 per unit for net proceeds of approximately $210 million in March 2009, and the issuance of 5,290,000 common units at $46.70 per unit for net proceeds of approximately $246 million in September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The issuance and repayment of the following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Issuance of $350 million of 8.75% senior notes for net proceeds of approximately $347 million in April 2009.</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Issuance of $500 million of 4.25% senior notes for net proceeds of approximately $497 million in July 2009.</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Repayment of $175 million of 4.75% senior notes in August 2009.</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Issuance of $500 million of 5.75% senior notes for net proceeds of approximately $494 million in September 2009.</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Repayment of $250 million of 7.13% senior notes in October 2009. We also recognized a loss of approximately $4 million in conjunction with the early redemption of these notes.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a number of acquisitions and capital expansion projects in 2009, 2008 and 2007 that have impacted our results of operations. The following table summarizes our capital expenditures for acquisitions, internal growth projects, maintenance capital and investments in unconsolidated entities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92"/>
        <w:gridCol w:w="214"/>
        <w:gridCol w:w="110"/>
        <w:gridCol w:w="1074"/>
        <w:gridCol w:w="214"/>
        <w:gridCol w:w="110"/>
        <w:gridCol w:w="1079"/>
        <w:gridCol w:w="214"/>
        <w:gridCol w:w="110"/>
        <w:gridCol w:w="1074"/>
        <w:gridCol w:w="114"/>
      </w:tblGrid>
      <w:tr>
        <w:trPr/>
        <w:tc>
          <w:tcPr>
            <w:tcW w:w="5892" w:type="dxa"/>
            <w:tcBorders/>
            <w:shd w:fill="auto" w:val="clear"/>
            <w:vAlign w:val="bottom"/>
          </w:tcPr>
          <w:p>
            <w:pPr>
              <w:pStyle w:val="TableContents"/>
              <w:spacing w:before="0" w:after="0"/>
              <w:ind w:left="0" w:right="0" w:hanging="0"/>
              <w:rPr>
                <w:color w:val="000000"/>
              </w:rPr>
            </w:pPr>
            <w:r>
              <w:rPr>
                <w:color w:val="000000"/>
              </w:rPr>
              <w:t> </w:t>
            </w:r>
          </w:p>
        </w:tc>
        <w:tc>
          <w:tcPr>
            <w:tcW w:w="214" w:type="dxa"/>
            <w:tcBorders/>
            <w:shd w:fill="auto" w:val="clear"/>
            <w:vAlign w:val="bottom"/>
          </w:tcPr>
          <w:p>
            <w:pPr>
              <w:pStyle w:val="TableContents"/>
              <w:spacing w:before="0" w:after="0"/>
              <w:ind w:left="0" w:right="0" w:hanging="0"/>
              <w:jc w:val="center"/>
              <w:rPr>
                <w:color w:val="000000"/>
              </w:rPr>
            </w:pPr>
            <w:r>
              <w:rPr>
                <w:color w:val="000000"/>
              </w:rPr>
              <w:t> </w:t>
            </w:r>
          </w:p>
        </w:tc>
        <w:tc>
          <w:tcPr>
            <w:tcW w:w="398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For the Year Ended December 31,</w:t>
            </w:r>
          </w:p>
        </w:tc>
        <w:tc>
          <w:tcPr>
            <w:tcW w:w="11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5892" w:type="dxa"/>
            <w:tcBorders/>
            <w:shd w:fill="auto" w:val="clear"/>
            <w:vAlign w:val="bottom"/>
          </w:tcPr>
          <w:p>
            <w:pPr>
              <w:pStyle w:val="TableContents"/>
              <w:spacing w:before="0" w:after="0"/>
              <w:ind w:left="0" w:right="0" w:hanging="0"/>
              <w:rPr>
                <w:color w:val="000000"/>
              </w:rPr>
            </w:pPr>
            <w:r>
              <w:rPr>
                <w:color w:val="000000"/>
              </w:rPr>
              <w:t> </w:t>
            </w:r>
          </w:p>
        </w:tc>
        <w:tc>
          <w:tcPr>
            <w:tcW w:w="214" w:type="dxa"/>
            <w:tcBorders/>
            <w:shd w:fill="auto" w:val="clear"/>
            <w:vAlign w:val="bottom"/>
          </w:tcPr>
          <w:p>
            <w:pPr>
              <w:pStyle w:val="TableContents"/>
              <w:spacing w:before="0" w:after="0"/>
              <w:ind w:left="0" w:right="0" w:hanging="0"/>
              <w:jc w:val="center"/>
              <w:rPr>
                <w:color w:val="000000"/>
              </w:rPr>
            </w:pPr>
            <w:r>
              <w:rPr>
                <w:color w:val="000000"/>
              </w:rPr>
              <w:t> </w:t>
            </w:r>
          </w:p>
        </w:tc>
        <w:tc>
          <w:tcPr>
            <w:tcW w:w="11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2009</w:t>
            </w:r>
          </w:p>
        </w:tc>
        <w:tc>
          <w:tcPr>
            <w:tcW w:w="214" w:type="dxa"/>
            <w:tcBorders/>
            <w:shd w:fill="auto" w:val="clear"/>
            <w:vAlign w:val="bottom"/>
          </w:tcPr>
          <w:p>
            <w:pPr>
              <w:pStyle w:val="TableContents"/>
              <w:spacing w:before="0" w:after="0"/>
              <w:ind w:left="0" w:right="0" w:hanging="0"/>
              <w:jc w:val="center"/>
              <w:rPr>
                <w:color w:val="000000"/>
              </w:rPr>
            </w:pPr>
            <w:r>
              <w:rPr>
                <w:color w:val="000000"/>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2008</w:t>
            </w:r>
          </w:p>
        </w:tc>
        <w:tc>
          <w:tcPr>
            <w:tcW w:w="214" w:type="dxa"/>
            <w:tcBorders/>
            <w:shd w:fill="auto" w:val="clear"/>
            <w:vAlign w:val="bottom"/>
          </w:tcPr>
          <w:p>
            <w:pPr>
              <w:pStyle w:val="TableContents"/>
              <w:spacing w:before="0" w:after="0"/>
              <w:ind w:left="0" w:right="0" w:hanging="0"/>
              <w:jc w:val="center"/>
              <w:rPr>
                <w:color w:val="000000"/>
              </w:rPr>
            </w:pPr>
            <w:r>
              <w:rPr>
                <w:color w:val="000000"/>
              </w:rPr>
              <w:t> </w:t>
            </w:r>
          </w:p>
        </w:tc>
        <w:tc>
          <w:tcPr>
            <w:tcW w:w="11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2007</w:t>
            </w:r>
          </w:p>
        </w:tc>
        <w:tc>
          <w:tcPr>
            <w:tcW w:w="11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5892"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Acquisition capital</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393</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735</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125</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5892"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Internal growth projects</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4" w:type="dxa"/>
            <w:gridSpan w:val="2"/>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364</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9" w:type="dxa"/>
            <w:gridSpan w:val="2"/>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491</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4" w:type="dxa"/>
            <w:gridSpan w:val="2"/>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525</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5892"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Maintenance capital</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84" w:type="dxa"/>
            <w:gridSpan w:val="2"/>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81</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89" w:type="dxa"/>
            <w:gridSpan w:val="2"/>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81</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84" w:type="dxa"/>
            <w:gridSpan w:val="2"/>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50</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r>
        <w:trPr/>
        <w:tc>
          <w:tcPr>
            <w:tcW w:w="5892"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Investment in unconsolidated entities</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15</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37</w:t>
            </w:r>
          </w:p>
        </w:tc>
        <w:tc>
          <w:tcPr>
            <w:tcW w:w="214" w:type="dxa"/>
            <w:tcBorders/>
            <w:shd w:fill="auto" w:val="clear"/>
            <w:vAlign w:val="bottom"/>
          </w:tcPr>
          <w:p>
            <w:pPr>
              <w:pStyle w:val="TableContents"/>
              <w:spacing w:before="0" w:after="0"/>
              <w:ind w:left="0" w:right="0" w:hanging="0"/>
              <w:rPr>
                <w:color w:val="000000"/>
              </w:rPr>
            </w:pPr>
            <w:r>
              <w:rPr>
                <w:color w:val="000000"/>
              </w:rPr>
              <w:t> </w:t>
            </w:r>
          </w:p>
        </w:tc>
        <w:tc>
          <w:tcPr>
            <w:tcW w:w="11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w:t>
            </w:r>
          </w:p>
        </w:tc>
        <w:tc>
          <w:tcPr>
            <w:tcW w:w="114" w:type="dxa"/>
            <w:tcBorders/>
            <w:shd w:fill="auto" w:val="clear"/>
            <w:vAlign w:val="bottom"/>
          </w:tcPr>
          <w:p>
            <w:pPr>
              <w:pStyle w:val="TableContents"/>
              <w:spacing w:before="0" w:after="0"/>
              <w:ind w:left="0" w:right="0" w:hanging="0"/>
              <w:rPr>
                <w:color w:val="000000"/>
              </w:rPr>
            </w:pPr>
            <w:r>
              <w:rPr>
                <w:color w:val="000000"/>
              </w:rPr>
              <w:t> </w:t>
            </w:r>
          </w:p>
        </w:tc>
      </w:tr>
      <w:tr>
        <w:trPr/>
        <w:tc>
          <w:tcPr>
            <w:tcW w:w="5892" w:type="dxa"/>
            <w:tcBorders/>
            <w:shd w:fill="CCEEFF" w:val="clear"/>
            <w:vAlign w:val="bottom"/>
          </w:tcPr>
          <w:p>
            <w:pPr>
              <w:pStyle w:val="TableContents"/>
              <w:spacing w:before="0" w:after="0"/>
              <w:ind w:left="0" w:right="0" w:hanging="0"/>
              <w:rPr>
                <w:color w:val="000000"/>
              </w:rPr>
            </w:pPr>
            <w:r>
              <w:rPr>
                <w:color w:val="000000"/>
              </w:rPr>
              <w:t> </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853</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1,344</w:t>
            </w:r>
          </w:p>
        </w:tc>
        <w:tc>
          <w:tcPr>
            <w:tcW w:w="214" w:type="dxa"/>
            <w:tcBorders/>
            <w:shd w:fill="CCEEFF" w:val="clear"/>
            <w:vAlign w:val="bottom"/>
          </w:tcPr>
          <w:p>
            <w:pPr>
              <w:pStyle w:val="TableContents"/>
              <w:spacing w:before="0" w:after="0"/>
              <w:ind w:left="0" w:right="0" w:hanging="0"/>
              <w:rPr>
                <w:color w:val="000000"/>
              </w:rPr>
            </w:pPr>
            <w:r>
              <w:rPr>
                <w:color w:val="000000"/>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709</w:t>
            </w:r>
          </w:p>
        </w:tc>
        <w:tc>
          <w:tcPr>
            <w:tcW w:w="114" w:type="dxa"/>
            <w:tcBorders/>
            <w:shd w:fill="CCEEFF" w:val="clear"/>
            <w:vAlign w:val="bottom"/>
          </w:tcPr>
          <w:p>
            <w:pPr>
              <w:pStyle w:val="TableContents"/>
              <w:spacing w:before="0" w:after="0"/>
              <w:ind w:left="0" w:right="0" w:hanging="0"/>
              <w:rPr>
                <w:color w:val="000000"/>
              </w:rPr>
            </w:pPr>
            <w:r>
              <w:rPr>
                <w:color w:val="000000"/>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Acquisitions are financed using a combination of equity and debt, including borrowings under our credit facilities and the issuance of senior notes. Businesses acquired impact our results of operations commencing on the effective date of each acquisition. Our acquisition and capital expansion activities are discussed further in Liquidity and Capital Resources and in Note 3 to our Consolidated Financial Statements. Information regarding acquisitions completed in 2009, 2008 and 2007 is set forth in the table below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60</w:t>
      </w:r>
      <w:bookmarkStart w:id="73" w:name="PB_60_123025_5796"/>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40"/>
        <w:gridCol w:w="206"/>
        <w:gridCol w:w="1438"/>
        <w:gridCol w:w="206"/>
        <w:gridCol w:w="198"/>
        <w:gridCol w:w="1241"/>
        <w:gridCol w:w="206"/>
        <w:gridCol w:w="2746"/>
        <w:gridCol w:w="124"/>
      </w:tblGrid>
      <w:tr>
        <w:trPr/>
        <w:tc>
          <w:tcPr>
            <w:tcW w:w="3840"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1438" w:type="dxa"/>
            <w:tcBorders/>
            <w:shd w:fill="auto" w:val="cle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Effective</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1439" w:type="dxa"/>
            <w:gridSpan w:val="2"/>
            <w:tcBorders/>
            <w:shd w:fill="auto" w:val="cle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Acquisition</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2746" w:type="dxa"/>
            <w:tcBorders/>
            <w:shd w:fill="auto" w:val="clear"/>
            <w:vAlign w:val="bottom"/>
          </w:tcPr>
          <w:p>
            <w:pPr>
              <w:pStyle w:val="TableContents"/>
              <w:spacing w:before="0" w:after="0"/>
              <w:ind w:left="0" w:right="0" w:hanging="0"/>
              <w:jc w:val="center"/>
              <w:rPr>
                <w:color w:val="000000"/>
              </w:rPr>
            </w:pPr>
            <w:r>
              <w:rPr>
                <w:color w:val="000000"/>
              </w:rPr>
              <w:t> </w:t>
            </w:r>
          </w:p>
        </w:tc>
        <w:tc>
          <w:tcPr>
            <w:tcW w:w="12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38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color w:val="000000"/>
                <w:sz w:val="13"/>
              </w:rPr>
            </w:pPr>
            <w:r>
              <w:rPr>
                <w:rFonts w:ascii="Times New Roman" w:hAnsi="Times New Roman"/>
                <w:b/>
                <w:color w:val="000000"/>
                <w:sz w:val="13"/>
              </w:rPr>
              <w:t>Acquisition</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143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Date</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Price</w:t>
            </w:r>
          </w:p>
        </w:tc>
        <w:tc>
          <w:tcPr>
            <w:tcW w:w="206" w:type="dxa"/>
            <w:tcBorders/>
            <w:shd w:fill="auto" w:val="clear"/>
            <w:vAlign w:val="bottom"/>
          </w:tcPr>
          <w:p>
            <w:pPr>
              <w:pStyle w:val="TableContents"/>
              <w:spacing w:before="0" w:after="0"/>
              <w:ind w:left="0" w:right="0" w:hanging="0"/>
              <w:jc w:val="center"/>
              <w:rPr>
                <w:color w:val="000000"/>
              </w:rPr>
            </w:pPr>
            <w:r>
              <w:rPr>
                <w:color w:val="000000"/>
              </w:rPr>
              <w:t> </w:t>
            </w:r>
          </w:p>
        </w:tc>
        <w:tc>
          <w:tcPr>
            <w:tcW w:w="274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Operating Segment</w:t>
            </w:r>
          </w:p>
        </w:tc>
        <w:tc>
          <w:tcPr>
            <w:tcW w:w="124" w:type="dxa"/>
            <w:tcBorders/>
            <w:shd w:fill="auto" w:val="clear"/>
            <w:vAlign w:val="bottom"/>
          </w:tcPr>
          <w:p>
            <w:pPr>
              <w:pStyle w:val="TableContents"/>
              <w:spacing w:before="0" w:after="0"/>
              <w:ind w:left="0" w:right="0" w:hanging="0"/>
              <w:jc w:val="center"/>
              <w:rPr>
                <w:color w:val="000000"/>
              </w:rPr>
            </w:pPr>
            <w:r>
              <w:rPr>
                <w:color w:val="000000"/>
              </w:rPr>
              <w:t> </w:t>
            </w:r>
          </w:p>
        </w:tc>
      </w:tr>
      <w:tr>
        <w:trPr/>
        <w:tc>
          <w:tcPr>
            <w:tcW w:w="384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PNGS</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43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09/03/2009</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9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215</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Facilities</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pPr>
            <w:r>
              <w:rPr>
                <w:rFonts w:ascii="Times New Roman" w:hAnsi="Times New Roman"/>
                <w:color w:val="000000"/>
                <w:sz w:val="17"/>
              </w:rPr>
              <w:t xml:space="preserve">Other </w:t>
            </w:r>
            <w:r>
              <w:rPr>
                <w:color w:val="000000"/>
                <w:sz w:val="11"/>
              </w:rPr>
              <w:t>(1)</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Various</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178</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Transportation &amp; Facilities</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r>
        <w:trPr/>
        <w:tc>
          <w:tcPr>
            <w:tcW w:w="384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2009 Total</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438"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393</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color w:val="000000"/>
              </w:rPr>
            </w:pPr>
            <w:r>
              <w:rPr>
                <w:color w:val="000000"/>
              </w:rPr>
              <w:t> </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9"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color w:val="000000"/>
              </w:rPr>
            </w:pPr>
            <w:r>
              <w:rPr>
                <w:color w:val="000000"/>
              </w:rPr>
              <w:t> </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r>
        <w:trPr/>
        <w:tc>
          <w:tcPr>
            <w:tcW w:w="384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Rainbow</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43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05/01/2008</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9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687</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Transportation</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San Pedro and other</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11/13/2008</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48</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Facilities</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r>
        <w:trPr/>
        <w:tc>
          <w:tcPr>
            <w:tcW w:w="384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2008 Total</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438" w:type="dxa"/>
            <w:tcBorders/>
            <w:shd w:fill="CCEEFF" w:val="clear"/>
            <w:vAlign w:val="bottom"/>
          </w:tcPr>
          <w:p>
            <w:pPr>
              <w:pStyle w:val="TableContents"/>
              <w:spacing w:before="0" w:after="0"/>
              <w:ind w:left="0" w:right="0" w:hanging="0"/>
              <w:jc w:val="right"/>
              <w:rPr>
                <w:color w:val="000000"/>
              </w:rPr>
            </w:pPr>
            <w:r>
              <w:rPr>
                <w:color w:val="000000"/>
              </w:rPr>
              <w:t> </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735</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color w:val="000000"/>
              </w:rPr>
            </w:pPr>
            <w:r>
              <w:rPr>
                <w:color w:val="000000"/>
              </w:rPr>
              <w:t> </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9" w:type="dxa"/>
            <w:gridSpan w:val="2"/>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color w:val="000000"/>
              </w:rPr>
            </w:pPr>
            <w:r>
              <w:rPr>
                <w:color w:val="000000"/>
              </w:rPr>
              <w:t> </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r>
        <w:trPr/>
        <w:tc>
          <w:tcPr>
            <w:tcW w:w="3840"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Bumstead LPG Storage Facility</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438"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07/24/2007</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198"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shd w:fill="CCEEFF"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52</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Facilities</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Tirzah LPG Storage Facility</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10/2/2007</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9" w:type="dxa"/>
            <w:gridSpan w:val="2"/>
            <w:tcBorders/>
            <w:shd w:fill="auto" w:val="cle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54</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Facilities</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r>
        <w:trPr/>
        <w:tc>
          <w:tcPr>
            <w:tcW w:w="3840" w:type="dxa"/>
            <w:tcBorders/>
            <w:shd w:fill="CCEEFF" w:val="cle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Other</w:t>
            </w:r>
          </w:p>
        </w:tc>
        <w:tc>
          <w:tcPr>
            <w:tcW w:w="206" w:type="dxa"/>
            <w:tcBorders/>
            <w:shd w:fill="CCEEFF" w:val="clear"/>
          </w:tcPr>
          <w:p>
            <w:pPr>
              <w:pStyle w:val="TableContents"/>
              <w:spacing w:before="0" w:after="0"/>
              <w:ind w:left="0" w:right="0" w:hanging="0"/>
              <w:jc w:val="center"/>
              <w:rPr>
                <w:color w:val="000000"/>
              </w:rPr>
            </w:pPr>
            <w:r>
              <w:rPr>
                <w:color w:val="000000"/>
              </w:rPr>
              <w:t> </w:t>
            </w:r>
          </w:p>
        </w:tc>
        <w:tc>
          <w:tcPr>
            <w:tcW w:w="1438" w:type="dxa"/>
            <w:tcBorders/>
            <w:shd w:fill="CCEEFF" w:val="cle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Various</w:t>
            </w:r>
          </w:p>
        </w:tc>
        <w:tc>
          <w:tcPr>
            <w:tcW w:w="206" w:type="dxa"/>
            <w:tcBorders/>
            <w:shd w:fill="CCEEFF" w:val="clear"/>
          </w:tcPr>
          <w:p>
            <w:pPr>
              <w:pStyle w:val="TableContents"/>
              <w:spacing w:before="0" w:after="0"/>
              <w:ind w:left="0" w:right="0" w:hanging="0"/>
              <w:jc w:val="center"/>
              <w:rPr>
                <w:color w:val="000000"/>
              </w:rPr>
            </w:pPr>
            <w:r>
              <w:rPr>
                <w:color w:val="000000"/>
              </w:rPr>
              <w:t> </w:t>
            </w:r>
          </w:p>
        </w:tc>
        <w:tc>
          <w:tcPr>
            <w:tcW w:w="1439" w:type="dxa"/>
            <w:gridSpan w:val="2"/>
            <w:tcBorders>
              <w:bottom w:val="single" w:sz="8" w:space="0" w:color="000000"/>
            </w:tcBorders>
            <w:shd w:fill="CCEEFF" w:val="clear"/>
            <w:tcMar>
              <w:bottom w:w="28"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19</w:t>
            </w:r>
          </w:p>
        </w:tc>
        <w:tc>
          <w:tcPr>
            <w:tcW w:w="206" w:type="dxa"/>
            <w:tcBorders/>
            <w:shd w:fill="CCEEFF" w:val="clear"/>
            <w:vAlign w:val="bottom"/>
          </w:tcPr>
          <w:p>
            <w:pPr>
              <w:pStyle w:val="TableContents"/>
              <w:spacing w:before="0" w:after="0"/>
              <w:ind w:left="0" w:right="0" w:hanging="0"/>
              <w:rPr>
                <w:color w:val="000000"/>
              </w:rPr>
            </w:pPr>
            <w:r>
              <w:rPr>
                <w:color w:val="000000"/>
              </w:rPr>
              <w:t> </w:t>
            </w:r>
          </w:p>
        </w:tc>
        <w:tc>
          <w:tcPr>
            <w:tcW w:w="2746" w:type="dxa"/>
            <w:tcBorders/>
            <w:shd w:fill="CCEEFF"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Transportation and Supply &amp; Logistics</w:t>
            </w:r>
          </w:p>
        </w:tc>
        <w:tc>
          <w:tcPr>
            <w:tcW w:w="124" w:type="dxa"/>
            <w:tcBorders/>
            <w:shd w:fill="CCEEFF" w:val="clear"/>
            <w:vAlign w:val="bottom"/>
          </w:tcPr>
          <w:p>
            <w:pPr>
              <w:pStyle w:val="TableContents"/>
              <w:spacing w:before="0" w:after="0"/>
              <w:ind w:left="0" w:right="0" w:hanging="0"/>
              <w:rPr>
                <w:color w:val="000000"/>
              </w:rPr>
            </w:pPr>
            <w:r>
              <w:rPr>
                <w:color w:val="000000"/>
              </w:rPr>
              <w:t> </w:t>
            </w:r>
          </w:p>
        </w:tc>
      </w:tr>
      <w:tr>
        <w:trPr/>
        <w:tc>
          <w:tcPr>
            <w:tcW w:w="3840" w:type="dxa"/>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2007 Total</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438" w:type="dxa"/>
            <w:tcBorders/>
            <w:shd w:fill="auto" w:val="clear"/>
            <w:vAlign w:val="bottom"/>
          </w:tcPr>
          <w:p>
            <w:pPr>
              <w:pStyle w:val="TableContents"/>
              <w:spacing w:before="0" w:after="0"/>
              <w:ind w:left="0" w:right="0" w:hanging="0"/>
              <w:jc w:val="right"/>
              <w:rPr>
                <w:color w:val="000000"/>
              </w:rPr>
            </w:pPr>
            <w:r>
              <w:rPr>
                <w:color w:val="000000"/>
              </w:rPr>
              <w:t> </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19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2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125</w:t>
            </w:r>
          </w:p>
        </w:tc>
        <w:tc>
          <w:tcPr>
            <w:tcW w:w="206" w:type="dxa"/>
            <w:tcBorders/>
            <w:shd w:fill="auto" w:val="clear"/>
            <w:vAlign w:val="bottom"/>
          </w:tcPr>
          <w:p>
            <w:pPr>
              <w:pStyle w:val="TableContents"/>
              <w:spacing w:before="0" w:after="0"/>
              <w:ind w:left="0" w:right="0" w:hanging="0"/>
              <w:rPr>
                <w:color w:val="000000"/>
              </w:rPr>
            </w:pPr>
            <w:r>
              <w:rPr>
                <w:color w:val="000000"/>
              </w:rPr>
              <w:t> </w:t>
            </w:r>
          </w:p>
        </w:tc>
        <w:tc>
          <w:tcPr>
            <w:tcW w:w="2746" w:type="dxa"/>
            <w:tcBorders/>
            <w:shd w:fill="auto" w:val="clear"/>
            <w:vAlign w:val="bottom"/>
          </w:tcPr>
          <w:p>
            <w:pPr>
              <w:pStyle w:val="TableContents"/>
              <w:spacing w:before="0" w:after="0"/>
              <w:ind w:left="0" w:right="0" w:hanging="0"/>
              <w:rPr>
                <w:color w:val="000000"/>
              </w:rPr>
            </w:pPr>
            <w:r>
              <w:rPr>
                <w:color w:val="000000"/>
              </w:rPr>
              <w:t> </w:t>
            </w:r>
          </w:p>
        </w:tc>
        <w:tc>
          <w:tcPr>
            <w:tcW w:w="124" w:type="dxa"/>
            <w:tcBorders/>
            <w:shd w:fill="auto" w:val="clear"/>
            <w:vAlign w:val="bottom"/>
          </w:tcPr>
          <w:p>
            <w:pPr>
              <w:pStyle w:val="TableContents"/>
              <w:spacing w:before="0" w:after="0"/>
              <w:ind w:left="0" w:right="0" w:hanging="0"/>
              <w:rPr>
                <w:color w:val="000000"/>
              </w:rPr>
            </w:pPr>
            <w:r>
              <w:rPr>
                <w:color w:val="000000"/>
              </w:rPr>
              <w:t> </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color w:val="000000"/>
          <w:sz w:val="11"/>
        </w:rPr>
        <w:t>(1)</w:t>
      </w:r>
      <w:r>
        <w:rPr>
          <w:rFonts w:ascii="Times New Roman" w:hAnsi="Times New Roman"/>
          <w:sz w:val="17"/>
        </w:rPr>
        <w:t>                                        Consists of six small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2009 projects included the construction and expansion of pipeline systems and storage and terminal facilities. The following table summarizes our 2009, 2008 and 2007 projects (in millions):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863"/>
        <w:gridCol w:w="216"/>
        <w:gridCol w:w="114"/>
        <w:gridCol w:w="1079"/>
        <w:gridCol w:w="216"/>
        <w:gridCol w:w="114"/>
        <w:gridCol w:w="1079"/>
        <w:gridCol w:w="216"/>
        <w:gridCol w:w="114"/>
        <w:gridCol w:w="1079"/>
        <w:gridCol w:w="115"/>
      </w:tblGrid>
      <w:tr>
        <w:trPr/>
        <w:tc>
          <w:tcPr>
            <w:tcW w:w="586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tcMar>
              <w:bottom w:w="0" w:type="dxa"/>
            </w:tcM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5" w:type="dxa"/>
            <w:tcBorders/>
            <w:shd w:fill="auto" w:val="clear"/>
            <w:tcMar>
              <w:bottom w:w="0" w:type="dxa"/>
            </w:tcMar>
            <w:vAlign w:val="bottom"/>
          </w:tcPr>
          <w:p>
            <w:pPr>
              <w:pStyle w:val="TableContents"/>
              <w:spacing w:before="0" w:after="0"/>
              <w:ind w:left="0" w:right="0" w:hanging="0"/>
              <w:jc w:val="center"/>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St. James - Phase III </w:t>
            </w:r>
            <w:r>
              <w:rPr>
                <w:sz w:val="11"/>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Nipisi storage and truck terminal </w:t>
            </w:r>
            <w:r>
              <w:rPr>
                <w:sz w:val="11"/>
              </w:rPr>
              <w:t>(1)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Kerrobert pumping project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 tankage</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Cushing - Phase VII </w:t>
            </w:r>
            <w:r>
              <w:rPr>
                <w:sz w:val="11"/>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Patoka tankage - Phase I</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Patoka tankage - Phase II </w:t>
            </w:r>
            <w:r>
              <w:rPr>
                <w:sz w:val="11"/>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Paulsboro tankage</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expansion</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Fort Laramie tank expansion</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 James, Louisiana storage facility</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9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5" w:type="dxa"/>
            <w:tcBorders/>
            <w:shd w:fill="CCEEFF" w:val="clear"/>
            <w:tcMar>
              <w:bottom w:w="0" w:type="dxa"/>
            </w:tcMar>
            <w:vAlign w:val="bottom"/>
          </w:tcPr>
          <w:p>
            <w:pPr>
              <w:pStyle w:val="TableContents"/>
              <w:spacing w:before="0" w:after="0"/>
              <w:ind w:left="0" w:right="0" w:hanging="0"/>
              <w:rPr/>
            </w:pPr>
            <w:r>
              <w:rPr/>
              <w:t> </w:t>
            </w:r>
          </w:p>
        </w:tc>
      </w:tr>
      <w:tr>
        <w:trPr/>
        <w:tc>
          <w:tcPr>
            <w:tcW w:w="5863"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 xml:space="preserve">Other projects </w:t>
            </w:r>
            <w:r>
              <w:rPr>
                <w:sz w:val="11"/>
              </w:rPr>
              <w:t>(2)</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16" w:type="dxa"/>
            <w:tcBorders/>
            <w:shd w:fill="auto" w:val="clear"/>
            <w:tcMar>
              <w:bottom w:w="0" w:type="dxa"/>
            </w:tcM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15" w:type="dxa"/>
            <w:tcBorders/>
            <w:shd w:fill="auto" w:val="clear"/>
            <w:tcMar>
              <w:bottom w:w="0" w:type="dxa"/>
            </w:tcMar>
            <w:vAlign w:val="bottom"/>
          </w:tcPr>
          <w:p>
            <w:pPr>
              <w:pStyle w:val="TableContents"/>
              <w:spacing w:before="0" w:after="0"/>
              <w:ind w:left="0" w:right="0" w:hanging="0"/>
              <w:rPr/>
            </w:pPr>
            <w:r>
              <w:rPr/>
              <w:t> </w:t>
            </w:r>
          </w:p>
        </w:tc>
      </w:tr>
      <w:tr>
        <w:trPr/>
        <w:tc>
          <w:tcPr>
            <w:tcW w:w="58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16" w:type="dxa"/>
            <w:tcBorders/>
            <w:shd w:fill="CCEEFF" w:val="clear"/>
            <w:tcMar>
              <w:bottom w:w="0" w:type="dxa"/>
            </w:tcMar>
            <w:vAlign w:val="bottom"/>
          </w:tcPr>
          <w:p>
            <w:pPr>
              <w:pStyle w:val="TableContents"/>
              <w:spacing w:before="0" w:after="0"/>
              <w:ind w:left="0" w:right="0" w:hanging="0"/>
              <w:rPr/>
            </w:pPr>
            <w:r>
              <w:rPr/>
              <w:t> </w:t>
            </w:r>
          </w:p>
        </w:tc>
        <w:tc>
          <w:tcPr>
            <w:tcW w:w="114"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525</w:t>
            </w:r>
          </w:p>
        </w:tc>
        <w:tc>
          <w:tcPr>
            <w:tcW w:w="115"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1"/>
        </w:rPr>
        <w:t>(1)</w:t>
      </w:r>
      <w:r>
        <w:rPr>
          <w:rFonts w:ascii="Times New Roman" w:hAnsi="Times New Roman"/>
          <w:sz w:val="17"/>
        </w:rPr>
        <w:t>                                        These projects will continue into 2010. See Liquidity and Capital ResourcesCapital Expenditures and Distributions Paid to Our Unitholders and General Partner2010 Capital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1"/>
        </w:rPr>
        <w:t>(2)</w:t>
      </w:r>
      <w:r>
        <w:rPr>
          <w:rFonts w:ascii="Times New Roman" w:hAnsi="Times New Roman"/>
          <w:sz w:val="17"/>
        </w:rPr>
        <w:t>                                        Primarily consists of gas storage construction projects, pipeline connections, upgrades and truck stations, and new tank construction and refurbishing.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bookmarkStart w:id="74" w:name="PB_61_124254_2897"/>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Critical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adopted various accounting policies to prepare our consolidated financial statements in accordance with generally accepted accounting principles in the United States. These critical accounting policies are discussed in Note 2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Critical Accounting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preparation of financial statements in conformity with accounting principles generally accepted in the United States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The critical accounting estimates that we have identified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Purchase and Sales Accruals.</w:t>
      </w:r>
      <w:r>
        <w:rPr>
          <w:rFonts w:ascii="Times New Roman" w:hAnsi="Times New Roman"/>
          <w:sz w:val="17"/>
        </w:rPr>
        <w:t>  We routinely make accruals based on estimates for certain components of our revenues and cost of sales due to the timing of compiling billing information, receiving third 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For the year ended December 31, 2009, we estimate that approximately 3%, 3%, 8% and 11% of annual revenues, cost of sales, operating income and net income attributable to Plains, respectively, were recorded using purchase and sales estimates. Accordingly, a 10% variance from this estimate would impact the respective line items by approximately 1% or less on an annual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Fair Value of Assets and Liabilities Acquired and Identification of Associated Goodwill and Intangible Assets.</w:t>
      </w:r>
      <w:r>
        <w:rPr>
          <w:rFonts w:ascii="Times New Roman" w:hAnsi="Times New Roman"/>
          <w:sz w:val="17"/>
        </w:rPr>
        <w:t>  In accordance with FASB guidance 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recognized.  Any subsequent adjustments to this estimate, if material, will be recognized retroactive to the date of acquisition.  We also expense the transaction costs as incurred in connection with each acquisition.  In addition, we are required to recognize intangible assets separately from goodwill. Intangible assets with finite lives are amortized over their estimated useful life as determined by management. Goodwill and intangible assets with indefinite lives are not amortized but instead are periodically assessed for impairment.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Impairment testing entails estimating future net cash flows relating to the asset, based on managements estimate of market conditions including pricing, demand, competition, operating costs and other factors.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 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 We perform our goodwill impairment test annually (as of June 30) and when events or changes in circumstances indicate that the carrying value may not be recoverable.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compare our market capitalization to our book equity on a quarterly basis, to determine if there may be an indicator of impairment. As of December 31, 2009, our market capitalization exceeded the book value of our equity; therefore, since there were no events or changes in circumstances indicating impairment issues, we determined that it was not necessary to perform our goodwill impairment test as of December 31, 2009 (as performed during the prior year due to economic conditions). We will continue to monitor the market and any changes in circumstances to determine if a triggering event occurs and will perform a goodwill impairment analysis if deemed necessary.  We did not have any goodwill impairments in 2009, 2008 or 2007. See Note 2 to our Consolidated Financial Statements for a further discussion of goodwill.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Mark-to-Market Accrual.</w:t>
      </w:r>
      <w:r>
        <w:rPr>
          <w:rFonts w:ascii="Times New Roman" w:hAnsi="Times New Roman"/>
          <w:sz w:val="17"/>
        </w:rPr>
        <w:t>  In situations where we are required to mark-to-market derivatives, the estimates of gains or losses at a particular period end do not reflect the end results of particular transactions, and will most likely not reflect the actual gain or loss at the conclusion of a transaction. We reflect estimates for these items based on our internal records and information from third parties.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62</w:t>
      </w:r>
      <w:bookmarkStart w:id="75" w:name="PB_62_124333_3020"/>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i/>
          <w:sz w:val="17"/>
        </w:rPr>
        <w:t>Accruals and Contingent Liabilities.</w:t>
      </w:r>
      <w:r>
        <w:rPr>
          <w:rFonts w:ascii="Times New Roman" w:hAnsi="Times New Roman"/>
          <w:sz w:val="17"/>
        </w:rPr>
        <w:t>  We record accruals or liabilities including, but not limited to, environmental remediation and governmental penalties, insurance claims, asset retirement obligations, taxes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costs of medical care associated with workers compensation and employee health insurance claims, and the possibility of existing legal claims giving rise to additional claims. Our estimates for contingent liability accruals are increased or decreased as additional information is obtained or resolution is achieved. A variance of 5% in our aggregate estimate for the accruals and contingent liabilities discussed above would have an impact on earnings of up to approximately $13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Equity Compensation Plan Accruals.</w:t>
      </w:r>
      <w:r>
        <w:rPr>
          <w:rFonts w:ascii="Times New Roman" w:hAnsi="Times New Roman"/>
          <w:sz w:val="17"/>
        </w:rPr>
        <w:t>  We accrue compensation expense for outstanding equity awards granted under our various Long Term Incentive Plans as well as outstanding Class B units of Plains AAP, L.P. (collectively, our equity compensation plans). Under generally accepted accounting principles, we are required to estimate the fair value of our outstanding equity awards and recognize that fair value as compensation expense over the service period. For equity awards that contain a performance condition, the fair value of the equity award is recognized as compensation expense only if the attainment of the performance condition is considered probable.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equity awards granted under our various Long Term Incentive Plans are accounted for as equity awards and thus, the total compensation expense recognized over the service period is determined by our unit price on the vesting date (or, in some cases, the average unit price for a range of dates preceding the vesting date) multiplied by the number of equity awards that are vesting, plus our share of associated employment taxes. Uncertainties involved in this estimate include the actual unit price at time of vesting, whether or not a performance condition will be attained and the continued employment of personnel with outstanding equity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Class B units of Plains AAP, L.P., the total compensation expense recognized over the service period is equal to the grant date fair value of the Class B units that become earned. The Class B units become earned in various increments upon us achieving annualized distribution levels of $3.50, $3.75, $4.00 and $4.50. When earned, the Class B units will be entitled to participate in distributions paid by Plains AAP, L.P. in excess of $11 million (as adjusted for debt service costs and excluding special distributions funded by debt) per quarter. Uncertainties involved in this estimate include the estimated date that we will achieve the annualized distribution levels required and the continued employment of personnel who have been awarded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recognized total compensation expense of approximately $68 million, $24 million and $49 million in 2009, 2008 and 2007, respectively, related to equity awards granted under our various equity compensation plans. We cannot provide assurance that the actual fair value of our equity compensation awards will not vary significantly from estimated amounts. See Note 10 to our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63</w:t>
      </w:r>
      <w:bookmarkStart w:id="76" w:name="PB_63_124400_7748"/>
      <w:bookmarkEnd w:id="7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i/>
          <w:sz w:val="17"/>
        </w:rPr>
        <w:t>Property, Plant and Equipment and Depreciation Expense.</w:t>
      </w:r>
      <w:r>
        <w:rPr>
          <w:rFonts w:ascii="Times New Roman" w:hAnsi="Times New Roman"/>
          <w:sz w:val="17"/>
        </w:rPr>
        <w:t>  We compute depreciation using the straight-line method based on estimated useful lives. We periodically evaluate property, plant and equipment for impairment when events or circumstances indicate that the carrying value of these assets may not be recoverable. The evaluation is highly dependent on the underlying assumptions of related cash flows. We consider the fair value estimate used to calculate impairment of property, plant and equipment a critical accounting estimate. In determining the existence of an impairment of carrying value, we make a number of subjective assumptions as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whether there is an indication of impairment;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the grouping of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the intention of holding versus selling an asset;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the forecast of undiscounted expected future cash flow over the assets estimated useful life;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w:t>
      </w:r>
      <w:r>
        <w:rPr>
          <w:rFonts w:ascii="Times New Roman" w:hAnsi="Times New Roman"/>
          <w:sz w:val="17"/>
        </w:rPr>
        <w:t>                  if an impairment exists, the fair value of the asset or asset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we recognized impairments of less than $1 million for assets taken out of service. Impairments of approximately $5 million and $1 million were recognized during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i/>
          <w:sz w:val="17"/>
        </w:rPr>
        <w:t xml:space="preserve">Allowance for Doubtful Accounts.  </w:t>
      </w:r>
      <w:r>
        <w:rPr>
          <w:rFonts w:ascii="Times New Roman" w:hAnsi="Times New Roman"/>
          <w:sz w:val="17"/>
        </w:rPr>
        <w:t>We perform credit evaluations of our customers and grant credit based on past payment history, financial conditions and anticipated industry conditions.  Customer payments are regularly monitored and a provision for doubtful accounts is established based on specific situations and overall industry conditions. Our history of bad debt losses has been minimal and generally limited to specific customer circumstances; however, credit risks can change suddenly and without notice.  See Note 2 to our Consolidated Financial Statements for additional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Consolidated Financial Statements for a discussion of recent accounting pronouncements that will impact us.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Chief Operating Decision Maker (our Chief Executive Officer) evaluates segment performance based on a variety of measures including segment profit, segment volumes, segment profit per barrel and maintenance capital investment. See Note 15 to our Consolidated Financial Statements for a definition of segment profit (including an explanation of why this is a performance measure) and a reconciliation of segment profit to net income attributable to Plains.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segment analysis involves an element of judgment relating to the allocations between segments. In connection with its operations, the supply and logistics segment secures transportation and facilities services from the Partnerships other two segments as well as third-party service providers under month-to-month and multi-year arrangements. Intersegment transportation service rates are conducted at posted tariff rates, rates similar to those charged to third parties or rates that we believe approximate market rates. Facilities segment services are also obtained at rates generally consistent with rates charged to third parties for similar services; however, certain terminalling and storage rates are discounted to our supply and logistics segment to reflect the fact that these services may be canceled on short notice to enable the facilities segment to provide services to third parties.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bookmarkStart w:id="77" w:name="PB_64_124421_141"/>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right"/>
        <w:rPr/>
      </w:pPr>
      <w:r>
        <w:rPr/>
        <w:t> </w:t>
      </w:r>
    </w:p>
    <w:tbl>
      <w:tblPr>
        <w:tblW w:w="5000" w:type="pct"/>
        <w:jc w:val="left"/>
        <w:tblInd w:w="0" w:type="dxa"/>
        <w:tblCellMar>
          <w:top w:w="0" w:type="dxa"/>
          <w:left w:w="0" w:type="dxa"/>
          <w:bottom w:w="0" w:type="dxa"/>
          <w:right w:w="0" w:type="dxa"/>
        </w:tblCellMar>
      </w:tblPr>
      <w:tblGrid>
        <w:gridCol w:w="4110"/>
        <w:gridCol w:w="215"/>
        <w:gridCol w:w="110"/>
        <w:gridCol w:w="437"/>
        <w:gridCol w:w="216"/>
        <w:gridCol w:w="110"/>
        <w:gridCol w:w="437"/>
        <w:gridCol w:w="216"/>
        <w:gridCol w:w="110"/>
        <w:gridCol w:w="437"/>
        <w:gridCol w:w="216"/>
        <w:gridCol w:w="215"/>
        <w:gridCol w:w="110"/>
        <w:gridCol w:w="437"/>
        <w:gridCol w:w="216"/>
        <w:gridCol w:w="650"/>
        <w:gridCol w:w="325"/>
        <w:gridCol w:w="110"/>
        <w:gridCol w:w="437"/>
        <w:gridCol w:w="216"/>
        <w:gridCol w:w="650"/>
        <w:gridCol w:w="225"/>
      </w:tblGrid>
      <w:tr>
        <w:trPr/>
        <w:tc>
          <w:tcPr>
            <w:tcW w:w="411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07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Twelve Months</w:t>
            </w:r>
          </w:p>
        </w:tc>
        <w:tc>
          <w:tcPr>
            <w:tcW w:w="216"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3151"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25" w:type="dxa"/>
            <w:tcBorders/>
            <w:shd w:fill="auto" w:val="clear"/>
            <w:vAlign w:val="bottom"/>
          </w:tcPr>
          <w:p>
            <w:pPr>
              <w:pStyle w:val="TableContents"/>
              <w:spacing w:before="0" w:after="0"/>
              <w:ind w:left="0" w:right="0" w:hanging="0"/>
              <w:jc w:val="center"/>
              <w:rPr/>
            </w:pPr>
            <w:r>
              <w:rPr/>
              <w:t> </w:t>
            </w:r>
          </w:p>
        </w:tc>
      </w:tr>
      <w:tr>
        <w:trPr/>
        <w:tc>
          <w:tcPr>
            <w:tcW w:w="411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07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December 31,</w:t>
            </w:r>
          </w:p>
        </w:tc>
        <w:tc>
          <w:tcPr>
            <w:tcW w:w="216"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41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25" w:type="dxa"/>
            <w:tcBorders/>
            <w:shd w:fill="auto" w:val="clear"/>
            <w:vAlign w:val="bottom"/>
          </w:tcPr>
          <w:p>
            <w:pPr>
              <w:pStyle w:val="TableContents"/>
              <w:spacing w:before="0" w:after="0"/>
              <w:ind w:left="0" w:right="0" w:hanging="0"/>
              <w:jc w:val="center"/>
              <w:rPr/>
            </w:pPr>
            <w:r>
              <w:rPr/>
              <w:t> </w:t>
            </w:r>
          </w:p>
        </w:tc>
        <w:tc>
          <w:tcPr>
            <w:tcW w:w="1413"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25" w:type="dxa"/>
            <w:tcBorders/>
            <w:shd w:fill="auto" w:val="clear"/>
            <w:vAlign w:val="bottom"/>
          </w:tcPr>
          <w:p>
            <w:pPr>
              <w:pStyle w:val="TableContents"/>
              <w:spacing w:before="0" w:after="0"/>
              <w:ind w:left="0" w:right="0" w:hanging="0"/>
              <w:jc w:val="center"/>
              <w:rPr/>
            </w:pPr>
            <w:r>
              <w:rPr/>
              <w:t> </w:t>
            </w:r>
          </w:p>
        </w:tc>
      </w:tr>
      <w:tr>
        <w:trPr/>
        <w:tc>
          <w:tcPr>
            <w:tcW w:w="411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6" w:type="dxa"/>
            <w:tcBorders/>
            <w:shd w:fill="auto" w:val="clear"/>
            <w:vAlign w:val="bottom"/>
          </w:tcPr>
          <w:p>
            <w:pPr>
              <w:pStyle w:val="TableContents"/>
              <w:spacing w:before="0" w:after="0"/>
              <w:ind w:left="0" w:right="0" w:hanging="0"/>
              <w:jc w:val="center"/>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5" w:type="dxa"/>
            <w:tcBorders/>
            <w:shd w:fill="auto" w:val="clear"/>
            <w:vAlign w:val="bottom"/>
          </w:tcPr>
          <w:p>
            <w:pPr>
              <w:pStyle w:val="TableContents"/>
              <w:spacing w:before="0" w:after="0"/>
              <w:ind w:left="0" w:right="0" w:hanging="0"/>
              <w:jc w:val="center"/>
              <w:rPr/>
            </w:pPr>
            <w:r>
              <w:rPr/>
              <w:t> </w:t>
            </w:r>
          </w:p>
        </w:tc>
      </w:tr>
      <w:tr>
        <w:trPr/>
        <w:tc>
          <w:tcPr>
            <w:tcW w:w="411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5655" w:type="dxa"/>
            <w:gridSpan w:val="19"/>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225" w:type="dxa"/>
            <w:tcBorders/>
            <w:shd w:fill="auto" w:val="clear"/>
            <w:vAlign w:val="bottom"/>
          </w:tcPr>
          <w:p>
            <w:pPr>
              <w:pStyle w:val="TableContents"/>
              <w:spacing w:before="0" w:after="0"/>
              <w:ind w:left="0" w:right="0" w:hanging="0"/>
              <w:jc w:val="center"/>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profit</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profit</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profit</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segment profit</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6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pPr>
            <w:r>
              <w:rPr/>
              <w:t> </w:t>
            </w:r>
          </w:p>
        </w:tc>
        <w:tc>
          <w:tcPr>
            <w:tcW w:w="6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auto"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6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5"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pPr>
            <w:r>
              <w:rPr/>
              <w:t> </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pPr>
            <w:r>
              <w:rPr/>
              <w:t> </w:t>
            </w:r>
          </w:p>
        </w:tc>
        <w:tc>
          <w:tcPr>
            <w:tcW w:w="32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basic limited partner unit</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per diluted limited partner unit</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0.68</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refined products on pipelines, gathering systems, trucks and barges. The transportation segment generates revenue through a combination of tariffs, third-party leases of pipeline capacity and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05"/>
        <w:gridCol w:w="216"/>
        <w:gridCol w:w="110"/>
        <w:gridCol w:w="437"/>
        <w:gridCol w:w="216"/>
        <w:gridCol w:w="110"/>
        <w:gridCol w:w="437"/>
        <w:gridCol w:w="216"/>
        <w:gridCol w:w="110"/>
        <w:gridCol w:w="437"/>
        <w:gridCol w:w="216"/>
        <w:gridCol w:w="216"/>
        <w:gridCol w:w="110"/>
        <w:gridCol w:w="437"/>
        <w:gridCol w:w="216"/>
        <w:gridCol w:w="652"/>
        <w:gridCol w:w="325"/>
        <w:gridCol w:w="110"/>
        <w:gridCol w:w="437"/>
        <w:gridCol w:w="216"/>
        <w:gridCol w:w="650"/>
        <w:gridCol w:w="226"/>
      </w:tblGrid>
      <w:tr>
        <w:trPr/>
        <w:tc>
          <w:tcPr>
            <w:tcW w:w="4105"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315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26" w:type="dxa"/>
            <w:tcBorders/>
            <w:shd w:fill="auto" w:val="clear"/>
            <w:vAlign w:val="bottom"/>
          </w:tcPr>
          <w:p>
            <w:pPr>
              <w:pStyle w:val="TableContents"/>
              <w:spacing w:before="0" w:after="0"/>
              <w:ind w:left="0" w:right="0" w:hanging="0"/>
              <w:jc w:val="center"/>
              <w:rPr/>
            </w:pPr>
            <w:r>
              <w:rPr/>
              <w:t> </w:t>
            </w:r>
          </w:p>
        </w:tc>
      </w:tr>
      <w:tr>
        <w:trPr/>
        <w:tc>
          <w:tcPr>
            <w:tcW w:w="4105" w:type="dxa"/>
            <w:tcBorders/>
            <w:shd w:fill="auto" w:val="clear"/>
            <w:vAlign w:val="bottom"/>
          </w:tcPr>
          <w:p>
            <w:pPr>
              <w:pStyle w:val="TableContents"/>
              <w:spacing w:before="0" w:after="0"/>
              <w:ind w:left="0" w:right="0" w:hanging="0"/>
              <w:rPr/>
            </w:pPr>
            <w:r>
              <w:rPr>
                <w:rFonts w:ascii="Times New Roman" w:hAnsi="Times New Roman"/>
                <w:b/>
                <w:sz w:val="13"/>
              </w:rPr>
              <w:t>Operating Results</w:t>
            </w:r>
            <w:r>
              <w:rPr/>
              <w:t xml:space="preserve"> </w:t>
            </w:r>
            <w:r>
              <w:rPr>
                <w:b/>
                <w:sz w:val="8"/>
              </w:rPr>
              <w:t>(1)</w:t>
            </w:r>
          </w:p>
        </w:tc>
        <w:tc>
          <w:tcPr>
            <w:tcW w:w="216" w:type="dxa"/>
            <w:tcBorders/>
            <w:shd w:fill="auto" w:val="clear"/>
            <w:vAlign w:val="bottom"/>
          </w:tcPr>
          <w:p>
            <w:pPr>
              <w:pStyle w:val="TableContents"/>
              <w:spacing w:before="0" w:after="0"/>
              <w:ind w:left="0" w:right="0" w:hanging="0"/>
              <w:jc w:val="center"/>
              <w:rPr/>
            </w:pPr>
            <w:r>
              <w:rPr/>
              <w:t> </w:t>
            </w:r>
          </w:p>
        </w:tc>
        <w:tc>
          <w:tcPr>
            <w:tcW w:w="207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16" w:type="dxa"/>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41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25" w:type="dxa"/>
            <w:tcBorders/>
            <w:shd w:fill="auto" w:val="clear"/>
            <w:vAlign w:val="bottom"/>
          </w:tcPr>
          <w:p>
            <w:pPr>
              <w:pStyle w:val="TableContents"/>
              <w:spacing w:before="0" w:after="0"/>
              <w:ind w:left="0" w:right="0" w:hanging="0"/>
              <w:jc w:val="center"/>
              <w:rPr/>
            </w:pPr>
            <w:r>
              <w:rPr/>
              <w:t> </w:t>
            </w:r>
          </w:p>
        </w:tc>
        <w:tc>
          <w:tcPr>
            <w:tcW w:w="141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26" w:type="dxa"/>
            <w:tcBorders/>
            <w:shd w:fill="auto" w:val="clear"/>
            <w:vAlign w:val="bottom"/>
          </w:tcPr>
          <w:p>
            <w:pPr>
              <w:pStyle w:val="TableContents"/>
              <w:spacing w:before="0" w:after="0"/>
              <w:ind w:left="0" w:right="0" w:hanging="0"/>
              <w:jc w:val="center"/>
              <w:rPr/>
            </w:pPr>
            <w:r>
              <w:rPr/>
              <w:t> </w:t>
            </w:r>
          </w:p>
        </w:tc>
      </w:tr>
      <w:tr>
        <w:trPr/>
        <w:tc>
          <w:tcPr>
            <w:tcW w:w="410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6" w:type="dxa"/>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shd w:fill="auto" w:val="clear"/>
            <w:vAlign w:val="bottom"/>
          </w:tcPr>
          <w:p>
            <w:pPr>
              <w:pStyle w:val="TableContents"/>
              <w:spacing w:before="0" w:after="0"/>
              <w:ind w:left="0" w:right="0" w:hanging="0"/>
              <w:jc w:val="center"/>
              <w:rPr/>
            </w:pPr>
            <w:r>
              <w:rPr/>
              <w:t> </w:t>
            </w:r>
          </w:p>
        </w:tc>
        <w:tc>
          <w:tcPr>
            <w:tcW w:w="65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auto" w:val="clear"/>
            <w:vAlign w:val="bottom"/>
          </w:tcPr>
          <w:p>
            <w:pPr>
              <w:pStyle w:val="TableContents"/>
              <w:spacing w:before="0" w:after="0"/>
              <w:ind w:left="0" w:right="0" w:hanging="0"/>
              <w:jc w:val="center"/>
              <w:rPr/>
            </w:pPr>
            <w:r>
              <w:rPr/>
              <w:t> </w:t>
            </w:r>
          </w:p>
        </w:tc>
        <w:tc>
          <w:tcPr>
            <w:tcW w:w="5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6" w:type="dxa"/>
            <w:tcBorders/>
            <w:shd w:fill="auto" w:val="clear"/>
            <w:vAlign w:val="bottom"/>
          </w:tcPr>
          <w:p>
            <w:pPr>
              <w:pStyle w:val="TableContents"/>
              <w:spacing w:before="0" w:after="0"/>
              <w:ind w:left="0" w:right="0" w:hanging="0"/>
              <w:jc w:val="center"/>
              <w:rPr/>
            </w:pPr>
            <w:r>
              <w:rPr/>
              <w:t> </w:t>
            </w:r>
          </w:p>
        </w:tc>
        <w:tc>
          <w:tcPr>
            <w:tcW w:w="6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6" w:type="dxa"/>
            <w:tcBorders/>
            <w:shd w:fill="auto" w:val="clear"/>
            <w:vAlign w:val="bottom"/>
          </w:tcPr>
          <w:p>
            <w:pPr>
              <w:pStyle w:val="TableContents"/>
              <w:spacing w:before="0" w:after="0"/>
              <w:ind w:left="0" w:right="0" w:hanging="0"/>
              <w:jc w:val="center"/>
              <w:rPr/>
            </w:pPr>
            <w:r>
              <w:rPr/>
              <w:t> </w:t>
            </w:r>
          </w:p>
        </w:tc>
      </w:tr>
      <w:tr>
        <w:trPr/>
        <w:tc>
          <w:tcPr>
            <w:tcW w:w="4105"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32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6"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927</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771</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6"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pPr>
            <w:r>
              <w:rPr>
                <w:rFonts w:ascii="Times New Roman" w:hAnsi="Times New Roman"/>
                <w:sz w:val="17"/>
              </w:rPr>
              <w:t xml:space="preserve">Cost and Expenses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52" w:type="dxa"/>
            <w:tcBorders/>
            <w:shd w:fill="CCEEFF" w:val="clear"/>
            <w:vAlign w:val="bottom"/>
          </w:tcPr>
          <w:p>
            <w:pPr>
              <w:pStyle w:val="TableContents"/>
              <w:spacing w:before="0" w:after="0"/>
              <w:ind w:left="0" w:right="0" w:hanging="0"/>
              <w:jc w:val="right"/>
              <w:rPr/>
            </w:pPr>
            <w:r>
              <w:rPr/>
              <w:t> </w:t>
            </w:r>
          </w:p>
        </w:tc>
        <w:tc>
          <w:tcPr>
            <w:tcW w:w="325"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650" w:type="dxa"/>
            <w:tcBorders/>
            <w:shd w:fill="CCEEFF" w:val="clear"/>
            <w:vAlign w:val="bottom"/>
          </w:tcPr>
          <w:p>
            <w:pPr>
              <w:pStyle w:val="TableContents"/>
              <w:spacing w:before="0" w:after="0"/>
              <w:ind w:left="0" w:right="0" w:hanging="0"/>
              <w:jc w:val="right"/>
              <w:rPr/>
            </w:pPr>
            <w:r>
              <w:rPr/>
              <w:t> </w:t>
            </w:r>
          </w:p>
        </w:tc>
        <w:tc>
          <w:tcPr>
            <w:tcW w:w="226"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auto" w:val="clear"/>
            <w:vAlign w:val="bottom"/>
          </w:tcPr>
          <w:p>
            <w:pPr>
              <w:pStyle w:val="TableContents"/>
              <w:spacing w:before="0" w:after="0"/>
              <w:ind w:left="0" w:right="0" w:hanging="0"/>
              <w:rPr/>
            </w:pPr>
            <w:r>
              <w:rPr/>
              <w:t> </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pPr>
            <w:r>
              <w:rPr>
                <w:rFonts w:ascii="Times New Roman" w:hAnsi="Times New Roman"/>
                <w:sz w:val="17"/>
              </w:rPr>
              <w:t>Field operating costs (excluding equity</w:t>
            </w:r>
            <w:r>
              <w:rPr/>
              <w:t xml:space="preserve"> </w:t>
            </w:r>
            <w:r>
              <w:rPr>
                <w:sz w:val="17"/>
              </w:rPr>
              <w:t>compensation expense)</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expense - operations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pPr>
            <w:r>
              <w:rPr>
                <w:rFonts w:ascii="Times New Roman" w:hAnsi="Times New Roman"/>
                <w:sz w:val="17"/>
              </w:rPr>
              <w:t>Segment G&amp;A expenses (excluding equity</w:t>
            </w:r>
            <w:r>
              <w:rPr/>
              <w:t xml:space="preserve"> </w:t>
            </w:r>
            <w:r>
              <w:rPr>
                <w:sz w:val="17"/>
              </w:rPr>
              <w:t>compensation expense)</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pPr>
            <w:r>
              <w:rPr>
                <w:rFonts w:ascii="Times New Roman" w:hAnsi="Times New Roman"/>
                <w:sz w:val="17"/>
              </w:rPr>
              <w:t>Equity compensation expense - general and</w:t>
            </w:r>
            <w:r>
              <w:rPr/>
              <w:t xml:space="preserve"> </w:t>
            </w:r>
            <w:r>
              <w:rPr>
                <w:sz w:val="17"/>
              </w:rPr>
              <w:t xml:space="preserve">administrative </w:t>
            </w:r>
            <w:r>
              <w:rPr>
                <w:sz w:val="11"/>
              </w:rPr>
              <w:t>(2)</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pPr>
            <w:r>
              <w:rPr/>
              <w:t> </w:t>
            </w:r>
          </w:p>
        </w:tc>
        <w:tc>
          <w:tcPr>
            <w:tcW w:w="6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pPr>
            <w:r>
              <w:rPr/>
              <w:t> </w:t>
            </w:r>
          </w:p>
        </w:tc>
        <w:tc>
          <w:tcPr>
            <w:tcW w:w="65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6" w:type="dxa"/>
            <w:tcBorders/>
            <w:shd w:fill="CCEEFF" w:val="clear"/>
            <w:vAlign w:val="bottom"/>
          </w:tcPr>
          <w:p>
            <w:pPr>
              <w:pStyle w:val="TableContents"/>
              <w:spacing w:before="0" w:after="0"/>
              <w:ind w:left="0" w:right="0" w:hanging="0"/>
              <w:rPr/>
            </w:pPr>
            <w:r>
              <w:rPr/>
              <w:t> </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16" w:type="dxa"/>
            <w:tcBorders/>
            <w:shd w:fill="auto" w:val="clear"/>
            <w:vAlign w:val="bottom"/>
          </w:tcPr>
          <w:p>
            <w:pPr>
              <w:pStyle w:val="TableContents"/>
              <w:spacing w:before="0" w:after="0"/>
              <w:ind w:left="0" w:right="0" w:hanging="0"/>
              <w:rPr/>
            </w:pPr>
            <w:r>
              <w:rPr/>
              <w:t> </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6" w:type="dxa"/>
            <w:tcBorders/>
            <w:shd w:fill="auto" w:val="clear"/>
            <w:vAlign w:val="bottom"/>
          </w:tcPr>
          <w:p>
            <w:pPr>
              <w:pStyle w:val="TableContents"/>
              <w:spacing w:before="0" w:after="0"/>
              <w:ind w:left="0" w:right="0" w:hanging="0"/>
              <w:rPr/>
            </w:pPr>
            <w:r>
              <w:rPr/>
              <w:t> </w:t>
            </w:r>
          </w:p>
        </w:tc>
        <w:tc>
          <w:tcPr>
            <w:tcW w:w="6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6"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pPr>
            <w:r>
              <w:rPr/>
              <w:t> </w:t>
            </w:r>
          </w:p>
        </w:tc>
        <w:tc>
          <w:tcPr>
            <w:tcW w:w="6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6" w:type="dxa"/>
            <w:tcBorders/>
            <w:shd w:fill="CCEEFF" w:val="clear"/>
            <w:vAlign w:val="bottom"/>
          </w:tcPr>
          <w:p>
            <w:pPr>
              <w:pStyle w:val="TableContents"/>
              <w:spacing w:before="0" w:after="0"/>
              <w:ind w:left="0" w:right="0" w:hanging="0"/>
              <w:rPr/>
            </w:pPr>
            <w:r>
              <w:rPr/>
              <w:t> </w:t>
            </w:r>
          </w:p>
        </w:tc>
        <w:tc>
          <w:tcPr>
            <w:tcW w:w="6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16"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16" w:type="dxa"/>
            <w:tcBorders/>
            <w:shd w:fill="auto" w:val="clear"/>
            <w:vAlign w:val="bottom"/>
          </w:tcPr>
          <w:p>
            <w:pPr>
              <w:pStyle w:val="TableContents"/>
              <w:spacing w:before="0" w:after="0"/>
              <w:ind w:left="0" w:right="0" w:hanging="0"/>
              <w:rPr/>
            </w:pPr>
            <w:r>
              <w:rPr/>
              <w:t> </w:t>
            </w:r>
          </w:p>
        </w:tc>
        <w:tc>
          <w:tcPr>
            <w:tcW w:w="6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0.07</w:t>
            </w:r>
          </w:p>
        </w:tc>
        <w:tc>
          <w:tcPr>
            <w:tcW w:w="216" w:type="dxa"/>
            <w:tcBorders/>
            <w:shd w:fill="auto" w:val="clear"/>
            <w:vAlign w:val="bottom"/>
          </w:tcPr>
          <w:p>
            <w:pPr>
              <w:pStyle w:val="TableContents"/>
              <w:spacing w:before="0" w:after="0"/>
              <w:ind w:left="0" w:right="0" w:hanging="0"/>
              <w:rPr/>
            </w:pPr>
            <w:r>
              <w:rPr/>
              <w:t> </w:t>
            </w:r>
          </w:p>
        </w:tc>
        <w:tc>
          <w:tcPr>
            <w:tcW w:w="6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65</w:t>
      </w:r>
      <w:bookmarkStart w:id="78" w:name="PB_65_130955_8146"/>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920"/>
        <w:gridCol w:w="205"/>
        <w:gridCol w:w="619"/>
        <w:gridCol w:w="206"/>
        <w:gridCol w:w="619"/>
        <w:gridCol w:w="205"/>
        <w:gridCol w:w="619"/>
        <w:gridCol w:w="205"/>
        <w:gridCol w:w="206"/>
        <w:gridCol w:w="619"/>
        <w:gridCol w:w="205"/>
        <w:gridCol w:w="619"/>
        <w:gridCol w:w="309"/>
        <w:gridCol w:w="619"/>
        <w:gridCol w:w="205"/>
        <w:gridCol w:w="619"/>
        <w:gridCol w:w="206"/>
      </w:tblGrid>
      <w:tr>
        <w:trPr/>
        <w:tc>
          <w:tcPr>
            <w:tcW w:w="392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619"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19"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619"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3195"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06" w:type="dxa"/>
            <w:tcBorders/>
            <w:shd w:fill="auto" w:val="clear"/>
            <w:vAlign w:val="bottom"/>
          </w:tcPr>
          <w:p>
            <w:pPr>
              <w:pStyle w:val="TableContents"/>
              <w:spacing w:before="0" w:after="0"/>
              <w:ind w:left="0" w:right="0" w:hanging="0"/>
              <w:jc w:val="center"/>
              <w:rPr/>
            </w:pPr>
            <w:r>
              <w:rPr/>
              <w:t> </w:t>
            </w:r>
          </w:p>
        </w:tc>
      </w:tr>
      <w:tr>
        <w:trPr/>
        <w:tc>
          <w:tcPr>
            <w:tcW w:w="392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05" w:type="dxa"/>
            <w:tcBorders/>
            <w:shd w:fill="auto" w:val="clear"/>
            <w:vAlign w:val="bottom"/>
          </w:tcPr>
          <w:p>
            <w:pPr>
              <w:pStyle w:val="TableContents"/>
              <w:spacing w:before="0" w:after="0"/>
              <w:ind w:left="0" w:right="0" w:hanging="0"/>
              <w:jc w:val="center"/>
              <w:rPr/>
            </w:pPr>
            <w:r>
              <w:rPr/>
              <w:t> </w:t>
            </w:r>
          </w:p>
        </w:tc>
        <w:tc>
          <w:tcPr>
            <w:tcW w:w="226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205"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44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09" w:type="dxa"/>
            <w:tcBorders/>
            <w:shd w:fill="auto" w:val="clear"/>
            <w:vAlign w:val="bottom"/>
          </w:tcPr>
          <w:p>
            <w:pPr>
              <w:pStyle w:val="TableContents"/>
              <w:spacing w:before="0" w:after="0"/>
              <w:ind w:left="0" w:right="0" w:hanging="0"/>
              <w:jc w:val="center"/>
              <w:rPr/>
            </w:pPr>
            <w:r>
              <w:rPr/>
              <w:t> </w:t>
            </w:r>
          </w:p>
        </w:tc>
        <w:tc>
          <w:tcPr>
            <w:tcW w:w="144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06" w:type="dxa"/>
            <w:tcBorders/>
            <w:shd w:fill="auto" w:val="clear"/>
            <w:vAlign w:val="bottom"/>
          </w:tcPr>
          <w:p>
            <w:pPr>
              <w:pStyle w:val="TableContents"/>
              <w:spacing w:before="0" w:after="0"/>
              <w:ind w:left="0" w:right="0" w:hanging="0"/>
              <w:jc w:val="center"/>
              <w:rPr/>
            </w:pPr>
            <w:r>
              <w:rPr/>
              <w:t> </w:t>
            </w:r>
          </w:p>
        </w:tc>
      </w:tr>
      <w:tr>
        <w:trPr/>
        <w:tc>
          <w:tcPr>
            <w:tcW w:w="3920"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 xml:space="preserve">(in thousands of barrels per day) </w:t>
            </w:r>
            <w:r>
              <w:rPr>
                <w:sz w:val="11"/>
              </w:rPr>
              <w:t>(3)</w:t>
            </w:r>
          </w:p>
        </w:tc>
        <w:tc>
          <w:tcPr>
            <w:tcW w:w="205" w:type="dxa"/>
            <w:tcBorders/>
            <w:shd w:fill="auto" w:val="clear"/>
            <w:vAlign w:val="bottom"/>
          </w:tcPr>
          <w:p>
            <w:pPr>
              <w:pStyle w:val="TableContents"/>
              <w:spacing w:before="0" w:after="0"/>
              <w:ind w:left="0" w:right="0" w:hanging="0"/>
              <w:jc w:val="center"/>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05" w:type="dxa"/>
            <w:tcBorders/>
            <w:shd w:fill="auto" w:val="clear"/>
            <w:vAlign w:val="bottom"/>
          </w:tcPr>
          <w:p>
            <w:pPr>
              <w:pStyle w:val="TableContents"/>
              <w:spacing w:before="0" w:after="0"/>
              <w:ind w:left="0" w:right="0" w:hanging="0"/>
              <w:jc w:val="center"/>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09" w:type="dxa"/>
            <w:tcBorders/>
            <w:shd w:fill="auto" w:val="clear"/>
            <w:vAlign w:val="bottom"/>
          </w:tcPr>
          <w:p>
            <w:pPr>
              <w:pStyle w:val="TableContents"/>
              <w:spacing w:before="0" w:after="0"/>
              <w:ind w:left="0" w:right="0" w:hanging="0"/>
              <w:jc w:val="center"/>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5" w:type="dxa"/>
            <w:tcBorders/>
            <w:shd w:fill="auto" w:val="clear"/>
            <w:vAlign w:val="bottom"/>
          </w:tcPr>
          <w:p>
            <w:pPr>
              <w:pStyle w:val="TableContents"/>
              <w:spacing w:before="0" w:after="0"/>
              <w:ind w:left="0" w:right="0" w:hanging="0"/>
              <w:jc w:val="center"/>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6" w:type="dxa"/>
            <w:tcBorders/>
            <w:shd w:fill="auto" w:val="clear"/>
            <w:vAlign w:val="bottom"/>
          </w:tcPr>
          <w:p>
            <w:pPr>
              <w:pStyle w:val="TableContents"/>
              <w:spacing w:before="0" w:after="0"/>
              <w:ind w:left="0" w:right="0" w:hanging="0"/>
              <w:jc w:val="center"/>
              <w:rPr/>
            </w:pPr>
            <w:r>
              <w:rPr/>
              <w:t> </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309"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Texas/New Mexico Area Systems</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6" w:type="dxa"/>
            <w:tcBorders/>
            <w:shd w:fill="CCEEFF" w:val="clear"/>
            <w:vAlign w:val="bottom"/>
          </w:tcPr>
          <w:p>
            <w:pPr>
              <w:pStyle w:val="TableContents"/>
              <w:spacing w:before="0" w:after="0"/>
              <w:ind w:left="0" w:right="0" w:hanging="0"/>
              <w:rPr/>
            </w:pPr>
            <w:r>
              <w:rPr/>
              <w:t> </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5"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5"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20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205"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1,162</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5"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2,836</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2,851</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2,712</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05" w:type="dxa"/>
            <w:tcBorders/>
            <w:shd w:fill="CCEEFF" w:val="clear"/>
            <w:vAlign w:val="bottom"/>
          </w:tcPr>
          <w:p>
            <w:pPr>
              <w:pStyle w:val="TableContents"/>
              <w:spacing w:before="0" w:after="0"/>
              <w:ind w:left="0" w:right="0" w:hanging="0"/>
              <w:rPr/>
            </w:pPr>
            <w:r>
              <w:rPr/>
              <w:t> </w:t>
            </w:r>
          </w:p>
        </w:tc>
        <w:tc>
          <w:tcPr>
            <w:tcW w:w="6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5"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5"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Transporation segment total</w:t>
            </w:r>
          </w:p>
        </w:tc>
        <w:tc>
          <w:tcPr>
            <w:tcW w:w="205" w:type="dxa"/>
            <w:tcBorders/>
            <w:shd w:fill="CCEEFF" w:val="clear"/>
            <w:vAlign w:val="bottom"/>
          </w:tcPr>
          <w:p>
            <w:pPr>
              <w:pStyle w:val="TableContents"/>
              <w:spacing w:before="0" w:after="0"/>
              <w:ind w:left="0" w:right="0" w:hanging="0"/>
              <w:rPr/>
            </w:pPr>
            <w:r>
              <w:rPr/>
              <w:t> </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206" w:type="dxa"/>
            <w:tcBorders/>
            <w:shd w:fill="CCEEFF" w:val="clear"/>
            <w:vAlign w:val="bottom"/>
          </w:tcPr>
          <w:p>
            <w:pPr>
              <w:pStyle w:val="TableContents"/>
              <w:spacing w:before="0" w:after="0"/>
              <w:ind w:left="0" w:right="0" w:hanging="0"/>
              <w:rPr/>
            </w:pPr>
            <w:r>
              <w:rPr/>
              <w:t> </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2,948</w:t>
            </w:r>
          </w:p>
        </w:tc>
        <w:tc>
          <w:tcPr>
            <w:tcW w:w="205" w:type="dxa"/>
            <w:tcBorders/>
            <w:shd w:fill="CCEEFF" w:val="clear"/>
            <w:vAlign w:val="bottom"/>
          </w:tcPr>
          <w:p>
            <w:pPr>
              <w:pStyle w:val="TableContents"/>
              <w:spacing w:before="0" w:after="0"/>
              <w:ind w:left="0" w:right="0" w:hanging="0"/>
              <w:rPr/>
            </w:pPr>
            <w:r>
              <w:rPr/>
              <w:t> </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2,817</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5" w:type="dxa"/>
            <w:tcBorders/>
            <w:shd w:fill="CCEEFF" w:val="clear"/>
            <w:vAlign w:val="bottom"/>
          </w:tcPr>
          <w:p>
            <w:pPr>
              <w:pStyle w:val="TableContents"/>
              <w:spacing w:before="0" w:after="0"/>
              <w:ind w:left="0" w:right="0" w:hanging="0"/>
              <w:rPr/>
            </w:pPr>
            <w:r>
              <w:rPr/>
              <w:t> </w:t>
            </w:r>
          </w:p>
        </w:tc>
        <w:tc>
          <w:tcPr>
            <w:tcW w:w="6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Transportation segment profit and segment profit per barrel were impacted by the following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 above, our transportation segment revenues increased in each year and our volumes remained relatively consistent for 2009 compared to 2008 and increased approximately 5% for 2008 compared to 2007. Volumes were positively impacted by (i) the Rainbow acquisition completed in May 2008, which added approximately 129,000 barrels per day to average 2008 volumes and approximately 183,000 barrels per day to average 2009 volumes and (ii) the completion in the fourth quarter of 2008 of a 94-mile expansion of our Salt Lake Area system.  The increases from these acquisition and expansion activities were generally offset in 2009 and partially offset in 2008 by volume fluctuations on various other pipeline segments as well as decreased trucking volumes over the three year period. The decreased trucking volumes were primarily due to decreased demand as well as an effort to eliminate lower margin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for the years ended December 31, 2009 and 2008 were positively impacted by the net effect of a number of factors including: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The Rainbow acquisition contributed approximately $16 million and $50 million of incremental revenue to 2009 and 2008, respectively.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Incremental revenues from completion of the Salt Lake City Area expansion added approximately $7 million to revenues in 2009 relative to 2008 associated with volume increases.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revenues increased by approximately $22 million for 2009 compared to 2008 primarily related to a higher average realized price per barrel during 2009 (including the impact of gains from derivative activities). Loss allowance revenues increased by approximately $31 million for 2008 compared to 2007 due to slightly higher volumes and an increase in the average realized price per barrel during most of 2008 relative to 2007.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66</w:t>
      </w:r>
      <w:bookmarkStart w:id="79" w:name="PB_66_131428_7091"/>
      <w:bookmarkEnd w:id="7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Tariff rates increased on certain of our pipeline systems after the second quarter of each year as a result of indexing by the Federal Energy Regulation Commission (FERC). In addition, we had similar type rate increases on non-FERC regulated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Revenues for the year ended December 31, 2008 were impacted by a gain of approximately $17 million related to a linefill hedge entered into in conjunction with the Rainbow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Trucking revenues decreased for 2009 compared to 2008 by approximately $33 million, primarily related to the volume decrease discussed within our operating revenues and volumes lead in. Trucking revenues increased for 2008 compared to 2007 by approximately $10 million due to the acquisition of trucking businesses in prior years.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Revenues and expenses from our Canadian based subsidiaries, which use the Canadian dollar as their functional currency, are translated at average exchange rates prevailing for each month. During 2009, revenues from some of our Canadian pipeline systems were unfavorably impacted by the appreciation of the U.S. dollar relative to the Canadian dollar. The average Canadian dollar (CAD) to U.S. dollar (USD) exchange rate for 2009 was $1.14 CAD: $1.00 USD compared to an average of $1.07 CAD: $1.00 USD in 2008 and in 2007.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Miscellaneous revenue and volume variances on various other systems, including the impacts of Hurricanes Gustav and Ike, both of which affected the Gulf Coast area during the third quarter of 2008.</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i/>
          <w:sz w:val="17"/>
        </w:rPr>
        <w:t>Costs and Expenses.</w:t>
      </w:r>
      <w:r>
        <w:rPr>
          <w:rFonts w:ascii="Times New Roman" w:hAnsi="Times New Roman"/>
          <w:sz w:val="20"/>
        </w:rPr>
        <w:t xml:space="preserve">  </w:t>
      </w:r>
      <w:r>
        <w:rPr>
          <w:rFonts w:ascii="Times New Roman" w:hAnsi="Times New Roman"/>
          <w:sz w:val="17"/>
        </w:rPr>
        <w:t>In general, our overall transportation costs and expenses have trended up primarily due to our continued growth through acquisitions and expansion activities.  However, overall costs were favorably impacted in 2009 by the appreciation of the U.S. dollar relative to the Canadian dollar.</w:t>
      </w:r>
      <w:r>
        <w:rPr>
          <w:rFonts w:ascii="Times New Roman" w:hAnsi="Times New Roman"/>
          <w:sz w:val="20"/>
        </w:rPr>
        <w:t xml:space="preserve">  </w:t>
      </w:r>
      <w:r>
        <w:rPr>
          <w:rFonts w:ascii="Times New Roman" w:hAnsi="Times New Roman"/>
          <w:sz w:val="17"/>
        </w:rPr>
        <w:t>Various factors impacting components of our cost structure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Trucking Costs.</w:t>
      </w:r>
      <w:r>
        <w:rPr>
          <w:rFonts w:ascii="Times New Roman" w:hAnsi="Times New Roman"/>
        </w:rPr>
        <w:t xml:space="preserve">  </w:t>
      </w:r>
      <w:r>
        <w:rPr>
          <w:rFonts w:ascii="Times New Roman" w:hAnsi="Times New Roman"/>
          <w:sz w:val="17"/>
        </w:rPr>
        <w:t>Trucking costs decreased in 2009 as compared to 2008 primarily as a result of decreased trucking volumes, as discussed above, and as a result of lower rates resulting from lower fuel costs.  Trucking cost increased in 2008 as compared to 2007 primarily as a result of increased rates resulting from higher fuel costs.  This increase was partially offset by lower costs resulting from lower trucking volumes.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charges as discussed below) increased $2 million in 2009 over 2008 and $43 million in 2008 over 2007.  The primary driver of this increase was the Rainbow acquisition that was completed in May 2008, which added $17 million for the year ended December 31, 2008, and an additional $2 million for the year ended December 31, 2009.  In addition, during the year ended December 31, 2009 we had increased payroll, benefit and maintenance costs that were offset by lower API 653, in-line inspection, utility and fuel costs.  Costs related to API 653 and in-line inspections had increased in 2008 in an effort to meet the 2009 compliance deadline.  In addition, utility and fuel costs had increased in 2008 as a result of higher rates, and decreased again in 2009 as fuel and power rates decreased.  Our overall operating expenses also increased during 2008 as compared to 2007 due to general inflationary pressures experienced in the industry and from our expanded asset base including assets from the Pacific merger in late 2006.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 xml:space="preserve">General and administrative expenses (excluding equity compensation charges as discussed below) have increased in 2009 compared to 2008 and in 2008 compared to 2007 related to our acquisitions and expansion activities as well as upward cost pressures from payroll and benefits and other personnel related costs.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Charges. </w:t>
      </w:r>
      <w:r>
        <w:rPr>
          <w:rFonts w:ascii="Times New Roman" w:hAnsi="Times New Roman"/>
          <w:sz w:val="17"/>
        </w:rPr>
        <w:t>Equity compensation charges increased approximately $22 million in 2009 compared to 2008 and decreased by $12 million in 2008 as compared to 2007.  Such variations are primarily the result of an increase in unit price for 2009 relative to 2008 and a decrease in unit price in 2008 relative to 2007. At the end of 2009, our unit price was $52.85 per common unit as compared to $34.69 per common unit at the end of 2008 and $52.00 per unit at the end of 2007. The impact of these price fluctuations are partially impacted by additional equity compensation grants during each period (including the Class B grants), changes to our probability assessment that result in accruals for grants that were previously not considered to be probable of vesting and forfeitures.  See Note 10 to our Consolidated Financial Statements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rPr>
        <w:t> </w:t>
      </w:r>
      <w:r>
        <w:rPr>
          <w:rFonts w:ascii="Times New Roman" w:hAnsi="Times New Roman"/>
          <w:sz w:val="17"/>
        </w:rPr>
        <w:t>The increase in maintenance capital in 2008 compared to 2007 is primarily due to increased investment applicable to in-line inspections and API 653 repairs in an effort to meet our May 2009 compliance deadline, general inflationary pressures experienced in the industry, our expanded asset base including assets from the Pacific merger in late 2006, and the Rainbow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facilities segment operations generally consist of fee-based activities associated with providing storage, terminalling and throughput services for crude oil, refined products, natural gas and LPG, as well as LPG fractionation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67</w:t>
      </w:r>
      <w:bookmarkStart w:id="80" w:name="PB_67_131459_455"/>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isomerization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844"/>
        <w:gridCol w:w="203"/>
        <w:gridCol w:w="125"/>
        <w:gridCol w:w="472"/>
        <w:gridCol w:w="209"/>
        <w:gridCol w:w="125"/>
        <w:gridCol w:w="472"/>
        <w:gridCol w:w="209"/>
        <w:gridCol w:w="125"/>
        <w:gridCol w:w="472"/>
        <w:gridCol w:w="209"/>
        <w:gridCol w:w="203"/>
        <w:gridCol w:w="132"/>
        <w:gridCol w:w="492"/>
        <w:gridCol w:w="209"/>
        <w:gridCol w:w="662"/>
        <w:gridCol w:w="325"/>
        <w:gridCol w:w="131"/>
        <w:gridCol w:w="492"/>
        <w:gridCol w:w="209"/>
        <w:gridCol w:w="644"/>
        <w:gridCol w:w="241"/>
      </w:tblGrid>
      <w:tr>
        <w:trPr/>
        <w:tc>
          <w:tcPr>
            <w:tcW w:w="384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20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3296"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shd w:fill="auto" w:val="clear"/>
            <w:vAlign w:val="bottom"/>
          </w:tcPr>
          <w:p>
            <w:pPr>
              <w:pStyle w:val="TableContents"/>
              <w:spacing w:before="0" w:after="0"/>
              <w:ind w:left="0" w:right="0" w:hanging="0"/>
              <w:rPr/>
            </w:pPr>
            <w:r>
              <w:rPr>
                <w:rFonts w:ascii="Times New Roman" w:hAnsi="Times New Roman"/>
                <w:b/>
                <w:sz w:val="13"/>
              </w:rPr>
              <w:t xml:space="preserve">Operating Results </w:t>
            </w:r>
            <w:r>
              <w:rPr>
                <w:rFonts w:ascii="Times New Roman" w:hAnsi="Times New Roman"/>
                <w:b/>
                <w:sz w:val="8"/>
              </w:rPr>
              <w:t>(1)</w:t>
            </w:r>
          </w:p>
        </w:tc>
        <w:tc>
          <w:tcPr>
            <w:tcW w:w="203" w:type="dxa"/>
            <w:tcBorders/>
            <w:shd w:fill="auto" w:val="clear"/>
            <w:vAlign w:val="bottom"/>
          </w:tcPr>
          <w:p>
            <w:pPr>
              <w:pStyle w:val="TableContents"/>
              <w:spacing w:before="0" w:after="0"/>
              <w:ind w:left="0" w:right="0" w:hanging="0"/>
              <w:jc w:val="center"/>
              <w:rPr/>
            </w:pPr>
            <w:r>
              <w:rPr/>
              <w:t> </w:t>
            </w:r>
          </w:p>
        </w:tc>
        <w:tc>
          <w:tcPr>
            <w:tcW w:w="220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49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6"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203" w:type="dxa"/>
            <w:tcBorders/>
            <w:shd w:fill="auto" w:val="clear"/>
            <w:vAlign w:val="bottom"/>
          </w:tcPr>
          <w:p>
            <w:pPr>
              <w:pStyle w:val="TableContents"/>
              <w:spacing w:before="0" w:after="0"/>
              <w:ind w:left="0" w:right="0" w:hanging="0"/>
              <w:jc w:val="center"/>
              <w:rPr/>
            </w:pPr>
            <w:r>
              <w:rPr/>
              <w:t> </w:t>
            </w:r>
          </w:p>
        </w:tc>
        <w:tc>
          <w:tcPr>
            <w:tcW w:w="5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9" w:type="dxa"/>
            <w:tcBorders/>
            <w:shd w:fill="auto" w:val="clear"/>
            <w:vAlign w:val="bottom"/>
          </w:tcPr>
          <w:p>
            <w:pPr>
              <w:pStyle w:val="TableContents"/>
              <w:spacing w:before="0" w:after="0"/>
              <w:ind w:left="0" w:right="0" w:hanging="0"/>
              <w:jc w:val="center"/>
              <w:rPr/>
            </w:pPr>
            <w:r>
              <w:rPr/>
              <w:t> </w:t>
            </w:r>
          </w:p>
        </w:tc>
        <w:tc>
          <w:tcPr>
            <w:tcW w:w="5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9" w:type="dxa"/>
            <w:tcBorders/>
            <w:shd w:fill="auto" w:val="clear"/>
            <w:vAlign w:val="bottom"/>
          </w:tcPr>
          <w:p>
            <w:pPr>
              <w:pStyle w:val="TableContents"/>
              <w:spacing w:before="0" w:after="0"/>
              <w:ind w:left="0" w:right="0" w:hanging="0"/>
              <w:jc w:val="center"/>
              <w:rPr/>
            </w:pPr>
            <w:r>
              <w:rPr/>
              <w:t> </w:t>
            </w:r>
          </w:p>
        </w:tc>
        <w:tc>
          <w:tcPr>
            <w:tcW w:w="5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9" w:type="dxa"/>
            <w:tcBorders/>
            <w:shd w:fill="auto" w:val="clear"/>
            <w:vAlign w:val="bottom"/>
          </w:tcPr>
          <w:p>
            <w:pPr>
              <w:pStyle w:val="TableContents"/>
              <w:spacing w:before="0" w:after="0"/>
              <w:ind w:left="0" w:right="0" w:hanging="0"/>
              <w:jc w:val="center"/>
              <w:rPr/>
            </w:pPr>
            <w:r>
              <w:rPr/>
              <w:t> </w:t>
            </w:r>
          </w:p>
        </w:tc>
        <w:tc>
          <w:tcPr>
            <w:tcW w:w="66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auto" w:val="clear"/>
            <w:vAlign w:val="bottom"/>
          </w:tcPr>
          <w:p>
            <w:pPr>
              <w:pStyle w:val="TableContents"/>
              <w:spacing w:before="0" w:after="0"/>
              <w:ind w:left="0" w:right="0" w:hanging="0"/>
              <w:jc w:val="center"/>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9" w:type="dxa"/>
            <w:tcBorders/>
            <w:shd w:fill="auto" w:val="cle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shd w:fill="CCEEFF" w:val="clear"/>
            <w:vAlign w:val="bottom"/>
          </w:tcPr>
          <w:p>
            <w:pPr>
              <w:pStyle w:val="TableContents"/>
              <w:spacing w:before="0" w:after="0"/>
              <w:ind w:left="0" w:right="0" w:hanging="0"/>
              <w:rPr/>
            </w:pPr>
            <w:r>
              <w:rPr>
                <w:rFonts w:ascii="Times New Roman" w:hAnsi="Times New Roman"/>
                <w:sz w:val="17"/>
              </w:rPr>
              <w:t xml:space="preserve">Storage and terminalling revenues </w:t>
            </w:r>
            <w:r>
              <w:rPr>
                <w:rFonts w:ascii="Times New Roman" w:hAnsi="Times New Roman"/>
                <w:b/>
                <w:sz w:val="8"/>
              </w:rPr>
              <w:t>(1)</w:t>
            </w:r>
          </w:p>
        </w:tc>
        <w:tc>
          <w:tcPr>
            <w:tcW w:w="203"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09"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09"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09" w:type="dxa"/>
            <w:tcBorders/>
            <w:shd w:fill="CCEEFF" w:val="clear"/>
            <w:vAlign w:val="bottom"/>
          </w:tcPr>
          <w:p>
            <w:pPr>
              <w:pStyle w:val="TableContents"/>
              <w:spacing w:before="0" w:after="0"/>
              <w:ind w:left="0" w:right="0" w:hanging="0"/>
              <w:rPr/>
            </w:pPr>
            <w:r>
              <w:rPr/>
              <w:t> </w:t>
            </w:r>
          </w:p>
        </w:tc>
        <w:tc>
          <w:tcPr>
            <w:tcW w:w="6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9" w:type="dxa"/>
            <w:tcBorders/>
            <w:shd w:fill="CCEEFF" w:val="clear"/>
            <w:vAlign w:val="bottom"/>
          </w:tcPr>
          <w:p>
            <w:pPr>
              <w:pStyle w:val="TableContents"/>
              <w:spacing w:before="0" w:after="0"/>
              <w:ind w:left="0" w:right="0" w:hanging="0"/>
              <w:rPr/>
            </w:pPr>
            <w:r>
              <w:rPr/>
              <w:t> </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6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1" w:type="dxa"/>
            <w:tcBorders/>
            <w:shd w:fill="auto" w:val="clear"/>
            <w:vAlign w:val="bottom"/>
          </w:tcPr>
          <w:p>
            <w:pPr>
              <w:pStyle w:val="TableContents"/>
              <w:spacing w:before="0" w:after="0"/>
              <w:ind w:left="0" w:right="0" w:hanging="0"/>
              <w:rPr/>
            </w:pPr>
            <w:r>
              <w:rPr/>
              <w:t> </w:t>
            </w:r>
          </w:p>
        </w:tc>
      </w:tr>
      <w:tr>
        <w:trPr/>
        <w:tc>
          <w:tcPr>
            <w:tcW w:w="3844" w:type="dxa"/>
            <w:tcBorders/>
            <w:shd w:fill="CCEEFF" w:val="clear"/>
            <w:vAlign w:val="bottom"/>
          </w:tcPr>
          <w:p>
            <w:pPr>
              <w:pStyle w:val="TableContents"/>
              <w:spacing w:before="0" w:after="0"/>
              <w:ind w:left="0" w:right="0" w:hanging="0"/>
              <w:rPr/>
            </w:pPr>
            <w:r>
              <w:rPr>
                <w:rFonts w:ascii="Times New Roman" w:hAnsi="Times New Roman"/>
                <w:sz w:val="17"/>
              </w:rPr>
              <w:t>Field operating costs (excluding equity</w:t>
            </w:r>
            <w:r>
              <w:rPr/>
              <w:t xml:space="preserve"> </w:t>
            </w:r>
            <w:r>
              <w:rPr>
                <w:sz w:val="17"/>
              </w:rPr>
              <w:t>compensation charge)</w:t>
            </w:r>
          </w:p>
        </w:tc>
        <w:tc>
          <w:tcPr>
            <w:tcW w:w="203" w:type="dxa"/>
            <w:tcBorders/>
            <w:shd w:fill="CCEEFF" w:val="clear"/>
            <w:vAlign w:val="bottom"/>
          </w:tcPr>
          <w:p>
            <w:pPr>
              <w:pStyle w:val="TableContents"/>
              <w:spacing w:before="0" w:after="0"/>
              <w:ind w:left="0" w:right="0" w:hanging="0"/>
              <w:rPr/>
            </w:pPr>
            <w:r>
              <w:rPr/>
              <w:t> </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charge - operations </w:t>
            </w:r>
            <w:r>
              <w:rPr>
                <w:rFonts w:ascii="Times New Roman" w:hAnsi="Times New Roman"/>
                <w:b/>
                <w:sz w:val="8"/>
              </w:rPr>
              <w:t>(2)</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25"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6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1" w:type="dxa"/>
            <w:tcBorders/>
            <w:shd w:fill="auto" w:val="clear"/>
            <w:vAlign w:val="bottom"/>
          </w:tcPr>
          <w:p>
            <w:pPr>
              <w:pStyle w:val="TableContents"/>
              <w:spacing w:before="0" w:after="0"/>
              <w:ind w:left="0" w:right="0" w:hanging="0"/>
              <w:rPr/>
            </w:pPr>
            <w:r>
              <w:rPr/>
              <w:t> </w:t>
            </w:r>
          </w:p>
        </w:tc>
      </w:tr>
      <w:tr>
        <w:trPr/>
        <w:tc>
          <w:tcPr>
            <w:tcW w:w="3844" w:type="dxa"/>
            <w:tcBorders/>
            <w:shd w:fill="CCEEFF" w:val="clear"/>
            <w:vAlign w:val="bottom"/>
          </w:tcPr>
          <w:p>
            <w:pPr>
              <w:pStyle w:val="TableContents"/>
              <w:spacing w:before="0" w:after="0"/>
              <w:ind w:left="0" w:right="0" w:hanging="0"/>
              <w:rPr/>
            </w:pPr>
            <w:r>
              <w:rPr>
                <w:rFonts w:ascii="Times New Roman" w:hAnsi="Times New Roman"/>
                <w:sz w:val="17"/>
              </w:rPr>
              <w:t>Segment G&amp;A expenses (excluding equity</w:t>
            </w:r>
            <w:r>
              <w:rPr/>
              <w:t xml:space="preserve"> </w:t>
            </w:r>
            <w:r>
              <w:rPr>
                <w:sz w:val="17"/>
              </w:rPr>
              <w:t>compensation expense)</w:t>
            </w:r>
          </w:p>
        </w:tc>
        <w:tc>
          <w:tcPr>
            <w:tcW w:w="203" w:type="dxa"/>
            <w:tcBorders/>
            <w:shd w:fill="CCEEFF" w:val="clear"/>
            <w:vAlign w:val="bottom"/>
          </w:tcPr>
          <w:p>
            <w:pPr>
              <w:pStyle w:val="TableContents"/>
              <w:spacing w:before="0" w:after="0"/>
              <w:ind w:left="0" w:right="0" w:hanging="0"/>
              <w:rPr/>
            </w:pPr>
            <w:r>
              <w:rPr/>
              <w:t> </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6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6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1" w:type="dxa"/>
            <w:tcBorders/>
            <w:shd w:fill="CCEEFF" w:val="clear"/>
            <w:vAlign w:val="bottom"/>
          </w:tcPr>
          <w:p>
            <w:pPr>
              <w:pStyle w:val="TableContents"/>
              <w:spacing w:before="0" w:after="0"/>
              <w:ind w:left="0" w:right="0" w:hanging="0"/>
              <w:rPr/>
            </w:pPr>
            <w:r>
              <w:rPr/>
              <w:t> </w:t>
            </w:r>
          </w:p>
        </w:tc>
      </w:tr>
      <w:tr>
        <w:trPr/>
        <w:tc>
          <w:tcPr>
            <w:tcW w:w="3844" w:type="dxa"/>
            <w:tcBorders/>
            <w:shd w:fill="auto" w:val="clear"/>
            <w:vAlign w:val="bottom"/>
          </w:tcPr>
          <w:p>
            <w:pPr>
              <w:pStyle w:val="TableContents"/>
              <w:spacing w:before="0" w:after="0"/>
              <w:ind w:left="0" w:right="0" w:hanging="0"/>
              <w:rPr/>
            </w:pPr>
            <w:r>
              <w:rPr>
                <w:rFonts w:ascii="Times New Roman" w:hAnsi="Times New Roman"/>
                <w:sz w:val="17"/>
              </w:rPr>
              <w:t>Equity compensation expense - general and</w:t>
            </w:r>
            <w:r>
              <w:rPr/>
              <w:t xml:space="preserve"> </w:t>
            </w:r>
            <w:r>
              <w:rPr>
                <w:sz w:val="17"/>
              </w:rPr>
              <w:t xml:space="preserve">administrative </w:t>
            </w:r>
            <w:r>
              <w:rPr>
                <w:rFonts w:ascii="Times New Roman" w:hAnsi="Times New Roman"/>
                <w:b/>
                <w:sz w:val="8"/>
              </w:rPr>
              <w:t>(2)</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pPr>
            <w:r>
              <w:rPr/>
              <w:t> </w:t>
            </w:r>
          </w:p>
        </w:tc>
        <w:tc>
          <w:tcPr>
            <w:tcW w:w="6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03" w:type="dxa"/>
            <w:tcBorders/>
            <w:shd w:fill="CCEEFF" w:val="clear"/>
            <w:vAlign w:val="bottom"/>
          </w:tcPr>
          <w:p>
            <w:pPr>
              <w:pStyle w:val="TableContents"/>
              <w:spacing w:before="0" w:after="0"/>
              <w:ind w:left="0" w:right="0" w:hanging="0"/>
              <w:rPr/>
            </w:pPr>
            <w:r>
              <w:rPr/>
              <w:t> </w:t>
            </w:r>
          </w:p>
        </w:tc>
        <w:tc>
          <w:tcPr>
            <w:tcW w:w="5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6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20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9" w:type="dxa"/>
            <w:tcBorders/>
            <w:shd w:fill="auto" w:val="clear"/>
            <w:vAlign w:val="bottom"/>
          </w:tcPr>
          <w:p>
            <w:pPr>
              <w:pStyle w:val="TableContents"/>
              <w:spacing w:before="0" w:after="0"/>
              <w:ind w:left="0" w:right="0" w:hanging="0"/>
              <w:rPr/>
            </w:pPr>
            <w:r>
              <w:rPr/>
              <w:t> </w:t>
            </w:r>
          </w:p>
        </w:tc>
        <w:tc>
          <w:tcPr>
            <w:tcW w:w="6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9"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9"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9"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203"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20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0.23</w:t>
            </w:r>
          </w:p>
        </w:tc>
        <w:tc>
          <w:tcPr>
            <w:tcW w:w="209"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0.06</w:t>
            </w:r>
          </w:p>
        </w:tc>
        <w:tc>
          <w:tcPr>
            <w:tcW w:w="209" w:type="dxa"/>
            <w:tcBorders/>
            <w:shd w:fill="auto" w:val="clear"/>
            <w:vAlign w:val="bottom"/>
          </w:tcPr>
          <w:p>
            <w:pPr>
              <w:pStyle w:val="TableContents"/>
              <w:spacing w:before="0" w:after="0"/>
              <w:ind w:left="0" w:right="0" w:hanging="0"/>
              <w:rPr/>
            </w:pPr>
            <w:r>
              <w:rPr/>
              <w:t> </w:t>
            </w:r>
          </w:p>
        </w:tc>
        <w:tc>
          <w:tcPr>
            <w:tcW w:w="6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209"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62" w:type="dxa"/>
            <w:tcBorders/>
            <w:shd w:fill="auto" w:val="clear"/>
            <w:vAlign w:val="bottom"/>
          </w:tcPr>
          <w:p>
            <w:pPr>
              <w:pStyle w:val="TableContents"/>
              <w:spacing w:before="0" w:after="0"/>
              <w:ind w:left="0" w:right="0" w:hanging="0"/>
              <w:jc w:val="right"/>
              <w:rPr/>
            </w:pPr>
            <w:r>
              <w:rPr/>
              <w:t> </w:t>
            </w:r>
          </w:p>
        </w:tc>
        <w:tc>
          <w:tcPr>
            <w:tcW w:w="325" w:type="dxa"/>
            <w:tcBorders/>
            <w:shd w:fill="auto" w:val="clear"/>
            <w:vAlign w:val="bottom"/>
          </w:tcPr>
          <w:p>
            <w:pPr>
              <w:pStyle w:val="TableContents"/>
              <w:spacing w:before="0" w:after="0"/>
              <w:ind w:left="0" w:right="0" w:hanging="0"/>
              <w:rPr/>
            </w:pPr>
            <w:r>
              <w:rPr/>
              <w:t> </w:t>
            </w:r>
          </w:p>
        </w:tc>
        <w:tc>
          <w:tcPr>
            <w:tcW w:w="62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644" w:type="dxa"/>
            <w:tcBorders/>
            <w:shd w:fill="auto" w:val="clear"/>
            <w:vAlign w:val="bottom"/>
          </w:tcPr>
          <w:p>
            <w:pPr>
              <w:pStyle w:val="TableContents"/>
              <w:spacing w:before="0" w:after="0"/>
              <w:ind w:left="0" w:right="0" w:hanging="0"/>
              <w:jc w:val="right"/>
              <w:rPr/>
            </w:pPr>
            <w:r>
              <w:rPr/>
              <w:t> </w:t>
            </w:r>
          </w:p>
        </w:tc>
        <w:tc>
          <w:tcPr>
            <w:tcW w:w="241" w:type="dxa"/>
            <w:tcBorders/>
            <w:shd w:fill="auto" w:val="clear"/>
            <w:vAlign w:val="bottom"/>
          </w:tcPr>
          <w:p>
            <w:pPr>
              <w:pStyle w:val="TableContents"/>
              <w:spacing w:before="0" w:after="0"/>
              <w:ind w:left="0" w:right="0" w:hanging="0"/>
              <w:rPr/>
            </w:pPr>
            <w:r>
              <w:rPr/>
              <w:t> </w:t>
            </w:r>
          </w:p>
        </w:tc>
      </w:tr>
      <w:tr>
        <w:trPr/>
        <w:tc>
          <w:tcPr>
            <w:tcW w:w="384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20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3296"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20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49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6"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w:t>
            </w:r>
            <w:r>
              <w:rPr/>
              <w:t> </w:t>
            </w:r>
            <w:r>
              <w:rPr>
                <w:rFonts w:ascii="Times New Roman" w:hAnsi="Times New Roman"/>
                <w:b/>
                <w:sz w:val="8"/>
              </w:rPr>
              <w:t>(3) (4) (5)</w:t>
            </w:r>
          </w:p>
        </w:tc>
        <w:tc>
          <w:tcPr>
            <w:tcW w:w="203" w:type="dxa"/>
            <w:tcBorders/>
            <w:shd w:fill="auto" w:val="clear"/>
            <w:vAlign w:val="bottom"/>
          </w:tcPr>
          <w:p>
            <w:pPr>
              <w:pStyle w:val="TableContents"/>
              <w:spacing w:before="0" w:after="0"/>
              <w:ind w:left="0" w:right="0" w:hanging="0"/>
              <w:jc w:val="center"/>
              <w:rPr/>
            </w:pPr>
            <w:r>
              <w:rPr/>
              <w:t> </w:t>
            </w:r>
          </w:p>
        </w:tc>
        <w:tc>
          <w:tcPr>
            <w:tcW w:w="5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9" w:type="dxa"/>
            <w:tcBorders/>
            <w:shd w:fill="auto" w:val="clear"/>
            <w:vAlign w:val="bottom"/>
          </w:tcPr>
          <w:p>
            <w:pPr>
              <w:pStyle w:val="TableContents"/>
              <w:spacing w:before="0" w:after="0"/>
              <w:ind w:left="0" w:right="0" w:hanging="0"/>
              <w:jc w:val="center"/>
              <w:rPr/>
            </w:pPr>
            <w:r>
              <w:rPr/>
              <w:t> </w:t>
            </w:r>
          </w:p>
        </w:tc>
        <w:tc>
          <w:tcPr>
            <w:tcW w:w="5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9" w:type="dxa"/>
            <w:tcBorders/>
            <w:shd w:fill="auto" w:val="clear"/>
            <w:vAlign w:val="bottom"/>
          </w:tcPr>
          <w:p>
            <w:pPr>
              <w:pStyle w:val="TableContents"/>
              <w:spacing w:before="0" w:after="0"/>
              <w:ind w:left="0" w:right="0" w:hanging="0"/>
              <w:jc w:val="center"/>
              <w:rPr/>
            </w:pPr>
            <w:r>
              <w:rPr/>
              <w:t> </w:t>
            </w:r>
          </w:p>
        </w:tc>
        <w:tc>
          <w:tcPr>
            <w:tcW w:w="5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09" w:type="dxa"/>
            <w:tcBorders/>
            <w:shd w:fill="auto" w:val="clear"/>
            <w:vAlign w:val="bottom"/>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6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shd w:fill="auto" w:val="clear"/>
            <w:vAlign w:val="bottom"/>
          </w:tcPr>
          <w:p>
            <w:pPr>
              <w:pStyle w:val="TableContents"/>
              <w:spacing w:before="0" w:after="0"/>
              <w:ind w:left="0" w:right="0" w:hanging="0"/>
              <w:jc w:val="center"/>
              <w:rPr/>
            </w:pPr>
            <w:r>
              <w:rPr/>
              <w:t> </w:t>
            </w:r>
          </w:p>
        </w:tc>
        <w:tc>
          <w:tcPr>
            <w:tcW w:w="66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5" w:type="dxa"/>
            <w:tcBorders/>
            <w:shd w:fill="auto" w:val="clear"/>
            <w:vAlign w:val="bottom"/>
          </w:tcPr>
          <w:p>
            <w:pPr>
              <w:pStyle w:val="TableContents"/>
              <w:spacing w:before="0" w:after="0"/>
              <w:ind w:left="0" w:right="0" w:hanging="0"/>
              <w:jc w:val="center"/>
              <w:rPr/>
            </w:pPr>
            <w:r>
              <w:rPr/>
              <w:t> </w:t>
            </w:r>
          </w:p>
        </w:tc>
        <w:tc>
          <w:tcPr>
            <w:tcW w:w="6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9" w:type="dxa"/>
            <w:tcBorders/>
            <w:shd w:fill="auto" w:val="clear"/>
            <w:vAlign w:val="bottom"/>
          </w:tcPr>
          <w:p>
            <w:pPr>
              <w:pStyle w:val="TableContents"/>
              <w:spacing w:before="0" w:after="0"/>
              <w:ind w:left="0" w:right="0" w:hanging="0"/>
              <w:jc w:val="center"/>
              <w:rPr/>
            </w:pPr>
            <w:r>
              <w:rPr/>
              <w:t> </w:t>
            </w:r>
          </w:p>
        </w:tc>
        <w:tc>
          <w:tcPr>
            <w:tcW w:w="6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1" w:type="dxa"/>
            <w:tcBorders/>
            <w:shd w:fill="auto" w:val="clear"/>
            <w:vAlign w:val="bottom"/>
          </w:tcPr>
          <w:p>
            <w:pPr>
              <w:pStyle w:val="TableContents"/>
              <w:spacing w:before="0" w:after="0"/>
              <w:ind w:left="0" w:right="0" w:hanging="0"/>
              <w:jc w:val="center"/>
              <w:rPr/>
            </w:pPr>
            <w:r>
              <w:rPr/>
              <w:t> </w:t>
            </w:r>
          </w:p>
        </w:tc>
      </w:tr>
      <w:tr>
        <w:trPr/>
        <w:tc>
          <w:tcPr>
            <w:tcW w:w="3844" w:type="dxa"/>
            <w:tcBorders/>
            <w:shd w:fill="CCEEFF" w:val="clear"/>
            <w:vAlign w:val="bottom"/>
          </w:tcPr>
          <w:p>
            <w:pPr>
              <w:pStyle w:val="TableContents"/>
              <w:spacing w:before="0" w:after="0"/>
              <w:ind w:left="0" w:right="0" w:hanging="0"/>
              <w:rPr/>
            </w:pPr>
            <w:r>
              <w:rPr>
                <w:rFonts w:ascii="Times New Roman" w:hAnsi="Times New Roman"/>
                <w:sz w:val="17"/>
              </w:rPr>
              <w:t>Crude oil, refined products and LPG storage</w:t>
            </w:r>
            <w:r>
              <w:rPr>
                <w:sz w:val="17"/>
              </w:rPr>
              <w:br/>
              <w:t>(average monthly capacity in millions of barrels)</w:t>
            </w:r>
          </w:p>
        </w:tc>
        <w:tc>
          <w:tcPr>
            <w:tcW w:w="203"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9" w:type="dxa"/>
            <w:tcBorders/>
            <w:shd w:fill="CCEEFF" w:val="clear"/>
            <w:vAlign w:val="bottom"/>
          </w:tcPr>
          <w:p>
            <w:pPr>
              <w:pStyle w:val="TableContents"/>
              <w:spacing w:before="0" w:after="0"/>
              <w:ind w:left="0" w:right="0" w:hanging="0"/>
              <w:rPr/>
            </w:pPr>
            <w:r>
              <w:rPr/>
              <w:t> </w:t>
            </w:r>
          </w:p>
        </w:tc>
        <w:tc>
          <w:tcPr>
            <w:tcW w:w="6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9" w:type="dxa"/>
            <w:tcBorders/>
            <w:shd w:fill="CCEEFF" w:val="clear"/>
            <w:vAlign w:val="bottom"/>
          </w:tcPr>
          <w:p>
            <w:pPr>
              <w:pStyle w:val="TableContents"/>
              <w:spacing w:before="0" w:after="0"/>
              <w:ind w:left="0" w:right="0" w:hanging="0"/>
              <w:rPr/>
            </w:pPr>
            <w:r>
              <w:rPr/>
              <w:t> </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w:t>
              <w:br/>
              <w:t>(average monthly capacity in bcf)</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9" w:type="dxa"/>
            <w:tcBorders/>
            <w:shd w:fill="auto" w:val="clear"/>
            <w:vAlign w:val="bottom"/>
          </w:tcPr>
          <w:p>
            <w:pPr>
              <w:pStyle w:val="TableContents"/>
              <w:spacing w:before="0" w:after="0"/>
              <w:ind w:left="0" w:right="0" w:hanging="0"/>
              <w:rPr/>
            </w:pPr>
            <w:r>
              <w:rPr/>
              <w:t> </w:t>
            </w:r>
          </w:p>
        </w:tc>
        <w:tc>
          <w:tcPr>
            <w:tcW w:w="6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CCEEFF" w:val="clear"/>
            <w:vAlign w:val="bottom"/>
          </w:tcPr>
          <w:p>
            <w:pPr>
              <w:pStyle w:val="TableContents"/>
              <w:spacing w:before="0" w:after="0"/>
              <w:ind w:left="0" w:right="0" w:hanging="0"/>
              <w:rPr/>
            </w:pPr>
            <w:r>
              <w:rPr>
                <w:rFonts w:ascii="Times New Roman" w:hAnsi="Times New Roman"/>
                <w:sz w:val="17"/>
              </w:rPr>
              <w:t>LPG processing</w:t>
            </w:r>
            <w:r>
              <w:rPr>
                <w:sz w:val="17"/>
              </w:rPr>
              <w:br/>
              <w:t>(average throughput in thousands of barrels per day)</w:t>
            </w:r>
          </w:p>
        </w:tc>
        <w:tc>
          <w:tcPr>
            <w:tcW w:w="203"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9" w:type="dxa"/>
            <w:tcBorders/>
            <w:shd w:fill="CCEEFF"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9"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3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44" w:type="dxa"/>
            <w:tcBorders/>
            <w:shd w:fill="auto" w:val="clear"/>
            <w:vAlign w:val="bottom"/>
          </w:tcPr>
          <w:p>
            <w:pPr>
              <w:pStyle w:val="TableContents"/>
              <w:spacing w:before="0" w:after="0"/>
              <w:ind w:left="0" w:right="0" w:hanging="0"/>
              <w:rPr/>
            </w:pPr>
            <w:r>
              <w:rPr>
                <w:rFonts w:ascii="Times New Roman" w:hAnsi="Times New Roman"/>
                <w:sz w:val="17"/>
              </w:rPr>
              <w:t>Facilities segment total</w:t>
            </w:r>
            <w:r>
              <w:rPr/>
              <w:t xml:space="preserve"> </w:t>
            </w:r>
            <w:r>
              <w:rPr>
                <w:sz w:val="17"/>
              </w:rPr>
              <w:br/>
              <w:t>(average monthly capacity in millions of barrels)</w:t>
            </w:r>
          </w:p>
        </w:tc>
        <w:tc>
          <w:tcPr>
            <w:tcW w:w="203"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9" w:type="dxa"/>
            <w:tcBorders/>
            <w:shd w:fill="auto" w:val="clear"/>
            <w:vAlign w:val="bottom"/>
          </w:tcPr>
          <w:p>
            <w:pPr>
              <w:pStyle w:val="TableContents"/>
              <w:spacing w:before="0" w:after="0"/>
              <w:ind w:left="0" w:right="0" w:hanging="0"/>
              <w:rPr/>
            </w:pPr>
            <w:r>
              <w:rPr/>
              <w:t> </w:t>
            </w:r>
          </w:p>
        </w:tc>
        <w:tc>
          <w:tcPr>
            <w:tcW w:w="59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9"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62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auto" w:val="clear"/>
            <w:vAlign w:val="bottom"/>
          </w:tcPr>
          <w:p>
            <w:pPr>
              <w:pStyle w:val="TableContents"/>
              <w:spacing w:before="0" w:after="0"/>
              <w:ind w:left="0" w:right="0" w:hanging="0"/>
              <w:rPr/>
            </w:pPr>
            <w:r>
              <w:rPr/>
              <w:t> </w:t>
            </w:r>
          </w:p>
        </w:tc>
        <w:tc>
          <w:tcPr>
            <w:tcW w:w="66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9" w:type="dxa"/>
            <w:tcBorders/>
            <w:shd w:fill="auto" w:val="clear"/>
            <w:vAlign w:val="bottom"/>
          </w:tcPr>
          <w:p>
            <w:pPr>
              <w:pStyle w:val="TableContents"/>
              <w:spacing w:before="0" w:after="0"/>
              <w:ind w:left="0" w:right="0" w:hanging="0"/>
              <w:rPr/>
            </w:pPr>
            <w:r>
              <w:rPr/>
              <w:t> </w:t>
            </w:r>
          </w:p>
        </w:tc>
        <w:tc>
          <w:tcPr>
            <w:tcW w:w="6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Equity compensation expense related to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 September 2009, we acquired the remaining 50% indirect interest in PNGS, which resulted in our 100% ownership of the natural gas storage business and related operating entities.  Therefore, natural gas storage volumes for 2008 and January through August 2009 are netted to our 50% interest in PNGS.  September through December 2009 volumes represent our 100% interest in PNGS.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Facilities total calculated as the sum of: (i) crude oil, refined products and LPG storage capacity; (ii) natural gas capacity divided by 6 to account for the 6:1 mcf of gas to crude oil barrel ratio; and (iii) LPG processing volumes multiplied by the number of days in the year and divided by the number of months in the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68</w:t>
      </w:r>
      <w:bookmarkStart w:id="81" w:name="PB_68_132449_4141"/>
      <w:bookmarkEnd w:id="8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Facilities segment profit and segment profit per barrel were impacted by the following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 above, our facilities segment revenues and volumes increased for 2009 compared to 2008 and for 2008 compared to 2007. The significant variances in volumes and revenues between 2009, 2008 and 2007 are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 Revenues and volumes for 2009 compared to 2008 were impacted by the PNGS acquisition, which closed during the third quarter of 2009 and the acquisition of a natural gas processing business,</w:t>
      </w:r>
      <w:r>
        <w:rPr>
          <w:rFonts w:ascii="Times New Roman" w:hAnsi="Times New Roman"/>
        </w:rPr>
        <w:t xml:space="preserve"> </w:t>
      </w:r>
      <w:r>
        <w:rPr>
          <w:rFonts w:ascii="Times New Roman" w:hAnsi="Times New Roman"/>
          <w:sz w:val="17"/>
        </w:rPr>
        <w:t>which closed during the second quarter of 2009.  Revenues and volumes for 2009 compared to 2008 were also impacted by the San Pedro acquisition, which closed during the fourth quarter of 2008. Such acquisitions contributed approximately $36 million in additional revenue for the year ended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and volumes for 2008 compared to 2007 were impacted by the Bumstead and Tirzah acquisitions in 2007 in addition to the San Pedro acquisition that we closed during the fourth quarter of 2008. The Bumstead acquisition was completed in the third quarter of 2007 and the Tirzah acquisition was completed in the fourth quarter of 2007. Such acquisitions contributed approximately $13 million in additional revenue for the year ended December 31, 2008.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Expansion Projects  Expansion projects also resulted in an increase in revenues and volumes in 2009 compared to 2008, which included expansion projects at the</w:t>
      </w:r>
      <w:r>
        <w:rPr>
          <w:rFonts w:ascii="Times New Roman" w:hAnsi="Times New Roman"/>
        </w:rPr>
        <w:t xml:space="preserve"> </w:t>
      </w:r>
      <w:r>
        <w:rPr>
          <w:rFonts w:ascii="Times New Roman" w:hAnsi="Times New Roman"/>
          <w:sz w:val="17"/>
        </w:rPr>
        <w:t xml:space="preserve">Paulsboro, Patoka, St. James and Ft. Laramie facilities. Revenues for these facilities increased by a combined $31 million for 2009. Aggregate volumes increased by approximately 5 million barrels for 2009 at these facilities.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Expansion projects also resulted in an increase in revenues and volumes in 2008 compared to 2007, which included expansion projects at the Cushing, Martinez and St. James facilities. Revenues for these facilities increased by a combined $37 million for 2008. Aggregate volumes increased by approximately 6 million barrels for 2008 at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Leased Tankage  Revenues for the year ended December 31, 2009 also increased as a result of general escalations on existing leases.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 xml:space="preserve">Field operating costs (excluding equity compensation charges as discussed below) increased in most categories during the years ended December 31, 2009 and 2008 primarily due to our continued growth through (i) additional tankage placed into service over the last few years at various terminals, including Cushing, Martinez, Paulsboro and St. James and (ii) acquisitions such as the PNGS and natural gas processing acquisitions completed in 2009 and the Tirzah and Bumstead acquisitions completed during 2007.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Our general and administrative expenses (excluding equity compensation charges as discussed below) increased during the year ended December 31, 2009 primarily due to our continued growth through acquisitions, such as the PNGS and natural gas processing acquisitions completed in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Charges. </w:t>
      </w:r>
      <w:r>
        <w:rPr>
          <w:rFonts w:ascii="Times New Roman" w:hAnsi="Times New Roman"/>
          <w:sz w:val="17"/>
        </w:rPr>
        <w:t>Equity compensation charges increased approximately $7 million in 2009 compared to 2008 and decreased approximately $4 million in 2008 as compared to 2007.  Such variations are primarily as a result of an increase in unit price for 2009 relative to 2008 and a decrease in unit price in 2008 relative to 2007. At the end of 2009, our unit price was $52.85 per common unit as compared to $34.69 per common unit at the end of 2008 and $52.00 per unit at the end of 2007. The impact of these price fluctuations are partially impacted by additional equity compensation grants during each period (including the Class B grants), changes to our probability assessment that result in accruals for grants that were previously not considered to be probable of vesting and forfeitures. See Note 10 to our Consolidated Financial Statements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The decrease in maintenance capital for the year ended December 31, 2009 compared to the year ended December 31, 2008 is primarily due to a decrease in API 653 repairs required to meet our May 2009 compliance deadline.  The increase in maintenance capital for 2008 compared to 2007 was primarily due to maintenance capital incurred at various terminals, including the Martinez, Richmond, LA Basin and Cushing terminals to meet the 2009 deadline for API 653, general inflationary pressures experienced in the industry, and our expanded asset base including assets from the Pacific merger in late 2006.</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revenues from supply and logistics activities reflect the sale of gathered and bulk-purchased crude oil, refined products and LPG volumes. These revenues also include the sale of additional barrels exchanged through buy/sell arrangements entered into to supplement the margins of the gathered and bulk-purchased volumes.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69</w:t>
      </w:r>
      <w:bookmarkStart w:id="82" w:name="PB_69_132517_8627"/>
      <w:bookmarkEnd w:id="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anticipate that future changes in revenues will be a primary driver of segment profit. Generally, we expect our segment profit to increase or decrease directionally with increases or decreases in our supply and logistics segment volumes (which consist of (i) lease gathered crude oil purchase volumes, (ii) refined products volumes, (iii) LPG sales volumes and (iv) waterborne foreign crude oil imported) as well as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counter-cyclical balance that provides general stability in our margins, these margins are not fixed and will vary from period to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17"/>
        <w:gridCol w:w="106"/>
        <w:gridCol w:w="110"/>
        <w:gridCol w:w="651"/>
        <w:gridCol w:w="211"/>
        <w:gridCol w:w="110"/>
        <w:gridCol w:w="651"/>
        <w:gridCol w:w="211"/>
        <w:gridCol w:w="110"/>
        <w:gridCol w:w="651"/>
        <w:gridCol w:w="211"/>
        <w:gridCol w:w="210"/>
        <w:gridCol w:w="110"/>
        <w:gridCol w:w="653"/>
        <w:gridCol w:w="211"/>
        <w:gridCol w:w="640"/>
        <w:gridCol w:w="319"/>
        <w:gridCol w:w="110"/>
        <w:gridCol w:w="542"/>
        <w:gridCol w:w="211"/>
        <w:gridCol w:w="637"/>
        <w:gridCol w:w="223"/>
      </w:tblGrid>
      <w:tr>
        <w:trPr/>
        <w:tc>
          <w:tcPr>
            <w:tcW w:w="3317"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270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343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shd w:fill="auto" w:val="clear"/>
            <w:vAlign w:val="bottom"/>
          </w:tcPr>
          <w:p>
            <w:pPr>
              <w:pStyle w:val="TableContents"/>
              <w:spacing w:before="0" w:after="0"/>
              <w:ind w:left="0" w:right="0" w:hanging="0"/>
              <w:rPr/>
            </w:pPr>
            <w:r>
              <w:rPr>
                <w:rFonts w:ascii="Times New Roman" w:hAnsi="Times New Roman"/>
                <w:b/>
                <w:sz w:val="13"/>
              </w:rPr>
              <w:t xml:space="preserve">Operating Results </w:t>
            </w:r>
            <w:r>
              <w:rPr>
                <w:sz w:val="11"/>
              </w:rPr>
              <w:t>(1)</w:t>
            </w:r>
          </w:p>
        </w:tc>
        <w:tc>
          <w:tcPr>
            <w:tcW w:w="106" w:type="dxa"/>
            <w:tcBorders/>
            <w:shd w:fill="auto" w:val="clear"/>
            <w:vAlign w:val="bottom"/>
          </w:tcPr>
          <w:p>
            <w:pPr>
              <w:pStyle w:val="TableContents"/>
              <w:spacing w:before="0" w:after="0"/>
              <w:ind w:left="0" w:right="0" w:hanging="0"/>
              <w:jc w:val="center"/>
              <w:rPr/>
            </w:pPr>
            <w:r>
              <w:rPr/>
              <w:t> </w:t>
            </w:r>
          </w:p>
        </w:tc>
        <w:tc>
          <w:tcPr>
            <w:tcW w:w="270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61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00"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6" w:type="dxa"/>
            <w:tcBorders/>
            <w:shd w:fill="auto" w:val="clear"/>
            <w:vAlign w:val="bottom"/>
          </w:tcPr>
          <w:p>
            <w:pPr>
              <w:pStyle w:val="TableContents"/>
              <w:spacing w:before="0" w:after="0"/>
              <w:ind w:left="0" w:right="0" w:hanging="0"/>
              <w:jc w:val="center"/>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7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1" w:type="dxa"/>
            <w:tcBorders/>
            <w:shd w:fill="auto" w:val="clear"/>
            <w:vAlign w:val="bottom"/>
          </w:tcPr>
          <w:p>
            <w:pPr>
              <w:pStyle w:val="TableContents"/>
              <w:spacing w:before="0" w:after="0"/>
              <w:ind w:left="0" w:right="0" w:hanging="0"/>
              <w:jc w:val="center"/>
              <w:rPr/>
            </w:pPr>
            <w:r>
              <w:rPr/>
              <w:t> </w:t>
            </w:r>
          </w:p>
        </w:tc>
        <w:tc>
          <w:tcPr>
            <w:tcW w:w="7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c>
          <w:tcPr>
            <w:tcW w:w="64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9" w:type="dxa"/>
            <w:tcBorders/>
            <w:shd w:fill="auto" w:val="clear"/>
            <w:vAlign w:val="bottom"/>
          </w:tcPr>
          <w:p>
            <w:pPr>
              <w:pStyle w:val="TableContents"/>
              <w:spacing w:before="0" w:after="0"/>
              <w:ind w:left="0" w:right="0" w:hanging="0"/>
              <w:jc w:val="center"/>
              <w:rPr/>
            </w:pPr>
            <w:r>
              <w:rPr/>
              <w:t> </w:t>
            </w:r>
          </w:p>
        </w:tc>
        <w:tc>
          <w:tcPr>
            <w:tcW w:w="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1" w:type="dxa"/>
            <w:tcBorders/>
            <w:shd w:fill="auto" w:val="clear"/>
            <w:vAlign w:val="bottom"/>
          </w:tcPr>
          <w:p>
            <w:pPr>
              <w:pStyle w:val="TableContents"/>
              <w:spacing w:before="0" w:after="0"/>
              <w:ind w:left="0" w:right="0" w:hanging="0"/>
              <w:jc w:val="center"/>
              <w:rPr/>
            </w:pPr>
            <w:r>
              <w:rPr/>
              <w:t> </w:t>
            </w:r>
          </w:p>
        </w:tc>
        <w:tc>
          <w:tcPr>
            <w:tcW w:w="6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Revenues </w:t>
            </w:r>
          </w:p>
        </w:tc>
        <w:tc>
          <w:tcPr>
            <w:tcW w:w="10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17,759</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29,350</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19,858</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(11,591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9,492</w:t>
            </w:r>
          </w:p>
        </w:tc>
        <w:tc>
          <w:tcPr>
            <w:tcW w:w="211"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106"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(28,873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(19,366</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11,732</w:t>
            </w:r>
          </w:p>
        </w:tc>
        <w:tc>
          <w:tcPr>
            <w:tcW w:w="211"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CCEEFF" w:val="clear"/>
            <w:vAlign w:val="bottom"/>
          </w:tcPr>
          <w:p>
            <w:pPr>
              <w:pStyle w:val="TableContents"/>
              <w:spacing w:before="0" w:after="0"/>
              <w:ind w:left="0" w:right="0" w:hanging="0"/>
              <w:rPr/>
            </w:pPr>
            <w:r>
              <w:rPr>
                <w:rFonts w:ascii="Times New Roman" w:hAnsi="Times New Roman"/>
                <w:sz w:val="17"/>
              </w:rPr>
              <w:t>Field operating costs (excluding equity</w:t>
            </w:r>
            <w:r>
              <w:rPr/>
              <w:t xml:space="preserve"> </w:t>
            </w:r>
            <w:r>
              <w:rPr>
                <w:sz w:val="17"/>
              </w:rPr>
              <w:t>compensation charge)</w:t>
            </w:r>
          </w:p>
        </w:tc>
        <w:tc>
          <w:tcPr>
            <w:tcW w:w="106"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7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charge - operations </w:t>
            </w:r>
            <w:r>
              <w:rPr>
                <w:sz w:val="11"/>
              </w:rPr>
              <w:t>(3)</w:t>
            </w:r>
          </w:p>
        </w:tc>
        <w:tc>
          <w:tcPr>
            <w:tcW w:w="106"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319" w:type="dxa"/>
            <w:tcBorders/>
            <w:shd w:fill="auto" w:val="clear"/>
            <w:vAlign w:val="bottom"/>
          </w:tcPr>
          <w:p>
            <w:pPr>
              <w:pStyle w:val="TableContents"/>
              <w:spacing w:before="0" w:after="0"/>
              <w:ind w:left="0" w:right="0" w:hanging="0"/>
              <w:rPr/>
            </w:pPr>
            <w:r>
              <w:rPr/>
              <w:t> </w:t>
            </w:r>
          </w:p>
        </w:tc>
        <w:tc>
          <w:tcPr>
            <w:tcW w:w="6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r>
      <w:tr>
        <w:trPr/>
        <w:tc>
          <w:tcPr>
            <w:tcW w:w="3317" w:type="dxa"/>
            <w:tcBorders/>
            <w:shd w:fill="CCEEFF" w:val="clear"/>
            <w:vAlign w:val="bottom"/>
          </w:tcPr>
          <w:p>
            <w:pPr>
              <w:pStyle w:val="TableContents"/>
              <w:spacing w:before="0" w:after="0"/>
              <w:ind w:left="0" w:right="0" w:hanging="0"/>
              <w:rPr/>
            </w:pPr>
            <w:r>
              <w:rPr>
                <w:rFonts w:ascii="Times New Roman" w:hAnsi="Times New Roman"/>
                <w:sz w:val="17"/>
              </w:rPr>
              <w:t>Segment G&amp;A expenses (excluding equity</w:t>
            </w:r>
            <w:r>
              <w:rPr/>
              <w:t xml:space="preserve"> </w:t>
            </w:r>
            <w:r>
              <w:rPr>
                <w:sz w:val="17"/>
              </w:rPr>
              <w:t>compensation charge)</w:t>
            </w:r>
          </w:p>
        </w:tc>
        <w:tc>
          <w:tcPr>
            <w:tcW w:w="106"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7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pPr>
            <w:r>
              <w:rPr>
                <w:rFonts w:ascii="Times New Roman" w:hAnsi="Times New Roman"/>
                <w:sz w:val="17"/>
              </w:rPr>
              <w:t>Equity compensation charge - general and</w:t>
            </w:r>
            <w:r>
              <w:rPr/>
              <w:t xml:space="preserve"> </w:t>
            </w:r>
            <w:r>
              <w:rPr>
                <w:sz w:val="17"/>
              </w:rPr>
              <w:t xml:space="preserve">administrative </w:t>
            </w:r>
            <w:r>
              <w:rPr>
                <w:sz w:val="11"/>
              </w:rPr>
              <w:t>(3)</w:t>
            </w:r>
          </w:p>
        </w:tc>
        <w:tc>
          <w:tcPr>
            <w:tcW w:w="106"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6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1" w:type="dxa"/>
            <w:tcBorders/>
            <w:shd w:fill="CCEEFF" w:val="clear"/>
            <w:vAlign w:val="bottom"/>
          </w:tcPr>
          <w:p>
            <w:pPr>
              <w:pStyle w:val="TableContents"/>
              <w:spacing w:before="0" w:after="0"/>
              <w:ind w:left="0" w:right="0" w:hanging="0"/>
              <w:rPr/>
            </w:pPr>
            <w:r>
              <w:rPr/>
              <w:t> </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auto" w:val="clear"/>
            <w:vAlign w:val="bottom"/>
          </w:tcPr>
          <w:p>
            <w:pPr>
              <w:pStyle w:val="TableContents"/>
              <w:spacing w:before="0" w:after="0"/>
              <w:ind w:left="0" w:right="0" w:hanging="0"/>
              <w:rPr/>
            </w:pPr>
            <w:r>
              <w:rPr/>
              <w:t> </w:t>
            </w:r>
          </w:p>
        </w:tc>
        <w:tc>
          <w:tcPr>
            <w:tcW w:w="6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CCEEFF" w:val="clear"/>
            <w:vAlign w:val="bottom"/>
          </w:tcPr>
          <w:p>
            <w:pPr>
              <w:pStyle w:val="TableContents"/>
              <w:spacing w:before="0" w:after="0"/>
              <w:ind w:left="0" w:right="0" w:hanging="0"/>
              <w:rPr/>
            </w:pPr>
            <w:r>
              <w:rPr>
                <w:rFonts w:ascii="Times New Roman" w:hAnsi="Times New Roman"/>
                <w:sz w:val="17"/>
              </w:rPr>
              <w:t xml:space="preserve">Segment profit per barrel </w:t>
            </w:r>
            <w:r>
              <w:rPr>
                <w:sz w:val="11"/>
              </w:rPr>
              <w:t>(4)</w:t>
            </w:r>
          </w:p>
        </w:tc>
        <w:tc>
          <w:tcPr>
            <w:tcW w:w="10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3" w:type="dxa"/>
            <w:tcBorders>
              <w:top w:val="double" w:sz="6"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w:t>
            </w:r>
          </w:p>
        </w:tc>
        <w:tc>
          <w:tcPr>
            <w:tcW w:w="211" w:type="dxa"/>
            <w:tcBorders/>
            <w:shd w:fill="CCEEFF" w:val="clear"/>
            <w:vAlign w:val="bottom"/>
          </w:tcPr>
          <w:p>
            <w:pPr>
              <w:pStyle w:val="TableContents"/>
              <w:spacing w:before="0" w:after="0"/>
              <w:ind w:left="0" w:right="0" w:hanging="0"/>
              <w:rPr/>
            </w:pPr>
            <w:r>
              <w:rPr/>
              <w:t> </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2" w:type="dxa"/>
            <w:tcBorders>
              <w:top w:val="double" w:sz="6"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761"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761"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761"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763"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40" w:type="dxa"/>
            <w:tcBorders/>
            <w:shd w:fill="auto" w:val="clear"/>
            <w:vAlign w:val="bottom"/>
          </w:tcPr>
          <w:p>
            <w:pPr>
              <w:pStyle w:val="TableContents"/>
              <w:spacing w:before="0" w:after="0"/>
              <w:ind w:left="0" w:right="0" w:hanging="0"/>
              <w:jc w:val="center"/>
              <w:rPr/>
            </w:pPr>
            <w:r>
              <w:rPr/>
              <w:t> </w:t>
            </w:r>
          </w:p>
        </w:tc>
        <w:tc>
          <w:tcPr>
            <w:tcW w:w="319" w:type="dxa"/>
            <w:tcBorders/>
            <w:shd w:fill="auto" w:val="clear"/>
            <w:vAlign w:val="bottom"/>
          </w:tcPr>
          <w:p>
            <w:pPr>
              <w:pStyle w:val="TableContents"/>
              <w:spacing w:before="0" w:after="0"/>
              <w:ind w:left="0" w:right="0" w:hanging="0"/>
              <w:jc w:val="center"/>
              <w:rPr/>
            </w:pPr>
            <w:r>
              <w:rPr/>
              <w:t> </w:t>
            </w:r>
          </w:p>
        </w:tc>
        <w:tc>
          <w:tcPr>
            <w:tcW w:w="652"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637" w:type="dxa"/>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270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343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 (Unfavorable)</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shd w:fill="auto" w:val="clear"/>
            <w:vAlign w:val="bottom"/>
          </w:tcPr>
          <w:p>
            <w:pPr>
              <w:pStyle w:val="TableContents"/>
              <w:spacing w:before="0" w:after="0"/>
              <w:ind w:left="0" w:right="0" w:hanging="0"/>
              <w:rPr/>
            </w:pPr>
            <w:r>
              <w:rPr>
                <w:rFonts w:ascii="Times New Roman" w:hAnsi="Times New Roman"/>
                <w:b/>
                <w:sz w:val="13"/>
              </w:rPr>
              <w:t>Average Daily Volumes </w:t>
            </w:r>
            <w:r>
              <w:rPr>
                <w:b/>
                <w:sz w:val="8"/>
              </w:rPr>
              <w:t>(5)</w:t>
            </w:r>
          </w:p>
        </w:tc>
        <w:tc>
          <w:tcPr>
            <w:tcW w:w="106" w:type="dxa"/>
            <w:tcBorders/>
            <w:shd w:fill="auto" w:val="clear"/>
            <w:vAlign w:val="bottom"/>
          </w:tcPr>
          <w:p>
            <w:pPr>
              <w:pStyle w:val="TableContents"/>
              <w:spacing w:before="0" w:after="0"/>
              <w:ind w:left="0" w:right="0" w:hanging="0"/>
              <w:jc w:val="center"/>
              <w:rPr/>
            </w:pPr>
            <w:r>
              <w:rPr/>
              <w:t> </w:t>
            </w:r>
          </w:p>
        </w:tc>
        <w:tc>
          <w:tcPr>
            <w:tcW w:w="270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61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2009-2008</w:t>
            </w:r>
          </w:p>
        </w:tc>
        <w:tc>
          <w:tcPr>
            <w:tcW w:w="3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00"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2008-2007</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w:t>
            </w:r>
          </w:p>
        </w:tc>
        <w:tc>
          <w:tcPr>
            <w:tcW w:w="106" w:type="dxa"/>
            <w:tcBorders/>
            <w:shd w:fill="auto" w:val="clear"/>
            <w:vAlign w:val="bottom"/>
          </w:tcPr>
          <w:p>
            <w:pPr>
              <w:pStyle w:val="TableContents"/>
              <w:spacing w:before="0" w:after="0"/>
              <w:ind w:left="0" w:right="0" w:hanging="0"/>
              <w:jc w:val="center"/>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1" w:type="dxa"/>
            <w:tcBorders/>
            <w:shd w:fill="auto" w:val="clear"/>
            <w:vAlign w:val="bottom"/>
          </w:tcPr>
          <w:p>
            <w:pPr>
              <w:pStyle w:val="TableContents"/>
              <w:spacing w:before="0" w:after="0"/>
              <w:ind w:left="0" w:right="0" w:hanging="0"/>
              <w:jc w:val="center"/>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1" w:type="dxa"/>
            <w:tcBorders/>
            <w:shd w:fill="auto" w:val="clear"/>
            <w:vAlign w:val="bottom"/>
          </w:tcPr>
          <w:p>
            <w:pPr>
              <w:pStyle w:val="TableContents"/>
              <w:spacing w:before="0" w:after="0"/>
              <w:ind w:left="0" w:right="0" w:hanging="0"/>
              <w:jc w:val="center"/>
              <w:rPr/>
            </w:pPr>
            <w:r>
              <w:rPr/>
              <w:t> </w:t>
            </w:r>
          </w:p>
        </w:tc>
        <w:tc>
          <w:tcPr>
            <w:tcW w:w="64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19" w:type="dxa"/>
            <w:tcBorders/>
            <w:shd w:fill="auto" w:val="clear"/>
            <w:vAlign w:val="bottom"/>
          </w:tcPr>
          <w:p>
            <w:pPr>
              <w:pStyle w:val="TableContents"/>
              <w:spacing w:before="0" w:after="0"/>
              <w:ind w:left="0" w:right="0" w:hanging="0"/>
              <w:jc w:val="center"/>
              <w:rPr/>
            </w:pPr>
            <w:r>
              <w:rPr/>
              <w:t> </w:t>
            </w:r>
          </w:p>
        </w:tc>
        <w:tc>
          <w:tcPr>
            <w:tcW w:w="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1" w:type="dxa"/>
            <w:tcBorders/>
            <w:shd w:fill="auto" w:val="clear"/>
            <w:vAlign w:val="bottom"/>
          </w:tcPr>
          <w:p>
            <w:pPr>
              <w:pStyle w:val="TableContents"/>
              <w:spacing w:before="0" w:after="0"/>
              <w:ind w:left="0" w:right="0" w:hanging="0"/>
              <w:jc w:val="center"/>
              <w:rPr/>
            </w:pPr>
            <w:r>
              <w:rPr/>
              <w:t> </w:t>
            </w:r>
          </w:p>
        </w:tc>
        <w:tc>
          <w:tcPr>
            <w:tcW w:w="6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3" w:type="dxa"/>
            <w:tcBorders/>
            <w:shd w:fill="auto" w:val="clear"/>
            <w:vAlign w:val="bottom"/>
          </w:tcPr>
          <w:p>
            <w:pPr>
              <w:pStyle w:val="TableContents"/>
              <w:spacing w:before="0" w:after="0"/>
              <w:ind w:left="0" w:right="0" w:hanging="0"/>
              <w:jc w:val="center"/>
              <w:rPr/>
            </w:pPr>
            <w:r>
              <w:rPr/>
              <w:t> </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106"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658</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106"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1"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1" w:type="dxa"/>
            <w:tcBorders/>
            <w:shd w:fill="auto" w:val="clear"/>
            <w:vAlign w:val="bottom"/>
          </w:tcPr>
          <w:p>
            <w:pPr>
              <w:pStyle w:val="TableContents"/>
              <w:spacing w:before="0" w:after="0"/>
              <w:ind w:left="0" w:right="0" w:hanging="0"/>
              <w:rPr/>
            </w:pPr>
            <w:r>
              <w:rPr/>
              <w:t> </w:t>
            </w:r>
          </w:p>
        </w:tc>
        <w:tc>
          <w:tcPr>
            <w:tcW w:w="7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6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1" w:type="dxa"/>
            <w:tcBorders/>
            <w:shd w:fill="auto" w:val="clear"/>
            <w:vAlign w:val="bottom"/>
          </w:tcPr>
          <w:p>
            <w:pPr>
              <w:pStyle w:val="TableContents"/>
              <w:spacing w:before="0" w:after="0"/>
              <w:ind w:left="0" w:right="0" w:hanging="0"/>
              <w:rPr/>
            </w:pPr>
            <w:r>
              <w:rPr/>
              <w:t> </w:t>
            </w:r>
          </w:p>
        </w:tc>
        <w:tc>
          <w:tcPr>
            <w:tcW w:w="6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106"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pPr>
            <w:r>
              <w:rPr/>
              <w:t> </w:t>
            </w:r>
          </w:p>
        </w:tc>
        <w:tc>
          <w:tcPr>
            <w:tcW w:w="6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1" w:type="dxa"/>
            <w:tcBorders/>
            <w:shd w:fill="CCEEFF" w:val="clear"/>
            <w:vAlign w:val="bottom"/>
          </w:tcPr>
          <w:p>
            <w:pPr>
              <w:pStyle w:val="TableContents"/>
              <w:spacing w:before="0" w:after="0"/>
              <w:ind w:left="0" w:right="0" w:hanging="0"/>
              <w:rPr/>
            </w:pPr>
            <w:r>
              <w:rPr/>
              <w:t> </w:t>
            </w:r>
          </w:p>
        </w:tc>
        <w:tc>
          <w:tcPr>
            <w:tcW w:w="6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106"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1"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11" w:type="dxa"/>
            <w:tcBorders/>
            <w:shd w:fill="auto" w:val="clear"/>
            <w:vAlign w:val="bottom"/>
          </w:tcPr>
          <w:p>
            <w:pPr>
              <w:pStyle w:val="TableContents"/>
              <w:spacing w:before="0" w:after="0"/>
              <w:ind w:left="0" w:right="0" w:hanging="0"/>
              <w:rPr/>
            </w:pPr>
            <w:r>
              <w:rPr/>
              <w:t> </w:t>
            </w:r>
          </w:p>
        </w:tc>
        <w:tc>
          <w:tcPr>
            <w:tcW w:w="7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1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6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total</w:t>
            </w:r>
          </w:p>
        </w:tc>
        <w:tc>
          <w:tcPr>
            <w:tcW w:w="106" w:type="dxa"/>
            <w:tcBorders/>
            <w:shd w:fill="CCEEFF" w:val="clear"/>
            <w:vAlign w:val="bottom"/>
          </w:tcPr>
          <w:p>
            <w:pPr>
              <w:pStyle w:val="TableContents"/>
              <w:spacing w:before="0" w:after="0"/>
              <w:ind w:left="0" w:right="0" w:hanging="0"/>
              <w:rPr/>
            </w:pPr>
            <w:r>
              <w:rPr/>
              <w:t> </w:t>
            </w:r>
          </w:p>
        </w:tc>
        <w:tc>
          <w:tcPr>
            <w:tcW w:w="76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w:t>
            </w:r>
          </w:p>
        </w:tc>
        <w:tc>
          <w:tcPr>
            <w:tcW w:w="211" w:type="dxa"/>
            <w:tcBorders/>
            <w:shd w:fill="CCEEFF" w:val="clear"/>
            <w:vAlign w:val="bottom"/>
          </w:tcPr>
          <w:p>
            <w:pPr>
              <w:pStyle w:val="TableContents"/>
              <w:spacing w:before="0" w:after="0"/>
              <w:ind w:left="0" w:right="0" w:hanging="0"/>
              <w:rPr/>
            </w:pPr>
            <w:r>
              <w:rPr/>
              <w:t> </w:t>
            </w:r>
          </w:p>
        </w:tc>
        <w:tc>
          <w:tcPr>
            <w:tcW w:w="76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1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6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1" w:type="dxa"/>
            <w:tcBorders/>
            <w:shd w:fill="CCEEFF" w:val="clear"/>
            <w:vAlign w:val="bottom"/>
          </w:tcPr>
          <w:p>
            <w:pPr>
              <w:pStyle w:val="TableContents"/>
              <w:spacing w:before="0" w:after="0"/>
              <w:ind w:left="0" w:right="0" w:hanging="0"/>
              <w:rPr/>
            </w:pPr>
            <w:r>
              <w:rPr/>
              <w:t> </w:t>
            </w:r>
          </w:p>
        </w:tc>
        <w:tc>
          <w:tcPr>
            <w:tcW w:w="6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inventory purchases) of approximately $11 million, $21 million and $44 million for the years ended December 31,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 compensation expense related to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Calculated based on crude oil lease gathered volumes, refined products volumes, LPG sales volumes and waterborne foreign crude imported.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70</w:t>
      </w:r>
      <w:bookmarkStart w:id="83" w:name="PB_70_133539_7906"/>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that may be optimized and enhanced when there is a high level of market volatility, favorable basis differentials and/or a steep contango or backwardated market structure.   A contango market is favorable to our commercial strategies that are associated with storage as it allows us to simultaneously purchase production at current prices for storage and sell at higher prices for future delivery. A backwardated market has a positive impact on our lease gathering margins because crude oil gatherers can capture a premium for prompt deliveries. However, in this environment, there is little incentive to store crude oil as current prices are above future delivery prices.   In addition, certain of our subsidiaries are based in Canada and use the Canadian dollar as their functional currency. Revenues and expenses are translated at average exchange rates prevailing for each month and comparison between periods may be impacted by changes in the average rates.   Our revenues from the supply and logistics segment were unfavorably impacted in 2009 compared to 2008 as a result of the appreciation of the U.S. dollar relative to the Canadian dollar. The average Canadian dollar to U.S. dollar exchange rate for 2009 was $1.14 CAD: $1.00 USD compared to an average of $1.07 CAD: $1.00 USD in 2008 and in 2007.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w:t>
      </w:r>
      <w:r>
        <w:rPr>
          <w:rFonts w:ascii="Times New Roman" w:hAnsi="Times New Roman"/>
          <w:sz w:val="17"/>
        </w:rPr>
        <w:t>. Revenues net of purchases and related costs increased by approximately 30%, or approximately $141 million, in 2009 as compared to 2008.  The primary reasons for the stronger performance in 2009 were (i) strong crude oil contango margins in the first four months of the year (during this period the contango market was as wide as $8.49 per barrel); (ii) strong LPG margins in the fourth quarter of the year due to strong crop drying demand in the quarter and colder than normal weather the latter half of the quarter; (iii) 2008 was negatively impacted by Hurricanes Gustav and Ike (we estimate the negative impact to be approximately $15 million); and (iv) derivative activities, net of inventory valuation adjustments, were a net gain of $62 million in 2009 compared to a net loss of $7 million in 2008.  The derivative gains in 2009 are generally offset by future physical positions that are not included in the mark-to-market calculation for various reasons including that they qualify for the normal purchase and normal sale scope exception under FASB guidance.  These items more than offset a lower net margin from our lease gathering activities, which was primarily due to lower volumes as we eliminated some of our less profitable purchases.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net of purchases and related costs decreased by approximately 3% in 2008 as compared to 2007.  The primary reason for the decrease was that 2008 was negatively impacted by Hurricanes Gustav and Ike.  We estimate the negative impact to be approximately $15 million.  Lease gathering margins were also stronger in 2008 as compared to 2007; however, this was largely offset by a decline in crude oil contango market opportunities in 2008.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 compensation charges as discussed below) in 2009 were in line with 2008 costs.  Field operating costs were approximately $31 million higher in 2008 than in 2007.  Such costs relate primarily to our lease gathering activities where our net revenues (revenues less purchases and related costs) increases more than offset the cost increases in 2008.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General and Administrative Expenses. </w:t>
      </w:r>
      <w:r>
        <w:rPr>
          <w:rFonts w:ascii="Times New Roman" w:hAnsi="Times New Roman"/>
          <w:sz w:val="17"/>
        </w:rPr>
        <w:t>General and administrative expenses (excluding equity compensation charges as discussed below) increased approximately 6% in 2009 compared to 2008, primarily due to increased payroll and benefit costs.  Similarly, such costs increased in 2008 as compared to 2007 due to (i) increased payroll and benefit costs and (ii) a change in allocation methodology between the facilities and supply and logistics segments.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71</w:t>
      </w:r>
      <w:bookmarkStart w:id="84" w:name="PB_71_133615_3736"/>
      <w:bookmarkEnd w:id="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Equity Compensation Charges. </w:t>
      </w:r>
      <w:r>
        <w:rPr>
          <w:rFonts w:ascii="Times New Roman" w:hAnsi="Times New Roman"/>
          <w:sz w:val="17"/>
        </w:rPr>
        <w:t>Equity compensation charges increased approximately $15 million in 2009 compared to 2008 and decreased approximately $9 million in 2008 as compared to 2007.  Such variations are primarily as a result of an increase in unit price for 2009 relative to 2008 and a decrease in unit price in 2008 relative to 2007. At the end of 2009, our unit price was $52.85 per common unit as compared to $34.69 per common unit at the end of 2008 and $52.00 per unit at the end of 2007. The impact of these price fluctuations are partially impacted by additional equity compensation grants during each period (including the Class B grants), changes to our probability assessment that result in accruals for grants that were previously not considered to be probable of vesting and forfeitures. See Note 10 to our Consolidated Financial Statements for additional information on our 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for the year ended December 31, 2009 compared to the year ended December 31, 2008 is primarily due to truck and trailer fleet replacements and rebuilds.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$236 million for the year ended December 31, 2009 compared to $211 million and $180 million for the years ended December 31, 2008 and 2007, respectively.  The increases in 2009, 2008 and 2007 related primarily to an increased amount of depreciable assets stemming from our acquisition activities and internal growth projects. Amortization of debt issue costs was $6 million, $4 million and $3 million in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depreciation expense for the years ended December 31, 2009, 2008 and 2007 is a net loss of $1 million, a net gain of $6 million and a net loss of approximately $7 million, respectively, recognized upon disposition of certain inactive assets. Also included within depreciation expense for the year ended December 31, 2009 and 2008 is an impairment of less than $1 million and $5 million, respectively, for assets taken out of service.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was $224 million for the year ended December 31, 2009, compared to $196 million and $162 million for the years ended December 31, 2008 and 2007, respectively. Interest expense is primarily impacted 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weighted average debt balances;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level and maturity of fixed rate debt and interest rates associated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market interest rates and our interest rate hedging activities on floating rate debt;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capitalized on capital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components of our weighted average debt balances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06"/>
        <w:gridCol w:w="198"/>
        <w:gridCol w:w="134"/>
        <w:gridCol w:w="791"/>
        <w:gridCol w:w="198"/>
        <w:gridCol w:w="929"/>
        <w:gridCol w:w="240"/>
        <w:gridCol w:w="134"/>
        <w:gridCol w:w="791"/>
        <w:gridCol w:w="198"/>
        <w:gridCol w:w="928"/>
        <w:gridCol w:w="240"/>
        <w:gridCol w:w="134"/>
        <w:gridCol w:w="791"/>
        <w:gridCol w:w="198"/>
        <w:gridCol w:w="929"/>
        <w:gridCol w:w="166"/>
      </w:tblGrid>
      <w:tr>
        <w:trPr/>
        <w:tc>
          <w:tcPr>
            <w:tcW w:w="3206"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6635"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66" w:type="dxa"/>
            <w:tcBorders/>
            <w:shd w:fill="auto" w:val="clear"/>
            <w:vAlign w:val="bottom"/>
          </w:tcPr>
          <w:p>
            <w:pPr>
              <w:pStyle w:val="TableContents"/>
              <w:spacing w:before="0" w:after="0"/>
              <w:ind w:left="0" w:right="0" w:hanging="0"/>
              <w:jc w:val="center"/>
              <w:rPr/>
            </w:pPr>
            <w:r>
              <w:rPr/>
              <w:t> </w:t>
            </w:r>
          </w:p>
        </w:tc>
      </w:tr>
      <w:tr>
        <w:trPr/>
        <w:tc>
          <w:tcPr>
            <w:tcW w:w="3206"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205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40" w:type="dxa"/>
            <w:tcBorders/>
            <w:shd w:fill="auto" w:val="clear"/>
            <w:vAlign w:val="bottom"/>
          </w:tcPr>
          <w:p>
            <w:pPr>
              <w:pStyle w:val="TableContents"/>
              <w:spacing w:before="0" w:after="0"/>
              <w:ind w:left="0" w:right="0" w:hanging="0"/>
              <w:jc w:val="center"/>
              <w:rPr/>
            </w:pPr>
            <w:r>
              <w:rPr/>
              <w:t> </w:t>
            </w:r>
          </w:p>
        </w:tc>
        <w:tc>
          <w:tcPr>
            <w:tcW w:w="2051"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40" w:type="dxa"/>
            <w:tcBorders/>
            <w:shd w:fill="auto" w:val="clear"/>
            <w:vAlign w:val="bottom"/>
          </w:tcPr>
          <w:p>
            <w:pPr>
              <w:pStyle w:val="TableContents"/>
              <w:spacing w:before="0" w:after="0"/>
              <w:ind w:left="0" w:right="0" w:hanging="0"/>
              <w:jc w:val="center"/>
              <w:rPr/>
            </w:pPr>
            <w:r>
              <w:rPr/>
              <w:t> </w:t>
            </w:r>
          </w:p>
        </w:tc>
        <w:tc>
          <w:tcPr>
            <w:tcW w:w="2052" w:type="dxa"/>
            <w:gridSpan w:val="4"/>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66" w:type="dxa"/>
            <w:tcBorders/>
            <w:shd w:fill="auto" w:val="clear"/>
            <w:vAlign w:val="bottom"/>
          </w:tcPr>
          <w:p>
            <w:pPr>
              <w:pStyle w:val="TableContents"/>
              <w:spacing w:before="0" w:after="0"/>
              <w:ind w:left="0" w:right="0" w:hanging="0"/>
              <w:jc w:val="center"/>
              <w:rPr/>
            </w:pPr>
            <w:r>
              <w:rPr/>
              <w:t> </w:t>
            </w:r>
          </w:p>
        </w:tc>
      </w:tr>
      <w:tr>
        <w:trPr/>
        <w:tc>
          <w:tcPr>
            <w:tcW w:w="3206"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8" w:type="dxa"/>
            <w:tcBorders/>
            <w:shd w:fill="auto" w:val="clear"/>
            <w:vAlign w:val="bottom"/>
          </w:tcPr>
          <w:p>
            <w:pPr>
              <w:pStyle w:val="TableContents"/>
              <w:spacing w:before="0" w:after="0"/>
              <w:ind w:left="0" w:right="0" w:hanging="0"/>
              <w:jc w:val="center"/>
              <w:rPr/>
            </w:pPr>
            <w:r>
              <w:rPr/>
              <w:t> </w:t>
            </w:r>
          </w:p>
        </w:tc>
        <w:tc>
          <w:tcPr>
            <w:tcW w:w="9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r>
          </w:p>
        </w:tc>
        <w:tc>
          <w:tcPr>
            <w:tcW w:w="240" w:type="dxa"/>
            <w:tcBorders/>
            <w:shd w:fill="auto" w:val="clear"/>
            <w:vAlign w:val="bottom"/>
          </w:tcPr>
          <w:p>
            <w:pPr>
              <w:pStyle w:val="TableContents"/>
              <w:spacing w:before="0" w:after="0"/>
              <w:ind w:left="0" w:right="0" w:hanging="0"/>
              <w:jc w:val="center"/>
              <w:rPr/>
            </w:pPr>
            <w:r>
              <w:rPr/>
              <w:t> </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r>
          </w:p>
        </w:tc>
        <w:tc>
          <w:tcPr>
            <w:tcW w:w="240" w:type="dxa"/>
            <w:tcBorders/>
            <w:shd w:fill="auto" w:val="clear"/>
            <w:vAlign w:val="bottom"/>
          </w:tcPr>
          <w:p>
            <w:pPr>
              <w:pStyle w:val="TableContents"/>
              <w:spacing w:before="0" w:after="0"/>
              <w:ind w:left="0" w:right="0" w:hanging="0"/>
              <w:jc w:val="center"/>
              <w:rPr/>
            </w:pPr>
            <w:r>
              <w:rPr/>
              <w:t> </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of Total</w:t>
            </w:r>
          </w:p>
        </w:tc>
        <w:tc>
          <w:tcPr>
            <w:tcW w:w="166" w:type="dxa"/>
            <w:tcBorders/>
            <w:shd w:fill="auto" w:val="clear"/>
            <w:vAlign w:val="bottom"/>
          </w:tcPr>
          <w:p>
            <w:pPr>
              <w:pStyle w:val="TableContents"/>
              <w:spacing w:before="0" w:after="0"/>
              <w:ind w:left="0" w:right="0" w:hanging="0"/>
              <w:jc w:val="center"/>
              <w:rPr/>
            </w:pPr>
            <w:r>
              <w:rPr/>
              <w:t> </w:t>
            </w:r>
          </w:p>
        </w:tc>
      </w:tr>
      <w:tr>
        <w:trPr/>
        <w:tc>
          <w:tcPr>
            <w:tcW w:w="3206" w:type="dxa"/>
            <w:tcBorders/>
            <w:shd w:fill="CCEEFF" w:val="clear"/>
            <w:vAlign w:val="bottom"/>
          </w:tcPr>
          <w:p>
            <w:pPr>
              <w:pStyle w:val="TableContents"/>
              <w:spacing w:before="0" w:after="0"/>
              <w:ind w:left="0" w:right="0" w:hanging="0"/>
              <w:rPr/>
            </w:pPr>
            <w:r>
              <w:rPr>
                <w:rFonts w:ascii="Times New Roman" w:hAnsi="Times New Roman"/>
                <w:sz w:val="17"/>
              </w:rPr>
              <w:t xml:space="preserve">Fixed rate senior notes </w:t>
            </w:r>
            <w:r>
              <w:rPr>
                <w:sz w:val="11"/>
              </w:rPr>
              <w:t>(1)</w:t>
            </w:r>
          </w:p>
        </w:tc>
        <w:tc>
          <w:tcPr>
            <w:tcW w:w="198"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3,722</w:t>
            </w:r>
          </w:p>
        </w:tc>
        <w:tc>
          <w:tcPr>
            <w:tcW w:w="198"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3,028</w:t>
            </w:r>
          </w:p>
        </w:tc>
        <w:tc>
          <w:tcPr>
            <w:tcW w:w="198"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2,625</w:t>
            </w:r>
          </w:p>
        </w:tc>
        <w:tc>
          <w:tcPr>
            <w:tcW w:w="198"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06" w:type="dxa"/>
            <w:tcBorders/>
            <w:shd w:fill="auto" w:val="clear"/>
            <w:vAlign w:val="bottom"/>
          </w:tcPr>
          <w:p>
            <w:pPr>
              <w:pStyle w:val="TableContents"/>
              <w:spacing w:before="0" w:after="0"/>
              <w:ind w:left="0" w:right="0" w:hanging="0"/>
              <w:rPr/>
            </w:pPr>
            <w:r>
              <w:rPr>
                <w:rFonts w:ascii="Times New Roman" w:hAnsi="Times New Roman"/>
                <w:sz w:val="17"/>
              </w:rPr>
              <w:t xml:space="preserve">Borrowings under our revolving credit facilities </w:t>
            </w:r>
            <w:r>
              <w:rPr>
                <w:sz w:val="11"/>
              </w:rPr>
              <w:t>(2)</w:t>
            </w:r>
          </w:p>
        </w:tc>
        <w:tc>
          <w:tcPr>
            <w:tcW w:w="198" w:type="dxa"/>
            <w:tcBorders/>
            <w:shd w:fill="auto" w:val="clear"/>
            <w:vAlign w:val="bottom"/>
          </w:tcPr>
          <w:p>
            <w:pPr>
              <w:pStyle w:val="TableContents"/>
              <w:spacing w:before="0" w:after="0"/>
              <w:ind w:left="0" w:right="0" w:hanging="0"/>
              <w:rPr/>
            </w:pPr>
            <w:r>
              <w:rPr/>
              <w:t> </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98"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98" w:type="dxa"/>
            <w:tcBorders/>
            <w:shd w:fill="auto" w:val="clear"/>
            <w:vAlign w:val="bottom"/>
          </w:tcPr>
          <w:p>
            <w:pPr>
              <w:pStyle w:val="TableContents"/>
              <w:spacing w:before="0" w:after="0"/>
              <w:ind w:left="0" w:right="0" w:hanging="0"/>
              <w:rPr/>
            </w:pPr>
            <w:r>
              <w:rPr/>
              <w:t> </w:t>
            </w:r>
          </w:p>
        </w:tc>
        <w:tc>
          <w:tcPr>
            <w:tcW w:w="9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8"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9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3,929</w:t>
            </w:r>
          </w:p>
        </w:tc>
        <w:tc>
          <w:tcPr>
            <w:tcW w:w="198"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3,484</w:t>
            </w:r>
          </w:p>
        </w:tc>
        <w:tc>
          <w:tcPr>
            <w:tcW w:w="198" w:type="dxa"/>
            <w:tcBorders/>
            <w:shd w:fill="CCEEFF" w:val="clear"/>
            <w:vAlign w:val="bottom"/>
          </w:tcPr>
          <w:p>
            <w:pPr>
              <w:pStyle w:val="TableContents"/>
              <w:spacing w:before="0" w:after="0"/>
              <w:ind w:left="0" w:right="0" w:hanging="0"/>
              <w:rPr/>
            </w:pPr>
            <w:r>
              <w:rPr/>
              <w:t> </w:t>
            </w:r>
          </w:p>
        </w:tc>
        <w:tc>
          <w:tcPr>
            <w:tcW w:w="928" w:type="dxa"/>
            <w:tcBorders/>
            <w:shd w:fill="CCEEFF" w:val="clear"/>
            <w:vAlign w:val="bottom"/>
          </w:tcPr>
          <w:p>
            <w:pPr>
              <w:pStyle w:val="TableContents"/>
              <w:spacing w:before="0" w:after="0"/>
              <w:ind w:left="0" w:right="0" w:hanging="0"/>
              <w:jc w:val="right"/>
              <w:rPr/>
            </w:pPr>
            <w:r>
              <w:rPr/>
              <w:t> </w:t>
            </w:r>
          </w:p>
        </w:tc>
        <w:tc>
          <w:tcPr>
            <w:tcW w:w="240"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2,775</w:t>
            </w:r>
          </w:p>
        </w:tc>
        <w:tc>
          <w:tcPr>
            <w:tcW w:w="198"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pPr>
            <w:r>
              <w:rPr/>
              <w:t> </w:t>
            </w:r>
          </w:p>
        </w:tc>
        <w:tc>
          <w:tcPr>
            <w:tcW w:w="16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Weighted average face amount of senior notes, exclusive of discounts and premiums.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Excludes borrowings under our senior secured hedged inventory facility and the short-term portion of our senior unsecured revolving credit facility, as the associated interest expense is recorded in Purchases and related costs on our consolidated income statement.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72</w:t>
      </w:r>
      <w:bookmarkStart w:id="85" w:name="PB_72_090009_5335"/>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components impacting the interest expense variance for the years ended December 31, 2009 and 2008 (in millions, except for percentages):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42"/>
        <w:gridCol w:w="209"/>
        <w:gridCol w:w="136"/>
        <w:gridCol w:w="1139"/>
        <w:gridCol w:w="217"/>
        <w:gridCol w:w="1415"/>
        <w:gridCol w:w="247"/>
        <w:gridCol w:w="1538"/>
        <w:gridCol w:w="162"/>
      </w:tblGrid>
      <w:tr>
        <w:trPr/>
        <w:tc>
          <w:tcPr>
            <w:tcW w:w="5142"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7" w:type="dxa"/>
            <w:tcBorders/>
            <w:shd w:fill="auto" w:val="clear"/>
            <w:vAlign w:val="bottom"/>
          </w:tcPr>
          <w:p>
            <w:pPr>
              <w:pStyle w:val="TableContents"/>
              <w:spacing w:before="0" w:after="0"/>
              <w:ind w:left="0" w:right="0" w:hanging="0"/>
              <w:jc w:val="center"/>
              <w:rPr/>
            </w:pPr>
            <w:r>
              <w:rPr/>
              <w:t> </w:t>
            </w:r>
          </w:p>
        </w:tc>
        <w:tc>
          <w:tcPr>
            <w:tcW w:w="14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LIBOR</w:t>
              <w:br/>
              <w:t>Rate</w:t>
            </w:r>
          </w:p>
        </w:tc>
        <w:tc>
          <w:tcPr>
            <w:tcW w:w="247" w:type="dxa"/>
            <w:tcBorders/>
            <w:shd w:fill="auto" w:val="clear"/>
            <w:vAlign w:val="bottom"/>
          </w:tcPr>
          <w:p>
            <w:pPr>
              <w:pStyle w:val="TableContents"/>
              <w:spacing w:before="0" w:after="0"/>
              <w:ind w:left="0" w:right="0" w:hanging="0"/>
              <w:jc w:val="center"/>
              <w:rPr/>
            </w:pPr>
            <w:r>
              <w:rPr/>
              <w:t> </w:t>
            </w:r>
          </w:p>
        </w:tc>
        <w:tc>
          <w:tcPr>
            <w:tcW w:w="1538"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Weighted Average</w:t>
            </w:r>
            <w:r>
              <w:rPr>
                <w:b/>
                <w:sz w:val="13"/>
              </w:rPr>
              <w:br/>
              <w:t xml:space="preserve">Interest Rate </w:t>
            </w:r>
            <w:r>
              <w:rPr>
                <w:b/>
                <w:sz w:val="8"/>
              </w:rPr>
              <w:t>(1)</w:t>
            </w:r>
          </w:p>
        </w:tc>
        <w:tc>
          <w:tcPr>
            <w:tcW w:w="162" w:type="dxa"/>
            <w:tcBorders/>
            <w:shd w:fill="auto" w:val="clear"/>
            <w:vAlign w:val="bottom"/>
          </w:tcPr>
          <w:p>
            <w:pPr>
              <w:pStyle w:val="TableContents"/>
              <w:spacing w:before="0" w:after="0"/>
              <w:ind w:left="0" w:right="0" w:hanging="0"/>
              <w:jc w:val="center"/>
              <w:rPr/>
            </w:pPr>
            <w:r>
              <w:rPr/>
              <w:t> </w:t>
            </w:r>
          </w:p>
        </w:tc>
      </w:tr>
      <w:tr>
        <w:trPr/>
        <w:tc>
          <w:tcPr>
            <w:tcW w:w="5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2007</w:t>
            </w:r>
          </w:p>
        </w:tc>
        <w:tc>
          <w:tcPr>
            <w:tcW w:w="209"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7" w:type="dxa"/>
            <w:tcBorders/>
            <w:shd w:fill="CCEEFF" w:val="clear"/>
            <w:vAlign w:val="bottom"/>
          </w:tcPr>
          <w:p>
            <w:pPr>
              <w:pStyle w:val="TableContents"/>
              <w:spacing w:before="0" w:after="0"/>
              <w:ind w:left="0" w:right="0" w:hanging="0"/>
              <w:rPr/>
            </w:pPr>
            <w:r>
              <w:rPr/>
              <w:t> </w:t>
            </w:r>
          </w:p>
        </w:tc>
        <w:tc>
          <w:tcPr>
            <w:tcW w:w="141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auto" w:val="clear"/>
            <w:vAlign w:val="bottom"/>
          </w:tcPr>
          <w:p>
            <w:pPr>
              <w:pStyle w:val="TableContents"/>
              <w:spacing w:before="0" w:after="0"/>
              <w:ind w:left="0" w:right="0" w:hanging="0"/>
              <w:rPr/>
            </w:pPr>
            <w:r>
              <w:rPr>
                <w:rFonts w:ascii="Times New Roman" w:hAnsi="Times New Roman"/>
                <w:sz w:val="17"/>
              </w:rPr>
              <w:t xml:space="preserve">Impact of issuance of senior notes </w:t>
            </w:r>
            <w:r>
              <w:rPr>
                <w:sz w:val="11"/>
              </w:rPr>
              <w:t>(2)</w:t>
            </w:r>
          </w:p>
        </w:tc>
        <w:tc>
          <w:tcPr>
            <w:tcW w:w="209"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17"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538" w:type="dxa"/>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5142" w:type="dxa"/>
            <w:tcBorders/>
            <w:shd w:fill="CCEEFF" w:val="clear"/>
            <w:vAlign w:val="bottom"/>
          </w:tcPr>
          <w:p>
            <w:pPr>
              <w:pStyle w:val="TableContents"/>
              <w:spacing w:before="0" w:after="0"/>
              <w:ind w:left="0" w:right="0" w:hanging="0"/>
              <w:rPr/>
            </w:pPr>
            <w:r>
              <w:rPr>
                <w:rFonts w:ascii="Times New Roman" w:hAnsi="Times New Roman"/>
                <w:sz w:val="17"/>
              </w:rPr>
              <w:t xml:space="preserve">Impact of increased borrowings under credit facilities </w:t>
            </w:r>
            <w:r>
              <w:rPr>
                <w:sz w:val="11"/>
              </w:rPr>
              <w:t>(3)</w:t>
            </w:r>
          </w:p>
        </w:tc>
        <w:tc>
          <w:tcPr>
            <w:tcW w:w="209"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pPr>
            <w:r>
              <w:rPr/>
              <w:t> </w:t>
            </w:r>
          </w:p>
        </w:tc>
        <w:tc>
          <w:tcPr>
            <w:tcW w:w="1415"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38" w:type="dxa"/>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5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of increased capitalized interest</w:t>
            </w:r>
          </w:p>
        </w:tc>
        <w:tc>
          <w:tcPr>
            <w:tcW w:w="209"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538" w:type="dxa"/>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5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pPr>
            <w:r>
              <w:rPr/>
              <w:t> </w:t>
            </w:r>
          </w:p>
        </w:tc>
        <w:tc>
          <w:tcPr>
            <w:tcW w:w="1415"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38" w:type="dxa"/>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5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2008</w:t>
            </w:r>
          </w:p>
        </w:tc>
        <w:tc>
          <w:tcPr>
            <w:tcW w:w="209"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7"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42" w:type="dxa"/>
            <w:tcBorders/>
            <w:shd w:fill="CCEEFF" w:val="clear"/>
            <w:vAlign w:val="bottom"/>
          </w:tcPr>
          <w:p>
            <w:pPr>
              <w:pStyle w:val="TableContents"/>
              <w:spacing w:before="0" w:after="0"/>
              <w:ind w:left="0" w:right="0" w:hanging="0"/>
              <w:rPr/>
            </w:pPr>
            <w:r>
              <w:rPr>
                <w:rFonts w:ascii="Times New Roman" w:hAnsi="Times New Roman"/>
                <w:sz w:val="17"/>
              </w:rPr>
              <w:t xml:space="preserve">Impact of retirement of senior notes </w:t>
            </w:r>
            <w:r>
              <w:rPr>
                <w:sz w:val="11"/>
              </w:rPr>
              <w:t>(4)</w:t>
            </w:r>
          </w:p>
        </w:tc>
        <w:tc>
          <w:tcPr>
            <w:tcW w:w="209"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38" w:type="dxa"/>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5142" w:type="dxa"/>
            <w:tcBorders/>
            <w:shd w:fill="auto" w:val="clear"/>
            <w:vAlign w:val="bottom"/>
          </w:tcPr>
          <w:p>
            <w:pPr>
              <w:pStyle w:val="TableContents"/>
              <w:spacing w:before="0" w:after="0"/>
              <w:ind w:left="0" w:right="0" w:hanging="0"/>
              <w:rPr/>
            </w:pPr>
            <w:r>
              <w:rPr>
                <w:rFonts w:ascii="Times New Roman" w:hAnsi="Times New Roman"/>
                <w:sz w:val="17"/>
              </w:rPr>
              <w:t xml:space="preserve">Impact of issuance of senior notes </w:t>
            </w:r>
            <w:r>
              <w:rPr>
                <w:sz w:val="11"/>
              </w:rPr>
              <w:t>(5)</w:t>
            </w:r>
          </w:p>
        </w:tc>
        <w:tc>
          <w:tcPr>
            <w:tcW w:w="209"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7"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538" w:type="dxa"/>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5142" w:type="dxa"/>
            <w:tcBorders/>
            <w:shd w:fill="CCEEFF" w:val="clear"/>
            <w:vAlign w:val="bottom"/>
          </w:tcPr>
          <w:p>
            <w:pPr>
              <w:pStyle w:val="TableContents"/>
              <w:spacing w:before="0" w:after="0"/>
              <w:ind w:left="0" w:right="0" w:hanging="0"/>
              <w:rPr/>
            </w:pPr>
            <w:r>
              <w:rPr>
                <w:rFonts w:ascii="Times New Roman" w:hAnsi="Times New Roman"/>
                <w:sz w:val="17"/>
              </w:rPr>
              <w:t xml:space="preserve">Impact of decreased borrowings under credit facilities </w:t>
            </w:r>
            <w:r>
              <w:rPr>
                <w:sz w:val="11"/>
              </w:rPr>
              <w:t>(3)</w:t>
            </w:r>
          </w:p>
        </w:tc>
        <w:tc>
          <w:tcPr>
            <w:tcW w:w="209"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38" w:type="dxa"/>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5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of decreased capitalized interest</w:t>
            </w:r>
          </w:p>
        </w:tc>
        <w:tc>
          <w:tcPr>
            <w:tcW w:w="209"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538" w:type="dxa"/>
            <w:tcBorders/>
            <w:shd w:fill="auto" w:val="clear"/>
            <w:vAlign w:val="bottom"/>
          </w:tcPr>
          <w:p>
            <w:pPr>
              <w:pStyle w:val="TableContents"/>
              <w:spacing w:before="0" w:after="0"/>
              <w:ind w:left="0" w:right="0" w:hanging="0"/>
              <w:jc w:val="right"/>
              <w:rPr/>
            </w:pPr>
            <w:r>
              <w:rPr/>
              <w:t> </w:t>
            </w:r>
          </w:p>
        </w:tc>
        <w:tc>
          <w:tcPr>
            <w:tcW w:w="162" w:type="dxa"/>
            <w:tcBorders/>
            <w:shd w:fill="auto" w:val="clear"/>
            <w:vAlign w:val="bottom"/>
          </w:tcPr>
          <w:p>
            <w:pPr>
              <w:pStyle w:val="TableContents"/>
              <w:spacing w:before="0" w:after="0"/>
              <w:ind w:left="0" w:right="0" w:hanging="0"/>
              <w:rPr/>
            </w:pPr>
            <w:r>
              <w:rPr/>
              <w:t> </w:t>
            </w:r>
          </w:p>
        </w:tc>
      </w:tr>
      <w:tr>
        <w:trPr/>
        <w:tc>
          <w:tcPr>
            <w:tcW w:w="5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5"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38" w:type="dxa"/>
            <w:tcBorders/>
            <w:shd w:fill="CCEEFF" w:val="clear"/>
            <w:vAlign w:val="bottom"/>
          </w:tcPr>
          <w:p>
            <w:pPr>
              <w:pStyle w:val="TableContents"/>
              <w:spacing w:before="0" w:after="0"/>
              <w:ind w:left="0" w:right="0" w:hanging="0"/>
              <w:jc w:val="right"/>
              <w:rPr/>
            </w:pPr>
            <w:r>
              <w:rPr/>
              <w:t> </w:t>
            </w:r>
          </w:p>
        </w:tc>
        <w:tc>
          <w:tcPr>
            <w:tcW w:w="162" w:type="dxa"/>
            <w:tcBorders/>
            <w:shd w:fill="CCEEFF" w:val="clear"/>
            <w:vAlign w:val="bottom"/>
          </w:tcPr>
          <w:p>
            <w:pPr>
              <w:pStyle w:val="TableContents"/>
              <w:spacing w:before="0" w:after="0"/>
              <w:ind w:left="0" w:right="0" w:hanging="0"/>
              <w:rPr/>
            </w:pPr>
            <w:r>
              <w:rPr/>
              <w:t> </w:t>
            </w:r>
          </w:p>
        </w:tc>
      </w:tr>
      <w:tr>
        <w:trPr/>
        <w:tc>
          <w:tcPr>
            <w:tcW w:w="5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for the year ended December 31, 2009</w:t>
            </w:r>
          </w:p>
        </w:tc>
        <w:tc>
          <w:tcPr>
            <w:tcW w:w="209"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7" w:type="dxa"/>
            <w:tcBorders/>
            <w:shd w:fill="auto" w:val="clear"/>
            <w:vAlign w:val="bottom"/>
          </w:tcPr>
          <w:p>
            <w:pPr>
              <w:pStyle w:val="TableContents"/>
              <w:spacing w:before="0" w:after="0"/>
              <w:ind w:left="0" w:right="0" w:hanging="0"/>
              <w:rPr/>
            </w:pPr>
            <w:r>
              <w:rPr/>
              <w:t> </w:t>
            </w:r>
          </w:p>
        </w:tc>
        <w:tc>
          <w:tcPr>
            <w:tcW w:w="14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Excludes commitment and other fees.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$600 million senior notes were issued in April 2008 in connection with the Rainbow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change primarily reflects varying borrowing requirements for inventory-related borrowings and other working capital items and changes in LIBOR rates.  As further discussed below, during 2009 we utilized a portion of our $500 million 4.25% senior notes due 2012 to fund our hedged inventory requirements.  Therefore, we were able to reduce our short-term debt borrowing since such activities were not solely funded on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 August 2009, our outstanding $175 million 4.75% senior notes due 2009 matured and were paid. In October 2009, we redeemed our outstanding $250 million 7.13% senior notes due 2014.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 April, July and September 2009 we completed the issuances of $350 million of 8.75% senior notes due 2019, $500 million of 4.25% senior notes due 2012 and $500 million of 5.75% senior notes due 2020, respectively.  A fluctuating portion of the 4.25% senior notes due 2012 is utilized to fund hedged inventory and would be classified as short-term debt if such activities were funded through our credit facilities.  Interest costs attributable to borrowings for inventory stored in a contango market are included in Purchases and related costs in our supply and logistics segment profits as we consider interest on these borrowings a direct cost to storing the inventory. The costs applicable to the portion of the $500 million of 4.25% senior notes that was recognized within purchases and related costs was approximately $1 million for the year ended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April 2008, we completed the issuance of our $600 million 6.5% senior notes due 2018.  Therefore, these senior notes were outstanding for approximately eight months of the year compared to twelve months during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costs attributable to borrowings for inventory stored in a contango market are included in purchases and related costs in our supply and logistics segment profit as we consider interest on these borrowings a direct cost to storing the inventory. These borrowings are primarily under our senior secured hedged inventory facility. These costs were approximately $11 million, $21 million and $44 million for the years ended December 31,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Income,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 net for the year ended December 31, 2009, primarily included (i) a net gain of approximately $9 million recognized in connection with the PNGS acquisition (see Note 3 to our Consolidated Financial Statements for further discussion), (ii) a net gain of approximately $11 million related to the foreign currency revaluation of a CAD-denominated interest receivable associated with an intercompany note and the impact of related foreign currency hedges, and (iii) a loss of approximately $4 million recognized in conjunction with the early redemption of our $250 million 7.13%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 net for the year ended December 31, 2008, primarily included (i) a gain of $14 million resulting from the sale of our NYMEX seats and shares in NYMEX Holdings, Inc., which merged with CME Group Inc. and (ii) a gain of $11 million on the foreign currency hedge and commodity price risk hedge that we entered into in connection with the Rainbow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income tax expense decreased by $2 million from $8 million in 2008 to $6 million in 2009 as a result of a decrease of Canadian taxable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the $10 million impact of the initial adoption of the revised Canadian tax laws in 2007, our income tax expense increased by $2 million in 2008 compared to 2007 primarily due to the Rainbow acquisition. Income tax expense was $16 million for the year ended December 31, 2007 primarily due to revised rules on Canadian taxation on certain flow-through entities and the introduction of the Texas margin tax. See Note 7 to our Consolidated Financial Statements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Outlook</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 xml:space="preserve">During 2008 and 2009, worldwide financial markets were extremely volatile and the global economy substantially weakened.  The U.S. government and governments around the world took significant actions in response, including an attempt to provide liquidity and stability to the financial markets by providing government assistance to some of the largest financial institutions in the world. Although it appears that these collective actions have been successful in stabilizing the financial markets, we continue to maintain a cautious outlook for the overall economic environment.  Certain recent data signal improvements in the health of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73</w:t>
      </w:r>
      <w:bookmarkStart w:id="86" w:name="PB_73_090009_5796"/>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economy have started to occur, while other data indicate that we have yet to begin a sustainable recovery.  For example, one indicator of the strength and velocity of the economy that also has an influence on our business is energy consumption.  Based on data available through early 2010, U.S. demand for petroleum has declined by approximately 10% from levels experienced during the 2005 to 2007 time period and natural gas demand has declined approximately 2% to 3% relative to 2008.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expect that the U.S. economy will ultimately rebound and energy demand will return to a growth profile, these conflicting signals lead us to believe that significant uncertainty remains regarding the timing of the recovery, which translates into potential near-term risks for the energy sector.  We will not be unaffected by challenging economic and capital markets conditions, however, our business strategy is designed to manage a volatile environment, and we believe that our asset base strategically positions us to benefit from certain of these developments. However, there can be no assurance that we will not be negatively affected by this volatility or the challenging capital markets conditions, or that our acquisition and expansion efforts will be successful.  See Item 1A. Risk Factors - Risks Related to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flow from operations and borrowings under our credit facilities are our primary sources of liquidity. At December 31, 2009, we had approximately $1.0 billion of liquidity available to meet our ongoing operational, investing and finance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046"/>
        <w:gridCol w:w="223"/>
        <w:gridCol w:w="231"/>
        <w:gridCol w:w="1572"/>
        <w:gridCol w:w="133"/>
      </w:tblGrid>
      <w:tr>
        <w:trPr/>
        <w:tc>
          <w:tcPr>
            <w:tcW w:w="8046" w:type="dxa"/>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18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As of</w:t>
            </w:r>
            <w:r>
              <w:rPr>
                <w:b/>
                <w:sz w:val="13"/>
              </w:rPr>
              <w:br/>
              <w:t>December 31, 2009</w:t>
            </w:r>
          </w:p>
        </w:tc>
        <w:tc>
          <w:tcPr>
            <w:tcW w:w="133" w:type="dxa"/>
            <w:tcBorders/>
            <w:shd w:fill="auto" w:val="clear"/>
            <w:vAlign w:val="bottom"/>
          </w:tcPr>
          <w:p>
            <w:pPr>
              <w:pStyle w:val="TableContents"/>
              <w:spacing w:before="0" w:after="0"/>
              <w:ind w:left="0" w:right="0" w:hanging="0"/>
              <w:jc w:val="center"/>
              <w:rPr/>
            </w:pPr>
            <w:r>
              <w:rPr/>
              <w:t> </w:t>
            </w:r>
          </w:p>
        </w:tc>
      </w:tr>
      <w:tr>
        <w:trPr/>
        <w:tc>
          <w:tcPr>
            <w:tcW w:w="80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our senior unsecured revolving credit facility</w:t>
            </w:r>
          </w:p>
        </w:tc>
        <w:tc>
          <w:tcPr>
            <w:tcW w:w="223"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751</w:t>
            </w:r>
          </w:p>
        </w:tc>
        <w:tc>
          <w:tcPr>
            <w:tcW w:w="133" w:type="dxa"/>
            <w:tcBorders/>
            <w:shd w:fill="CCEEFF" w:val="clear"/>
            <w:vAlign w:val="bottom"/>
          </w:tcPr>
          <w:p>
            <w:pPr>
              <w:pStyle w:val="TableContents"/>
              <w:spacing w:before="0" w:after="0"/>
              <w:ind w:left="0" w:right="0" w:hanging="0"/>
              <w:rPr/>
            </w:pPr>
            <w:r>
              <w:rPr/>
              <w:t> </w:t>
            </w:r>
          </w:p>
        </w:tc>
      </w:tr>
      <w:tr>
        <w:trPr/>
        <w:tc>
          <w:tcPr>
            <w:tcW w:w="80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Availability under our senior secured hedged inventory facility</w:t>
            </w:r>
          </w:p>
        </w:tc>
        <w:tc>
          <w:tcPr>
            <w:tcW w:w="223" w:type="dxa"/>
            <w:tcBorders/>
            <w:shd w:fill="auto" w:val="clear"/>
            <w:vAlign w:val="bottom"/>
          </w:tcPr>
          <w:p>
            <w:pPr>
              <w:pStyle w:val="TableContents"/>
              <w:spacing w:before="0" w:after="0"/>
              <w:ind w:left="0" w:right="0" w:hanging="0"/>
              <w:rPr/>
            </w:pPr>
            <w:r>
              <w:rPr/>
              <w:t> </w:t>
            </w:r>
          </w:p>
        </w:tc>
        <w:tc>
          <w:tcPr>
            <w:tcW w:w="18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3" w:type="dxa"/>
            <w:tcBorders/>
            <w:shd w:fill="auto" w:val="clear"/>
            <w:vAlign w:val="bottom"/>
          </w:tcPr>
          <w:p>
            <w:pPr>
              <w:pStyle w:val="TableContents"/>
              <w:spacing w:before="0" w:after="0"/>
              <w:ind w:left="0" w:right="0" w:hanging="0"/>
              <w:rPr/>
            </w:pPr>
            <w:r>
              <w:rPr/>
              <w:t> </w:t>
            </w:r>
          </w:p>
        </w:tc>
      </w:tr>
      <w:tr>
        <w:trPr/>
        <w:tc>
          <w:tcPr>
            <w:tcW w:w="80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23" w:type="dxa"/>
            <w:tcBorders/>
            <w:shd w:fill="CCEEFF" w:val="clear"/>
            <w:vAlign w:val="bottom"/>
          </w:tcPr>
          <w:p>
            <w:pPr>
              <w:pStyle w:val="TableContents"/>
              <w:spacing w:before="0" w:after="0"/>
              <w:ind w:left="0" w:right="0" w:hanging="0"/>
              <w:rPr/>
            </w:pPr>
            <w:r>
              <w:rPr/>
              <w:t> </w:t>
            </w:r>
          </w:p>
        </w:tc>
        <w:tc>
          <w:tcPr>
            <w:tcW w:w="18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3" w:type="dxa"/>
            <w:tcBorders/>
            <w:shd w:fill="CCEEFF" w:val="clear"/>
            <w:vAlign w:val="bottom"/>
          </w:tcPr>
          <w:p>
            <w:pPr>
              <w:pStyle w:val="TableContents"/>
              <w:spacing w:before="0" w:after="0"/>
              <w:ind w:left="0" w:right="0" w:hanging="0"/>
              <w:rPr/>
            </w:pPr>
            <w:r>
              <w:rPr/>
              <w:t> </w:t>
            </w:r>
          </w:p>
        </w:tc>
      </w:tr>
      <w:tr>
        <w:trPr/>
        <w:tc>
          <w:tcPr>
            <w:tcW w:w="80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23"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976</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we had a working capital deficit of approximately $124 million. We believe that we have and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 adverse effect on our financial condition, results of operations or cash flows. Also, see Item 1A. Risk Factors for further discussion regarding such risks that may impact our liquidity and capital resources. Usage of the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74</w:t>
      </w:r>
      <w:bookmarkStart w:id="87" w:name="PB_74_090009_2897"/>
      <w:bookmarkEnd w:id="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Cash Flow from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In addition, our cash flow from operations may be impacted by the timing of settlement of our derivative activities. Gains and losses from settled instruments that qualify as effective cash flow hedges are deferred in AOCI, but may impact operating cash flow in the period settled.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periods when the market is not in contango, we typically sell our crude oil during the same month in which we purchase it and we do not rely on borrowings under our credit facilities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or linefill, regardless of market structure, we may rely on our credit facilities to pay for the inventory or linefill.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cash flow from operations was positively impacted by cash generated by our recurring operations. Our cash flow from operations can be significantly impacted in periods when we are increasing or decreasing the amount of inventory in storage. During 2009, we increased the amount of our inventory. The increase in inventory was due to both increased volumes and an increase in prices and was primarily related to our crude oil contango market storage activities. The net increased levels of inventory were financed through borrowings under our credit facilities and senior note issuances resulting in a negative impact to our operating cash flow for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2008, we also increased the amount of our inventory; however, these volumetric increases were offset by lower prices for our inventory stored at the end of the year compared to prior year amounts. The net proceeds received during the year were used to repay borrowings under our credit facilities and favorably impacted our cash flow from operating activities. The settlement of gains on derivatives that have been deferred in AOCI also had a significant positive impact in 2008 on our operating cash flows. During 2007 we reduced our overall inventory levels as we liquidated inventory that had been stored in the contango market. The proceeds from liquidating the inventory were used to repay borrowings under our credit facilities and favorably impacted our cash flow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Facilities and Long-Term 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we had approximately $751 million of available borrowing capacity under our $1.6 billion committed revolving credit facility. Of the capacity we utilized at December 31, 2009, approximately $76 million was associated with outstanding letters of credit and the remainder was borrowed. The majority of these borrowings relate to funding short term inventory purchases of LPG and crude oil. This credit facility, among other things, has a maturity date of July 2012, contains no Material Adverse Change language and can be expanded to $2.0 billion, subject to additional lender commitments. See Note 4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we had approximately $200 million of availability under our $500 million committed hedged inventory facility. The facilitys committed amount may be increased to $1.2 billion, subject to obtaining additional commitments from lenders. This facility is a 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 The facility matures on an annual basis beginning in October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several issues of senior debt outstanding that total approximately $4.2 billion, excluding premium or discount, and range in size from $150 million to $600 million and mature at various dates through 2037.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75</w:t>
      </w:r>
      <w:bookmarkStart w:id="88" w:name="PB_75_090009_3020"/>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and the indentures governing our senior notes contain cross-default provisions. A default under our credit facility would permit the lenders to accelerate the maturity of the outstanding debt. As long as we are in compliance with the provisions in our credit agreements, our ability to make distributions of available cash is not restricted. We are currently in compliance with the covenants contained in our credit agreements and indentures. See Note 4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LPG business and contango market activities. Our financing activities have primarily consisted of equity offerings, senior notes offerings and borrowings and repayments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As of December 31, 2009, approximately $2.0 billion of unsold securities remained available under our shelf registration statement declared effective on December 16, 2009. We also have access to a universal shelf registration statement, which provides us with the ability to offer and sell an unlimited amount of debt and equity securities, subject to market conditions and our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Offerings.</w:t>
      </w:r>
      <w:r>
        <w:rPr>
          <w:rFonts w:ascii="Times New Roman" w:hAnsi="Times New Roman"/>
        </w:rPr>
        <w:t xml:space="preserve">  </w:t>
      </w:r>
      <w:r>
        <w:rPr>
          <w:rFonts w:ascii="Times New Roman" w:hAnsi="Times New Roman"/>
          <w:sz w:val="17"/>
        </w:rPr>
        <w:t>During the last three years we completed several equity offerings as summarized in the table below (net proceeds in millions). Certain of these offerings involved related parties. See Note 9 to our Consolidated Financial Statements.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586"/>
        <w:gridCol w:w="201"/>
        <w:gridCol w:w="151"/>
        <w:gridCol w:w="1314"/>
        <w:gridCol w:w="201"/>
        <w:gridCol w:w="1549"/>
        <w:gridCol w:w="201"/>
        <w:gridCol w:w="151"/>
        <w:gridCol w:w="1314"/>
        <w:gridCol w:w="201"/>
        <w:gridCol w:w="1548"/>
        <w:gridCol w:w="201"/>
        <w:gridCol w:w="151"/>
        <w:gridCol w:w="1314"/>
        <w:gridCol w:w="122"/>
      </w:tblGrid>
      <w:tr>
        <w:trPr/>
        <w:tc>
          <w:tcPr>
            <w:tcW w:w="3252" w:type="dxa"/>
            <w:gridSpan w:val="4"/>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15" w:type="dxa"/>
            <w:gridSpan w:val="4"/>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3214" w:type="dxa"/>
            <w:gridSpan w:val="4"/>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22" w:type="dxa"/>
            <w:tcBorders/>
            <w:shd w:fill="auto" w:val="clear"/>
            <w:tcMar>
              <w:bottom w:w="0" w:type="dxa"/>
            </w:tcMar>
            <w:vAlign w:val="bottom"/>
          </w:tcPr>
          <w:p>
            <w:pPr>
              <w:pStyle w:val="TableContents"/>
              <w:spacing w:before="0" w:after="0"/>
              <w:ind w:left="0" w:right="0" w:hanging="0"/>
              <w:jc w:val="center"/>
              <w:rPr/>
            </w:pPr>
            <w:r>
              <w:rPr/>
              <w:t> </w:t>
            </w:r>
          </w:p>
        </w:tc>
      </w:tr>
      <w:tr>
        <w:trPr/>
        <w:tc>
          <w:tcPr>
            <w:tcW w:w="158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1465"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Net</w:t>
            </w:r>
            <w:r>
              <w:rPr>
                <w:b/>
                <w:sz w:val="13"/>
              </w:rPr>
              <w:br/>
              <w:t xml:space="preserve">Proceeds </w:t>
            </w:r>
            <w:r>
              <w:rPr>
                <w:b/>
                <w:sz w:val="8"/>
              </w:rPr>
              <w:t>(1)</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154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1465"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Net</w:t>
            </w:r>
            <w:r>
              <w:rPr>
                <w:b/>
                <w:sz w:val="13"/>
              </w:rPr>
              <w:br/>
              <w:t xml:space="preserve">Proceeds </w:t>
            </w:r>
            <w:r>
              <w:rPr>
                <w:b/>
                <w:sz w:val="8"/>
              </w:rPr>
              <w:t>(1)</w:t>
            </w:r>
          </w:p>
        </w:tc>
        <w:tc>
          <w:tcPr>
            <w:tcW w:w="201" w:type="dxa"/>
            <w:tcBorders/>
            <w:shd w:fill="auto" w:val="clear"/>
            <w:tcMar>
              <w:bottom w:w="0" w:type="dxa"/>
            </w:tcMar>
            <w:vAlign w:val="bottom"/>
          </w:tcPr>
          <w:p>
            <w:pPr>
              <w:pStyle w:val="TableContents"/>
              <w:spacing w:before="0" w:after="0"/>
              <w:ind w:left="0" w:right="0" w:hanging="0"/>
              <w:jc w:val="center"/>
              <w:rPr/>
            </w:pPr>
            <w:r>
              <w:rPr/>
              <w:t> </w:t>
            </w:r>
          </w:p>
        </w:tc>
        <w:tc>
          <w:tcPr>
            <w:tcW w:w="154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1" w:type="dxa"/>
            <w:tcBorders>
              <w:top w:val="single" w:sz="8" w:space="0" w:color="000000"/>
            </w:tcBorders>
            <w:shd w:fill="auto" w:val="clear"/>
            <w:tcMar>
              <w:top w:w="28" w:type="dxa"/>
              <w:bottom w:w="0" w:type="dxa"/>
            </w:tcMar>
            <w:vAlign w:val="bottom"/>
          </w:tcPr>
          <w:p>
            <w:pPr>
              <w:pStyle w:val="TableContents"/>
              <w:spacing w:before="0" w:after="0"/>
              <w:ind w:left="0" w:right="0" w:hanging="0"/>
              <w:jc w:val="center"/>
              <w:rPr/>
            </w:pPr>
            <w:r>
              <w:rPr/>
              <w:t> </w:t>
            </w:r>
          </w:p>
        </w:tc>
        <w:tc>
          <w:tcPr>
            <w:tcW w:w="1465" w:type="dxa"/>
            <w:gridSpan w:val="2"/>
            <w:tcBorders>
              <w:top w:val="single" w:sz="8" w:space="0" w:color="000000"/>
              <w:bottom w:val="single" w:sz="8" w:space="0" w:color="000000"/>
            </w:tcBorders>
            <w:shd w:fill="auto" w:val="clear"/>
            <w:tcMar>
              <w:top w:w="28" w:type="dxa"/>
            </w:tcMar>
            <w:vAlign w:val="bottom"/>
          </w:tcPr>
          <w:p>
            <w:pPr>
              <w:pStyle w:val="TableContents"/>
              <w:spacing w:before="0" w:after="0"/>
              <w:ind w:left="0" w:right="0" w:hanging="0"/>
              <w:jc w:val="center"/>
              <w:rPr/>
            </w:pPr>
            <w:r>
              <w:rPr>
                <w:rFonts w:ascii="Times New Roman" w:hAnsi="Times New Roman"/>
                <w:b/>
                <w:sz w:val="13"/>
              </w:rPr>
              <w:t>Net</w:t>
            </w:r>
            <w:r>
              <w:rPr>
                <w:b/>
                <w:sz w:val="13"/>
              </w:rPr>
              <w:br/>
              <w:t xml:space="preserve">Proceeds </w:t>
            </w:r>
            <w:r>
              <w:rPr>
                <w:b/>
                <w:sz w:val="8"/>
              </w:rPr>
              <w:t>(1)</w:t>
            </w:r>
          </w:p>
        </w:tc>
        <w:tc>
          <w:tcPr>
            <w:tcW w:w="122" w:type="dxa"/>
            <w:tcBorders/>
            <w:shd w:fill="auto" w:val="clear"/>
            <w:tcMar>
              <w:bottom w:w="0" w:type="dxa"/>
            </w:tcMar>
            <w:vAlign w:val="bottom"/>
          </w:tcPr>
          <w:p>
            <w:pPr>
              <w:pStyle w:val="TableContents"/>
              <w:spacing w:before="0" w:after="0"/>
              <w:ind w:left="0" w:right="0" w:hanging="0"/>
              <w:jc w:val="center"/>
              <w:rPr/>
            </w:pPr>
            <w:r>
              <w:rPr/>
              <w:t> </w:t>
            </w:r>
          </w:p>
        </w:tc>
      </w:tr>
      <w:tr>
        <w:trPr/>
        <w:tc>
          <w:tcPr>
            <w:tcW w:w="158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11,040,000</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5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54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6,900,000</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5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54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6,296,172</w:t>
            </w:r>
          </w:p>
        </w:tc>
        <w:tc>
          <w:tcPr>
            <w:tcW w:w="201" w:type="dxa"/>
            <w:tcBorders/>
            <w:shd w:fill="CCEEFF" w:val="clear"/>
            <w:tcMar>
              <w:bottom w:w="0" w:type="dxa"/>
            </w:tcMar>
            <w:vAlign w:val="bottom"/>
          </w:tcPr>
          <w:p>
            <w:pPr>
              <w:pStyle w:val="TableContents"/>
              <w:spacing w:before="0" w:after="0"/>
              <w:ind w:left="0" w:right="0" w:hanging="0"/>
              <w:rPr/>
            </w:pPr>
            <w:r>
              <w:rPr/>
              <w:t> </w:t>
            </w:r>
          </w:p>
        </w:tc>
        <w:tc>
          <w:tcPr>
            <w:tcW w:w="15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22" w:type="dxa"/>
            <w:tcBorders/>
            <w:shd w:fill="CCEEFF" w:val="clear"/>
            <w:tcMar>
              <w:bottom w:w="0" w:type="dxa"/>
            </w:tcMar>
            <w:vAlign w:val="bottom"/>
          </w:tcPr>
          <w:p>
            <w:pPr>
              <w:pStyle w:val="TableContents"/>
              <w:spacing w:before="0" w:after="0"/>
              <w:ind w:left="0" w:right="0" w:hanging="0"/>
              <w:rPr/>
            </w:pPr>
            <w:r>
              <w:rPr/>
              <w:t> </w:t>
            </w:r>
          </w:p>
        </w:tc>
      </w:tr>
      <w:tr>
        <w:trPr/>
        <w:tc>
          <w:tcPr>
            <w:tcW w:w="1586"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151" w:type="dxa"/>
            <w:tcBorders/>
            <w:shd w:fill="auto" w:val="clear"/>
            <w:tcMar>
              <w:bottom w:w="0" w:type="dxa"/>
            </w:tcMar>
            <w:vAlign w:val="center"/>
          </w:tcPr>
          <w:p>
            <w:pPr>
              <w:pStyle w:val="TableContents"/>
              <w:spacing w:before="0" w:after="283"/>
              <w:rPr>
                <w:sz w:val="4"/>
                <w:szCs w:val="4"/>
              </w:rPr>
            </w:pPr>
            <w:r>
              <w:rPr>
                <w:sz w:val="4"/>
                <w:szCs w:val="4"/>
              </w:rPr>
            </w:r>
          </w:p>
        </w:tc>
        <w:tc>
          <w:tcPr>
            <w:tcW w:w="1314"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1549"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151" w:type="dxa"/>
            <w:tcBorders/>
            <w:shd w:fill="auto" w:val="clear"/>
            <w:tcMar>
              <w:bottom w:w="0" w:type="dxa"/>
            </w:tcMar>
            <w:vAlign w:val="center"/>
          </w:tcPr>
          <w:p>
            <w:pPr>
              <w:pStyle w:val="TableContents"/>
              <w:spacing w:before="0" w:after="283"/>
              <w:rPr>
                <w:sz w:val="4"/>
                <w:szCs w:val="4"/>
              </w:rPr>
            </w:pPr>
            <w:r>
              <w:rPr>
                <w:sz w:val="4"/>
                <w:szCs w:val="4"/>
              </w:rPr>
            </w:r>
          </w:p>
        </w:tc>
        <w:tc>
          <w:tcPr>
            <w:tcW w:w="1314"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1548" w:type="dxa"/>
            <w:tcBorders/>
            <w:shd w:fill="auto" w:val="clear"/>
            <w:tcMar>
              <w:bottom w:w="0" w:type="dxa"/>
            </w:tcMar>
            <w:vAlign w:val="center"/>
          </w:tcPr>
          <w:p>
            <w:pPr>
              <w:pStyle w:val="TableContents"/>
              <w:spacing w:before="0" w:after="283"/>
              <w:rPr>
                <w:sz w:val="4"/>
                <w:szCs w:val="4"/>
              </w:rPr>
            </w:pPr>
            <w:r>
              <w:rPr>
                <w:sz w:val="4"/>
                <w:szCs w:val="4"/>
              </w:rPr>
            </w:r>
          </w:p>
        </w:tc>
        <w:tc>
          <w:tcPr>
            <w:tcW w:w="201" w:type="dxa"/>
            <w:tcBorders/>
            <w:shd w:fill="auto" w:val="clear"/>
            <w:tcMar>
              <w:bottom w:w="0" w:type="dxa"/>
            </w:tcMar>
            <w:vAlign w:val="center"/>
          </w:tcPr>
          <w:p>
            <w:pPr>
              <w:pStyle w:val="TableContents"/>
              <w:spacing w:before="0" w:after="283"/>
              <w:rPr>
                <w:sz w:val="4"/>
                <w:szCs w:val="4"/>
              </w:rPr>
            </w:pPr>
            <w:r>
              <w:rPr>
                <w:sz w:val="4"/>
                <w:szCs w:val="4"/>
              </w:rPr>
            </w:r>
          </w:p>
        </w:tc>
        <w:tc>
          <w:tcPr>
            <w:tcW w:w="151" w:type="dxa"/>
            <w:tcBorders/>
            <w:shd w:fill="auto" w:val="clear"/>
            <w:tcMar>
              <w:bottom w:w="0" w:type="dxa"/>
            </w:tcMar>
            <w:vAlign w:val="center"/>
          </w:tcPr>
          <w:p>
            <w:pPr>
              <w:pStyle w:val="TableContents"/>
              <w:spacing w:before="0" w:after="283"/>
              <w:rPr>
                <w:sz w:val="4"/>
                <w:szCs w:val="4"/>
              </w:rPr>
            </w:pPr>
            <w:r>
              <w:rPr>
                <w:sz w:val="4"/>
                <w:szCs w:val="4"/>
              </w:rPr>
            </w:r>
          </w:p>
        </w:tc>
        <w:tc>
          <w:tcPr>
            <w:tcW w:w="1314" w:type="dxa"/>
            <w:tcBorders/>
            <w:shd w:fill="auto" w:val="clear"/>
            <w:tcMar>
              <w:bottom w:w="0" w:type="dxa"/>
            </w:tcMar>
            <w:vAlign w:val="center"/>
          </w:tcPr>
          <w:p>
            <w:pPr>
              <w:pStyle w:val="TableContents"/>
              <w:spacing w:before="0" w:after="283"/>
              <w:rPr>
                <w:sz w:val="4"/>
                <w:szCs w:val="4"/>
              </w:rPr>
            </w:pPr>
            <w:r>
              <w:rPr>
                <w:sz w:val="4"/>
                <w:szCs w:val="4"/>
              </w:rPr>
            </w:r>
          </w:p>
        </w:tc>
        <w:tc>
          <w:tcPr>
            <w:tcW w:w="122"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our general partners proportionate capital contribution and is net of costs associated with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Senior Notes.</w:t>
      </w:r>
      <w:r>
        <w:rPr>
          <w:rFonts w:ascii="Times New Roman" w:hAnsi="Times New Roman"/>
        </w:rPr>
        <w:t xml:space="preserve">  </w:t>
      </w:r>
      <w:r>
        <w:rPr>
          <w:rFonts w:ascii="Times New Roman" w:hAnsi="Times New Roman"/>
          <w:sz w:val="17"/>
        </w:rPr>
        <w:t>During the last three years we completed the sale of senior unsecured notes as summarized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067"/>
        <w:gridCol w:w="296"/>
        <w:gridCol w:w="4012"/>
        <w:gridCol w:w="206"/>
        <w:gridCol w:w="1679"/>
        <w:gridCol w:w="206"/>
        <w:gridCol w:w="138"/>
        <w:gridCol w:w="1029"/>
        <w:gridCol w:w="206"/>
        <w:gridCol w:w="159"/>
        <w:gridCol w:w="1084"/>
        <w:gridCol w:w="123"/>
      </w:tblGrid>
      <w:tr>
        <w:trPr/>
        <w:tc>
          <w:tcPr>
            <w:tcW w:w="106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96" w:type="dxa"/>
            <w:tcBorders/>
            <w:shd w:fill="auto" w:val="clear"/>
            <w:tcMar>
              <w:bottom w:w="0" w:type="dxa"/>
            </w:tcMar>
            <w:vAlign w:val="bottom"/>
          </w:tcPr>
          <w:p>
            <w:pPr>
              <w:pStyle w:val="TableContents"/>
              <w:spacing w:before="0" w:after="0"/>
              <w:ind w:left="0" w:right="0" w:hanging="0"/>
              <w:jc w:val="center"/>
              <w:rPr/>
            </w:pPr>
            <w:r>
              <w:rPr/>
              <w:t> </w:t>
            </w:r>
          </w:p>
        </w:tc>
        <w:tc>
          <w:tcPr>
            <w:tcW w:w="401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6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Maturity</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167"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Face Value</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243"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Net Proceeds</w:t>
            </w:r>
            <w:r>
              <w:rPr>
                <w:b/>
                <w:sz w:val="8"/>
              </w:rPr>
              <w:t>(1)</w:t>
            </w:r>
          </w:p>
        </w:tc>
        <w:tc>
          <w:tcPr>
            <w:tcW w:w="123" w:type="dxa"/>
            <w:tcBorders/>
            <w:shd w:fill="auto" w:val="clear"/>
            <w:tcMar>
              <w:bottom w:w="0" w:type="dxa"/>
            </w:tcMar>
            <w:vAlign w:val="bottom"/>
          </w:tcPr>
          <w:p>
            <w:pPr>
              <w:pStyle w:val="TableContents"/>
              <w:spacing w:before="0" w:after="0"/>
              <w:ind w:left="0" w:right="0" w:hanging="0"/>
              <w:jc w:val="center"/>
              <w:rPr/>
            </w:pPr>
            <w:r>
              <w:rPr/>
              <w:t> </w:t>
            </w:r>
          </w:p>
        </w:tc>
      </w:tr>
      <w:tr>
        <w:trPr/>
        <w:tc>
          <w:tcPr>
            <w:tcW w:w="1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296" w:type="dxa"/>
            <w:tcBorders/>
            <w:shd w:fill="CCEEFF" w:val="clear"/>
            <w:tcMar>
              <w:bottom w:w="0" w:type="dxa"/>
            </w:tcMar>
            <w:vAlign w:val="bottom"/>
          </w:tcPr>
          <w:p>
            <w:pPr>
              <w:pStyle w:val="TableContents"/>
              <w:spacing w:before="0" w:after="0"/>
              <w:ind w:left="0" w:right="0" w:hanging="0"/>
              <w:rPr/>
            </w:pPr>
            <w:r>
              <w:rPr/>
              <w:t> </w:t>
            </w:r>
          </w:p>
        </w:tc>
        <w:tc>
          <w:tcPr>
            <w:tcW w:w="401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5.75% Senior Notes issued at 99.523% of face value </w:t>
            </w:r>
            <w:r>
              <w:rPr>
                <w:sz w:val="11"/>
              </w:rPr>
              <w:t>(2)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67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2020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5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w:t>
            </w:r>
          </w:p>
        </w:tc>
        <w:tc>
          <w:tcPr>
            <w:tcW w:w="123" w:type="dxa"/>
            <w:tcBorders/>
            <w:shd w:fill="CCEEFF" w:val="clear"/>
            <w:tcMar>
              <w:bottom w:w="0" w:type="dxa"/>
            </w:tcMar>
            <w:vAlign w:val="bottom"/>
          </w:tcPr>
          <w:p>
            <w:pPr>
              <w:pStyle w:val="TableContents"/>
              <w:spacing w:before="0" w:after="0"/>
              <w:ind w:left="0" w:right="0" w:hanging="0"/>
              <w:rPr/>
            </w:pPr>
            <w:r>
              <w:rPr/>
              <w:t> </w:t>
            </w:r>
          </w:p>
        </w:tc>
      </w:tr>
      <w:tr>
        <w:trPr/>
        <w:tc>
          <w:tcPr>
            <w:tcW w:w="1067" w:type="dxa"/>
            <w:tcBorders/>
            <w:shd w:fill="auto" w:val="clear"/>
            <w:tcMar>
              <w:bottom w:w="0" w:type="dxa"/>
            </w:tcMar>
            <w:vAlign w:val="bottom"/>
          </w:tcPr>
          <w:p>
            <w:pPr>
              <w:pStyle w:val="TableContents"/>
              <w:spacing w:before="0" w:after="0"/>
              <w:ind w:left="0" w:right="0" w:hanging="0"/>
              <w:rPr/>
            </w:pPr>
            <w:r>
              <w:rPr/>
              <w:t> </w:t>
            </w:r>
          </w:p>
        </w:tc>
        <w:tc>
          <w:tcPr>
            <w:tcW w:w="296" w:type="dxa"/>
            <w:tcBorders/>
            <w:shd w:fill="auto" w:val="clear"/>
            <w:tcMar>
              <w:bottom w:w="0" w:type="dxa"/>
            </w:tcMar>
            <w:vAlign w:val="bottom"/>
          </w:tcPr>
          <w:p>
            <w:pPr>
              <w:pStyle w:val="TableContents"/>
              <w:spacing w:before="0" w:after="0"/>
              <w:ind w:left="0" w:right="0" w:hanging="0"/>
              <w:rPr/>
            </w:pPr>
            <w:r>
              <w:rPr/>
              <w:t> </w:t>
            </w:r>
          </w:p>
        </w:tc>
        <w:tc>
          <w:tcPr>
            <w:tcW w:w="40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4.25% Senior Notes issued at 99.802% of face value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67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September 2012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3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5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497</w:t>
            </w:r>
          </w:p>
        </w:tc>
        <w:tc>
          <w:tcPr>
            <w:tcW w:w="123" w:type="dxa"/>
            <w:tcBorders/>
            <w:shd w:fill="auto" w:val="clear"/>
            <w:tcMar>
              <w:bottom w:w="0" w:type="dxa"/>
            </w:tcMar>
            <w:vAlign w:val="bottom"/>
          </w:tcPr>
          <w:p>
            <w:pPr>
              <w:pStyle w:val="TableContents"/>
              <w:spacing w:before="0" w:after="0"/>
              <w:ind w:left="0" w:right="0" w:hanging="0"/>
              <w:rPr/>
            </w:pPr>
            <w:r>
              <w:rPr/>
              <w:t> </w:t>
            </w:r>
          </w:p>
        </w:tc>
      </w:tr>
      <w:tr>
        <w:trPr/>
        <w:tc>
          <w:tcPr>
            <w:tcW w:w="1067" w:type="dxa"/>
            <w:tcBorders/>
            <w:shd w:fill="CCEEFF" w:val="clear"/>
            <w:tcMar>
              <w:bottom w:w="0" w:type="dxa"/>
            </w:tcMar>
            <w:vAlign w:val="bottom"/>
          </w:tcPr>
          <w:p>
            <w:pPr>
              <w:pStyle w:val="TableContents"/>
              <w:spacing w:before="0" w:after="0"/>
              <w:ind w:left="0" w:right="0" w:hanging="0"/>
              <w:rPr/>
            </w:pPr>
            <w:r>
              <w:rPr/>
              <w:t> </w:t>
            </w:r>
          </w:p>
        </w:tc>
        <w:tc>
          <w:tcPr>
            <w:tcW w:w="296" w:type="dxa"/>
            <w:tcBorders/>
            <w:shd w:fill="CCEEFF" w:val="clear"/>
            <w:tcMar>
              <w:bottom w:w="0" w:type="dxa"/>
            </w:tcMar>
            <w:vAlign w:val="bottom"/>
          </w:tcPr>
          <w:p>
            <w:pPr>
              <w:pStyle w:val="TableContents"/>
              <w:spacing w:before="0" w:after="0"/>
              <w:ind w:left="0" w:right="0" w:hanging="0"/>
              <w:rPr/>
            </w:pPr>
            <w:r>
              <w:rPr/>
              <w:t> </w:t>
            </w:r>
          </w:p>
        </w:tc>
        <w:tc>
          <w:tcPr>
            <w:tcW w:w="4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issued at 99.994% of face value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67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May 2019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5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23" w:type="dxa"/>
            <w:tcBorders/>
            <w:shd w:fill="CCEEFF" w:val="clear"/>
            <w:tcMar>
              <w:bottom w:w="0" w:type="dxa"/>
            </w:tcMar>
            <w:vAlign w:val="bottom"/>
          </w:tcPr>
          <w:p>
            <w:pPr>
              <w:pStyle w:val="TableContents"/>
              <w:spacing w:before="0" w:after="0"/>
              <w:ind w:left="0" w:right="0" w:hanging="0"/>
              <w:rPr/>
            </w:pPr>
            <w:r>
              <w:rPr/>
              <w:t> </w:t>
            </w:r>
          </w:p>
        </w:tc>
      </w:tr>
      <w:tr>
        <w:trPr/>
        <w:tc>
          <w:tcPr>
            <w:tcW w:w="1067" w:type="dxa"/>
            <w:tcBorders/>
            <w:shd w:fill="auto" w:val="clear"/>
            <w:tcMar>
              <w:bottom w:w="0" w:type="dxa"/>
            </w:tcMar>
            <w:vAlign w:val="bottom"/>
          </w:tcPr>
          <w:p>
            <w:pPr>
              <w:pStyle w:val="TableContents"/>
              <w:spacing w:before="0" w:after="0"/>
              <w:ind w:left="0" w:right="0" w:hanging="0"/>
              <w:rPr/>
            </w:pPr>
            <w:r>
              <w:rPr/>
              <w:t> </w:t>
            </w:r>
          </w:p>
        </w:tc>
        <w:tc>
          <w:tcPr>
            <w:tcW w:w="296" w:type="dxa"/>
            <w:tcBorders/>
            <w:shd w:fill="auto" w:val="clear"/>
            <w:tcMar>
              <w:bottom w:w="0" w:type="dxa"/>
            </w:tcMar>
            <w:vAlign w:val="bottom"/>
          </w:tcPr>
          <w:p>
            <w:pPr>
              <w:pStyle w:val="TableContents"/>
              <w:spacing w:before="0" w:after="0"/>
              <w:ind w:left="0" w:right="0" w:hanging="0"/>
              <w:rPr/>
            </w:pPr>
            <w:r>
              <w:rPr/>
              <w:t> </w:t>
            </w:r>
          </w:p>
        </w:tc>
        <w:tc>
          <w:tcPr>
            <w:tcW w:w="4012" w:type="dxa"/>
            <w:tcBorders/>
            <w:shd w:fill="auto" w:val="clear"/>
            <w:tcMar>
              <w:bottom w:w="0" w:type="dxa"/>
            </w:tcMar>
            <w:vAlign w:val="bottom"/>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679" w:type="dxa"/>
            <w:tcBorders/>
            <w:shd w:fill="auto" w:val="clear"/>
            <w:tcMar>
              <w:bottom w:w="0" w:type="dxa"/>
            </w:tcMar>
            <w:vAlign w:val="bottom"/>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167" w:type="dxa"/>
            <w:gridSpan w:val="2"/>
            <w:tcBorders/>
            <w:shd w:fill="auto" w:val="clear"/>
            <w:tcMar>
              <w:bottom w:w="0" w:type="dxa"/>
            </w:tcMar>
            <w:vAlign w:val="bottom"/>
          </w:tcPr>
          <w:p>
            <w:pPr>
              <w:pStyle w:val="TableContents"/>
              <w:spacing w:before="0" w:after="0"/>
              <w:ind w:left="0" w:right="0" w:hanging="0"/>
              <w:jc w:val="right"/>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243" w:type="dxa"/>
            <w:gridSpan w:val="2"/>
            <w:tcBorders/>
            <w:shd w:fill="auto" w:val="clear"/>
            <w:tcMar>
              <w:bottom w:w="0" w:type="dxa"/>
            </w:tcMar>
            <w:vAlign w:val="bottom"/>
          </w:tcPr>
          <w:p>
            <w:pPr>
              <w:pStyle w:val="TableContents"/>
              <w:spacing w:before="0" w:after="0"/>
              <w:ind w:left="0" w:right="0" w:hanging="0"/>
              <w:jc w:val="right"/>
              <w:rPr/>
            </w:pPr>
            <w:r>
              <w:rPr/>
              <w:t> </w:t>
            </w:r>
          </w:p>
        </w:tc>
        <w:tc>
          <w:tcPr>
            <w:tcW w:w="123" w:type="dxa"/>
            <w:tcBorders/>
            <w:shd w:fill="auto" w:val="clear"/>
            <w:tcMar>
              <w:bottom w:w="0" w:type="dxa"/>
            </w:tcMar>
            <w:vAlign w:val="bottom"/>
          </w:tcPr>
          <w:p>
            <w:pPr>
              <w:pStyle w:val="TableContents"/>
              <w:spacing w:before="0" w:after="0"/>
              <w:ind w:left="0" w:right="0" w:hanging="0"/>
              <w:rPr/>
            </w:pPr>
            <w:r>
              <w:rPr/>
              <w:t> </w:t>
            </w:r>
          </w:p>
        </w:tc>
      </w:tr>
      <w:tr>
        <w:trPr/>
        <w:tc>
          <w:tcPr>
            <w:tcW w:w="106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2008</w:t>
            </w:r>
          </w:p>
        </w:tc>
        <w:tc>
          <w:tcPr>
            <w:tcW w:w="296" w:type="dxa"/>
            <w:tcBorders/>
            <w:shd w:fill="CCEEFF" w:val="clear"/>
            <w:tcMar>
              <w:bottom w:w="0" w:type="dxa"/>
            </w:tcMar>
            <w:vAlign w:val="bottom"/>
          </w:tcPr>
          <w:p>
            <w:pPr>
              <w:pStyle w:val="TableContents"/>
              <w:spacing w:before="0" w:after="0"/>
              <w:ind w:left="0" w:right="0" w:hanging="0"/>
              <w:rPr/>
            </w:pPr>
            <w:r>
              <w:rPr/>
              <w:t> </w:t>
            </w:r>
          </w:p>
        </w:tc>
        <w:tc>
          <w:tcPr>
            <w:tcW w:w="40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 Senior Notes issued at 99.424% of face value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67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May 2018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3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5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23"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Face value of notes less the applicable premium or discount (before deducting for initial purchaser discounts, commissions and offering expenses).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used the net proceeds from this offering to repay outstanding borrowings under our credit facilities, a portion of which was used to fund the cash requirements of the PNGS acquisition (which included repayment of all of PNGSs debt).  In addition, we used a portion of the proceeds to redeem all of our outstanding $250 million 7.13% senior notes due 2014 (in conjunction with the early redemption of these notes, we recognized a loss of approximately $4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August 15, 2009, our $175 million senior notes matured. We utilized cash on hand and available capacity under our credit facilities to retire these senior 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76</w:t>
      </w:r>
      <w:bookmarkStart w:id="89" w:name="PB_76_090009_7748"/>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Credit Facilities.</w:t>
      </w:r>
      <w:r>
        <w:rPr>
          <w:rFonts w:ascii="Times New Roman" w:hAnsi="Times New Roman"/>
        </w:rPr>
        <w:t xml:space="preserve">  </w:t>
      </w:r>
      <w:r>
        <w:rPr>
          <w:rFonts w:ascii="Times New Roman" w:hAnsi="Times New Roman"/>
          <w:sz w:val="17"/>
        </w:rPr>
        <w:t>During the year ended December 31, 2009, we had net borrowings on our revolving credit facility and our hedged inventory facility of approximately $1 million.  During the year ended December 31, 2008, we had net working capital and hedged inventory borrowings of approximately $90 million. These net borrowings were used primarily for purchases of LPG inventory that was stored. During the year ended December 31, 2007, we had net working capital and hedged inventory repayments of approximately $54 million. These repayments resulted primarily from sales of crude oil inventory that was stored and subsequently liquidated as we transitioned to backwardated market conditions, partially offset by higher levels of stored LPG inventory. See Cash Flow from Operations above.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Capital Expenditures and Distributions Paid to Our Unitholders and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cash primarily for our acquisition activities, internal growth projects and distributions paid to our unitholders and general partner. We have made and will continue to make capital expenditures for acquisitions, expansion capital and maintenance capital. Historically, we have financed these expenditures primarily with cash generated by operations and the financing activities discussed above. See Acquisitions and Internal Growth Projects for further discussion for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Acquisitions.</w:t>
      </w:r>
      <w:r>
        <w:rPr>
          <w:rFonts w:ascii="Times New Roman" w:hAnsi="Times New Roman"/>
        </w:rPr>
        <w:t xml:space="preserve">  </w:t>
      </w:r>
      <w:r>
        <w:rPr>
          <w:rFonts w:ascii="Times New Roman" w:hAnsi="Times New Roman"/>
          <w:sz w:val="17"/>
        </w:rPr>
        <w:t>The price of the acquisitions includes cash paid, assumed liabilities and net working capital items. Because of the non-cash items included in the total price of the acquisition and the timing of certain cash payments, the net cash paid may differ significantly from the total price of the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2010 Capital Expansion Projects.</w:t>
      </w:r>
      <w:r>
        <w:rPr>
          <w:rFonts w:ascii="Times New Roman" w:hAnsi="Times New Roman"/>
        </w:rPr>
        <w:t xml:space="preserve">  </w:t>
      </w:r>
      <w:r>
        <w:rPr>
          <w:rFonts w:ascii="Times New Roman" w:hAnsi="Times New Roman"/>
          <w:sz w:val="17"/>
        </w:rPr>
        <w:t xml:space="preserve">The majority of funding for our 2010 capital program will be provided by revolver borrowings and cash flow in excess of partnership distributions. This will allow us to fund these capital projects without need to access the capital markets for equity or debt. Our 2010 capital expansion program includes the following projects with the estimated cost for the entire year (in millions):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05"/>
        <w:gridCol w:w="212"/>
        <w:gridCol w:w="116"/>
        <w:gridCol w:w="1060"/>
        <w:gridCol w:w="112"/>
      </w:tblGrid>
      <w:tr>
        <w:trPr/>
        <w:tc>
          <w:tcPr>
            <w:tcW w:w="8705" w:type="dxa"/>
            <w:tcBorders>
              <w:bottom w:val="single" w:sz="8" w:space="0" w:color="000000"/>
            </w:tcBorders>
            <w:shd w:fill="auto" w:val="clear"/>
            <w:vAlign w:val="bottom"/>
          </w:tcPr>
          <w:p>
            <w:pPr>
              <w:pStyle w:val="TableContents"/>
              <w:spacing w:before="0" w:after="0"/>
              <w:ind w:left="0" w:right="0" w:hanging="0"/>
              <w:rPr>
                <w:rFonts w:ascii="Times New Roman" w:hAnsi="Times New Roman"/>
                <w:b/>
                <w:color w:val="000000"/>
                <w:sz w:val="13"/>
              </w:rPr>
            </w:pPr>
            <w:r>
              <w:rPr>
                <w:rFonts w:ascii="Times New Roman" w:hAnsi="Times New Roman"/>
                <w:b/>
                <w:color w:val="000000"/>
                <w:sz w:val="13"/>
              </w:rPr>
              <w:t>Projects</w:t>
            </w:r>
          </w:p>
        </w:tc>
        <w:tc>
          <w:tcPr>
            <w:tcW w:w="212" w:type="dxa"/>
            <w:tcBorders/>
            <w:shd w:fill="auto" w:val="clear"/>
            <w:tcMar>
              <w:bottom w:w="0" w:type="dxa"/>
            </w:tcMar>
            <w:vAlign w:val="bottom"/>
          </w:tcPr>
          <w:p>
            <w:pPr>
              <w:pStyle w:val="TableContents"/>
              <w:spacing w:before="0" w:after="0"/>
              <w:ind w:left="0" w:right="0" w:hanging="0"/>
              <w:jc w:val="center"/>
              <w:rPr>
                <w:color w:val="000000"/>
              </w:rPr>
            </w:pPr>
            <w:r>
              <w:rPr>
                <w:color w:val="000000"/>
              </w:rPr>
              <w:t> </w:t>
            </w:r>
          </w:p>
        </w:tc>
        <w:tc>
          <w:tcPr>
            <w:tcW w:w="117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color w:val="000000"/>
                <w:sz w:val="13"/>
              </w:rPr>
            </w:pPr>
            <w:r>
              <w:rPr>
                <w:rFonts w:ascii="Times New Roman" w:hAnsi="Times New Roman"/>
                <w:b/>
                <w:color w:val="000000"/>
                <w:sz w:val="13"/>
              </w:rPr>
              <w:t>2010</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8705" w:type="dxa"/>
            <w:tcBorders/>
            <w:shd w:fill="CCEEFF"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Patoka - Phase III</w:t>
            </w:r>
          </w:p>
        </w:tc>
        <w:tc>
          <w:tcPr>
            <w:tcW w:w="212" w:type="dxa"/>
            <w:tcBorders/>
            <w:shd w:fill="CCEEFF" w:val="clear"/>
            <w:tcMar>
              <w:bottom w:w="0" w:type="dxa"/>
            </w:tcMar>
          </w:tcPr>
          <w:p>
            <w:pPr>
              <w:pStyle w:val="TableContents"/>
              <w:spacing w:before="0" w:after="0"/>
              <w:ind w:left="0" w:right="0" w:hanging="0"/>
              <w:jc w:val="right"/>
              <w:rPr>
                <w:color w:val="000000"/>
              </w:rPr>
            </w:pPr>
            <w:r>
              <w:rPr>
                <w:color w:val="000000"/>
              </w:rPr>
              <w:t> </w:t>
            </w:r>
          </w:p>
        </w:tc>
        <w:tc>
          <w:tcPr>
            <w:tcW w:w="116" w:type="dxa"/>
            <w:tcBorders/>
            <w:shd w:fill="CCEEFF" w:val="clear"/>
            <w:tcMar>
              <w:bottom w:w="0" w:type="dxa"/>
            </w:tcM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60"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24</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705" w:type="dxa"/>
            <w:tcBorders/>
            <w:shd w:fill="auto"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West Texas gathering lines</w:t>
            </w:r>
          </w:p>
        </w:tc>
        <w:tc>
          <w:tcPr>
            <w:tcW w:w="212" w:type="dxa"/>
            <w:tcBorders/>
            <w:shd w:fill="auto"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auto"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18</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705" w:type="dxa"/>
            <w:tcBorders/>
            <w:shd w:fill="CCEEFF"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Bumstead facility upgrade</w:t>
            </w:r>
          </w:p>
        </w:tc>
        <w:tc>
          <w:tcPr>
            <w:tcW w:w="212" w:type="dxa"/>
            <w:tcBorders/>
            <w:shd w:fill="CCEEFF"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CCEEFF"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17</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705" w:type="dxa"/>
            <w:tcBorders/>
            <w:shd w:fill="auto"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Cushing - Phase VII</w:t>
            </w:r>
          </w:p>
        </w:tc>
        <w:tc>
          <w:tcPr>
            <w:tcW w:w="212" w:type="dxa"/>
            <w:tcBorders/>
            <w:shd w:fill="auto"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auto"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17</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705" w:type="dxa"/>
            <w:tcBorders/>
            <w:shd w:fill="CCEEFF"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Cushing - Phase VIII</w:t>
            </w:r>
          </w:p>
        </w:tc>
        <w:tc>
          <w:tcPr>
            <w:tcW w:w="212" w:type="dxa"/>
            <w:tcBorders/>
            <w:shd w:fill="CCEEFF"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CCEEFF"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15</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705" w:type="dxa"/>
            <w:tcBorders/>
            <w:shd w:fill="auto"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St. James - Phase III</w:t>
            </w:r>
          </w:p>
        </w:tc>
        <w:tc>
          <w:tcPr>
            <w:tcW w:w="212" w:type="dxa"/>
            <w:tcBorders/>
            <w:shd w:fill="auto"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auto"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15</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705" w:type="dxa"/>
            <w:tcBorders/>
            <w:shd w:fill="CCEEFF"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Wichita Falls tanks</w:t>
            </w:r>
          </w:p>
        </w:tc>
        <w:tc>
          <w:tcPr>
            <w:tcW w:w="212" w:type="dxa"/>
            <w:tcBorders/>
            <w:shd w:fill="CCEEFF"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CCEEFF"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11</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705" w:type="dxa"/>
            <w:tcBorders/>
            <w:shd w:fill="auto" w:val="clear"/>
            <w:tcMar>
              <w:bottom w:w="0" w:type="dxa"/>
            </w:tcMar>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Martinez tanks</w:t>
            </w:r>
          </w:p>
        </w:tc>
        <w:tc>
          <w:tcPr>
            <w:tcW w:w="212" w:type="dxa"/>
            <w:tcBorders/>
            <w:shd w:fill="auto"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shd w:fill="auto" w:val="clear"/>
            <w:tcMar>
              <w:bottom w:w="0" w:type="dxa"/>
            </w:tcM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9</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705" w:type="dxa"/>
            <w:tcBorders/>
            <w:shd w:fill="CCEEFF" w:val="clear"/>
            <w:tcMar>
              <w:bottom w:w="0" w:type="dxa"/>
            </w:tcMar>
          </w:tcPr>
          <w:p>
            <w:pPr>
              <w:pStyle w:val="TableContents"/>
              <w:spacing w:before="0" w:after="0"/>
              <w:ind w:left="0" w:right="0" w:hanging="0"/>
              <w:rPr/>
            </w:pPr>
            <w:r>
              <w:rPr>
                <w:rFonts w:ascii="Times New Roman" w:hAnsi="Times New Roman"/>
                <w:color w:val="000000"/>
                <w:sz w:val="17"/>
              </w:rPr>
              <w:t>Other projects, including acquisition related expansion projects</w:t>
            </w:r>
            <w:r>
              <w:rPr>
                <w:color w:val="000000"/>
              </w:rPr>
              <w:t xml:space="preserve"> </w:t>
            </w:r>
            <w:r>
              <w:rPr>
                <w:color w:val="000000"/>
                <w:sz w:val="11"/>
              </w:rPr>
              <w:t>(1)</w:t>
            </w:r>
          </w:p>
        </w:tc>
        <w:tc>
          <w:tcPr>
            <w:tcW w:w="212" w:type="dxa"/>
            <w:tcBorders/>
            <w:shd w:fill="CCEEFF" w:val="clear"/>
            <w:tcMar>
              <w:bottom w:w="0" w:type="dxa"/>
            </w:tcMar>
          </w:tcPr>
          <w:p>
            <w:pPr>
              <w:pStyle w:val="TableContents"/>
              <w:spacing w:before="0" w:after="0"/>
              <w:ind w:left="0" w:right="0" w:hanging="0"/>
              <w:jc w:val="right"/>
              <w:rPr>
                <w:color w:val="000000"/>
              </w:rPr>
            </w:pPr>
            <w:r>
              <w:rPr>
                <w:color w:val="000000"/>
              </w:rPr>
              <w:t> </w:t>
            </w:r>
          </w:p>
        </w:tc>
        <w:tc>
          <w:tcPr>
            <w:tcW w:w="1176" w:type="dxa"/>
            <w:gridSpan w:val="2"/>
            <w:tcBorders>
              <w:bottom w:val="single" w:sz="8" w:space="0" w:color="000000"/>
            </w:tcBorders>
            <w:shd w:fill="CCEEFF" w:val="clear"/>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234</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705" w:type="dxa"/>
            <w:tcBorders/>
            <w:shd w:fill="auto" w:val="clear"/>
            <w:tcMar>
              <w:bottom w:w="0" w:type="dxa"/>
            </w:tcMar>
          </w:tcPr>
          <w:p>
            <w:pPr>
              <w:pStyle w:val="TableContents"/>
              <w:spacing w:before="0" w:after="0"/>
              <w:ind w:left="0" w:right="0" w:hanging="0"/>
              <w:rPr>
                <w:color w:val="000000"/>
              </w:rPr>
            </w:pPr>
            <w:r>
              <w:rPr>
                <w:color w:val="000000"/>
              </w:rPr>
              <w:t> </w:t>
            </w:r>
          </w:p>
        </w:tc>
        <w:tc>
          <w:tcPr>
            <w:tcW w:w="212" w:type="dxa"/>
            <w:tcBorders/>
            <w:shd w:fill="auto" w:val="clear"/>
            <w:tcMar>
              <w:bottom w:w="0" w:type="dxa"/>
            </w:tcMar>
          </w:tcPr>
          <w:p>
            <w:pPr>
              <w:pStyle w:val="TableContents"/>
              <w:spacing w:before="0" w:after="0"/>
              <w:ind w:left="0" w:right="0" w:hanging="0"/>
              <w:jc w:val="right"/>
              <w:rPr>
                <w:color w:val="000000"/>
              </w:rPr>
            </w:pPr>
            <w:r>
              <w:rPr>
                <w:color w:val="000000"/>
              </w:rPr>
              <w:t> </w:t>
            </w:r>
          </w:p>
        </w:tc>
        <w:tc>
          <w:tcPr>
            <w:tcW w:w="116" w:type="dxa"/>
            <w:tcBorders>
              <w:bottom w:val="double" w:sz="6" w:space="0" w:color="000000"/>
            </w:tcBorders>
            <w:shd w:fill="auto" w:val="clear"/>
            <w:vAlign w:val="bottom"/>
          </w:tcPr>
          <w:p>
            <w:pPr>
              <w:pStyle w:val="TableContents"/>
              <w:spacing w:before="0" w:after="0"/>
              <w:ind w:left="0" w:right="0" w:hanging="0"/>
              <w:rPr>
                <w:rFonts w:ascii="Times New Roman" w:hAnsi="Times New Roman"/>
                <w:color w:val="000000"/>
                <w:sz w:val="17"/>
              </w:rPr>
            </w:pPr>
            <w:r>
              <w:rPr>
                <w:rFonts w:ascii="Times New Roman" w:hAnsi="Times New Roman"/>
                <w:color w:val="000000"/>
                <w:sz w:val="17"/>
              </w:rPr>
              <w:t>$</w:t>
            </w:r>
          </w:p>
        </w:tc>
        <w:tc>
          <w:tcPr>
            <w:tcW w:w="1060"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color w:val="000000"/>
                <w:sz w:val="17"/>
              </w:rPr>
            </w:pPr>
            <w:r>
              <w:rPr>
                <w:rFonts w:ascii="Times New Roman" w:hAnsi="Times New Roman"/>
                <w:color w:val="000000"/>
                <w:sz w:val="17"/>
              </w:rPr>
              <w:t>360</w:t>
            </w:r>
          </w:p>
        </w:tc>
        <w:tc>
          <w:tcPr>
            <w:tcW w:w="112"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consists of gas storage construction projects, pipeline connections, upgrades and truck stations, new tank construction and refurbishing, and carry-over of projects started in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February 12, 2010, we paid a quarterly distribution of $0.9275 per limited partner unit. This distribution represented a year-over-year distribution increase of approximately 3.9%. See Note 5 to our Consolidated Financial Statements for details of distributions paid. Also, see Item 5. Market for Registrants Common Units, Related Unitholder Matters and Issuer Purchases of Equity SecuritiesCash Distribution Policy for additional discussion on distribution thresholds.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closing of the Pacific, Rainbow and PNGS acquisitions, our general partner agreed to reduce the amounts due it as incentive distributions. See Note 5 to our Consolidated Financial Statements for details related to the general partners incentive distribution reductions.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77</w:t>
      </w:r>
      <w:bookmarkStart w:id="90" w:name="PB_77_090009_141"/>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subject to business and operational risks, however, that could adversely affect our cash flow. A material decrease in our cash flows would likely produce an adverse effect on our borrowing capacity.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LPG from third parties under contracts, the majority of which range in term from thirty-day evergreen to three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December 31, 2009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66"/>
        <w:gridCol w:w="105"/>
        <w:gridCol w:w="124"/>
        <w:gridCol w:w="693"/>
        <w:gridCol w:w="105"/>
        <w:gridCol w:w="124"/>
        <w:gridCol w:w="660"/>
        <w:gridCol w:w="105"/>
        <w:gridCol w:w="124"/>
        <w:gridCol w:w="660"/>
        <w:gridCol w:w="105"/>
        <w:gridCol w:w="124"/>
        <w:gridCol w:w="610"/>
        <w:gridCol w:w="105"/>
        <w:gridCol w:w="124"/>
        <w:gridCol w:w="660"/>
        <w:gridCol w:w="105"/>
        <w:gridCol w:w="124"/>
        <w:gridCol w:w="609"/>
        <w:gridCol w:w="105"/>
        <w:gridCol w:w="133"/>
        <w:gridCol w:w="694"/>
        <w:gridCol w:w="1041"/>
      </w:tblGrid>
      <w:tr>
        <w:trPr/>
        <w:tc>
          <w:tcPr>
            <w:tcW w:w="296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817"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34"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33" w:type="dxa"/>
            <w:gridSpan w:val="2"/>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82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 and</w:t>
            </w:r>
          </w:p>
        </w:tc>
        <w:tc>
          <w:tcPr>
            <w:tcW w:w="1041" w:type="dxa"/>
            <w:tcBorders/>
            <w:shd w:fill="auto" w:val="clear"/>
            <w:vAlign w:val="bottom"/>
          </w:tcPr>
          <w:p>
            <w:pPr>
              <w:pStyle w:val="TableContents"/>
              <w:spacing w:before="0" w:after="0"/>
              <w:ind w:left="0" w:right="0" w:hanging="0"/>
              <w:jc w:val="center"/>
              <w:rPr/>
            </w:pPr>
            <w:r>
              <w:rPr/>
              <w:t> </w:t>
            </w:r>
          </w:p>
        </w:tc>
      </w:tr>
      <w:tr>
        <w:trPr/>
        <w:tc>
          <w:tcPr>
            <w:tcW w:w="2966"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5" w:type="dxa"/>
            <w:tcBorders/>
            <w:shd w:fill="auto" w:val="clear"/>
            <w:vAlign w:val="bottom"/>
          </w:tcPr>
          <w:p>
            <w:pPr>
              <w:pStyle w:val="TableContents"/>
              <w:spacing w:before="0" w:after="0"/>
              <w:ind w:left="0" w:right="0" w:hanging="0"/>
              <w:jc w:val="center"/>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5" w:type="dxa"/>
            <w:tcBorders/>
            <w:shd w:fill="auto" w:val="clear"/>
            <w:vAlign w:val="bottom"/>
          </w:tcPr>
          <w:p>
            <w:pPr>
              <w:pStyle w:val="TableContents"/>
              <w:spacing w:before="0" w:after="0"/>
              <w:ind w:left="0" w:right="0" w:hanging="0"/>
              <w:jc w:val="center"/>
              <w:rPr/>
            </w:pPr>
            <w:r>
              <w:rPr/>
              <w:t> </w:t>
            </w:r>
          </w:p>
        </w:tc>
        <w:tc>
          <w:tcPr>
            <w:tcW w:w="7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5" w:type="dxa"/>
            <w:tcBorders/>
            <w:shd w:fill="auto" w:val="clear"/>
            <w:vAlign w:val="bottom"/>
          </w:tcPr>
          <w:p>
            <w:pPr>
              <w:pStyle w:val="TableContents"/>
              <w:spacing w:before="0" w:after="0"/>
              <w:ind w:left="0" w:right="0" w:hanging="0"/>
              <w:jc w:val="center"/>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05" w:type="dxa"/>
            <w:tcBorders/>
            <w:shd w:fill="auto" w:val="clear"/>
            <w:vAlign w:val="bottom"/>
          </w:tcPr>
          <w:p>
            <w:pPr>
              <w:pStyle w:val="TableContents"/>
              <w:spacing w:before="0" w:after="0"/>
              <w:ind w:left="0" w:right="0" w:hanging="0"/>
              <w:jc w:val="center"/>
              <w:rPr/>
            </w:pPr>
            <w:r>
              <w:rPr/>
              <w:t> </w:t>
            </w:r>
          </w:p>
        </w:tc>
        <w:tc>
          <w:tcPr>
            <w:tcW w:w="82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041" w:type="dxa"/>
            <w:tcBorders/>
            <w:shd w:fill="auto" w:val="clear"/>
            <w:vAlign w:val="bottom"/>
          </w:tcPr>
          <w:p>
            <w:pPr>
              <w:pStyle w:val="TableContents"/>
              <w:spacing w:before="0" w:after="0"/>
              <w:ind w:left="0" w:right="0" w:hanging="0"/>
              <w:jc w:val="center"/>
              <w:rPr/>
            </w:pPr>
            <w:r>
              <w:rPr/>
              <w:t> </w:t>
            </w:r>
          </w:p>
        </w:tc>
      </w:tr>
      <w:tr>
        <w:trPr/>
        <w:tc>
          <w:tcPr>
            <w:tcW w:w="2966" w:type="dxa"/>
            <w:tcBorders/>
            <w:shd w:fill="CCEEFF" w:val="clear"/>
            <w:vAlign w:val="bottom"/>
          </w:tcPr>
          <w:p>
            <w:pPr>
              <w:pStyle w:val="TableContents"/>
              <w:spacing w:before="0" w:after="0"/>
              <w:ind w:left="0" w:right="0" w:hanging="0"/>
              <w:rPr/>
            </w:pPr>
            <w:r>
              <w:rPr>
                <w:rFonts w:ascii="Times New Roman" w:hAnsi="Times New Roman"/>
                <w:sz w:val="17"/>
              </w:rPr>
              <w:t>Long-term debt and interest payments</w:t>
            </w:r>
            <w:r>
              <w:rPr>
                <w:sz w:val="11"/>
              </w:rPr>
              <w:t>(1)</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7,150</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950</w:t>
            </w:r>
          </w:p>
        </w:tc>
        <w:tc>
          <w:tcPr>
            <w:tcW w:w="105"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05"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5,142</w:t>
            </w:r>
          </w:p>
        </w:tc>
        <w:tc>
          <w:tcPr>
            <w:tcW w:w="1041" w:type="dxa"/>
            <w:tcBorders/>
            <w:shd w:fill="CCEEFF" w:val="clear"/>
            <w:vAlign w:val="bottom"/>
          </w:tcPr>
          <w:p>
            <w:pPr>
              <w:pStyle w:val="TableContents"/>
              <w:spacing w:before="0" w:after="0"/>
              <w:ind w:left="0" w:right="0" w:hanging="0"/>
              <w:rPr/>
            </w:pPr>
            <w:r>
              <w:rPr/>
              <w:t> </w:t>
            </w:r>
          </w:p>
        </w:tc>
      </w:tr>
      <w:tr>
        <w:trPr/>
        <w:tc>
          <w:tcPr>
            <w:tcW w:w="2966" w:type="dxa"/>
            <w:tcBorders/>
            <w:shd w:fill="auto" w:val="clear"/>
            <w:vAlign w:val="bottom"/>
          </w:tcPr>
          <w:p>
            <w:pPr>
              <w:pStyle w:val="TableContents"/>
              <w:spacing w:before="0" w:after="0"/>
              <w:ind w:left="0" w:right="0" w:hanging="0"/>
              <w:rPr/>
            </w:pPr>
            <w:r>
              <w:rPr>
                <w:rFonts w:ascii="Times New Roman" w:hAnsi="Times New Roman"/>
                <w:sz w:val="17"/>
              </w:rPr>
              <w:t xml:space="preserve">Leases </w:t>
            </w:r>
            <w:r>
              <w:rPr>
                <w:sz w:val="11"/>
              </w:rPr>
              <w:t>(2)</w:t>
            </w:r>
          </w:p>
        </w:tc>
        <w:tc>
          <w:tcPr>
            <w:tcW w:w="105"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05"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05"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041" w:type="dxa"/>
            <w:tcBorders/>
            <w:shd w:fill="auto" w:val="clear"/>
            <w:vAlign w:val="bottom"/>
          </w:tcPr>
          <w:p>
            <w:pPr>
              <w:pStyle w:val="TableContents"/>
              <w:spacing w:before="0" w:after="0"/>
              <w:ind w:left="0" w:right="0" w:hanging="0"/>
              <w:rPr/>
            </w:pPr>
            <w:r>
              <w:rPr/>
              <w:t> </w:t>
            </w:r>
          </w:p>
        </w:tc>
      </w:tr>
      <w:tr>
        <w:trPr/>
        <w:tc>
          <w:tcPr>
            <w:tcW w:w="2966" w:type="dxa"/>
            <w:tcBorders/>
            <w:shd w:fill="CCEEFF" w:val="clear"/>
            <w:vAlign w:val="bottom"/>
          </w:tcPr>
          <w:p>
            <w:pPr>
              <w:pStyle w:val="TableContents"/>
              <w:spacing w:before="0" w:after="0"/>
              <w:ind w:left="0" w:right="0" w:hanging="0"/>
              <w:rPr/>
            </w:pPr>
            <w:r>
              <w:rPr>
                <w:rFonts w:ascii="Times New Roman" w:hAnsi="Times New Roman"/>
                <w:sz w:val="17"/>
              </w:rPr>
              <w:t>Other long-term liabilities</w:t>
            </w:r>
            <w:r>
              <w:rPr>
                <w:sz w:val="11"/>
              </w:rPr>
              <w:t>(3)</w:t>
            </w:r>
          </w:p>
        </w:tc>
        <w:tc>
          <w:tcPr>
            <w:tcW w:w="105"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5"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05"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5" w:type="dxa"/>
            <w:tcBorders/>
            <w:shd w:fill="CCEEFF"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041" w:type="dxa"/>
            <w:tcBorders/>
            <w:shd w:fill="CCEEFF" w:val="clear"/>
            <w:vAlign w:val="bottom"/>
          </w:tcPr>
          <w:p>
            <w:pPr>
              <w:pStyle w:val="TableContents"/>
              <w:spacing w:before="0" w:after="0"/>
              <w:ind w:left="0" w:right="0" w:hanging="0"/>
              <w:rPr/>
            </w:pPr>
            <w:r>
              <w:rPr/>
              <w:t> </w:t>
            </w:r>
          </w:p>
        </w:tc>
      </w:tr>
      <w:tr>
        <w:trPr/>
        <w:tc>
          <w:tcPr>
            <w:tcW w:w="29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05" w:type="dxa"/>
            <w:tcBorders/>
            <w:shd w:fill="auto" w:val="clear"/>
            <w:vAlign w:val="bottom"/>
          </w:tcPr>
          <w:p>
            <w:pPr>
              <w:pStyle w:val="TableContents"/>
              <w:spacing w:before="0" w:after="0"/>
              <w:ind w:left="0" w:right="0" w:hanging="0"/>
              <w:rPr/>
            </w:pPr>
            <w:r>
              <w:rPr/>
              <w:t> </w:t>
            </w:r>
          </w:p>
        </w:tc>
        <w:tc>
          <w:tcPr>
            <w:tcW w:w="81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7,875</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w:t>
            </w:r>
          </w:p>
        </w:tc>
        <w:tc>
          <w:tcPr>
            <w:tcW w:w="105" w:type="dxa"/>
            <w:tcBorders/>
            <w:shd w:fill="auto" w:val="clear"/>
            <w:vAlign w:val="bottom"/>
          </w:tcPr>
          <w:p>
            <w:pPr>
              <w:pStyle w:val="TableContents"/>
              <w:spacing w:before="0" w:after="0"/>
              <w:ind w:left="0" w:right="0" w:hanging="0"/>
              <w:rPr/>
            </w:pPr>
            <w:r>
              <w:rPr/>
              <w:t> </w:t>
            </w:r>
          </w:p>
        </w:tc>
        <w:tc>
          <w:tcPr>
            <w:tcW w:w="73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105" w:type="dxa"/>
            <w:tcBorders/>
            <w:shd w:fill="auto" w:val="clear"/>
            <w:vAlign w:val="bottom"/>
          </w:tcPr>
          <w:p>
            <w:pPr>
              <w:pStyle w:val="TableContents"/>
              <w:spacing w:before="0" w:after="0"/>
              <w:ind w:left="0" w:right="0" w:hanging="0"/>
              <w:rPr/>
            </w:pPr>
            <w:r>
              <w:rPr/>
              <w:t> </w:t>
            </w:r>
          </w:p>
        </w:tc>
        <w:tc>
          <w:tcPr>
            <w:tcW w:w="7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1,006</w:t>
            </w:r>
          </w:p>
        </w:tc>
        <w:tc>
          <w:tcPr>
            <w:tcW w:w="105" w:type="dxa"/>
            <w:tcBorders/>
            <w:shd w:fill="auto" w:val="clear"/>
            <w:vAlign w:val="bottom"/>
          </w:tcPr>
          <w:p>
            <w:pPr>
              <w:pStyle w:val="TableContents"/>
              <w:spacing w:before="0" w:after="0"/>
              <w:ind w:left="0" w:right="0" w:hanging="0"/>
              <w:rPr/>
            </w:pPr>
            <w:r>
              <w:rPr/>
              <w:t> </w:t>
            </w:r>
          </w:p>
        </w:tc>
        <w:tc>
          <w:tcPr>
            <w:tcW w:w="73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498</w:t>
            </w:r>
          </w:p>
        </w:tc>
        <w:tc>
          <w:tcPr>
            <w:tcW w:w="105" w:type="dxa"/>
            <w:tcBorders/>
            <w:shd w:fill="auto" w:val="clear"/>
            <w:vAlign w:val="bottom"/>
          </w:tcPr>
          <w:p>
            <w:pPr>
              <w:pStyle w:val="TableContents"/>
              <w:spacing w:before="0" w:after="0"/>
              <w:ind w:left="0" w:right="0" w:hanging="0"/>
              <w:rPr/>
            </w:pPr>
            <w:r>
              <w:rPr/>
              <w:t> </w:t>
            </w:r>
          </w:p>
        </w:tc>
        <w:tc>
          <w:tcPr>
            <w:tcW w:w="82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5,425</w:t>
            </w:r>
          </w:p>
        </w:tc>
        <w:tc>
          <w:tcPr>
            <w:tcW w:w="1041" w:type="dxa"/>
            <w:tcBorders/>
            <w:shd w:fill="auto" w:val="clear"/>
            <w:vAlign w:val="bottom"/>
          </w:tcPr>
          <w:p>
            <w:pPr>
              <w:pStyle w:val="TableContents"/>
              <w:spacing w:before="0" w:after="0"/>
              <w:ind w:left="0" w:right="0" w:hanging="0"/>
              <w:rPr/>
            </w:pPr>
            <w:r>
              <w:rPr/>
              <w:t> </w:t>
            </w:r>
          </w:p>
        </w:tc>
      </w:tr>
      <w:tr>
        <w:trPr/>
        <w:tc>
          <w:tcPr>
            <w:tcW w:w="2966" w:type="dxa"/>
            <w:tcBorders/>
            <w:shd w:fill="CCEEFF" w:val="clear"/>
            <w:vAlign w:val="bottom"/>
          </w:tcPr>
          <w:p>
            <w:pPr>
              <w:pStyle w:val="TableContents"/>
              <w:spacing w:before="0" w:after="0"/>
              <w:ind w:left="0" w:right="0" w:hanging="0"/>
              <w:rPr/>
            </w:pPr>
            <w:r>
              <w:rPr>
                <w:rFonts w:ascii="Times New Roman" w:hAnsi="Times New Roman"/>
                <w:sz w:val="17"/>
              </w:rPr>
              <w:t>Crude oil, LPG and other purchases</w:t>
            </w:r>
            <w:r>
              <w:rPr>
                <w:sz w:val="11"/>
              </w:rPr>
              <w:t>(4)</w:t>
            </w:r>
          </w:p>
        </w:tc>
        <w:tc>
          <w:tcPr>
            <w:tcW w:w="105" w:type="dxa"/>
            <w:tcBorders/>
            <w:shd w:fill="CCEEFF" w:val="clear"/>
            <w:vAlign w:val="bottom"/>
          </w:tcPr>
          <w:p>
            <w:pPr>
              <w:pStyle w:val="TableContents"/>
              <w:spacing w:before="0" w:after="0"/>
              <w:ind w:left="0" w:right="0" w:hanging="0"/>
              <w:rPr/>
            </w:pPr>
            <w:r>
              <w:rPr/>
              <w:t> </w:t>
            </w:r>
          </w:p>
        </w:tc>
        <w:tc>
          <w:tcPr>
            <w:tcW w:w="81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5,429</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4,201</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w:t>
            </w:r>
          </w:p>
        </w:tc>
        <w:tc>
          <w:tcPr>
            <w:tcW w:w="105" w:type="dxa"/>
            <w:tcBorders/>
            <w:shd w:fill="CCEEFF" w:val="clear"/>
            <w:vAlign w:val="bottom"/>
          </w:tcPr>
          <w:p>
            <w:pPr>
              <w:pStyle w:val="TableContents"/>
              <w:spacing w:before="0" w:after="0"/>
              <w:ind w:left="0" w:right="0" w:hanging="0"/>
              <w:rPr/>
            </w:pPr>
            <w:r>
              <w:rPr/>
              <w:t> </w:t>
            </w:r>
          </w:p>
        </w:tc>
        <w:tc>
          <w:tcPr>
            <w:tcW w:w="7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05" w:type="dxa"/>
            <w:tcBorders/>
            <w:shd w:fill="CCEEFF" w:val="clear"/>
            <w:vAlign w:val="bottom"/>
          </w:tcPr>
          <w:p>
            <w:pPr>
              <w:pStyle w:val="TableContents"/>
              <w:spacing w:before="0" w:after="0"/>
              <w:ind w:left="0" w:right="0" w:hanging="0"/>
              <w:rPr/>
            </w:pPr>
            <w:r>
              <w:rPr/>
              <w:t> </w:t>
            </w:r>
          </w:p>
        </w:tc>
        <w:tc>
          <w:tcPr>
            <w:tcW w:w="7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5" w:type="dxa"/>
            <w:tcBorders/>
            <w:shd w:fill="CCEEFF"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5" w:type="dxa"/>
            <w:tcBorders/>
            <w:shd w:fill="CCEEFF" w:val="clear"/>
            <w:vAlign w:val="bottom"/>
          </w:tcPr>
          <w:p>
            <w:pPr>
              <w:pStyle w:val="TableContents"/>
              <w:spacing w:before="0" w:after="0"/>
              <w:ind w:left="0" w:right="0" w:hanging="0"/>
              <w:rPr/>
            </w:pPr>
            <w:r>
              <w:rPr/>
              <w:t> </w:t>
            </w:r>
          </w:p>
        </w:tc>
        <w:tc>
          <w:tcPr>
            <w:tcW w:w="82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41" w:type="dxa"/>
            <w:tcBorders/>
            <w:shd w:fill="CCEEFF" w:val="clear"/>
            <w:vAlign w:val="bottom"/>
          </w:tcPr>
          <w:p>
            <w:pPr>
              <w:pStyle w:val="TableContents"/>
              <w:spacing w:before="0" w:after="0"/>
              <w:ind w:left="0" w:right="0" w:hanging="0"/>
              <w:rPr/>
            </w:pPr>
            <w:r>
              <w:rPr/>
              <w:t> </w:t>
            </w:r>
          </w:p>
        </w:tc>
      </w:tr>
      <w:tr>
        <w:trPr/>
        <w:tc>
          <w:tcPr>
            <w:tcW w:w="29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13,304</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4,464</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1,167</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105"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05"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5,436</w:t>
            </w:r>
          </w:p>
        </w:tc>
        <w:tc>
          <w:tcPr>
            <w:tcW w:w="104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and the commitment fee on our revolving credit facility. Although there is an outstanding balance on our revolving credit facility at December 31, 2009, we historically repay and borrow at varying amounts. As such, we have included only the maximum commitment fee (as if no amounts were outstanding on the facility)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storage, (ii) rights-of-way, (iii) office rent and (iv) trucks used in our gathering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Excludes a non-current liability of approximately $35 million related to derivative activity included in crude oil and LPG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based on estimated volumes and market prices.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2009 and 2008, we had outstanding letters of credit of approximately $76 million and $51 million, respectively. The change in the value of outstanding letters of credit is impacted primarily by the fluctuation of market prices and the timing of foreign cargo purchases.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307 of Regulation 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78</w:t>
      </w:r>
      <w:bookmarkStart w:id="91" w:name="PB_78_090009_7608"/>
      <w:bookmarkEnd w:id="9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Investments in Unconsolidated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invested in entities that are not consolidated in our financial statements. Certain of these entities are borrowers under credit facilities. We are neither a co-borrower nor a guarantor under any such facilities. We may elect at any time to make additional capital contributions to any of these entities. The following table sets forth selected information regarding these entities as of December 31, 2009 (unaudited, dollars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910"/>
        <w:gridCol w:w="196"/>
        <w:gridCol w:w="2659"/>
        <w:gridCol w:w="196"/>
        <w:gridCol w:w="1239"/>
        <w:gridCol w:w="263"/>
        <w:gridCol w:w="175"/>
        <w:gridCol w:w="795"/>
        <w:gridCol w:w="196"/>
        <w:gridCol w:w="257"/>
        <w:gridCol w:w="1026"/>
        <w:gridCol w:w="196"/>
        <w:gridCol w:w="175"/>
        <w:gridCol w:w="795"/>
        <w:gridCol w:w="127"/>
      </w:tblGrid>
      <w:tr>
        <w:trPr/>
        <w:tc>
          <w:tcPr>
            <w:tcW w:w="191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Entity</w:t>
            </w:r>
          </w:p>
        </w:tc>
        <w:tc>
          <w:tcPr>
            <w:tcW w:w="196" w:type="dxa"/>
            <w:tcBorders/>
            <w:shd w:fill="auto" w:val="clear"/>
            <w:tcMar>
              <w:bottom w:w="0" w:type="dxa"/>
            </w:tcMar>
            <w:vAlign w:val="bottom"/>
          </w:tcPr>
          <w:p>
            <w:pPr>
              <w:pStyle w:val="TableContents"/>
              <w:spacing w:before="0" w:after="0"/>
              <w:ind w:left="0" w:right="0" w:hanging="0"/>
              <w:jc w:val="center"/>
              <w:rPr/>
            </w:pPr>
            <w:r>
              <w:rPr/>
              <w:t> </w:t>
            </w:r>
          </w:p>
        </w:tc>
        <w:tc>
          <w:tcPr>
            <w:tcW w:w="265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Type of Operation</w:t>
            </w:r>
          </w:p>
        </w:tc>
        <w:tc>
          <w:tcPr>
            <w:tcW w:w="196" w:type="dxa"/>
            <w:tcBorders/>
            <w:shd w:fill="auto" w:val="clear"/>
            <w:tcMar>
              <w:bottom w:w="0" w:type="dxa"/>
            </w:tcMar>
            <w:vAlign w:val="bottom"/>
          </w:tcPr>
          <w:p>
            <w:pPr>
              <w:pStyle w:val="TableContents"/>
              <w:spacing w:before="0" w:after="0"/>
              <w:ind w:left="0" w:right="0" w:hanging="0"/>
              <w:jc w:val="center"/>
              <w:rPr/>
            </w:pPr>
            <w:r>
              <w:rPr/>
              <w:t> </w:t>
            </w:r>
          </w:p>
        </w:tc>
        <w:tc>
          <w:tcPr>
            <w:tcW w:w="123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Our</w:t>
              <w:br/>
              <w:t>Ownership</w:t>
              <w:br/>
              <w:t>Interest</w:t>
            </w:r>
          </w:p>
        </w:tc>
        <w:tc>
          <w:tcPr>
            <w:tcW w:w="263" w:type="dxa"/>
            <w:tcBorders/>
            <w:shd w:fill="auto" w:val="clear"/>
            <w:tcMar>
              <w:bottom w:w="0" w:type="dxa"/>
            </w:tcMar>
            <w:vAlign w:val="bottom"/>
          </w:tcPr>
          <w:p>
            <w:pPr>
              <w:pStyle w:val="TableContents"/>
              <w:spacing w:before="0" w:after="0"/>
              <w:ind w:left="0" w:right="0" w:hanging="0"/>
              <w:jc w:val="center"/>
              <w:rPr/>
            </w:pPr>
            <w:r>
              <w:rPr/>
              <w:t> </w:t>
            </w:r>
          </w:p>
        </w:tc>
        <w:tc>
          <w:tcPr>
            <w:tcW w:w="97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Entity</w:t>
              <w:br/>
              <w:t>Assets</w:t>
            </w:r>
          </w:p>
        </w:tc>
        <w:tc>
          <w:tcPr>
            <w:tcW w:w="196" w:type="dxa"/>
            <w:tcBorders/>
            <w:shd w:fill="auto" w:val="clear"/>
            <w:tcMar>
              <w:bottom w:w="0" w:type="dxa"/>
            </w:tcMar>
            <w:vAlign w:val="bottom"/>
          </w:tcPr>
          <w:p>
            <w:pPr>
              <w:pStyle w:val="TableContents"/>
              <w:spacing w:before="0" w:after="0"/>
              <w:ind w:left="0" w:right="0" w:hanging="0"/>
              <w:jc w:val="center"/>
              <w:rPr/>
            </w:pPr>
            <w:r>
              <w:rPr/>
              <w:t> </w:t>
            </w:r>
          </w:p>
        </w:tc>
        <w:tc>
          <w:tcPr>
            <w:tcW w:w="128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Cash and</w:t>
              <w:br/>
              <w:t>Restricted Cash</w:t>
            </w:r>
          </w:p>
        </w:tc>
        <w:tc>
          <w:tcPr>
            <w:tcW w:w="196" w:type="dxa"/>
            <w:tcBorders/>
            <w:shd w:fill="auto" w:val="clear"/>
            <w:tcMar>
              <w:bottom w:w="0" w:type="dxa"/>
            </w:tcMar>
            <w:vAlign w:val="bottom"/>
          </w:tcPr>
          <w:p>
            <w:pPr>
              <w:pStyle w:val="TableContents"/>
              <w:spacing w:before="0" w:after="0"/>
              <w:ind w:left="0" w:right="0" w:hanging="0"/>
              <w:jc w:val="center"/>
              <w:rPr/>
            </w:pPr>
            <w:r>
              <w:rPr/>
              <w:t> </w:t>
            </w:r>
          </w:p>
        </w:tc>
        <w:tc>
          <w:tcPr>
            <w:tcW w:w="97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Entity</w:t>
              <w:br/>
              <w:t>Debt</w:t>
            </w:r>
          </w:p>
        </w:tc>
        <w:tc>
          <w:tcPr>
            <w:tcW w:w="127" w:type="dxa"/>
            <w:tcBorders/>
            <w:shd w:fill="auto" w:val="clear"/>
            <w:tcMar>
              <w:bottom w:w="0" w:type="dxa"/>
            </w:tcMar>
            <w:vAlign w:val="bottom"/>
          </w:tcPr>
          <w:p>
            <w:pPr>
              <w:pStyle w:val="TableContents"/>
              <w:spacing w:before="0" w:after="0"/>
              <w:ind w:left="0" w:right="0" w:hanging="0"/>
              <w:jc w:val="center"/>
              <w:rPr/>
            </w:pPr>
            <w:r>
              <w:rPr/>
              <w:t> </w:t>
            </w:r>
          </w:p>
        </w:tc>
      </w:tr>
      <w:tr>
        <w:trPr/>
        <w:tc>
          <w:tcPr>
            <w:tcW w:w="1910"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Settoon Towing</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265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Barge Transportation Services</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12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25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6"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17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27" w:type="dxa"/>
            <w:tcBorders/>
            <w:shd w:fill="CCEEFF" w:val="clear"/>
            <w:tcMar>
              <w:bottom w:w="0" w:type="dxa"/>
            </w:tcMar>
            <w:vAlign w:val="bottom"/>
          </w:tcPr>
          <w:p>
            <w:pPr>
              <w:pStyle w:val="TableContents"/>
              <w:spacing w:before="0" w:after="0"/>
              <w:ind w:left="0" w:right="0" w:hanging="0"/>
              <w:rPr/>
            </w:pPr>
            <w:r>
              <w:rPr/>
              <w:t> </w:t>
            </w:r>
          </w:p>
        </w:tc>
      </w:tr>
      <w:tr>
        <w:trPr/>
        <w:tc>
          <w:tcPr>
            <w:tcW w:w="1910" w:type="dxa"/>
            <w:tcBorders/>
            <w:shd w:fill="auto"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Frontier</w:t>
            </w:r>
          </w:p>
        </w:tc>
        <w:tc>
          <w:tcPr>
            <w:tcW w:w="196" w:type="dxa"/>
            <w:tcBorders/>
            <w:shd w:fill="auto" w:val="clear"/>
            <w:tcMar>
              <w:bottom w:w="0" w:type="dxa"/>
            </w:tcMar>
            <w:vAlign w:val="bottom"/>
          </w:tcPr>
          <w:p>
            <w:pPr>
              <w:pStyle w:val="TableContents"/>
              <w:spacing w:before="0" w:after="0"/>
              <w:ind w:left="0" w:right="0" w:hanging="0"/>
              <w:rPr/>
            </w:pPr>
            <w:r>
              <w:rPr/>
              <w:t> </w:t>
            </w:r>
          </w:p>
        </w:tc>
        <w:tc>
          <w:tcPr>
            <w:tcW w:w="2659"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196" w:type="dxa"/>
            <w:tcBorders/>
            <w:shd w:fill="auto" w:val="clear"/>
            <w:tcMar>
              <w:bottom w:w="0" w:type="dxa"/>
            </w:tcMar>
            <w:vAlign w:val="bottom"/>
          </w:tcPr>
          <w:p>
            <w:pPr>
              <w:pStyle w:val="TableContents"/>
              <w:spacing w:before="0" w:after="0"/>
              <w:ind w:left="0" w:right="0" w:hanging="0"/>
              <w:rPr/>
            </w:pPr>
            <w:r>
              <w:rPr/>
              <w:t> </w:t>
            </w:r>
          </w:p>
        </w:tc>
        <w:tc>
          <w:tcPr>
            <w:tcW w:w="123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6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96" w:type="dxa"/>
            <w:tcBorders/>
            <w:shd w:fill="auto" w:val="clear"/>
            <w:tcMar>
              <w:bottom w:w="0" w:type="dxa"/>
            </w:tcMar>
            <w:vAlign w:val="bottom"/>
          </w:tcPr>
          <w:p>
            <w:pPr>
              <w:pStyle w:val="TableContents"/>
              <w:spacing w:before="0" w:after="0"/>
              <w:ind w:left="0" w:right="0" w:hanging="0"/>
              <w:rPr/>
            </w:pPr>
            <w:r>
              <w:rPr/>
              <w:t> </w:t>
            </w:r>
          </w:p>
        </w:tc>
        <w:tc>
          <w:tcPr>
            <w:tcW w:w="25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tcMar>
              <w:bottom w:w="0" w:type="dxa"/>
            </w:tcMar>
            <w:vAlign w:val="bottom"/>
          </w:tcPr>
          <w:p>
            <w:pPr>
              <w:pStyle w:val="TableContents"/>
              <w:spacing w:before="0" w:after="0"/>
              <w:ind w:left="0" w:right="0" w:hanging="0"/>
              <w:rPr/>
            </w:pPr>
            <w:r>
              <w:rPr/>
              <w:t> </w:t>
            </w:r>
          </w:p>
        </w:tc>
        <w:tc>
          <w:tcPr>
            <w:tcW w:w="175"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tcMar>
              <w:bottom w:w="0" w:type="dxa"/>
            </w:tcMar>
            <w:vAlign w:val="bottom"/>
          </w:tcPr>
          <w:p>
            <w:pPr>
              <w:pStyle w:val="TableContents"/>
              <w:spacing w:before="0" w:after="0"/>
              <w:ind w:left="0" w:right="0" w:hanging="0"/>
              <w:rPr/>
            </w:pPr>
            <w:r>
              <w:rPr/>
              <w:t> </w:t>
            </w:r>
          </w:p>
        </w:tc>
      </w:tr>
      <w:tr>
        <w:trPr/>
        <w:tc>
          <w:tcPr>
            <w:tcW w:w="1910" w:type="dxa"/>
            <w:tcBorders/>
            <w:shd w:fill="CCEEFF" w:val="clear"/>
            <w:tcMar>
              <w:bottom w:w="0"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Butte</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265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Crude Oil Pipeline</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123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6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25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CCEEFF" w:val="clear"/>
            <w:tcMar>
              <w:bottom w:w="0" w:type="dxa"/>
            </w:tcMar>
            <w:vAlign w:val="bottom"/>
          </w:tcPr>
          <w:p>
            <w:pPr>
              <w:pStyle w:val="TableContents"/>
              <w:spacing w:before="0" w:after="0"/>
              <w:ind w:left="0" w:right="0" w:hanging="0"/>
              <w:rPr/>
            </w:pPr>
            <w:r>
              <w:rPr/>
              <w:t> </w:t>
            </w:r>
          </w:p>
        </w:tc>
        <w:tc>
          <w:tcPr>
            <w:tcW w:w="17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7A.</w:t>
      </w:r>
      <w:r>
        <w:rPr>
          <w:rFonts w:ascii="Times New Roman" w:hAnsi="Times New Roman"/>
        </w:rPr>
        <w:t xml:space="preserve">  </w:t>
      </w:r>
      <w:r>
        <w:rPr>
          <w:rFonts w:ascii="Times New Roman" w:hAnsi="Times New Roman"/>
          <w:b/>
          <w:i/>
          <w:sz w:val="17"/>
        </w:rPr>
        <w:t>Quantitative and Qualitative Disclosures About Market Risk</w:t>
      </w:r>
      <w:bookmarkStart w:id="92" w:name="Item7a_QuantitativeAndQualitative_125855"/>
      <w:bookmarkEnd w:id="92"/>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We are exposed to various market risks, including volatility in (i) commodity prices for crude oil, refined products, natural gas and LPG, (ii) interest rates and (iii) currency exchange rates. We utilize various derivative instruments to manage such exposure and, in certain circumstances, to realize incremental margin during volatile market conditions.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our business; rather, those risks arise as a result of engaging in the trading activity. Our policy is to manage</w:t>
      </w:r>
      <w:r>
        <w:rPr>
          <w:rFonts w:ascii="Times New Roman" w:hAnsi="Times New Roman"/>
        </w:rPr>
        <w:t xml:space="preserve"> </w:t>
      </w:r>
      <w:r>
        <w:rPr>
          <w:rFonts w:ascii="Times New Roman" w:hAnsi="Times New Roman"/>
          <w:sz w:val="17"/>
        </w:rPr>
        <w:t>the enterprise level risks inherent in our core businesses, rather than trying to profit from trading activity.</w:t>
      </w:r>
      <w:r>
        <w:rPr>
          <w:rFonts w:ascii="Times New Roman" w:hAnsi="Times New Roman"/>
        </w:rPr>
        <w:t xml:space="preserve"> </w:t>
      </w:r>
      <w:r>
        <w:rPr>
          <w:rFonts w:ascii="Times New Roman" w:hAnsi="Times New Roman"/>
          <w:sz w:val="17"/>
        </w:rPr>
        <w:t>Our risk management policies and procedures are designed to monitor interest rates, currency exchange rates, NYMEX, ICE and over-the-counter positions, and physical volumes, grades, locations and delivery schedules to ensure our hedging activities address our market risks. We have a risk management function that has direct responsibility and authority for our risk policies, related controls around commercial activities and procedures and certain aspects of corporate risk management. Our risk management function also approves all new risk management strategies through a formal process. Our approved strategies are intended to mitigate and manage enterprise level risks that are inherent in our core businesses.  To hedge the risks discussed above, we engage in risk management activities that we categorize by the risks we are hedging.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and physical delivery contracts to hedge our exposure to price fluctuations with respect to crude oil, refined products, natural gas and LPG in storage, and anticipated purchases and sales of these commodities. The derivative instruments utilized consist primarily of futures, options and swaps traded on the NYMEX and ICE and in over-the-counter transactions, including swaps and options contracts. Our policy is to purchase only commodity products for which we have a market, and to structure our sales contracts so that price fluctuations for those products do not materially affect the segment profit we earn. We do not acquire and hold futures contracts or physical commodities for the purpose of speculating on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seek to maintain a position that is substantially balanced within our various commodity purchase and sales activities, we may experience net unbalanced positions for short periods of time as a result of production, transportation and delivery variances as well as logistical issues associated with inclement weather conditions. When unscheduled physical inventory builds or draws do occur, they are monitored constantly and managed to a balanced position over a reasonable period of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the intent of our risk-management strategies is to hedge our margin, not all of our derivatives qualify for hedge accounting. In such instances, changes in the fair values of these derivatives are recognized in earnings, and result in greater potential for earnings volatility. This accounting treatment is discussed further in Note 2 to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open commodity price risk derivatives at December 31, 2009 were categorized as non-trading. The fair value of these instruments and the change in fair value that would be expected from a 10% price decrease is shown in the table below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79</w:t>
      </w:r>
      <w:bookmarkStart w:id="93" w:name="PB_79_090009_8146"/>
      <w:bookmarkEnd w:id="9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962"/>
        <w:gridCol w:w="225"/>
        <w:gridCol w:w="174"/>
        <w:gridCol w:w="1085"/>
        <w:gridCol w:w="237"/>
        <w:gridCol w:w="248"/>
        <w:gridCol w:w="1125"/>
        <w:gridCol w:w="149"/>
      </w:tblGrid>
      <w:tr>
        <w:trPr/>
        <w:tc>
          <w:tcPr>
            <w:tcW w:w="6962"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jc w:val="center"/>
              <w:rPr/>
            </w:pPr>
            <w:r>
              <w:rPr/>
              <w:t> </w:t>
            </w:r>
          </w:p>
        </w:tc>
        <w:tc>
          <w:tcPr>
            <w:tcW w:w="1259" w:type="dxa"/>
            <w:gridSpan w:val="2"/>
            <w:tcBorders/>
            <w:shd w:fill="auto" w:val="clear"/>
            <w:vAlign w:val="bottom"/>
          </w:tcPr>
          <w:p>
            <w:pPr>
              <w:pStyle w:val="TableContents"/>
              <w:spacing w:before="0" w:after="0"/>
              <w:ind w:left="0" w:right="0" w:hanging="0"/>
              <w:jc w:val="center"/>
              <w:rPr/>
            </w:pPr>
            <w:r>
              <w:rPr/>
              <w:t> </w:t>
            </w:r>
          </w:p>
        </w:tc>
        <w:tc>
          <w:tcPr>
            <w:tcW w:w="237" w:type="dxa"/>
            <w:tcBorders/>
            <w:shd w:fill="auto" w:val="clear"/>
            <w:vAlign w:val="bottom"/>
          </w:tcPr>
          <w:p>
            <w:pPr>
              <w:pStyle w:val="TableContents"/>
              <w:spacing w:before="0" w:after="0"/>
              <w:ind w:left="0" w:right="0" w:hanging="0"/>
              <w:jc w:val="center"/>
              <w:rPr/>
            </w:pPr>
            <w:r>
              <w:rPr/>
              <w:t> </w:t>
            </w:r>
          </w:p>
        </w:tc>
        <w:tc>
          <w:tcPr>
            <w:tcW w:w="13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9" w:type="dxa"/>
            <w:tcBorders/>
            <w:shd w:fill="auto" w:val="clear"/>
            <w:vAlign w:val="bottom"/>
          </w:tcPr>
          <w:p>
            <w:pPr>
              <w:pStyle w:val="TableContents"/>
              <w:spacing w:before="0" w:after="0"/>
              <w:ind w:left="0" w:right="0" w:hanging="0"/>
              <w:jc w:val="center"/>
              <w:rPr/>
            </w:pPr>
            <w:r>
              <w:rPr/>
              <w:t> </w:t>
            </w:r>
          </w:p>
        </w:tc>
      </w:tr>
      <w:tr>
        <w:trPr/>
        <w:tc>
          <w:tcPr>
            <w:tcW w:w="6962"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37" w:type="dxa"/>
            <w:tcBorders/>
            <w:shd w:fill="auto" w:val="clear"/>
            <w:vAlign w:val="bottom"/>
          </w:tcPr>
          <w:p>
            <w:pPr>
              <w:pStyle w:val="TableContents"/>
              <w:spacing w:before="0" w:after="0"/>
              <w:ind w:left="0" w:right="0" w:hanging="0"/>
              <w:jc w:val="center"/>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9" w:type="dxa"/>
            <w:tcBorders/>
            <w:shd w:fill="auto" w:val="clear"/>
            <w:vAlign w:val="bottom"/>
          </w:tcPr>
          <w:p>
            <w:pPr>
              <w:pStyle w:val="TableContents"/>
              <w:spacing w:before="0" w:after="0"/>
              <w:ind w:left="0" w:right="0" w:hanging="0"/>
              <w:jc w:val="center"/>
              <w:rPr/>
            </w:pPr>
            <w:r>
              <w:rPr/>
              <w:t> </w:t>
            </w:r>
          </w:p>
        </w:tc>
      </w:tr>
      <w:tr>
        <w:trPr/>
        <w:tc>
          <w:tcPr>
            <w:tcW w:w="69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25"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37"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149" w:type="dxa"/>
            <w:tcBorders/>
            <w:shd w:fill="CCEEFF" w:val="clear"/>
            <w:vAlign w:val="bottom"/>
          </w:tcPr>
          <w:p>
            <w:pPr>
              <w:pStyle w:val="TableContents"/>
              <w:spacing w:before="0" w:after="0"/>
              <w:ind w:left="0" w:right="0" w:hanging="0"/>
              <w:rPr/>
            </w:pPr>
            <w:r>
              <w:rPr/>
              <w:t> </w:t>
            </w:r>
          </w:p>
        </w:tc>
      </w:tr>
      <w:tr>
        <w:trPr/>
        <w:tc>
          <w:tcPr>
            <w:tcW w:w="69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25"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7" w:type="dxa"/>
            <w:tcBorders/>
            <w:shd w:fill="auto" w:val="clear"/>
            <w:vAlign w:val="bottom"/>
          </w:tcPr>
          <w:p>
            <w:pPr>
              <w:pStyle w:val="TableContents"/>
              <w:spacing w:before="0" w:after="0"/>
              <w:ind w:left="0" w:right="0" w:hanging="0"/>
              <w:rPr/>
            </w:pPr>
            <w:r>
              <w:rPr/>
              <w:t> </w:t>
            </w:r>
          </w:p>
        </w:tc>
        <w:tc>
          <w:tcPr>
            <w:tcW w:w="2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49" w:type="dxa"/>
            <w:tcBorders/>
            <w:shd w:fill="auto" w:val="clear"/>
            <w:vAlign w:val="bottom"/>
          </w:tcPr>
          <w:p>
            <w:pPr>
              <w:pStyle w:val="TableContents"/>
              <w:spacing w:before="0" w:after="0"/>
              <w:ind w:left="0" w:right="0" w:hanging="0"/>
              <w:rPr/>
            </w:pPr>
            <w:r>
              <w:rPr/>
              <w:t> </w:t>
            </w:r>
          </w:p>
        </w:tc>
      </w:tr>
      <w:tr>
        <w:trPr/>
        <w:tc>
          <w:tcPr>
            <w:tcW w:w="69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25"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49" w:type="dxa"/>
            <w:tcBorders/>
            <w:shd w:fill="CCEEFF" w:val="clear"/>
            <w:vAlign w:val="bottom"/>
          </w:tcPr>
          <w:p>
            <w:pPr>
              <w:pStyle w:val="TableContents"/>
              <w:spacing w:before="0" w:after="0"/>
              <w:ind w:left="0" w:right="0" w:hanging="0"/>
              <w:rPr/>
            </w:pPr>
            <w:r>
              <w:rPr/>
              <w:t> </w:t>
            </w:r>
          </w:p>
        </w:tc>
      </w:tr>
      <w:tr>
        <w:trPr/>
        <w:tc>
          <w:tcPr>
            <w:tcW w:w="6962" w:type="dxa"/>
            <w:tcBorders/>
            <w:shd w:fill="auto" w:val="clear"/>
            <w:vAlign w:val="bottom"/>
          </w:tcPr>
          <w:p>
            <w:pPr>
              <w:pStyle w:val="TableContents"/>
              <w:spacing w:before="0" w:after="0"/>
              <w:ind w:left="0" w:right="0" w:hanging="0"/>
              <w:rPr/>
            </w:pPr>
            <w:r>
              <w:rPr/>
              <w:t> </w:t>
            </w:r>
          </w:p>
        </w:tc>
        <w:tc>
          <w:tcPr>
            <w:tcW w:w="225"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237"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149" w:type="dxa"/>
            <w:tcBorders/>
            <w:shd w:fill="auto" w:val="clear"/>
            <w:vAlign w:val="bottom"/>
          </w:tcPr>
          <w:p>
            <w:pPr>
              <w:pStyle w:val="TableContents"/>
              <w:spacing w:before="0" w:after="0"/>
              <w:ind w:left="0" w:right="0" w:hanging="0"/>
              <w:rPr/>
            </w:pPr>
            <w:r>
              <w:rPr/>
              <w:t> </w:t>
            </w:r>
          </w:p>
        </w:tc>
      </w:tr>
      <w:tr>
        <w:trPr/>
        <w:tc>
          <w:tcPr>
            <w:tcW w:w="69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and other:</w:t>
            </w:r>
          </w:p>
        </w:tc>
        <w:tc>
          <w:tcPr>
            <w:tcW w:w="225"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237"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149" w:type="dxa"/>
            <w:tcBorders/>
            <w:shd w:fill="CCEEFF" w:val="clear"/>
            <w:vAlign w:val="bottom"/>
          </w:tcPr>
          <w:p>
            <w:pPr>
              <w:pStyle w:val="TableContents"/>
              <w:spacing w:before="0" w:after="0"/>
              <w:ind w:left="0" w:right="0" w:hanging="0"/>
              <w:rPr/>
            </w:pPr>
            <w:r>
              <w:rPr/>
              <w:t> </w:t>
            </w:r>
          </w:p>
        </w:tc>
      </w:tr>
      <w:tr>
        <w:trPr/>
        <w:tc>
          <w:tcPr>
            <w:tcW w:w="69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25"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9" w:type="dxa"/>
            <w:tcBorders/>
            <w:shd w:fill="auto" w:val="clear"/>
            <w:vAlign w:val="bottom"/>
          </w:tcPr>
          <w:p>
            <w:pPr>
              <w:pStyle w:val="TableContents"/>
              <w:spacing w:before="0" w:after="0"/>
              <w:ind w:left="0" w:right="0" w:hanging="0"/>
              <w:rPr/>
            </w:pPr>
            <w:r>
              <w:rPr/>
              <w:t> </w:t>
            </w:r>
          </w:p>
        </w:tc>
      </w:tr>
      <w:tr>
        <w:trPr/>
        <w:tc>
          <w:tcPr>
            <w:tcW w:w="6962" w:type="dxa"/>
            <w:tcBorders/>
            <w:shd w:fill="CCEEFF" w:val="clear"/>
            <w:vAlign w:val="bottom"/>
          </w:tcPr>
          <w:p>
            <w:pPr>
              <w:pStyle w:val="TableContents"/>
              <w:spacing w:before="0" w:after="0"/>
              <w:ind w:left="0" w:right="0" w:hanging="0"/>
              <w:rPr/>
            </w:pPr>
            <w:r>
              <w:rPr>
                <w:rFonts w:ascii="Times New Roman" w:hAnsi="Times New Roman"/>
                <w:sz w:val="17"/>
              </w:rPr>
              <w:t xml:space="preserve">Swaps and options contracts </w:t>
            </w:r>
            <w:r>
              <w:rPr>
                <w:sz w:val="11"/>
              </w:rPr>
              <w:t>(1)</w:t>
            </w:r>
          </w:p>
        </w:tc>
        <w:tc>
          <w:tcPr>
            <w:tcW w:w="225" w:type="dxa"/>
            <w:tcBorders/>
            <w:shd w:fill="CCEEFF"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25"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3" w:type="dxa"/>
            <w:gridSpan w:val="2"/>
            <w:tcBorders/>
            <w:shd w:fill="auto" w:val="clear"/>
            <w:vAlign w:val="bottom"/>
          </w:tcPr>
          <w:p>
            <w:pPr>
              <w:pStyle w:val="TableContents"/>
              <w:spacing w:before="0" w:after="0"/>
              <w:ind w:left="0" w:right="0" w:hanging="0"/>
              <w:jc w:val="right"/>
              <w:rPr/>
            </w:pPr>
            <w:r>
              <w:rPr/>
              <w:t> </w:t>
            </w:r>
          </w:p>
        </w:tc>
        <w:tc>
          <w:tcPr>
            <w:tcW w:w="14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 includes a liability of approximately $7 million associated with LPG physical contracts not eligible for the normal purchase and normal sale scope exception under FASB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exchange-traded contracts is based on quoted market prices obtained from the NYMEX or ICE. The fair value of our over-the-counter swaps and options contracts is estimated based on quoted prices from various sources such as independent reporting services, industry publications and brokers. These quotes are compared to the contract price of the swap, which approximates the gain or loss that would have been realized if the contracts had been closed out at year end. For positions where independent quotations are not available, an estimate is provided, or the prevailing market price at which the positions could be liquidated is used. The assumptions used in these estimates as well as the source for the estimates are maintained by the independent risk control function. See Note 6 to our Consolidated Financial Statements for further discussion. Price-risk sensitivities were calculated by assuming an across-the-board 10% decrease in price regardless of term or historical relationships between the contractual price of the instruments and the underlying commodity price. In the event of an actual 10% change in near-term crude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both fixed and variable rate debt, and are exposed to market risk due to the floating interest rates on our credit facilities. Therefore, from time to time we use interest rate derivatives to hedge interest obligations on specific debt issuances, including anticipated debt issuances. All of our senior notes are fixed rate notes and thus not subject to market risk. Substantially all of our variable rate debt at December 31, 2009, approximately $1.4 billion (including $300 million of interest rate derivatives that swap fixed rate debt for floating), is short-term debt and is subject to interest rate re-sets, which range from a week to three months. The average interest rate of 1.3% is based upon rates in effect at December 31, 2009. The fair value of our interest rate derivatives is an unrealized gain of approximately $2 million as of December 31, 2009. A 10% decrease in the forward LIBOR curve as of December 31, 2009 would result in an increase of approximately $1 million to the fair value of our interest rate derivatives. The carrying values of the variable rate instruments in our credit facilities approximate fair value primarily because interest rates fluctuate with prevailing market rates. See Note 6 to our Consolidated Financial Statements for a discussion of our interest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Currency Exchange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cash flow stream relating to our Canadian operations is based on the U.S. dollar equivalent of such amounts measured in Canadian dollars. Because a significant portion of our Canadian business is conducted in Canadian dollars, we use certain financial instruments to minimize the risks associated with our exposure to fluctuations in the U.S Dollar-to-Canadian Dollar exchange rate. These instruments primarily include forward exchange contracts, foreign currency forwards and options. The fair value of these instruments is an unrealized gain of approximately $1 million as of December 31, 2009. A 10% decrease in the exchange rate (Canadian dollars to U.S. dollars) would result in an increase of approximately $8 million to the fair value of our foreign currency derivatives. See Note 6 to our Consolidated Financial Statements for a discussion of our 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8.  </w:t>
      </w:r>
      <w:r>
        <w:rPr>
          <w:rFonts w:ascii="Times New Roman" w:hAnsi="Times New Roman"/>
          <w:b/>
          <w:i/>
          <w:sz w:val="17"/>
        </w:rPr>
        <w:t>Financial Statements and Supplementary Data</w:t>
      </w:r>
      <w:bookmarkStart w:id="94" w:name="Item8_FinancialStatementsAndSuppl_125906"/>
      <w:bookmarkEnd w:id="9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Index to the Consolidated Financial Statements on page F-1.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9.  </w:t>
      </w:r>
      <w:r>
        <w:rPr>
          <w:rFonts w:ascii="Times New Roman" w:hAnsi="Times New Roman"/>
          <w:b/>
          <w:i/>
          <w:sz w:val="17"/>
        </w:rPr>
        <w:t>Changes In and Disagreements With Accountants on Accounting and Financial Disclosure</w:t>
      </w:r>
      <w:bookmarkStart w:id="95" w:name="Item9_ChangesInAndDisagreementsWi_125907"/>
      <w:bookmarkEnd w:id="9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80</w:t>
      </w:r>
      <w:bookmarkStart w:id="96" w:name="PB_80_090009_7091"/>
      <w:bookmarkEnd w:id="9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9A.</w:t>
      </w:r>
      <w:r>
        <w:rPr>
          <w:rFonts w:ascii="Times New Roman" w:hAnsi="Times New Roman"/>
        </w:rPr>
        <w:t xml:space="preserve">  </w:t>
      </w:r>
      <w:r>
        <w:rPr>
          <w:rFonts w:ascii="Times New Roman" w:hAnsi="Times New Roman"/>
          <w:b/>
          <w:i/>
          <w:sz w:val="17"/>
        </w:rPr>
        <w:t>Controls and Procedures</w:t>
      </w:r>
      <w:bookmarkStart w:id="97" w:name="Item9a_ControlsAndProcedures_125914"/>
      <w:bookmarkEnd w:id="9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The purpose of our DCP is to provide reasonable assurance that (i) information is recorded, processed, summarized and reported in a manner that allows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Based on this review, our Chief Executive Officer and Chief Financial Officer have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including our Chief Executive Officer and our Chief Financial Officer, has evaluated the effectiveness of our internal control over financial reporting as of December 31, 2009. See Managements Report on Internal Control Over Financial Reporting on page F-2.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9B.</w:t>
      </w:r>
      <w:r>
        <w:rPr>
          <w:rFonts w:ascii="Times New Roman" w:hAnsi="Times New Roman"/>
        </w:rPr>
        <w:t xml:space="preserve">  </w:t>
      </w:r>
      <w:r>
        <w:rPr>
          <w:rFonts w:ascii="Times New Roman" w:hAnsi="Times New Roman"/>
          <w:b/>
          <w:i/>
          <w:sz w:val="17"/>
        </w:rPr>
        <w:t>Other Information</w:t>
      </w:r>
      <w:bookmarkStart w:id="98" w:name="Item9b_OtherInformation_125916"/>
      <w:bookmarkEnd w:id="9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was no information that was required to be disclosed in a report on Form 8-K during the fourth quarter of 2009 that has not previously been reported.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81</w:t>
      </w:r>
      <w:bookmarkStart w:id="99" w:name="PB_81_090009_455"/>
      <w:bookmarkEnd w:id="9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III</w:t>
      </w:r>
      <w:bookmarkStart w:id="100" w:name="Partiii_064721"/>
      <w:bookmarkEnd w:id="10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10.  </w:t>
      </w:r>
      <w:r>
        <w:rPr>
          <w:rFonts w:ascii="Times New Roman" w:hAnsi="Times New Roman"/>
          <w:b/>
          <w:i/>
          <w:sz w:val="17"/>
        </w:rPr>
        <w:t>Directors and Executive Officers of Our General Partner and Corporate Governance</w:t>
      </w:r>
      <w:bookmarkStart w:id="101" w:name="Item10_DirectorsAndExecutiveOffic_064723"/>
      <w:bookmarkEnd w:id="10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Partnership Management and Governance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with many publicly traded partnerships, we do not directly have officers, directors or employees. Our operations and activities are managed by Plains All American GP LLC (GP LLC), which employs our management and operational personnel (other than our Canadian personnel, who are employed by PMC (Nova Scotia) Company). GP LLC is the general partner of Plains AAP, L.P. (AAP LP), which is the sole member of PAA GP LLC, our general partner. References to our general partner, as the context requires, include any or all of GP LLC, AAP LP and PAA GP LLC. References to our officers, directors and employees are references to the officers, directors and employees of GP LLC (or, in the case of our Canadian operations, PMC (Nova Scotia)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manages our operations and activities. Unitholders are limited partners and do not directly or indirectly participate in our management or operation. Our general partner owes a fiduciary duty to our unitholders, as limited by our partnership agreement.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partnership agreement provides that our general partner will manage and operate us and that unitholders, unlike holders of common stock in a corporation, will have only limited voting rights on matters affecting our business or governance. The corporate governance of GP LLC is, in effect, the corporate governance of our partnership, subject in all cases to any specific unitholder rights contained in our partnership agreement. References to our Board of Directors mean the board of directors of GP LLC, which consists of eight directors elected by the members of GP LLC, and not by our unitholders. Under the Fourth Amended and Restated Limited Liability Company Agreement of GP LLC (the GP LLC Agreement), two of the members of GP LLC have the right to designate one director each, and our CEO is a director by virtue of holding the office. The remaining five seats are elected, and may be removed, by a majority of the membership interest. Directors filling three of these five at large seats must be independent.  Under our current ownership profile, any member that accumulates an interest greater than 25% and does not otherwise have a designation right may designate a director.  In the event a member of GP LLC ceases to have the right to designate a director, the individual designated by such member is automatically removed as a director.  One of the members of GP LLC, a wholly owned subsidiary of Occidental Petroleum Corporation (Oxy), has the right to designate an individual to attend Board meetings in an observer capacity. Under certain circumstances involving changes in senior-most management, Oxy will have the right to designate a director to serve on the Board and the authorized number of Board members will be expanded to a total of nine.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a transaction in which it increased its ownership to greater than 50%, Vulcan Energy entered into an agreement with GP LLC pursuant to which Vulcan Energy has agreed to restrict certain of its voting rights to help preserve a balanced board. Vulcan Energy has agreed that, with respect to any action taken involving the election or removal of an independent director serving on our audit committee, Vulcan Energy will vote all of its interest in excess of 49.9% in the same way and proportionate to the votes of all membership interests other than Vulcan Energys. Without the voting rights agreement, Vulcan Energys ownership interest would, in effect, allow Vulcan Energy unilaterally to elect the Vulcan Energy designee and the five at large seats (subject to the requirement that three of the at large directors meet the independence requirements set forth in the GP LLC Agreement, our partnership agreement, NYSE listing standards and SEC regulations). Vulcan Energy has the right at any time to give notice of termination of the voting rights agreement. The time between notice and termination depends on the circumstances, but would never be longer than one year. In connection with Vulcan Energys entry into the voting rights agreement, Messrs. Armstrong and Pefanis entered into waivers of the change in control provisions of their employment agreements, which otherwise would have been triggered by the transaction in which Vulcan Energy obtained the additional interest. These waivers were contingent upon Vulcans execution of the voting rights agreement, and will terminate upon any breach or termination by Vulcan Energy of, or notice of termination under, the voting rights agreement. See Item 11. Executive CompensationEmployment Contracts and Potential Payments upon Termination or Change-in-Control.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82</w:t>
      </w:r>
      <w:bookmarkStart w:id="102" w:name="PB_82_090601_8627"/>
      <w:bookmarkEnd w:id="10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Another member of GP LLC, Lynx Holdings I, LLC, has also agreed to certain restrictions on its voting rights with respect to its approximate 1.4% interest in GP LLC and AAP LP. The Lynx voting rights agreement requires Lynx to vote its membership interest (in the context of the election or the removal of an independent director serving on our audit committee) in the same way and proportionate to the votes of the other membership interests (excluding Vulcans and Lynxs). Lynx has the right to terminate its voting rights agreement at any time upon termination of the Vulcan voting rights agreement or the sale or transfer of all of its interest in the general partner to an unaffiliated third party.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Board Leadership Structure and Role in Risk Oversight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CEO also serves as Chairman of the Board.  The board has no policy with respect to the separation of the offices of chairman and CEO; rather, that relationship is currently defined and governed by the GP LLC Agreement and the employment agreement with the CEO, which require coincidence of the offices.  We do not have a lead independent director.  The chairmanship of non-management executive sessions of the board rotates among the non-management directors, sequenced alphabetically by last name.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management of enterprise level risk (ELR) may be defined as the process of identification, management and monitoring of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offers an enterprise-level risk assessment to the Board at least once every year.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Non-Management Executive Sessions and Shareholder Communications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Non-management directors meet in executive session in connection with each regular board meeting. Each non-management director acts as presiding director at the regularly scheduled executive sessions, rotating alphabetically by last name.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Interested parties can communicate directly with non-management directors by mail in care of the General Counsel and Secretary or in care of the Managing Director of Internal Audit at Plains All American Pipeline, L.P., 333 Clay Street, Suite 1600, Houston, Texas 77002. Such communications should specify the intended recipient or recipients. Commercial solicitations or communications will not be forwarded.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Independence Determinations and Audit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we are a limited partnership, the listing standards of the NYSE do not require that we or our general partner have a majority of independent directors or a nominating or compensation committee of the board of directors. We are, however, required to have an audit committee consisting of at least three members, all of whom are required to be independent as defined by the NYSE.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NYSE listing standards, to be considered independent, our board of directors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of directors has determined that Messrs. Goyanes, Petersen, Smith, Symonds and Temple are independent under applicable NYSE rules.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of directors has determined that each member of our audit committee (Everardo Goyanes, Arthur L. Smith and J. Taft Symonds) is (i) independent under applicable NYSE rules and (ii) an Audit Committee Financial Expert, as that term is defined in Item 407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determining the independence of the members of our audit committee, the board of directors considered the relationships described below: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83</w:t>
      </w:r>
      <w:bookmarkStart w:id="103" w:name="PB_83_090601_7906"/>
      <w:bookmarkEnd w:id="10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Everardo Goyanes,</w:t>
      </w:r>
      <w:r>
        <w:rPr>
          <w:rFonts w:ascii="Times New Roman" w:hAnsi="Times New Roman"/>
        </w:rPr>
        <w:t xml:space="preserve"> </w:t>
      </w:r>
      <w:r>
        <w:rPr>
          <w:rFonts w:ascii="Times New Roman" w:hAnsi="Times New Roman"/>
          <w:sz w:val="17"/>
        </w:rPr>
        <w:t>the chairman of our audit committee, is Chairman of Liberty Natural Resources for Liberty Mutual Insurance Company, which is the parent of Liberty Energy Holdings, LLC (LEH). LEH makes investments in producing properties, from some of which Plains Marketing, L.P. buys the production. LEH does not operate the properties in which it invests. Plains Marketing pays the same amount per barrel to LEH that it pays to other interest owners in the properties. In 2009, the amount paid to LEH by Plains Marketing was approximately $0.2 million (net of severance taxes). The board has determined that the transactions with LEH do not compromise Mr. Goyanes independence.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Arthur L. Smith,</w:t>
      </w:r>
      <w:r>
        <w:rPr>
          <w:rFonts w:ascii="Times New Roman" w:hAnsi="Times New Roman"/>
        </w:rPr>
        <w:t xml:space="preserve"> </w:t>
      </w:r>
      <w:r>
        <w:rPr>
          <w:rFonts w:ascii="Times New Roman" w:hAnsi="Times New Roman"/>
          <w:sz w:val="17"/>
        </w:rPr>
        <w:t>a member of our audit committee, is a director of Pioneer Natural Resources GP LLC, the general partner of Pioneer Southwest Energy Partners, L.P. (PSE). PSE is a subsidiary of Pioneer Natural Resources Company (Pioneer). Pioneer and its affiliates (including PSE) own crude oil producing properties in the Permian Basin of Texas and New Mexico, from which Plains Marketing gathers and markets the petroleum production. Mr. Smith is not an officer of PSE or Pioneer and does not participate in operational decision making. In 2009, the amount paid to Pioneer and its affiliates for petroleum gathered and marketed by Plains Marketing was approximately $302 million. The board has determined that the transactions with PSE and Pioneer do not compromise Mr. Smiths independence.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 Taft Symonds</w:t>
      </w:r>
      <w:r>
        <w:rPr>
          <w:rFonts w:ascii="Times New Roman" w:hAnsi="Times New Roman"/>
          <w:sz w:val="17"/>
        </w:rPr>
        <w:t>, a member of our audit committee, has no relationships with either GP LLC or us, other than as a director and unitholder.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information regarding the experience and qualifications of our directors, please read the biographical descriptions under Directors, Executive Officers and Other Officers below.</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Geoff McKay, Gary R. Petersen and Robert V.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2009. Similarly, the compensation committee has not delegated any of its authority to subcommittees. The compensation committee has delegated limited authority to the CEO to administer our long-term incentive plans with respect to employees other than executive officers.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Governance and Other Committees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Smith and Symonds, each of whom is independent under the NYSEs listing standards. As a limited partnership, we are not required by the listing standards of the NYSE to have a nominating committee. As discussed above, two of the owners of our general partner each have the right to appoint a director, and Mr. Armstrong is a director by virtue of his office. In the event of a vacancy in the three required independent director seats, the governance committee will assist in identifying and screening potential candidates. Upon request of the owners of the general partner, the governance committee is also available to assist in identifying and screening potential candidates for the currently vacant at large seat. The governance committee will base its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the GP LLC Agreement and our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our partnership agreement provides for the establishment or activation of a conflicts committee as circumstances warrant to review conflicts of interest between us and our general partner or the owners of our general partner. Such a committee will typically consist of a minimum of two members, none of whom can be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84</w:t>
      </w:r>
      <w:bookmarkStart w:id="104" w:name="PB_84_090601_3736"/>
      <w:bookmarkEnd w:id="10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officers or employees of our general partner or directors, officers or employees of its affiliates or owners of the general partner interest. Any matters approved by the conflicts committee will be conclusively deemed to be fair and reasonable to us, approved by all of our partners, and not a breach by our general partner of any duties owed to us or our unitholders.  See Item 13. Certain Relationships and Related Transactions, and Director IndependenceTransactions with Related PersonsReview, Approval or Ratification of 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Meetings and Other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last fiscal year, our board of directors had four meetings, our audit committee had eight meetings, our compensation committee had one formal meeting and our governance committee had two meetings. None of our directors attended fewer than 75% of the aggregate number of meetings of the board of directors and committees of the board on which the director served.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above, the corporate governance of GP LLC is, in effect, the corporate governance of our partnership and directors of GP LLC are designated or elected by the members of GP LLC. Accordingly, unlike holders of common stock in a corporation, our unitholders have only limited voting rights on matters affecting our business or governance, subject in all cases to any specific unitholder rights contained in our partnership agreement. As a result, we do not hold annual meetings of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All of our standing committees have charters. 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w:t>
      </w:r>
      <w:r>
        <w:rPr>
          <w:rFonts w:ascii="Times New Roman" w:hAnsi="Times New Roman"/>
          <w:i/>
          <w:sz w:val="17"/>
        </w:rPr>
        <w:t>http://www.paalp.com</w:t>
      </w:r>
      <w:r>
        <w:rPr>
          <w:rFonts w:ascii="Times New Roman" w:hAnsi="Times New Roman"/>
          <w:sz w:val="17"/>
        </w:rPr>
        <w:t>. Print versions of the foregoing are available to any person without charge, upon request by writing to our Secretary, Plains All American Pipeline, L.P., 333 Clay Street, Suite 1600, Houston, Texas 77002. We intend to disclose any amendment to or waiver of the Code of Ethics for Senior Financial Officers and any waiver of our Code of Business Conduct on behalf of an executive officer or director either on our Internet website or in an 8-K filing. Our Chief Executive Officer submitted to the NYSE the most recent annual certification, without qualification, as required by Section 303A.12(a) of the NYSEs Listed Company Manual.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Audit Committee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audit committee of Plains All American GP LLC oversees the Partnerships financial reporting process on behalf of the board of directors. Management has the primary responsibility for the financial statements and the reporting process including the systems of internal controls.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fulfilling its oversight responsibilities, the audit committee reviewed and discussed with management the audited financial statements contained in this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audit committee discussed with PricewaterhouseCoopers LLP the matters required to be discussed by Statement of Auditing Standards No. 61, as amended, as adopted by the Public Company Accounting Oversight Board. The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Based on the reviews and discussions referred to above, the audit committee recommended to the board of directors that the audited financial statements be included in the Annual Report on Form 10-K for the year ended December 31, 2009 for filing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85</w:t>
      </w:r>
      <w:bookmarkStart w:id="105" w:name="PB_85_090601_9621"/>
      <w:bookmarkEnd w:id="10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right"/>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Everardo Goyanes, </w:t>
            </w:r>
            <w:r>
              <w:rPr>
                <w:rFonts w:ascii="Times New Roman" w:hAnsi="Times New Roman"/>
                <w:i/>
                <w:sz w:val="17"/>
              </w:rPr>
              <w:t>Chairman</w:t>
            </w:r>
          </w:p>
        </w:tc>
      </w:tr>
      <w:tr>
        <w:trPr/>
        <w:tc>
          <w:tcPr>
            <w:tcW w:w="5102" w:type="dxa"/>
            <w:tcBorders/>
            <w:shd w:fill="auto" w:val="clear"/>
          </w:tcPr>
          <w:p>
            <w:pPr>
              <w:pStyle w:val="TableContents"/>
              <w:spacing w:before="0" w:after="0"/>
              <w:ind w:left="0" w:right="0" w:hanging="0"/>
              <w:jc w:val="right"/>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Arthur L. Smith</w:t>
            </w:r>
          </w:p>
        </w:tc>
      </w:tr>
      <w:tr>
        <w:trPr/>
        <w:tc>
          <w:tcPr>
            <w:tcW w:w="5102" w:type="dxa"/>
            <w:tcBorders/>
            <w:shd w:fill="auto" w:val="clear"/>
          </w:tcPr>
          <w:p>
            <w:pPr>
              <w:pStyle w:val="TableContents"/>
              <w:spacing w:before="0" w:after="0"/>
              <w:ind w:left="0" w:right="0" w:hanging="0"/>
              <w:jc w:val="right"/>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Directors, Executive Officers and Other Officers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with respect to the members of our board of directors, our executive officers (for purposes of Item 401(b) of Regulation S-K) and certain other officers of us and our subsidiaries. Directors are elected annually and all executive officers are appointed by the board of directors. There is no family relationship between any executive officer and director. Two of the owners of our general partner each have the right to separately designate a member of our board. Such designees are indicated in footnote 2 to the following table.</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370"/>
        <w:gridCol w:w="206"/>
        <w:gridCol w:w="1443"/>
        <w:gridCol w:w="206"/>
        <w:gridCol w:w="5980"/>
      </w:tblGrid>
      <w:tr>
        <w:trPr/>
        <w:tc>
          <w:tcPr>
            <w:tcW w:w="237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144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Age (as of</w:t>
              <w:br/>
              <w:t>12/31/09)</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5980"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Position</w:t>
            </w:r>
            <w:r>
              <w:rPr>
                <w:b/>
                <w:sz w:val="8"/>
              </w:rPr>
              <w:t>(1)</w:t>
            </w:r>
          </w:p>
        </w:tc>
      </w:tr>
      <w:tr>
        <w:trPr/>
        <w:tc>
          <w:tcPr>
            <w:tcW w:w="2370" w:type="dxa"/>
            <w:tcBorders/>
            <w:shd w:fill="CCEEFF" w:val="clear"/>
            <w:tcMar>
              <w:bottom w:w="0" w:type="dxa"/>
            </w:tcMar>
          </w:tcPr>
          <w:p>
            <w:pPr>
              <w:pStyle w:val="TableContents"/>
              <w:spacing w:before="0" w:after="0"/>
              <w:ind w:left="0" w:right="0" w:hanging="0"/>
              <w:rPr/>
            </w:pPr>
            <w:r>
              <w:rPr>
                <w:rFonts w:ascii="Times New Roman" w:hAnsi="Times New Roman"/>
                <w:sz w:val="17"/>
              </w:rPr>
              <w:t>Greg L. Armstrong*</w:t>
            </w:r>
            <w:r>
              <w:rPr>
                <w:sz w:val="11"/>
              </w:rPr>
              <w:t>(2)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Chairman of the Board, Chief Executive Officer and Director</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 and Chief Operating Officer</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Phillip D. Kramer*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53</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 David Duckett*</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PresidentPMC (Nova Scotia) Company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J. Gorman*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Senior Vice PresidentOperations and Business Development</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Alfred A. Lindseth</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Senior Vice PresidentTechnology, Process &amp; Risk Management</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Senior Vice President and Chief Financial Officer</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Senior Vice PresidentCommercial Activities</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Stephen L. Bart</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PresidentOperations of PMC (Nova Scotia) Company</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Samuel N. Brown</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PresidentPipeline Business Development</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Craig</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 of PMC (Nova Scotia) Company</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Ralph R. Cross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PresidentCorporate Development and Transportation Services of PMC (Nova Scotia) Company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 Patrick Diamond</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37</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Lawrence J. Dreyfuss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CounselCommercial &amp; Litigation and Assistant Secretary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Roger D. Everett</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64</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PresidentHuman Resources</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James B. Fryfogle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58</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PresidentRefinery Supply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M.D. (Mike) Hallahan</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49</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PresidentCrude Oil of PMC (Nova Scotia) Company</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Bill Harradence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56</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PresidentHuman Resources of PMC (Nova Scotia) Company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Jim G. Hester</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PresidentAcquisitions</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Keffer</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PresidentTerminals</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 and Treasurer</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Gregg McClement</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PresidentBusiness DevelopmentLPG of PMC (Nova Scotia) Company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Mike Mikuska</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PresidentBusiness Development of PMC (Nova Scotia) Company</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Tim Moore*</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 General Counsel and Secretary</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Daniel J. Nerbonne</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52</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PresidentEngineering</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John F. Russell</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PresidentWest Coast Projects</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Robert M. Sanford</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PresidentLease Supply</w:t>
            </w:r>
          </w:p>
        </w:tc>
      </w:tr>
      <w:tr>
        <w:trPr/>
        <w:tc>
          <w:tcPr>
            <w:tcW w:w="237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Tina L. Summers*</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144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598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PresidentAccounting and Chief Accounting Officer</w:t>
            </w:r>
          </w:p>
        </w:tc>
      </w:tr>
      <w:tr>
        <w:trPr/>
        <w:tc>
          <w:tcPr>
            <w:tcW w:w="237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Troy E. Valenzuela</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144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48</w:t>
            </w:r>
          </w:p>
        </w:tc>
        <w:tc>
          <w:tcPr>
            <w:tcW w:w="206" w:type="dxa"/>
            <w:tcBorders/>
            <w:shd w:fill="CCEEFF" w:val="clear"/>
            <w:tcMar>
              <w:bottom w:w="0" w:type="dxa"/>
            </w:tcMar>
            <w:vAlign w:val="bottom"/>
          </w:tcPr>
          <w:p>
            <w:pPr>
              <w:pStyle w:val="TableContents"/>
              <w:spacing w:before="0" w:after="0"/>
              <w:ind w:left="0" w:right="0" w:hanging="0"/>
              <w:rPr/>
            </w:pPr>
            <w:r>
              <w:rPr/>
              <w:t> </w:t>
            </w:r>
          </w:p>
        </w:tc>
        <w:tc>
          <w:tcPr>
            <w:tcW w:w="598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Vice PresidentEnvironmental, Health and Safety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86</w:t>
      </w:r>
      <w:bookmarkStart w:id="106" w:name="PB_86_090601_8715"/>
      <w:bookmarkEnd w:id="10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370"/>
        <w:gridCol w:w="205"/>
        <w:gridCol w:w="1444"/>
        <w:gridCol w:w="204"/>
        <w:gridCol w:w="5982"/>
      </w:tblGrid>
      <w:tr>
        <w:trPr/>
        <w:tc>
          <w:tcPr>
            <w:tcW w:w="23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Sandi Wingert</w:t>
            </w:r>
          </w:p>
        </w:tc>
        <w:tc>
          <w:tcPr>
            <w:tcW w:w="205" w:type="dxa"/>
            <w:tcBorders/>
            <w:shd w:fill="CCEEFF" w:val="clear"/>
            <w:vAlign w:val="bottom"/>
          </w:tcPr>
          <w:p>
            <w:pPr>
              <w:pStyle w:val="TableContents"/>
              <w:spacing w:before="0" w:after="0"/>
              <w:ind w:left="0" w:right="0" w:hanging="0"/>
              <w:rPr/>
            </w:pPr>
            <w:r>
              <w:rPr/>
              <w:t> </w:t>
            </w:r>
          </w:p>
        </w:tc>
        <w:tc>
          <w:tcPr>
            <w:tcW w:w="1444"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39</w:t>
            </w:r>
          </w:p>
        </w:tc>
        <w:tc>
          <w:tcPr>
            <w:tcW w:w="204" w:type="dxa"/>
            <w:tcBorders/>
            <w:shd w:fill="CCEEFF" w:val="clear"/>
            <w:vAlign w:val="bottom"/>
          </w:tcPr>
          <w:p>
            <w:pPr>
              <w:pStyle w:val="TableContents"/>
              <w:spacing w:before="0" w:after="0"/>
              <w:ind w:left="0" w:right="0" w:hanging="0"/>
              <w:rPr/>
            </w:pPr>
            <w:r>
              <w:rPr/>
              <w:t> </w:t>
            </w:r>
          </w:p>
        </w:tc>
        <w:tc>
          <w:tcPr>
            <w:tcW w:w="59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Vice PresidentAccounting of PMC (Nova Scotia) Company</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E. Wright</w:t>
            </w:r>
          </w:p>
        </w:tc>
        <w:tc>
          <w:tcPr>
            <w:tcW w:w="205" w:type="dxa"/>
            <w:tcBorders/>
            <w:shd w:fill="auto" w:val="clear"/>
            <w:vAlign w:val="bottom"/>
          </w:tcPr>
          <w:p>
            <w:pPr>
              <w:pStyle w:val="TableContents"/>
              <w:spacing w:before="0" w:after="0"/>
              <w:ind w:left="0" w:right="0" w:hanging="0"/>
              <w:rPr/>
            </w:pPr>
            <w:r>
              <w:rPr/>
              <w:t> </w:t>
            </w:r>
          </w:p>
        </w:tc>
        <w:tc>
          <w:tcPr>
            <w:tcW w:w="144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64</w:t>
            </w:r>
          </w:p>
        </w:tc>
        <w:tc>
          <w:tcPr>
            <w:tcW w:w="204" w:type="dxa"/>
            <w:tcBorders/>
            <w:shd w:fill="auto" w:val="clear"/>
            <w:vAlign w:val="bottom"/>
          </w:tcPr>
          <w:p>
            <w:pPr>
              <w:pStyle w:val="TableContents"/>
              <w:spacing w:before="0" w:after="0"/>
              <w:ind w:left="0" w:right="0" w:hanging="0"/>
              <w:rPr/>
            </w:pPr>
            <w:r>
              <w:rPr/>
              <w:t> </w:t>
            </w:r>
          </w:p>
        </w:tc>
        <w:tc>
          <w:tcPr>
            <w:tcW w:w="5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23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Ron F. Wunder</w:t>
            </w:r>
          </w:p>
        </w:tc>
        <w:tc>
          <w:tcPr>
            <w:tcW w:w="205" w:type="dxa"/>
            <w:tcBorders/>
            <w:shd w:fill="CCEEFF" w:val="clear"/>
            <w:vAlign w:val="bottom"/>
          </w:tcPr>
          <w:p>
            <w:pPr>
              <w:pStyle w:val="TableContents"/>
              <w:spacing w:before="0" w:after="0"/>
              <w:ind w:left="0" w:right="0" w:hanging="0"/>
              <w:rPr/>
            </w:pPr>
            <w:r>
              <w:rPr/>
              <w:t> </w:t>
            </w:r>
          </w:p>
        </w:tc>
        <w:tc>
          <w:tcPr>
            <w:tcW w:w="1444"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204" w:type="dxa"/>
            <w:tcBorders/>
            <w:shd w:fill="CCEEFF" w:val="clear"/>
            <w:vAlign w:val="bottom"/>
          </w:tcPr>
          <w:p>
            <w:pPr>
              <w:pStyle w:val="TableContents"/>
              <w:spacing w:before="0" w:after="0"/>
              <w:ind w:left="0" w:right="0" w:hanging="0"/>
              <w:rPr/>
            </w:pPr>
            <w:r>
              <w:rPr/>
              <w:t> </w:t>
            </w:r>
          </w:p>
        </w:tc>
        <w:tc>
          <w:tcPr>
            <w:tcW w:w="59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Vice PresidentLPG of PMC (Nova Scotia) Company</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205" w:type="dxa"/>
            <w:tcBorders/>
            <w:shd w:fill="auto" w:val="clear"/>
            <w:vAlign w:val="bottom"/>
          </w:tcPr>
          <w:p>
            <w:pPr>
              <w:pStyle w:val="TableContents"/>
              <w:spacing w:before="0" w:after="0"/>
              <w:ind w:left="0" w:right="0" w:hanging="0"/>
              <w:rPr/>
            </w:pPr>
            <w:r>
              <w:rPr/>
              <w:t> </w:t>
            </w:r>
          </w:p>
        </w:tc>
        <w:tc>
          <w:tcPr>
            <w:tcW w:w="144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65</w:t>
            </w:r>
          </w:p>
        </w:tc>
        <w:tc>
          <w:tcPr>
            <w:tcW w:w="204" w:type="dxa"/>
            <w:tcBorders/>
            <w:shd w:fill="auto" w:val="clear"/>
            <w:vAlign w:val="bottom"/>
          </w:tcPr>
          <w:p>
            <w:pPr>
              <w:pStyle w:val="TableContents"/>
              <w:spacing w:before="0" w:after="0"/>
              <w:ind w:left="0" w:right="0" w:hanging="0"/>
              <w:rPr/>
            </w:pPr>
            <w:r>
              <w:rPr/>
              <w:t> </w:t>
            </w:r>
          </w:p>
        </w:tc>
        <w:tc>
          <w:tcPr>
            <w:tcW w:w="5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Audit** Committee</w:t>
            </w:r>
          </w:p>
        </w:tc>
      </w:tr>
      <w:tr>
        <w:trPr/>
        <w:tc>
          <w:tcPr>
            <w:tcW w:w="2370" w:type="dxa"/>
            <w:tcBorders/>
            <w:shd w:fill="CCEEFF" w:val="clear"/>
          </w:tcPr>
          <w:p>
            <w:pPr>
              <w:pStyle w:val="TableContents"/>
              <w:spacing w:before="0" w:after="0"/>
              <w:ind w:left="0" w:right="0" w:hanging="0"/>
              <w:rPr/>
            </w:pPr>
            <w:r>
              <w:rPr>
                <w:rFonts w:ascii="Times New Roman" w:hAnsi="Times New Roman"/>
                <w:sz w:val="17"/>
              </w:rPr>
              <w:t>Geoff McKay</w:t>
            </w:r>
            <w:r>
              <w:rPr>
                <w:sz w:val="11"/>
              </w:rPr>
              <w:t>(2)</w:t>
            </w:r>
          </w:p>
        </w:tc>
        <w:tc>
          <w:tcPr>
            <w:tcW w:w="205" w:type="dxa"/>
            <w:tcBorders/>
            <w:shd w:fill="CCEEFF" w:val="clear"/>
            <w:vAlign w:val="bottom"/>
          </w:tcPr>
          <w:p>
            <w:pPr>
              <w:pStyle w:val="TableContents"/>
              <w:spacing w:before="0" w:after="0"/>
              <w:ind w:left="0" w:right="0" w:hanging="0"/>
              <w:rPr/>
            </w:pPr>
            <w:r>
              <w:rPr/>
              <w:t> </w:t>
            </w:r>
          </w:p>
        </w:tc>
        <w:tc>
          <w:tcPr>
            <w:tcW w:w="1444"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204" w:type="dxa"/>
            <w:tcBorders/>
            <w:shd w:fill="CCEEFF" w:val="clear"/>
            <w:vAlign w:val="bottom"/>
          </w:tcPr>
          <w:p>
            <w:pPr>
              <w:pStyle w:val="TableContents"/>
              <w:spacing w:before="0" w:after="0"/>
              <w:ind w:left="0" w:right="0" w:hanging="0"/>
              <w:rPr/>
            </w:pPr>
            <w:r>
              <w:rPr/>
              <w:t> </w:t>
            </w:r>
          </w:p>
        </w:tc>
        <w:tc>
          <w:tcPr>
            <w:tcW w:w="59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Committee</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c>
          <w:tcPr>
            <w:tcW w:w="205" w:type="dxa"/>
            <w:tcBorders/>
            <w:shd w:fill="auto" w:val="clear"/>
            <w:vAlign w:val="bottom"/>
          </w:tcPr>
          <w:p>
            <w:pPr>
              <w:pStyle w:val="TableContents"/>
              <w:spacing w:before="0" w:after="0"/>
              <w:ind w:left="0" w:right="0" w:hanging="0"/>
              <w:rPr/>
            </w:pPr>
            <w:r>
              <w:rPr/>
              <w:t> </w:t>
            </w:r>
          </w:p>
        </w:tc>
        <w:tc>
          <w:tcPr>
            <w:tcW w:w="144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63</w:t>
            </w:r>
          </w:p>
        </w:tc>
        <w:tc>
          <w:tcPr>
            <w:tcW w:w="204" w:type="dxa"/>
            <w:tcBorders/>
            <w:shd w:fill="auto" w:val="clear"/>
            <w:vAlign w:val="bottom"/>
          </w:tcPr>
          <w:p>
            <w:pPr>
              <w:pStyle w:val="TableContents"/>
              <w:spacing w:before="0" w:after="0"/>
              <w:ind w:left="0" w:right="0" w:hanging="0"/>
              <w:rPr/>
            </w:pPr>
            <w:r>
              <w:rPr/>
              <w:t> </w:t>
            </w:r>
          </w:p>
        </w:tc>
        <w:tc>
          <w:tcPr>
            <w:tcW w:w="5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Committee</w:t>
            </w:r>
          </w:p>
        </w:tc>
      </w:tr>
      <w:tr>
        <w:trPr/>
        <w:tc>
          <w:tcPr>
            <w:tcW w:w="2370" w:type="dxa"/>
            <w:tcBorders/>
            <w:shd w:fill="CCEEFF" w:val="clear"/>
          </w:tcPr>
          <w:p>
            <w:pPr>
              <w:pStyle w:val="TableContents"/>
              <w:spacing w:before="0" w:after="0"/>
              <w:ind w:left="0" w:right="0" w:hanging="0"/>
              <w:rPr/>
            </w:pPr>
            <w:r>
              <w:rPr>
                <w:rFonts w:ascii="Times New Roman" w:hAnsi="Times New Roman"/>
                <w:sz w:val="17"/>
              </w:rPr>
              <w:t>Robert V. Sinnott</w:t>
            </w:r>
            <w:r>
              <w:rPr>
                <w:sz w:val="11"/>
              </w:rPr>
              <w:t>(2)</w:t>
            </w:r>
          </w:p>
        </w:tc>
        <w:tc>
          <w:tcPr>
            <w:tcW w:w="205" w:type="dxa"/>
            <w:tcBorders/>
            <w:shd w:fill="CCEEFF" w:val="clear"/>
            <w:vAlign w:val="bottom"/>
          </w:tcPr>
          <w:p>
            <w:pPr>
              <w:pStyle w:val="TableContents"/>
              <w:spacing w:before="0" w:after="0"/>
              <w:ind w:left="0" w:right="0" w:hanging="0"/>
              <w:rPr/>
            </w:pPr>
            <w:r>
              <w:rPr/>
              <w:t> </w:t>
            </w:r>
          </w:p>
        </w:tc>
        <w:tc>
          <w:tcPr>
            <w:tcW w:w="1444"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204" w:type="dxa"/>
            <w:tcBorders/>
            <w:shd w:fill="CCEEFF" w:val="clear"/>
            <w:vAlign w:val="bottom"/>
          </w:tcPr>
          <w:p>
            <w:pPr>
              <w:pStyle w:val="TableContents"/>
              <w:spacing w:before="0" w:after="0"/>
              <w:ind w:left="0" w:right="0" w:hanging="0"/>
              <w:rPr/>
            </w:pPr>
            <w:r>
              <w:rPr/>
              <w:t> </w:t>
            </w:r>
          </w:p>
        </w:tc>
        <w:tc>
          <w:tcPr>
            <w:tcW w:w="59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Compensation** Committee</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Arthur L. Smith</w:t>
            </w:r>
          </w:p>
        </w:tc>
        <w:tc>
          <w:tcPr>
            <w:tcW w:w="205" w:type="dxa"/>
            <w:tcBorders/>
            <w:shd w:fill="auto" w:val="clear"/>
            <w:vAlign w:val="bottom"/>
          </w:tcPr>
          <w:p>
            <w:pPr>
              <w:pStyle w:val="TableContents"/>
              <w:spacing w:before="0" w:after="0"/>
              <w:ind w:left="0" w:right="0" w:hanging="0"/>
              <w:rPr/>
            </w:pPr>
            <w:r>
              <w:rPr/>
              <w:t> </w:t>
            </w:r>
          </w:p>
        </w:tc>
        <w:tc>
          <w:tcPr>
            <w:tcW w:w="144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57</w:t>
            </w:r>
          </w:p>
        </w:tc>
        <w:tc>
          <w:tcPr>
            <w:tcW w:w="204" w:type="dxa"/>
            <w:tcBorders/>
            <w:shd w:fill="auto" w:val="clear"/>
            <w:vAlign w:val="bottom"/>
          </w:tcPr>
          <w:p>
            <w:pPr>
              <w:pStyle w:val="TableContents"/>
              <w:spacing w:before="0" w:after="0"/>
              <w:ind w:left="0" w:right="0" w:hanging="0"/>
              <w:rPr/>
            </w:pPr>
            <w:r>
              <w:rPr/>
              <w:t> </w:t>
            </w:r>
          </w:p>
        </w:tc>
        <w:tc>
          <w:tcPr>
            <w:tcW w:w="5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Audit and Governance** Committees</w:t>
            </w:r>
          </w:p>
        </w:tc>
      </w:tr>
      <w:tr>
        <w:trPr/>
        <w:tc>
          <w:tcPr>
            <w:tcW w:w="237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205" w:type="dxa"/>
            <w:tcBorders/>
            <w:shd w:fill="CCEEFF" w:val="clear"/>
            <w:vAlign w:val="bottom"/>
          </w:tcPr>
          <w:p>
            <w:pPr>
              <w:pStyle w:val="TableContents"/>
              <w:spacing w:before="0" w:after="0"/>
              <w:ind w:left="0" w:right="0" w:hanging="0"/>
              <w:rPr/>
            </w:pPr>
            <w:r>
              <w:rPr/>
              <w:t> </w:t>
            </w:r>
          </w:p>
        </w:tc>
        <w:tc>
          <w:tcPr>
            <w:tcW w:w="1444"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204" w:type="dxa"/>
            <w:tcBorders/>
            <w:shd w:fill="CCEEFF" w:val="clear"/>
            <w:vAlign w:val="bottom"/>
          </w:tcPr>
          <w:p>
            <w:pPr>
              <w:pStyle w:val="TableContents"/>
              <w:spacing w:before="0" w:after="0"/>
              <w:ind w:left="0" w:right="0" w:hanging="0"/>
              <w:rPr/>
            </w:pPr>
            <w:r>
              <w:rPr/>
              <w:t> </w:t>
            </w:r>
          </w:p>
        </w:tc>
        <w:tc>
          <w:tcPr>
            <w:tcW w:w="598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Director and Member of Audit and Governance Committees</w:t>
            </w:r>
          </w:p>
        </w:tc>
      </w:tr>
      <w:tr>
        <w:trPr/>
        <w:tc>
          <w:tcPr>
            <w:tcW w:w="237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c>
          <w:tcPr>
            <w:tcW w:w="205" w:type="dxa"/>
            <w:tcBorders/>
            <w:shd w:fill="auto" w:val="clear"/>
            <w:vAlign w:val="bottom"/>
          </w:tcPr>
          <w:p>
            <w:pPr>
              <w:pStyle w:val="TableContents"/>
              <w:spacing w:before="0" w:after="0"/>
              <w:ind w:left="0" w:right="0" w:hanging="0"/>
              <w:rPr/>
            </w:pPr>
            <w:r>
              <w:rPr/>
              <w:t> </w:t>
            </w:r>
          </w:p>
        </w:tc>
        <w:tc>
          <w:tcPr>
            <w:tcW w:w="1444"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42</w:t>
            </w:r>
          </w:p>
        </w:tc>
        <w:tc>
          <w:tcPr>
            <w:tcW w:w="204" w:type="dxa"/>
            <w:tcBorders/>
            <w:shd w:fill="auto" w:val="clear"/>
            <w:vAlign w:val="bottom"/>
          </w:tcPr>
          <w:p>
            <w:pPr>
              <w:pStyle w:val="TableContents"/>
              <w:spacing w:before="0" w:after="0"/>
              <w:ind w:left="0" w:right="0" w:hanging="0"/>
              <w:rPr/>
            </w:pPr>
            <w:r>
              <w:rPr/>
              <w:t> </w:t>
            </w:r>
          </w:p>
        </w:tc>
        <w:tc>
          <w:tcPr>
            <w:tcW w:w="59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Indicates an executive officer for purposes of Item 401(b)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Indicates chairman of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Unless otherwise described, the position indicates the position held with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GP LLC Agreement specifies that the Chief Executive Officer of the general partner will be a member of the board of directors. The GP LLC Agreement also provides that two of the owners of our general partner each have the right to appoint a member of our board of directors. Mr. McKay has been appointed by Vulcan Energy Corporation, of which he is Chairman of the Board. Mr. Sinnott has been appointed by KAFU Holdings, L.P., which is affiliated with Kayne Anderson Investment Management, Inc., of which he is President. The remaining directors were elected by a majority of the membership interest. See Item 12. Security Ownership of Certain Beneficial Owners and Management and Related Unitholder MattersBeneficial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Greg L. Armstrong</w:t>
      </w:r>
      <w:r>
        <w:rPr>
          <w:rFonts w:ascii="Times New Roman" w:hAnsi="Times New Roman"/>
        </w:rPr>
        <w:t xml:space="preserve"> </w:t>
      </w:r>
      <w:r>
        <w:rPr>
          <w:rFonts w:ascii="Times New Roman" w:hAnsi="Times New Roman"/>
          <w:sz w:val="17"/>
        </w:rPr>
        <w:t>has served as Chairman of the Board and Chief Executive Officer since our formation in 1998. He has also served as a director of our 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 and PNGS GP LLC, the general partner of PAA Natural Gas Storage, L.P.  Mr. Armstrong previously served as a director of BreitBurn Energy Partners,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Harry N. Pefanis</w:t>
      </w:r>
      <w:r>
        <w:rPr>
          <w:rFonts w:ascii="Times New Roman" w:hAnsi="Times New Roman"/>
        </w:rPr>
        <w:t xml:space="preserve"> </w:t>
      </w:r>
      <w:r>
        <w:rPr>
          <w:rFonts w:ascii="Times New Roman" w:hAnsi="Times New Roman"/>
          <w:sz w:val="17"/>
        </w:rPr>
        <w:t>has served as President and Chief Operating Officer since our formation in 1998. He was also a director of our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also a director of PNGS GP LLC and Settoon Towing.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Phillip D. Kramer</w:t>
      </w:r>
      <w:r>
        <w:rPr>
          <w:rFonts w:ascii="Times New Roman" w:hAnsi="Times New Roman"/>
        </w:rPr>
        <w:t xml:space="preserve"> </w:t>
      </w:r>
      <w:r>
        <w:rPr>
          <w:rFonts w:ascii="Times New Roman" w:hAnsi="Times New Roman"/>
          <w:sz w:val="17"/>
        </w:rPr>
        <w:t>has served as Executive Vice President since November 2008 and previously served as Executive Vice President and Chief Financial Officer from our formation in 1998 until November 2008. In addition, he was Executive Vice 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87</w:t>
      </w:r>
      <w:bookmarkStart w:id="107" w:name="PB_87_090601_563"/>
      <w:bookmarkEnd w:id="10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W. David Duckett</w:t>
      </w:r>
      <w:r>
        <w:rPr>
          <w:rFonts w:ascii="Times New Roman" w:hAnsi="Times New Roman"/>
        </w:rPr>
        <w:t xml:space="preserve"> </w:t>
      </w:r>
      <w:r>
        <w:rPr>
          <w:rFonts w:ascii="Times New Roman" w:hAnsi="Times New Roman"/>
          <w:sz w:val="17"/>
        </w:rPr>
        <w:t>has served as President of PMC (Nova Scotia) Company since June 2003, and Executive Vice President of PMC (Nova Scotia) Company from July 2001 to June 2003. Mr. Duckett was with CANPET Energy Group Inc. (CANPET) from 1985 to 2001, where he served in various capacities, including most recently as President, Chief Executive Officer and Chairman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Mark J. Gorman</w:t>
      </w:r>
      <w:r>
        <w:rPr>
          <w:rFonts w:ascii="Times New Roman" w:hAnsi="Times New Roman"/>
        </w:rPr>
        <w:t xml:space="preserve"> </w:t>
      </w:r>
      <w:r>
        <w:rPr>
          <w:rFonts w:ascii="Times New Roman" w:hAnsi="Times New Roman"/>
          <w:sz w:val="17"/>
        </w:rPr>
        <w:t>has served as Senior Vice PresidentOperations and Business Development since August 2008. He previously served as Vice President from November 2006 until August 2008. Prior to joining Plains, he was with Genesis Energy in differing capacities as a Director, President and CEO, and Executive Vice President and COO from 1996 through August 2006. From 1992 to 1996, he served as a President for Howell Crude Oil Company. Mr. Gorman began his career with Marathon Oil Company, spending 13 years in various disciplines. Mr. Gorman is also a director of Settoon Towing, Butte, Frontier and SLC Pipeline.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Alfred A. Lindseth</w:t>
      </w:r>
      <w:r>
        <w:rPr>
          <w:rFonts w:ascii="Times New Roman" w:hAnsi="Times New Roman"/>
        </w:rPr>
        <w:t xml:space="preserve"> </w:t>
      </w:r>
      <w:r>
        <w:rPr>
          <w:rFonts w:ascii="Times New Roman" w:hAnsi="Times New Roman"/>
          <w:sz w:val="17"/>
        </w:rPr>
        <w:t>has served as Senior Vice PresidentTechnology, Process &amp; Risk Management since June 2003 and as Vice PresidentAdministration from March 2001 to June 2003. He served as Risk Manager from March 2000 to March 2001. Mr. Lindseth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Al Swanson</w:t>
      </w:r>
      <w:r>
        <w:rPr>
          <w:rFonts w:ascii="Times New Roman" w:hAnsi="Times New Roman"/>
        </w:rPr>
        <w:t xml:space="preserve"> </w:t>
      </w:r>
      <w:r>
        <w:rPr>
          <w:rFonts w:ascii="Times New Roman" w:hAnsi="Times New Roman"/>
          <w:sz w:val="17"/>
        </w:rPr>
        <w:t>has served as Senior Vice President and Chief Financial Officer since November 2008. He previously served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is also a director of PNGS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P. vonBerg</w:t>
      </w:r>
      <w:r>
        <w:rPr>
          <w:rFonts w:ascii="Times New Roman" w:hAnsi="Times New Roman"/>
        </w:rPr>
        <w:t xml:space="preserve"> </w:t>
      </w:r>
      <w:r>
        <w:rPr>
          <w:rFonts w:ascii="Times New Roman" w:hAnsi="Times New Roman"/>
          <w:sz w:val="17"/>
        </w:rPr>
        <w:t>has served as Senior Vice PresidentCommercial Activities since August 2008. Previously he served as Vice PresidentCommercial Activities from August 2007 until August 2008 and as Vice PresidentTrading from May 2003 until August 2007. He served as Director of these activities from January 2002 until May 2003. Prior to joining us in January 2002, he was with 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Stephen L. Bart</w:t>
      </w:r>
      <w:r>
        <w:rPr>
          <w:rFonts w:ascii="Times New Roman" w:hAnsi="Times New Roman"/>
        </w:rPr>
        <w:t xml:space="preserve"> </w:t>
      </w:r>
      <w:r>
        <w:rPr>
          <w:rFonts w:ascii="Times New Roman" w:hAnsi="Times New Roman"/>
          <w:sz w:val="17"/>
        </w:rPr>
        <w:t>has served as Vice PresidentOperations of PMC (Nova Scotia) Company since April 2005 and was Managing Director, LPG Operations &amp; 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Samuel N. Brown</w:t>
      </w:r>
      <w:r>
        <w:rPr>
          <w:rFonts w:ascii="Times New Roman" w:hAnsi="Times New Roman"/>
        </w:rPr>
        <w:t xml:space="preserve"> </w:t>
      </w:r>
      <w:r>
        <w:rPr>
          <w:rFonts w:ascii="Times New Roman" w:hAnsi="Times New Roman"/>
          <w:sz w:val="17"/>
        </w:rPr>
        <w:t>has served as Vice PresidentPipeline Business Development since October 2009.  Prior to joining PAA, Mr. Brown served TEPPCO for over 10 years, most recently as Vice PresidentCommercial Downstream and previously as Vice PresidentPipeline Marketing and Business Development for the Upstream segment. Prior to joining TEPPCO, Mr. Brown served Duke Energy Transport and Trading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David Craig</w:t>
      </w:r>
      <w:r>
        <w:rPr>
          <w:rFonts w:ascii="Times New Roman" w:hAnsi="Times New Roman"/>
        </w:rPr>
        <w:t xml:space="preserve"> </w:t>
      </w:r>
      <w:r>
        <w:rPr>
          <w:rFonts w:ascii="Times New Roman" w:hAnsi="Times New Roman"/>
          <w:sz w:val="17"/>
        </w:rPr>
        <w:t>has served as Executive Vice President and Chief Financial Officer of PMC (Nova Scotia) Company since June 2008. Prior to joining our Canadian operations, Mr. Craig was with Nexen Inc. from 2004 to June 2008, where he served in various capacities, including most recently as Vice President of natural gas marketing. From 1999 until 2004, he was with Apache Canada Ltd., with responsibilities in the areas of gas marketing and finance. Mr. Craig has over 25 years of experience in the energy industry in various financial roles (including accounting, planning, treasury, and mergers &amp; acquisitions) as well as natural gas marketing.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88</w:t>
      </w:r>
      <w:bookmarkStart w:id="108" w:name="PB_88_090601_9497"/>
      <w:bookmarkEnd w:id="10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Ralph R. Cross</w:t>
      </w:r>
      <w:r>
        <w:rPr>
          <w:rFonts w:ascii="Times New Roman" w:hAnsi="Times New Roman"/>
        </w:rPr>
        <w:t xml:space="preserve"> </w:t>
      </w:r>
      <w:r>
        <w:rPr>
          <w:rFonts w:ascii="Times New Roman" w:hAnsi="Times New Roman"/>
          <w:sz w:val="17"/>
        </w:rPr>
        <w:t>has served as Vice PresidentCorporate Development and Transportation Services of PMC (Nova Scotia) Company since July 2001. Mr. Cross was previously with CANPET since 1992, where he served in various capacities, including most recently as Vice President of Business Development.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 Patrick Diamond</w:t>
      </w:r>
      <w:r>
        <w:rPr>
          <w:rFonts w:ascii="Times New Roman" w:hAnsi="Times New Roman"/>
        </w:rPr>
        <w:t xml:space="preserve"> </w:t>
      </w:r>
      <w:r>
        <w:rPr>
          <w:rFonts w:ascii="Times New Roman" w:hAnsi="Times New Roman"/>
          <w:sz w:val="17"/>
        </w:rPr>
        <w:t>has served as Vice President since August 2007. He previously served as Director, Strategic Planning from July 2005 to August 2007 and as ManagerSpecial Projects from June 2001 to July 2005. In addition, he was ManagerSpecial Projects of Plains Resources from August 1999 to June 2001. Prior to joining Plains Resources, Mr. Diamond served Salomon Smith Barney in its Global Energy Investment Banking Group as an Associate from July 1997 to May 1999 and as a Financial Analyst from July 1994 to June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Lawrence J. Dreyfuss</w:t>
      </w:r>
      <w:r>
        <w:rPr>
          <w:rFonts w:ascii="Times New Roman" w:hAnsi="Times New Roman"/>
        </w:rPr>
        <w:t xml:space="preserve"> </w:t>
      </w:r>
      <w:r>
        <w:rPr>
          <w:rFonts w:ascii="Times New Roman" w:hAnsi="Times New Roman"/>
          <w:sz w:val="17"/>
        </w:rPr>
        <w:t>has served as Vice President, General CounselCommercial &amp; Litigation and Assistant Secretary since August 2006. Mr. Dreyfuss was Vice President, Associate General Counsel and Assistant Secretary of our general partner from February 2004 to August 2006 and Associate General Counsel and Assistant Secretary of our general partner from June 2001 to February 2004 and held a senior management position in the Law Department since May 1999. In addition, he was a Vice President of Scurlock Permian LLC from 1987 to 1999.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Roger D. Everett</w:t>
      </w:r>
      <w:r>
        <w:rPr>
          <w:rFonts w:ascii="Times New Roman" w:hAnsi="Times New Roman"/>
        </w:rPr>
        <w:t xml:space="preserve"> </w:t>
      </w:r>
      <w:r>
        <w:rPr>
          <w:rFonts w:ascii="Times New Roman" w:hAnsi="Times New Roman"/>
          <w:sz w:val="17"/>
        </w:rPr>
        <w:t>has served as Vice PresidentHuman Resources since November 2006 and as Director of Human Resources from August 2006 to December 2006. Before joining us, Mr. Everett was a Principal with Stone Partners, a human resource management consulting firm, for over 10 years serving as the Managing Director Human Resources from 2000 to 2006. Mr. Everett has held numerous positions of increasing responsibility in human resource management since 1979 including Vice President of Human Resources at Living Centers of America and Beverly Enterprises, Director of Human Resources at Healthcare International and Director of Compensation and benefits at Charter Medical.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James B. Fryfogle</w:t>
      </w:r>
      <w:r>
        <w:rPr>
          <w:rFonts w:ascii="Times New Roman" w:hAnsi="Times New Roman"/>
        </w:rPr>
        <w:t xml:space="preserve"> </w:t>
      </w:r>
      <w:r>
        <w:rPr>
          <w:rFonts w:ascii="Times New Roman" w:hAnsi="Times New Roman"/>
          <w:sz w:val="17"/>
        </w:rPr>
        <w:t>has served as Vice PresidentRefinery Supply since March 2005. He served as Vice PresidentLease Operations from July 2004 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M.D. (Mike) Hallahan</w:t>
      </w:r>
      <w:r>
        <w:rPr>
          <w:rFonts w:ascii="Times New Roman" w:hAnsi="Times New Roman"/>
        </w:rPr>
        <w:t xml:space="preserve"> </w:t>
      </w:r>
      <w:r>
        <w:rPr>
          <w:rFonts w:ascii="Times New Roman" w:hAnsi="Times New Roman"/>
          <w:sz w:val="17"/>
        </w:rPr>
        <w:t>has served as Vice PresidentCrude Oil of PMC (Nova Scotia) Company since February 2004 and Managing Director, Facilities from July 2001 to February 2004. He was previously with CANPET where he served in various capacities since 1996, most recently as General Manager,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Bill Harradence</w:t>
      </w:r>
      <w:r>
        <w:rPr>
          <w:rFonts w:ascii="Times New Roman" w:hAnsi="Times New Roman"/>
        </w:rPr>
        <w:t xml:space="preserve"> </w:t>
      </w:r>
      <w:r>
        <w:rPr>
          <w:rFonts w:ascii="Times New Roman" w:hAnsi="Times New Roman"/>
          <w:sz w:val="17"/>
        </w:rPr>
        <w:t>has served as Vice PresidentHuman Resources of PMC (Nova Scotia) Company since October 2007. Prior to joining PMC, Mr. Harradence served as Vice President of Human Resources and Organizational Development at IHS Energy from February 2005 until October 2007, and prior to that he led Human Resources/EH&amp;S at Aquila Canada for four years. Mr. Harradence has over 25 years of human resources experience including Amoco and Safeway.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Jim G. Hester</w:t>
      </w:r>
      <w:r>
        <w:rPr>
          <w:rFonts w:ascii="Times New Roman" w:hAnsi="Times New Roman"/>
        </w:rPr>
        <w:t xml:space="preserve"> </w:t>
      </w:r>
      <w:r>
        <w:rPr>
          <w:rFonts w:ascii="Times New Roman" w:hAnsi="Times New Roman"/>
          <w:sz w:val="17"/>
        </w:rPr>
        <w:t>has served as Vice PresidentAcquisitions since March 2002. Prior to joining us, Mr. Hester was Senior Vice PresidentSpecial Projects 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Keffer</w:t>
      </w:r>
      <w:r>
        <w:rPr>
          <w:rFonts w:ascii="Times New Roman" w:hAnsi="Times New Roman"/>
        </w:rPr>
        <w:t xml:space="preserve"> </w:t>
      </w:r>
      <w:r>
        <w:rPr>
          <w:rFonts w:ascii="Times New Roman" w:hAnsi="Times New Roman"/>
          <w:sz w:val="17"/>
        </w:rPr>
        <w:t>has served as Vice PresidentTerminals since November 2006. Mr. Keffer joined Plains Marketing L.P. in October 1998 and prior to his appointment as Vice President, he served as Managing DirectorRefinery Supply, Director of Trading and Manager of Sales and Trading. Prior to joining Plains, Mr. Keffer was with Prebon Energy, an energy brokerage firm, from January 1996 through September 1998. Mr. Keffer was with the Permian Corporation/Scurlock Permian from January 1990 through December 1995, where he served in several capacities in the marketing department including Director of Crude Oil Trading. Mr. Keffer began his career with Amoco Production Company and served in various capacities beginning in June 1982.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89</w:t>
      </w:r>
      <w:bookmarkStart w:id="109" w:name="PB_89_090601_3641"/>
      <w:bookmarkEnd w:id="10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Charles Kingswell-Smith</w:t>
      </w:r>
      <w:r>
        <w:rPr>
          <w:rFonts w:ascii="Times New Roman" w:hAnsi="Times New Roman"/>
        </w:rPr>
        <w:t xml:space="preserve"> </w:t>
      </w:r>
      <w:r>
        <w:rPr>
          <w:rFonts w:ascii="Times New Roman" w:hAnsi="Times New Roman"/>
          <w:sz w:val="17"/>
        </w:rPr>
        <w:t>has served as Vice President and Treasurer since August 2008. Mr. Kingswell-Smith previously served as Managing Director of GE Energy Financial Services from January 2008 to July 2008 and as Managing Director with Merrill Lynch Capital from March 2007 until January 2008. Prior to joining Merrill Lynch Capital, Mr. Kingswell-Smith spent 12 years in the energy banking business with JPMorgan Chase and BankOne.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Mike Mikuska</w:t>
      </w:r>
      <w:r>
        <w:rPr>
          <w:rFonts w:ascii="Times New Roman" w:hAnsi="Times New Roman"/>
        </w:rPr>
        <w:t xml:space="preserve"> </w:t>
      </w:r>
      <w:r>
        <w:rPr>
          <w:rFonts w:ascii="Times New Roman" w:hAnsi="Times New Roman"/>
          <w:sz w:val="17"/>
        </w:rPr>
        <w:t>has served as Vice PresidentBusiness Development of PMC (Nova Scotia) Company since September 2008. Mr. Mikuska has been with PMC and its predecessor CANPET since 1995 and has served in various commercial and development roles over that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Gregg McClement </w:t>
      </w:r>
      <w:r>
        <w:rPr>
          <w:rFonts w:ascii="Times New Roman" w:hAnsi="Times New Roman"/>
          <w:sz w:val="17"/>
        </w:rPr>
        <w:t>has served as Vice PresidentBusiness DevelopmentLPG of PMC (Nova Scotia) Company since December 2009.  Mr. McClement has been with PMC and its predecessor CANPET since 2001.  He previously held numerous senior management roles in the transportation industry with companies such as B.C. Rail and Union Pacific Railway.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Tim Moore</w:t>
      </w:r>
      <w:r>
        <w:rPr>
          <w:rFonts w:ascii="Times New Roman" w:hAnsi="Times New Roman"/>
        </w:rPr>
        <w:t xml:space="preserve"> </w:t>
      </w:r>
      <w:r>
        <w:rPr>
          <w:rFonts w:ascii="Times New Roman" w:hAnsi="Times New Roman"/>
          <w:sz w:val="17"/>
        </w:rPr>
        <w:t>has served as Vice President, General Counsel and Secretary since May 2000. In addition, he was Vice President, General Counsel and Secretary of Plains Resources from May 2000 to May 2001. Prior to joining Plains Resources, he served in various positions, including General CounselCorporate, with TransTexas Gas Corporation from 1994 to 2000. He previously was a corporate attorney with the Houston office of Weil, Gotshal &amp; Manges LLP. Mr. Moore also has seven years of energy industry experience as a petroleum geologist.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Daniel J. Nerbonne</w:t>
      </w:r>
      <w:r>
        <w:rPr>
          <w:rFonts w:ascii="Times New Roman" w:hAnsi="Times New Roman"/>
        </w:rPr>
        <w:t xml:space="preserve"> </w:t>
      </w:r>
      <w:r>
        <w:rPr>
          <w:rFonts w:ascii="Times New Roman" w:hAnsi="Times New Roman"/>
          <w:sz w:val="17"/>
        </w:rPr>
        <w:t>has served as Vice PresidentEngineering since February 2005. Prior to joining us, Mr. Nerbonne was General Manager of 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John F. Russell</w:t>
      </w:r>
      <w:r>
        <w:rPr>
          <w:rFonts w:ascii="Times New Roman" w:hAnsi="Times New Roman"/>
        </w:rPr>
        <w:t xml:space="preserve"> </w:t>
      </w:r>
      <w:r>
        <w:rPr>
          <w:rFonts w:ascii="Times New Roman" w:hAnsi="Times New Roman"/>
          <w:sz w:val="17"/>
        </w:rPr>
        <w:t>has served as Vice PresidentWest Coast Projects since August 2007. He served as Vice PresidentPipeline Operations from July 2004 to August 2007. Prior to joining us, Mr. Russell served as Vice President of Business Development &amp; Joint Interest for ExxonMobil Pipeline Company. Mr. Russell had held numerous positions of increasing responsibility with ExxonMobil Pipeline Company or its affiliates or predecessors since 1974.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Robert M. Sanford</w:t>
      </w:r>
      <w:r>
        <w:rPr>
          <w:rFonts w:ascii="Times New Roman" w:hAnsi="Times New Roman"/>
        </w:rPr>
        <w:t xml:space="preserve"> </w:t>
      </w:r>
      <w:r>
        <w:rPr>
          <w:rFonts w:ascii="Times New Roman" w:hAnsi="Times New Roman"/>
          <w:sz w:val="17"/>
        </w:rPr>
        <w:t>has served as Vice PresidentLease Supply since June 2006. He served as Managing DirectorLease Acquisitions and Trucking from July 2005 to June 2006 and as Director of South Texas and Mid Continent Business Units from April 2004 to July 2005. Mr. Sanford was with Link Energy/EOTT Energy from 1994 to April 2004, where he held various positions of increasing responsibility.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Tina L. Summers </w:t>
      </w:r>
      <w:r>
        <w:rPr>
          <w:rFonts w:ascii="Times New Roman" w:hAnsi="Times New Roman"/>
          <w:sz w:val="17"/>
        </w:rPr>
        <w:t>has served as Vice PresidentAccounting and Chief Accounting Officer since June 2003. She served as Controller from April 2000 until she was elected to her current position. From January 1998 to January 2000, Ms. Summers served as a consultant to Conoco de Venezuela S.A. She previously served as Senior Financial Analyst for Plains Resources from October 1994 to July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Troy E. Valenzuela</w:t>
      </w:r>
      <w:r>
        <w:rPr>
          <w:rFonts w:ascii="Times New Roman" w:hAnsi="Times New Roman"/>
        </w:rPr>
        <w:t xml:space="preserve"> </w:t>
      </w:r>
      <w:r>
        <w:rPr>
          <w:rFonts w:ascii="Times New Roman" w:hAnsi="Times New Roman"/>
          <w:sz w:val="17"/>
        </w:rPr>
        <w:t>has served as Vice PresidentEnvironmental, Health and Safety, or EH&amp;S, since July 2002, and has had oversight responsibility for the environmental, safety and regulatory compliance 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Sandi Wingert</w:t>
      </w:r>
      <w:r>
        <w:rPr>
          <w:rFonts w:ascii="Times New Roman" w:hAnsi="Times New Roman"/>
        </w:rPr>
        <w:t xml:space="preserve"> </w:t>
      </w:r>
      <w:r>
        <w:rPr>
          <w:rFonts w:ascii="Times New Roman" w:hAnsi="Times New Roman"/>
          <w:sz w:val="17"/>
        </w:rPr>
        <w:t>has served as Vice PresidentAccounting of PMC (Nova Scotia) Company since February 2008. She has been with PMC and its predecessor CANPET for eight years acting as Controller. Prior to joining our Canadian operations, she held various accounting roles with Koch Petroleum and Ernst &amp; Young.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90</w:t>
      </w:r>
      <w:bookmarkStart w:id="110" w:name="PB_90_090601_5250"/>
      <w:bookmarkEnd w:id="1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David E. Wright</w:t>
      </w:r>
      <w:r>
        <w:rPr>
          <w:rFonts w:ascii="Times New Roman" w:hAnsi="Times New Roman"/>
        </w:rPr>
        <w:t xml:space="preserve"> </w:t>
      </w:r>
      <w:r>
        <w:rPr>
          <w:rFonts w:ascii="Times New Roman" w:hAnsi="Times New Roman"/>
          <w:sz w:val="17"/>
        </w:rPr>
        <w:t>has served as Vice President since November 2006. Prior to joining Plains, he served as Executive Vice President, Corporate Development for Pacific Energy Partners, L.P. from February 2005 and as Vice President, Corporate Development and Marketing from December 2001. Mr. Wright also served as Vice President, Distribution West for Tosco Refining Company from March 1997 to June 2001, and as Vice President, Pipelines for GATX Terminals Corporation from October 1995 to March 1997.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Ron F. Wunder</w:t>
      </w:r>
      <w:r>
        <w:rPr>
          <w:rFonts w:ascii="Times New Roman" w:hAnsi="Times New Roman"/>
        </w:rPr>
        <w:t xml:space="preserve"> </w:t>
      </w:r>
      <w:r>
        <w:rPr>
          <w:rFonts w:ascii="Times New Roman" w:hAnsi="Times New Roman"/>
          <w:sz w:val="17"/>
        </w:rPr>
        <w:t>has served as Vice PresidentLPG of PMC (Nova Scotia) Company since February 2004 and as Managing Director, Crude Oil from July 2001 to February 2004. He was previously with CANPET since 1992, where he served in various capacities, including most recently as General Manager, Crude Oil.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Everardo Goyanes</w:t>
      </w:r>
      <w:r>
        <w:rPr>
          <w:rFonts w:ascii="Times New Roman" w:hAnsi="Times New Roman"/>
        </w:rPr>
        <w:t xml:space="preserve"> </w:t>
      </w:r>
      <w:r>
        <w:rPr>
          <w:rFonts w:ascii="Times New Roman" w:hAnsi="Times New Roman"/>
          <w:sz w:val="17"/>
        </w:rPr>
        <w:t>has served as a director of our general partner or former general partner since May 1999. Mr. Goyanes has been Chairman of Liberty Natural Resources since April 2009.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Geoff McKay</w:t>
      </w:r>
      <w:r>
        <w:rPr>
          <w:rFonts w:ascii="Times New Roman" w:hAnsi="Times New Roman"/>
        </w:rPr>
        <w:t xml:space="preserve"> </w:t>
      </w:r>
      <w:r>
        <w:rPr>
          <w:rFonts w:ascii="Times New Roman" w:hAnsi="Times New Roman"/>
          <w:sz w:val="17"/>
        </w:rPr>
        <w:t>has served as a director of our general partner since February 2010.  Mr. McKay is a Managing Director at Vulcan Capital, the private investment group of Vulcan Inc.  He also sits on the boards of Vulcan Energy GP Holdings Inc. and Vulcan Energy Corporation.  From March 2000 until joining Vulcan in May 2007, Mr. McKay worked for Forstmann Little &amp; Co., a New York based private equity firm, serving as a general partner from January 2004 to March 2007.  During his tenure at Forstmann Little, Mr. McKay was involved with the acquisition and oversight, and served on the boards of directors, of IMG Worldwide, 24 Hour Fitness and ENK International.  From 1997 until 2000, he was an investment banker with Goldman Sachs in the mergers and acquisitions group.  Mr. McKay currently sits on the boards of TowerCo LLC, ICAT Holdings and Silvercrest Asset Management Group.  Mr. McKay holds a BA in Economics from the University of Victoria and an MBA from the Wharton School of the University of Pennsylvania.  Mr. McKay has been designated to serve on our Board by Vulcan Energy, pursuant to the power granted under our LLC Agreement.  We believe that his substantial transactional experience offers a significant knowledge resource as we pursue our acquisition strategy, and that his investment oversight background and service on other boards will lend critical perspective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Gary R. Petersen</w:t>
      </w:r>
      <w:r>
        <w:rPr>
          <w:rFonts w:ascii="Times New Roman" w:hAnsi="Times New Roman"/>
        </w:rPr>
        <w:t xml:space="preserve"> </w:t>
      </w:r>
      <w:r>
        <w:rPr>
          <w:rFonts w:ascii="Times New Roman" w:hAnsi="Times New Roman"/>
          <w:sz w:val="17"/>
        </w:rPr>
        <w:t>has served as a director of our general partner since June 2001. Mr. Petersen is Senior Managing Director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Mr. Petersen holds BBA and MBA degrees from Texas Tech University.  The Board of Directors has determined that Mr. Petersen is independent under applicable NYSE rules. Mr. Petersen has been involved in the energy sector for a period of more than 30 years, garnering extensive knowledge of the energy sectors various cycles, as well as the current market and industry knowledge that comes with management of approximately $7 billion of energy-related investments. In tandem with the leadership qualities evidenced by his executive background, we believe that Mr. Petersen brings numerous valuable attributes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Robert V. Sinnott</w:t>
      </w:r>
      <w:r>
        <w:rPr>
          <w:rFonts w:ascii="Times New Roman" w:hAnsi="Times New Roman"/>
        </w:rPr>
        <w:t xml:space="preserve"> </w:t>
      </w:r>
      <w:r>
        <w:rPr>
          <w:rFonts w:ascii="Times New Roman" w:hAnsi="Times New Roman"/>
          <w:sz w:val="17"/>
        </w:rPr>
        <w:t>has served as a director of our general partner or former general partner since September 1998. Mr. Sinnott is President, Chief Investment Officer and Senior Managing Director of energy investments of Kayne Anderson Capital Advisors, L.P. (an investment management firm). He also served as a Managing Director from 1992 to 1996 and as a Senior Managing Director from 1996 until assuming his current role in 2005. He is also President of Kayne Anderson Investment Management, Inc., the general partner of Kayne Anderson Capital Advisors, L.P. and he is a director of Kayne Anderson Energy Development Company. He was Vice President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91</w:t>
      </w:r>
      <w:bookmarkStart w:id="111" w:name="PB_91_090601_7672"/>
      <w:bookmarkEnd w:id="1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Senior Securities Officer of the Investment Banking Division of Citibank from 1986 to 1992. Mr. Sinnott received a BA from the University of Virginia and an MBA from Harvard.  Mr. Sinnotts extensive investment management background includes his current role of managing approximately $6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Arthur L. Smith</w:t>
      </w:r>
      <w:r>
        <w:rPr>
          <w:rFonts w:ascii="Times New Roman" w:hAnsi="Times New Roman"/>
        </w:rPr>
        <w:t xml:space="preserve"> </w:t>
      </w:r>
      <w:r>
        <w:rPr>
          <w:rFonts w:ascii="Times New Roman" w:hAnsi="Times New Roman"/>
          <w:sz w:val="17"/>
        </w:rPr>
        <w:t>has served as a director of our general partner or former general partner since February 1999. Mr. Smith is President and Managing Member of Triple Double Advisors, LLC, an investment advisory firm focused on the energy industry. Mr. Smith was Chairman and CEO of John S. Herold, Inc. (a petroleum research and consulting firm) from 1984 to 2007. From 1976 to 1984, Mr. Smith was a securities analyst with Argus Research Corp., The First Boston Corporation and Oppenheimer &amp; Co., Inc. Mr. Smith holds the CFA designation. He serves on the board of non-profit Dress for Success Houston and the Board of Visitors for the Nicholas School of the Environment at Duke University. He is a director of Pioneer Natural Resources GP LLC, the general partner of Pioneer Southwest Energy Partners, L.P. Mr. Smith received a BA from Duke University and an MBA from NYUs Stern School of Business.  The Board of Directors has determined that Mr. Smith is independent under applicable NYSE rules and qualifies as an Audit Committee Financial Expert.  In addition to his qualifications as an Audit Committee Financial Expert, Mr. Smith has more than 30 years of extensive and intensive experience in the energy sector as an oil analyst, prior board member (Parker &amp; Parsley Petroleum Company, Cabot Oil &amp; Gas Corporation, Evergreen Resources, Inc. and the New York Society of Security Analysts) and industry observer.  His acute knowledge of the industry and his executive background provide a critical resource and skill set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J. Taft Symonds</w:t>
      </w:r>
      <w:r>
        <w:rPr>
          <w:rFonts w:ascii="Times New Roman" w:hAnsi="Times New Roman"/>
        </w:rPr>
        <w:t xml:space="preserve"> </w:t>
      </w:r>
      <w:r>
        <w:rPr>
          <w:rFonts w:ascii="Times New Roman" w:hAnsi="Times New Roman"/>
          <w:sz w:val="17"/>
        </w:rPr>
        <w:t>has served as a director of our general partner since June 2001. 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Schilling Robotics LLC. Mr. Symonds previously served as a director of Tetra Technologies Inc.  Mr. Symonds received a BA from Stanford University and an MBA from Harvard.  The Board of Directors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Christopher M. Temple</w:t>
      </w:r>
      <w:r>
        <w:rPr>
          <w:rFonts w:ascii="Times New Roman" w:hAnsi="Times New Roman"/>
        </w:rPr>
        <w:t xml:space="preserve"> </w:t>
      </w:r>
      <w:r>
        <w:rPr>
          <w:rFonts w:ascii="Times New Roman" w:hAnsi="Times New Roman"/>
          <w:sz w:val="17"/>
        </w:rPr>
        <w:t>has served as a director of our general partner since May 2009.  Mr. Temple served as the President of Vulcan Capital, the private investment group of Vulcan Inc., from May 2009 until December 2009 and as Vice President of Vulcan Capital from September 2008 to May 2009.  Mr. Temple also sits on the boards of Vulcan Energy GP Holdings Inc., Vulcan Energy Corporation and Charter Communications Inc.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partner at Thayer Capital Partners.  Additionally, Mr. Temple was a licensed CPA serving clients in the energy sector with KPMG in Houston, Texas. Mr. Temple holds a BBA, magna cum laude, from the University of Texas and an MBA from Harvard.  The Board of Directors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Section 16(a) Beneficial Ownership Reporting Compliance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Times New Roman" w:hAnsi="Times New Roman"/>
          <w:i/>
          <w:sz w:val="17"/>
        </w:rPr>
        <w:t>http://www.paalp.com.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92</w:t>
      </w:r>
      <w:bookmarkStart w:id="112" w:name="PB_92_091724_5335"/>
      <w:bookmarkEnd w:id="1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Based solely upon a review of the copies of Forms 3 and 4 furnished to us, or written representations from certain reporting persons that no Forms 5 were required, we believe that our executive officers and directors complied with all filing requirements with respect to transactions in our equity securities during 2009, except as follows:  Mr. Symonds inadvertently filed a late Form 4 in connection with the purchase by his wifes trust of PAA units on August 25, 2008.  The Form 4 was filed on March 27,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11.  </w:t>
      </w:r>
      <w:r>
        <w:rPr>
          <w:rFonts w:ascii="Times New Roman" w:hAnsi="Times New Roman"/>
          <w:b/>
          <w:i/>
          <w:sz w:val="17"/>
        </w:rPr>
        <w:t>Executive Compensation</w:t>
      </w:r>
      <w:bookmarkStart w:id="113" w:name="Item11_ExecutiveCompensation_065621"/>
      <w:bookmarkEnd w:id="11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compensation committee of Plains All American GP LLC reviews and makes recommendations to the board of directors regarding the compensation for the executive officers and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fulfilling its oversight responsibilities, the compensation committee reviewed and discussed with management the compensation discussion and analysis contained in this Annual Report on Form 10-K. Based on the reviews and discussions referred to above, the compensation committee recommended to the board of directors that the compensation discussion and analysis be included in the Annual Report on Form 10-K for the year ended December 31, 2009 for filing with the SEC.</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Robert V. Sinnott, </w:t>
            </w:r>
            <w:r>
              <w:rPr>
                <w:rFonts w:ascii="Times New Roman" w:hAnsi="Times New Roman"/>
                <w:i/>
                <w:sz w:val="17"/>
              </w:rPr>
              <w:t>Chairman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 Geoff McKay</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Christopher M. Temple (former member)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Committee Interlocks and Insider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Messrs. McKay, Petersen and Sinnott currently serve on the compensation committee.  Messrs.  Petersen, Sinnott and Temple served on the compensation committee during 2009. W. Lance Conn, a former director, served on the compensation committee for a portion of 2009. During 2009, none of the members of the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Sinnott is associated with Kayne Anderson and its affiliates, with which we have relationships.  Mr. McKay is associated, and Messrs. Conn and Temple were formerly associated, with Vulcan Energy and its affiliates, with which we have relationships. See Item 13. Certain Relationships and Related Transactions, and Director Independence.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Discussion and Analysis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Background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officers and employees (other than Canadian personnel) are employed by Plains All American GP LLC. Our Canadian personnel are employed by PMC (Nova Scotia) Company, which is a wholly owned subsidiary. Under our partnership agreement, we are required to reimburse our general partner and its affiliates for all employment related costs, including compensation for executive officers, other than expenses related to the 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unitholders,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93</w:t>
      </w:r>
      <w:bookmarkStart w:id="114" w:name="PB_93_091724_5796"/>
      <w:bookmarkEnd w:id="1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Elements of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We do not benchmark our salary or bonus amounts. In practice, we believe our salaries are generally competitive with the narrower universe of large-cap master limited partnership (MLP) peers, but are moderate relative to the broad spectrum of energy industry competitors for similar talent.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Cash Bonuses.</w:t>
      </w:r>
      <w:r>
        <w:rPr>
          <w:rFonts w:ascii="Times New Roman" w:hAnsi="Times New Roman"/>
        </w:rPr>
        <w:t xml:space="preserve">  </w:t>
      </w:r>
      <w:r>
        <w:rPr>
          <w:rFonts w:ascii="Times New Roman" w:hAnsi="Times New Roman"/>
          <w:sz w:val="17"/>
        </w:rPr>
        <w:t>Our cash bonuses consist of annual discretionary bonuses in which all of our current domestic Named Executive Officers potentially participate and a formula-based quarterly bonus program in which Mr. vonBerg was eligible to participate in 2009, 2008 and 2007.  Mr. Duckett participates in a formula-based quarterly and annual bonus program specific to activities managed by our Canadian personnel.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The primary long-term measure of our performance is our ability to increase our sustainable quarterly distribution to our unitholders. Historically, we have used performance-indexed phantom unit grants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2007, the owners of Plains AAP, L.P. authorized the creation of Class B units of Plains AAP, L.P. and authorized GP LLCs compensation committee to issue grants of Class B units to create additional long-term incentives for our management. The entire economic burden of the Class B units is borne solely by Plains AAP, L.P. and does not impact our cash or 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B units are subject to restrictions on transfer and generally become incrementally earned (entitled to participate in distributions) upon achievement of certain performance thresholds. As of February 12, 2010, approximately 25% of the outstanding Class B units granted prior to 2009 had been earned and none of the Class B units granted in 2009 had been earned.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(subject to certain exceptions) prior to January 1, 2016. A portion of unvested Class B units will vest (no longer be subject to the call right) upon a change of control. All earned Class B units will also vest if they remain outstanding as of January 1, 2016 or Plains AAP, L.P. elects not to timely exercise its call right. See Item 13. Certain Relationships and Related Transactions, and Director IndependenceTransactions with Related PersonsOur General PartnerClass B Units of 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94</w:t>
      </w:r>
      <w:bookmarkStart w:id="115" w:name="PB_94_091724_2897"/>
      <w:bookmarkEnd w:id="1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Relation of Compensation Elements to Compensation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(January 2016)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our compensation program has been instrumental in our achievement of stated objectives. Over the five-year period ended December 31, 2009, our annual distribution per common unit has grown at a compound annual rate of 8.5% and the total return realized by our unitholders for that period averaged approximately 14.5%. During this period, we have enjoyed a high rate of retention among executive officers.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Application of Compensation Elements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We do not make systematic annual adjustments to the salaries of our Named Executive Officers. Instead, when indicated as a result of adding new senior management members to keep pace with our overall growth, necessary salary adjustments are made to maintain hierarchical relationships between senior management levels and the new senior management members. Since the date of our initial public offering (or date of employment, if later) through December 31, 2009, Messrs. Armstrong and Pefanis have each received one salary adjustment, Mr. Duckett has received small salary adjustments in line with other Canadian personnel, Mr. vonBerg has received one salary adjustment and Mr. Swanson has received four salary adjustments in connection with taking on increasing responsibilities and promotions.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Annual Discretionary Bonuses.</w:t>
      </w:r>
      <w:r>
        <w:rPr>
          <w:rFonts w:ascii="Times New Roman" w:hAnsi="Times New Roman"/>
        </w:rPr>
        <w:t xml:space="preserve">  </w:t>
      </w:r>
      <w:r>
        <w:rPr>
          <w:rFonts w:ascii="Times New Roman" w:hAnsi="Times New Roman"/>
          <w:sz w:val="17"/>
        </w:rPr>
        <w:t>Annual discretionary bonuses are determined based on our performance relative to our annual plan forecast and public guidance,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95</w:t>
      </w:r>
      <w:bookmarkStart w:id="116" w:name="PB_95_091724_3020"/>
      <w:bookmarkEnd w:id="1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accomplishments, shortfalls and overall performance against opportunity, taking into account controllable and non-controllable factors encountered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Named Executive Officers, taking into account the relative contribution of the individual officer. Except as described below for Mr. Duckett,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instances, the CEO (and more recently the President as well) has requested that the bonus amount recommended by the compensation committee be reduced to maintain a closer relationship to bonuses awarded to the other Named Executive Officers. As a result,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U.S. Bonus based on Adjusted EBITDA.</w:t>
      </w:r>
      <w:r>
        <w:rPr>
          <w:rFonts w:ascii="Times New Roman" w:hAnsi="Times New Roman"/>
        </w:rPr>
        <w:t xml:space="preserve">  </w:t>
      </w:r>
      <w:r>
        <w:rPr>
          <w:rFonts w:ascii="Times New Roman" w:hAnsi="Times New Roman"/>
          <w:sz w:val="17"/>
        </w:rPr>
        <w:t>Mr. vonBerg and certain other members of our U.S. based senior management team are directly involved in activities that generate partnership earnings. These individuals, along with other employees in our marketing and business development groups participate in a quarterly bonus pool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Allocation of quarterly bonus amounts among all participants based on relative contribution is recommended to or by Mr. Pefanis and reviewed, modified and approved by Mr. Armstrong, as appropriate. Messrs. Pefanis and Armstrong do not participate in the quarterly bonus. The quarterly bonus amounts for Mr. vonBerg are taken into consideration in determining the recommended annual discretionary bonus submitted by the CEO to the compensation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Annual Bonus and Quarterly Bonus based on Adjusted EBITDA (Canada).</w:t>
      </w:r>
      <w:r>
        <w:rPr>
          <w:rFonts w:ascii="Times New Roman" w:hAnsi="Times New Roman"/>
        </w:rPr>
        <w:t xml:space="preserve">  </w:t>
      </w:r>
      <w:r>
        <w:rPr>
          <w:rFonts w:ascii="Times New Roman" w:hAnsi="Times New Roman"/>
          <w:sz w:val="17"/>
        </w:rPr>
        <w:t>Substantially all of the personnel employed by PMC (Nova Scotia) Company (including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program.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 xml:space="preserve">We do not make systematic annual phantom unit awards to our Named Executive Officers. Instead, our objective is to time the granting of awards such that as performance thresholds are met for existing awards, additional long-term incentives are created.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96</w:t>
      </w:r>
      <w:bookmarkStart w:id="117" w:name="PB_96_091724_7748"/>
      <w:bookmarkEnd w:id="1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165,500 were issued as of December 31, 2009 pursuant to individual restricted units agreements between Plains AAP, L.P. and certain members of management. As of December 31, 2009 our Named Executive Officers held 111,000 of the restricted Class B units. The remaining available Class B units are administered at the discretion of the compensation committee and may be awarded upon advancement, exceptional performance or other change in circumstance of an existing member of management, or upon the addition of a new individual to the management team.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Application in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beginning of 2009, we established four public goals with paraphrased versions of three of these goals overlapping with three of our five internal goals.  As a result, we entered 2009 with six distinct goals for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four public goals for the year were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Deliver baseline operating and financial performance in line with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Successfully execute our 2009 capital program and set the stage for continued growth in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Pursue an average of $200 to $300 million of strategic and accretive acquisitions;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Prudently manage our capital resources and preserve our strong 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two internal qualitative goals included (i) the continued implementation and expansion of our asset integrity management program with respect to assets not yet covered or only partially covered by regulatory mandate and improvement of our safety performance, and (ii) maintaining and improving communication throughout the 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general, we substantially met or exceeded these six goals.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our four public goals: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Excluding the benefit of unforecasted acquisitions completed during the year, our adjusted EBITDA exceeded the high end of our original guidance for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We began the year with a $295 million capital program that was expanded during the year to $380 million. As capital markets improved throughout the year, new projects were added that exceeded our threshold return criteria or were added as a result of acquisitions made during the year.  Projects were generally completed timely and cost-effectively;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We completed the acquisition of the remaining 50% interest in PNGS for an aggregate purchase price of $215 million.  We also completed six other acquisitions for aggregate consideration of approximately $180 million, which primarily consisted of pipeline and storage facilities that complemented our existing asset base and business activities.  Our three-year average acquisition expenditures total approximately $418 million per year;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97</w:t>
      </w:r>
      <w:bookmarkStart w:id="118" w:name="PB_97_091724_141"/>
      <w:bookmarkEnd w:id="1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During the year, we raised approximately $1.8 billion in both long-term debt and equity in five different transactions and renewed our $500 million hedged inventory facility on favorable terms.  We ended 2009 with a strong balance sheet, solid credit metrics and approximately $975 million of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we continued to expand, implement and develop our integrity management and maintained communication throughout the organization. We also increased our annualized distribution rate by 3.6% to $3.68 per common unit, while generating aggregate annual distribution coverage of over 110%.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2009, the elements of compensation were applied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rPr>
        <w:t xml:space="preserve">  </w:t>
      </w:r>
      <w:r>
        <w:rPr>
          <w:rFonts w:ascii="Times New Roman" w:hAnsi="Times New Roman"/>
          <w:sz w:val="17"/>
        </w:rPr>
        <w:t>In February 2009, the annual salary of each of Mr. vonBerg and Mr. Swanson was increased to $250,000.  No other salary adjustments for Named Executive Officers were recommended or made in 2009. See Narrative Disclosure to Summary Compensation Table and 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Cash Bonuses.</w:t>
      </w:r>
      <w:r>
        <w:rPr>
          <w:rFonts w:ascii="Times New Roman" w:hAnsi="Times New Roman"/>
        </w:rPr>
        <w:t xml:space="preserve">  </w:t>
      </w:r>
      <w:r>
        <w:rPr>
          <w:rFonts w:ascii="Times New Roman" w:hAnsi="Times New Roman"/>
          <w:sz w:val="17"/>
        </w:rPr>
        <w:t>Based on the CEOs annual performance review and the individual performance of each of our Named Executive Officers, the compensation committee recommended to the board of directors and the board of directors approved the annual bonuses reflected in the Summary Compensation Table and notes thereto. Such amounts take into account the performance relative to each of the four goals established for 2009;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40% in annual bonus and 60% in quarterly bonus.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Long-Term Incentive Awards.</w:t>
      </w:r>
      <w:r>
        <w:rPr>
          <w:rFonts w:ascii="Times New Roman" w:hAnsi="Times New Roman"/>
        </w:rPr>
        <w:t xml:space="preserve">  </w:t>
      </w:r>
      <w:r>
        <w:rPr>
          <w:rFonts w:ascii="Times New Roman" w:hAnsi="Times New Roman"/>
          <w:sz w:val="17"/>
        </w:rPr>
        <w:t>In February 2009, Mr. Swanson was awarded 35,000 phantom units under our LTIP. Such award was related to Mr. Swansons promotion to Chief Financial Officer in November 2008. There were no other grants of long-term incentive awards to Named Executive Officers in 2009.  See Narrative Disclosure to Summary Compensation Table and 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last grant cycle of equity awards to Named Executive Officers occurred in 2007. The performance threshold for vesting in one-third of the 2007 grants has been met, and the second performance threshold is expected to be reached in 2010. Vesting under the 2007 awards is also subject to minimum service periods that extend to May 2011 and May 2012. Any of these phantom units that remain outstanding in May 2014 for which the performance thresholds have not been met will be forfeited. Additionally, the highest and last performance threshold for the 2005 grant cycle has been met, and final vesting of such grants will occur in May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Consistent with our policy of issuing new grants with extended time-vesting periods when attainment of the performance thresholds of existing grants has occurred or is anticipated in the near term, in February 2010 the board of directors granted awards with a top performance threshold of $4.20 (annualized) distribution per common unit. These grants are intended to encourage continued growth and fundamental performance that will support future distribution growth. These phantom units will vest in respective one-third increments on the date on which we pay an annualized quarterly distribution of at least $3.90, $4.05 and $4.20 per common unit and the later of the May 2013, May 2014 and May 2015 distribution dates, respectively. Such awards have associated DERs that become payable in one-third increments upon achieving the referenced performance thresholds, without regard to the minimum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of these phantom units that remain outstanding as of the May 2016 distribution date for which the performance thresholds have not been met will be forfeited. Upon vesting, the phantom units are payable on a one-for-one basis in common units. The 2010 awards included grants to our Named Executive Officers as follows: Mr. Armstrong, 180,000; Mr. Pefanis, 120,000; Mr. Swanson, 60,000; Mr. vonBerg, 54,000; and Mr. Duckett, 75,000.</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Compensation Related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Ownership in PAA.</w:t>
      </w:r>
      <w:r>
        <w:rPr>
          <w:rFonts w:ascii="Times New Roman" w:hAnsi="Times New Roman"/>
        </w:rPr>
        <w:t xml:space="preserve">  </w:t>
      </w:r>
      <w:r>
        <w:rPr>
          <w:rFonts w:ascii="Times New Roman" w:hAnsi="Times New Roman"/>
          <w:sz w:val="17"/>
        </w:rPr>
        <w:t>As of December 31, 2009, our Named Executive Officers collectively owned substantial equity in the Partnership. 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December 31, 2009, our Named Executive Officers beneficially owned, in the aggregate, approximately 755,711 of our common units (excluding any unvested equity awards), an approximately 2.4% indirect ownership interest in our general partner and IDRs, and 111,000 Class B units of Plains AAP, L.P. Based on the market price of our common units at December 31, 2009 and an implied valuation for their collective general partner and IDR interests using similar valuation metrics, the value of the equity ownership of these individuals was significantly greater than the combined aggregate salaries and bonuses for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Recovery of Prior Awards.</w:t>
      </w:r>
      <w:r>
        <w:rPr>
          <w:rFonts w:ascii="Times New Roman" w:hAnsi="Times New Roman"/>
        </w:rPr>
        <w:t xml:space="preserve">  </w:t>
      </w:r>
      <w:r>
        <w:rPr>
          <w:rFonts w:ascii="Times New Roman" w:hAnsi="Times New Roman"/>
          <w:sz w:val="17"/>
        </w:rPr>
        <w:t>Except as provided by applicable laws and regulations, we do not have a policy with respect to adjustment or recovery of awards or payments if relevant company performance measures upon which previous awards were based are restated or otherwise adjusted in a manner that would reduce the size of such award or payment.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Section 162(m).</w:t>
      </w:r>
      <w:r>
        <w:rPr>
          <w:rFonts w:ascii="Times New Roman" w:hAnsi="Times New Roman"/>
        </w:rPr>
        <w:t xml:space="preserve">  </w:t>
      </w:r>
      <w:r>
        <w:rPr>
          <w:rFonts w:ascii="Times New Roman" w:hAnsi="Times New Roman"/>
          <w:sz w:val="17"/>
        </w:rPr>
        <w:t>With respect to the deduction limitations under Section 162(m) of the Code, we are a limited partnership and do not meet the definition of a corporation under Section 162(m).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Change in Control Triggers.</w:t>
      </w:r>
      <w:r>
        <w:rPr>
          <w:rFonts w:ascii="Times New Roman" w:hAnsi="Times New Roman"/>
        </w:rPr>
        <w:t xml:space="preserve">  </w:t>
      </w:r>
      <w:r>
        <w:rPr>
          <w:rFonts w:ascii="Times New Roman" w:hAnsi="Times New Roman"/>
          <w:sz w:val="17"/>
        </w:rPr>
        <w:t xml:space="preserve">The employment agreements for Messrs. Armstrong and Pefanis, the long-term incentive plan grants to our Named Executive Officers, and the Class B restricted units agreements include severance payment provisions or accelerated vesting triggered upon a change of control, as defined in the respective agreement. In the case of the long-term incentive plan grants, the provision becomes operative only if the change in control is accompanied by a change in status (such as the termination of employment by Plains All American GP LLC). We believe this double trigger arrangement is appropriate because it provides assurance to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98</w:t>
      </w:r>
      <w:bookmarkStart w:id="119" w:name="PB_98_091724_7608"/>
      <w:bookmarkEnd w:id="1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 sale transaction in August 2005 that would have constituted a change in control.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See Employment Contracts and Potential Payments upon Termination or Change-in-Control.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Relation of Compensation Policies and Practices to Risk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a risk management perspective, our policy is to conduct our commercial activities within pre-defined risk parameters that are closely monitored and are structured in a manner intended to control and minimize the potential for unwarranted risk-taking.  See Crude Oil Volatility; Counter-Cyclical Balance; Risk Management in Part I of this annual report.  We also routinely monitor and measure the execution and performance of our capital projects and acquisitions relative to expectations.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See Compensation Discussion and AnalysisRelation of Compensation Elements to Compensation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combination with our risk-management practices, we do not believe that risks arising from our compensation policies and practices for our employees are reasonably likely to have a material adverse effect on us.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Summary Compensation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compensation information for our Chief Executive Officer, Chief Financial Officer, and the three other most highly compensated executive officers in 2009 (our Named Executive Officers). We reimburse our general partner and its affiliates for expenses incurred on our behalf, including the costs of officer compensation (excluding the costs of the obligations represented by the Class B units).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654"/>
        <w:gridCol w:w="204"/>
        <w:gridCol w:w="919"/>
        <w:gridCol w:w="203"/>
        <w:gridCol w:w="1021"/>
        <w:gridCol w:w="203"/>
        <w:gridCol w:w="1021"/>
        <w:gridCol w:w="306"/>
        <w:gridCol w:w="1123"/>
        <w:gridCol w:w="204"/>
        <w:gridCol w:w="1122"/>
        <w:gridCol w:w="204"/>
        <w:gridCol w:w="919"/>
        <w:gridCol w:w="102"/>
      </w:tblGrid>
      <w:tr>
        <w:trPr/>
        <w:tc>
          <w:tcPr>
            <w:tcW w:w="265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 xml:space="preserve">Name and Principal </w:t>
              <w:br/>
              <w:t>Position</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91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203" w:type="dxa"/>
            <w:tcBorders/>
            <w:shd w:fill="auto" w:val="clear"/>
            <w:tcMar>
              <w:bottom w:w="0" w:type="dxa"/>
            </w:tcM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Salary</w:t>
              <w:br/>
              <w:t>($)</w:t>
            </w:r>
          </w:p>
        </w:tc>
        <w:tc>
          <w:tcPr>
            <w:tcW w:w="203" w:type="dxa"/>
            <w:tcBorders/>
            <w:shd w:fill="auto" w:val="clear"/>
            <w:tcMar>
              <w:bottom w:w="0" w:type="dxa"/>
            </w:tcM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Bonus</w:t>
              <w:br/>
              <w:t>($)</w:t>
            </w:r>
          </w:p>
        </w:tc>
        <w:tc>
          <w:tcPr>
            <w:tcW w:w="306" w:type="dxa"/>
            <w:tcBorders/>
            <w:shd w:fill="auto" w:val="clear"/>
            <w:tcMar>
              <w:bottom w:w="0" w:type="dxa"/>
            </w:tcMar>
            <w:vAlign w:val="bottom"/>
          </w:tcPr>
          <w:p>
            <w:pPr>
              <w:pStyle w:val="TableContents"/>
              <w:spacing w:before="0" w:after="0"/>
              <w:ind w:left="0" w:right="0" w:hanging="0"/>
              <w:jc w:val="center"/>
              <w:rPr/>
            </w:pPr>
            <w:r>
              <w:rPr/>
              <w:t> </w:t>
            </w:r>
          </w:p>
        </w:tc>
        <w:tc>
          <w:tcPr>
            <w:tcW w:w="1123"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Stock Awards</w:t>
              <w:br/>
              <w:t>($)</w:t>
            </w:r>
            <w:r>
              <w:rPr>
                <w:sz w:val="11"/>
              </w:rPr>
              <w:t>(1)</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122"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All Other</w:t>
              <w:br/>
              <w:t>Compensation</w:t>
              <w:br/>
              <w:t>($)</w:t>
            </w:r>
            <w:r>
              <w:rPr>
                <w:sz w:val="11"/>
              </w:rPr>
              <w:t>(2)</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91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2654" w:type="dxa"/>
            <w:tcBorders/>
            <w:shd w:fill="auto" w:val="clear"/>
            <w:tcMar>
              <w:bottom w:w="0" w:type="dxa"/>
            </w:tcMar>
            <w:vAlign w:val="bottom"/>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306" w:type="dxa"/>
            <w:tcBorders/>
            <w:shd w:fill="auto" w:val="clear"/>
            <w:tcMar>
              <w:bottom w:w="0" w:type="dxa"/>
            </w:tcMar>
            <w:vAlign w:val="bottom"/>
          </w:tcPr>
          <w:p>
            <w:pPr>
              <w:pStyle w:val="TableContents"/>
              <w:spacing w:before="0" w:after="0"/>
              <w:ind w:left="0" w:right="0" w:hanging="0"/>
              <w:rPr/>
            </w:pPr>
            <w:r>
              <w:rPr/>
              <w:t> </w:t>
            </w:r>
          </w:p>
        </w:tc>
        <w:tc>
          <w:tcPr>
            <w:tcW w:w="1123"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3,390,800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Chairman and CEO</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14,775</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3,289,775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2,770,660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14,430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6,560,090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auto" w:val="clear"/>
            <w:tcMar>
              <w:bottom w:w="0" w:type="dxa"/>
            </w:tcMar>
            <w:vAlign w:val="bottom"/>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306" w:type="dxa"/>
            <w:tcBorders/>
            <w:shd w:fill="auto" w:val="clear"/>
            <w:tcMar>
              <w:bottom w:w="0" w:type="dxa"/>
            </w:tcMar>
            <w:vAlign w:val="bottom"/>
          </w:tcPr>
          <w:p>
            <w:pPr>
              <w:pStyle w:val="TableContents"/>
              <w:spacing w:before="0" w:after="0"/>
              <w:ind w:left="0" w:right="0" w:hanging="0"/>
              <w:rPr/>
            </w:pPr>
            <w:r>
              <w:rPr/>
              <w:t> </w:t>
            </w:r>
          </w:p>
        </w:tc>
        <w:tc>
          <w:tcPr>
            <w:tcW w:w="1123"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3,215,800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President and Chief Operating</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14,775</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3,114,775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Officer</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1,958,805</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14,430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5,473,235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auto" w:val="clear"/>
            <w:tcMar>
              <w:bottom w:w="0" w:type="dxa"/>
            </w:tcMar>
            <w:vAlign w:val="bottom"/>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306" w:type="dxa"/>
            <w:tcBorders/>
            <w:shd w:fill="auto" w:val="clear"/>
            <w:tcMar>
              <w:bottom w:w="0" w:type="dxa"/>
            </w:tcMar>
            <w:vAlign w:val="bottom"/>
          </w:tcPr>
          <w:p>
            <w:pPr>
              <w:pStyle w:val="TableContents"/>
              <w:spacing w:before="0" w:after="0"/>
              <w:ind w:left="0" w:right="0" w:hanging="0"/>
              <w:rPr/>
            </w:pPr>
            <w:r>
              <w:rPr/>
              <w:t> </w:t>
            </w:r>
          </w:p>
        </w:tc>
        <w:tc>
          <w:tcPr>
            <w:tcW w:w="1123"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376,483</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15,763</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1,642,246</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 and</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700,000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14,502</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894,502</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pPr>
            <w:r>
              <w:rPr/>
              <w:t> </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pPr>
            <w:r>
              <w:rPr/>
              <w:t> </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pPr>
            <w:r>
              <w:rPr/>
              <w:t> </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pPr>
            <w:r>
              <w:rPr/>
              <w:t> </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auto" w:val="clear"/>
            <w:tcMar>
              <w:bottom w:w="0" w:type="dxa"/>
            </w:tcMar>
            <w:vAlign w:val="bottom"/>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306" w:type="dxa"/>
            <w:tcBorders/>
            <w:shd w:fill="auto" w:val="clear"/>
            <w:tcMar>
              <w:bottom w:w="0" w:type="dxa"/>
            </w:tcMar>
            <w:vAlign w:val="bottom"/>
          </w:tcPr>
          <w:p>
            <w:pPr>
              <w:pStyle w:val="TableContents"/>
              <w:spacing w:before="0" w:after="0"/>
              <w:ind w:left="0" w:right="0" w:hanging="0"/>
              <w:rPr/>
            </w:pPr>
            <w:r>
              <w:rPr/>
              <w:t> </w:t>
            </w:r>
          </w:p>
        </w:tc>
        <w:tc>
          <w:tcPr>
            <w:tcW w:w="1123"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W. David Duckett</w:t>
            </w:r>
            <w:r>
              <w:rPr>
                <w:sz w:val="11"/>
              </w:rPr>
              <w:t>(3)</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251,058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3,378,240</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83,643</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3,712,941</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PresidentPMC (Nova Scotia)</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268,095</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2,915,424</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88,831</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3,272,350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Company</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266,960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3,028,488</w:t>
            </w:r>
          </w:p>
        </w:tc>
        <w:tc>
          <w:tcPr>
            <w:tcW w:w="306" w:type="dxa"/>
            <w:tcBorders/>
            <w:shd w:fill="CCEEFF" w:val="clear"/>
            <w:tcMar>
              <w:bottom w:w="0" w:type="dxa"/>
            </w:tcMar>
            <w:vAlign w:val="bottom"/>
          </w:tcPr>
          <w:p>
            <w:pPr>
              <w:pStyle w:val="TableContents"/>
              <w:spacing w:before="0" w:after="0"/>
              <w:ind w:left="0" w:right="0" w:hanging="0"/>
              <w:rPr/>
            </w:pPr>
            <w:r>
              <w:rPr/>
              <w:t> </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1,177,531</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93,501</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4,566,480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auto" w:val="clear"/>
            <w:tcMar>
              <w:bottom w:w="0" w:type="dxa"/>
            </w:tcMar>
            <w:vAlign w:val="bottom"/>
          </w:tcPr>
          <w:p>
            <w:pPr>
              <w:pStyle w:val="TableContents"/>
              <w:spacing w:before="0" w:after="0"/>
              <w:ind w:left="0" w:right="0" w:hanging="0"/>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center"/>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pPr>
            <w:r>
              <w:rPr/>
              <w:t> </w:t>
            </w:r>
          </w:p>
        </w:tc>
        <w:tc>
          <w:tcPr>
            <w:tcW w:w="306" w:type="dxa"/>
            <w:tcBorders/>
            <w:shd w:fill="auto" w:val="clear"/>
            <w:tcMar>
              <w:bottom w:w="0" w:type="dxa"/>
            </w:tcMar>
            <w:vAlign w:val="bottom"/>
          </w:tcPr>
          <w:p>
            <w:pPr>
              <w:pStyle w:val="TableContents"/>
              <w:spacing w:before="0" w:after="0"/>
              <w:ind w:left="0" w:right="0" w:hanging="0"/>
              <w:rPr/>
            </w:pPr>
            <w:r>
              <w:rPr/>
              <w:t> </w:t>
            </w:r>
          </w:p>
        </w:tc>
        <w:tc>
          <w:tcPr>
            <w:tcW w:w="1123"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pPr>
            <w:r>
              <w:rPr/>
              <w:t> </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919" w:type="dxa"/>
            <w:tcBorders/>
            <w:shd w:fill="auto" w:val="clear"/>
            <w:tcMar>
              <w:bottom w:w="0" w:type="dxa"/>
            </w:tcMar>
            <w:vAlign w:val="bottom"/>
          </w:tcPr>
          <w:p>
            <w:pPr>
              <w:pStyle w:val="TableContents"/>
              <w:spacing w:before="0" w:after="0"/>
              <w:ind w:left="0" w:right="0" w:hanging="0"/>
              <w:jc w:val="right"/>
              <w:rPr/>
            </w:pPr>
            <w:r>
              <w:rPr/>
              <w:t> </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3,220,000</w:t>
            </w:r>
          </w:p>
        </w:tc>
        <w:tc>
          <w:tcPr>
            <w:tcW w:w="30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3,485,800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Vice President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2,740,000</w:t>
            </w:r>
          </w:p>
        </w:tc>
        <w:tc>
          <w:tcPr>
            <w:tcW w:w="30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14,580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2,954,580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26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Commercial Activities</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2,765,000</w:t>
            </w:r>
          </w:p>
        </w:tc>
        <w:tc>
          <w:tcPr>
            <w:tcW w:w="306"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123"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969,731</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14,244</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3,948,975</w:t>
            </w:r>
          </w:p>
        </w:tc>
        <w:tc>
          <w:tcPr>
            <w:tcW w:w="10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99</w:t>
      </w:r>
      <w:bookmarkStart w:id="120" w:name="PB_99_091724_8146"/>
      <w:bookmarkEnd w:id="1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Dollar amounts represent the aggregate grant date fair value of phantom units and Class B units granted during each year based on the probable outcome of underlying performance conditions. For phantom units granted in 2007 and 2009, the performance threshold for the first tranche of vesting was deemed probable of occurrence as of the grant date.  For Class B units granted in 2007, the performance threshold for the first tranche of earning was deemed probable of occurrence as of the grant date.  The maximum grant date fair values of stock awards assuming that the highest level of performance conditions will be met are as follows:</w:t>
      </w:r>
    </w:p>
    <w:p>
      <w:pPr>
        <w:pStyle w:val="TextBody"/>
        <w:spacing w:before="0" w:after="0"/>
        <w:ind w:left="0" w:right="0" w:hanging="0"/>
        <w:rPr/>
      </w:pPr>
      <w:r>
        <w:rPr/>
        <w:t> </w:t>
      </w:r>
    </w:p>
    <w:tbl>
      <w:tblPr>
        <w:tblW w:w="3650" w:type="pct"/>
        <w:jc w:val="left"/>
        <w:tblInd w:w="0" w:type="dxa"/>
        <w:tblCellMar>
          <w:top w:w="0" w:type="dxa"/>
          <w:left w:w="0" w:type="dxa"/>
          <w:bottom w:w="28" w:type="dxa"/>
          <w:right w:w="0" w:type="dxa"/>
        </w:tblCellMar>
      </w:tblPr>
      <w:tblGrid>
        <w:gridCol w:w="2611"/>
        <w:gridCol w:w="230"/>
        <w:gridCol w:w="1229"/>
        <w:gridCol w:w="230"/>
        <w:gridCol w:w="77"/>
        <w:gridCol w:w="2995"/>
        <w:gridCol w:w="77"/>
      </w:tblGrid>
      <w:tr>
        <w:trPr/>
        <w:tc>
          <w:tcPr>
            <w:tcW w:w="261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30" w:type="dxa"/>
            <w:tcBorders/>
            <w:shd w:fill="auto" w:val="clear"/>
            <w:tcMar>
              <w:bottom w:w="0" w:type="dxa"/>
            </w:tcMar>
            <w:vAlign w:val="bottom"/>
          </w:tcPr>
          <w:p>
            <w:pPr>
              <w:pStyle w:val="TableContents"/>
              <w:spacing w:before="0" w:after="0"/>
              <w:ind w:left="0" w:right="0" w:hanging="0"/>
              <w:jc w:val="center"/>
              <w:rPr/>
            </w:pPr>
            <w:r>
              <w:rPr/>
              <w:t> </w:t>
            </w:r>
          </w:p>
        </w:tc>
        <w:tc>
          <w:tcPr>
            <w:tcW w:w="122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230" w:type="dxa"/>
            <w:tcBorders/>
            <w:shd w:fill="auto" w:val="clear"/>
            <w:tcMar>
              <w:bottom w:w="0" w:type="dxa"/>
            </w:tcMar>
            <w:vAlign w:val="bottom"/>
          </w:tcPr>
          <w:p>
            <w:pPr>
              <w:pStyle w:val="TableContents"/>
              <w:spacing w:before="0" w:after="0"/>
              <w:ind w:left="0" w:right="0" w:hanging="0"/>
              <w:jc w:val="center"/>
              <w:rPr/>
            </w:pPr>
            <w:r>
              <w:rPr/>
              <w:t> </w:t>
            </w:r>
          </w:p>
        </w:tc>
        <w:tc>
          <w:tcPr>
            <w:tcW w:w="3072"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 Grant Date Fair Value ($)</w:t>
            </w:r>
          </w:p>
        </w:tc>
        <w:tc>
          <w:tcPr>
            <w:tcW w:w="77" w:type="dxa"/>
            <w:tcBorders/>
            <w:shd w:fill="auto" w:val="clear"/>
            <w:tcMar>
              <w:bottom w:w="0" w:type="dxa"/>
            </w:tcMar>
            <w:vAlign w:val="bottom"/>
          </w:tcPr>
          <w:p>
            <w:pPr>
              <w:pStyle w:val="TableContents"/>
              <w:spacing w:before="0" w:after="0"/>
              <w:ind w:left="0" w:right="0" w:hanging="0"/>
              <w:jc w:val="center"/>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7" w:type="dxa"/>
            <w:tcBorders/>
            <w:shd w:fill="CCEEFF" w:val="clear"/>
            <w:tcMar>
              <w:bottom w:w="0" w:type="dxa"/>
            </w:tcMar>
            <w:vAlign w:val="bottom"/>
          </w:tcPr>
          <w:p>
            <w:pPr>
              <w:pStyle w:val="TableContents"/>
              <w:spacing w:before="0" w:after="0"/>
              <w:ind w:left="0" w:right="0" w:hanging="0"/>
              <w:rPr/>
            </w:pPr>
            <w:r>
              <w:rPr/>
              <w:t> </w:t>
            </w:r>
          </w:p>
        </w:tc>
        <w:tc>
          <w:tcPr>
            <w:tcW w:w="29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17,544,186</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1229"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3072" w:type="dxa"/>
            <w:gridSpan w:val="2"/>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7" w:type="dxa"/>
            <w:tcBorders/>
            <w:shd w:fill="CCEEFF" w:val="clear"/>
            <w:tcMar>
              <w:bottom w:w="0" w:type="dxa"/>
            </w:tcMar>
            <w:vAlign w:val="bottom"/>
          </w:tcPr>
          <w:p>
            <w:pPr>
              <w:pStyle w:val="TableContents"/>
              <w:spacing w:before="0" w:after="0"/>
              <w:ind w:left="0" w:right="0" w:hanging="0"/>
              <w:rPr/>
            </w:pPr>
            <w:r>
              <w:rPr/>
              <w:t> </w:t>
            </w:r>
          </w:p>
        </w:tc>
        <w:tc>
          <w:tcPr>
            <w:tcW w:w="29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12,425,957</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1229"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3072" w:type="dxa"/>
            <w:gridSpan w:val="2"/>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7" w:type="dxa"/>
            <w:tcBorders/>
            <w:shd w:fill="CCEEFF" w:val="clear"/>
            <w:tcMar>
              <w:bottom w:w="0" w:type="dxa"/>
            </w:tcMar>
            <w:vAlign w:val="bottom"/>
          </w:tcPr>
          <w:p>
            <w:pPr>
              <w:pStyle w:val="TableContents"/>
              <w:spacing w:before="0" w:after="0"/>
              <w:ind w:left="0" w:right="0" w:hanging="0"/>
              <w:rPr/>
            </w:pPr>
            <w:r>
              <w:rPr/>
              <w:t> </w:t>
            </w:r>
          </w:p>
        </w:tc>
        <w:tc>
          <w:tcPr>
            <w:tcW w:w="29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1,129,450</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1229"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3072" w:type="dxa"/>
            <w:gridSpan w:val="2"/>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 David Duckett</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7" w:type="dxa"/>
            <w:tcBorders/>
            <w:shd w:fill="CCEEFF" w:val="clear"/>
            <w:tcMar>
              <w:bottom w:w="0" w:type="dxa"/>
            </w:tcMar>
            <w:vAlign w:val="bottom"/>
          </w:tcPr>
          <w:p>
            <w:pPr>
              <w:pStyle w:val="TableContents"/>
              <w:spacing w:before="0" w:after="0"/>
              <w:ind w:left="0" w:right="0" w:hanging="0"/>
              <w:rPr/>
            </w:pPr>
            <w:r>
              <w:rPr/>
              <w:t> </w:t>
            </w:r>
          </w:p>
        </w:tc>
        <w:tc>
          <w:tcPr>
            <w:tcW w:w="29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7,383,061</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auto" w:val="clear"/>
            <w:tcMar>
              <w:bottom w:w="0" w:type="dxa"/>
            </w:tcMar>
            <w:vAlign w:val="bottom"/>
          </w:tcPr>
          <w:p>
            <w:pPr>
              <w:pStyle w:val="TableContents"/>
              <w:spacing w:before="0" w:after="0"/>
              <w:ind w:left="0" w:right="0" w:hanging="0"/>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1229" w:type="dxa"/>
            <w:tcBorders/>
            <w:shd w:fill="auto" w:val="clear"/>
            <w:tcMar>
              <w:bottom w:w="0" w:type="dxa"/>
            </w:tcMar>
            <w:vAlign w:val="bottom"/>
          </w:tcPr>
          <w:p>
            <w:pPr>
              <w:pStyle w:val="TableContents"/>
              <w:spacing w:before="0" w:after="0"/>
              <w:ind w:left="0" w:right="0" w:hanging="0"/>
              <w:jc w:val="center"/>
              <w:rPr/>
            </w:pPr>
            <w:r>
              <w:rPr/>
              <w:t> </w:t>
            </w:r>
          </w:p>
        </w:tc>
        <w:tc>
          <w:tcPr>
            <w:tcW w:w="230" w:type="dxa"/>
            <w:tcBorders/>
            <w:shd w:fill="auto" w:val="clear"/>
            <w:tcMar>
              <w:bottom w:w="0" w:type="dxa"/>
            </w:tcMar>
            <w:vAlign w:val="bottom"/>
          </w:tcPr>
          <w:p>
            <w:pPr>
              <w:pStyle w:val="TableContents"/>
              <w:spacing w:before="0" w:after="0"/>
              <w:ind w:left="0" w:right="0" w:hanging="0"/>
              <w:rPr/>
            </w:pPr>
            <w:r>
              <w:rPr/>
              <w:t> </w:t>
            </w:r>
          </w:p>
        </w:tc>
        <w:tc>
          <w:tcPr>
            <w:tcW w:w="3072" w:type="dxa"/>
            <w:gridSpan w:val="2"/>
            <w:tcBorders/>
            <w:shd w:fill="auto" w:val="clear"/>
            <w:tcMar>
              <w:bottom w:w="0" w:type="dxa"/>
            </w:tcMar>
            <w:vAlign w:val="bottom"/>
          </w:tcPr>
          <w:p>
            <w:pPr>
              <w:pStyle w:val="TableContents"/>
              <w:spacing w:before="0" w:after="0"/>
              <w:ind w:left="0" w:right="0" w:hanging="0"/>
              <w:jc w:val="right"/>
              <w:rPr/>
            </w:pPr>
            <w:r>
              <w:rPr/>
              <w:t> </w:t>
            </w:r>
          </w:p>
        </w:tc>
        <w:tc>
          <w:tcPr>
            <w:tcW w:w="77" w:type="dxa"/>
            <w:tcBorders/>
            <w:shd w:fill="auto"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2009</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2008</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3072"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7" w:type="dxa"/>
            <w:tcBorders/>
            <w:shd w:fill="CCEEFF" w:val="clear"/>
            <w:tcMar>
              <w:bottom w:w="0" w:type="dxa"/>
            </w:tcMar>
            <w:vAlign w:val="bottom"/>
          </w:tcPr>
          <w:p>
            <w:pPr>
              <w:pStyle w:val="TableContents"/>
              <w:spacing w:before="0" w:after="0"/>
              <w:ind w:left="0" w:right="0" w:hanging="0"/>
              <w:rPr/>
            </w:pPr>
            <w:r>
              <w:rPr/>
              <w:t> </w:t>
            </w:r>
          </w:p>
        </w:tc>
      </w:tr>
      <w:tr>
        <w:trPr/>
        <w:tc>
          <w:tcPr>
            <w:tcW w:w="2611" w:type="dxa"/>
            <w:tcBorders/>
            <w:shd w:fill="CCEEFF" w:val="clear"/>
            <w:tcMar>
              <w:bottom w:w="0" w:type="dxa"/>
            </w:tcMar>
            <w:vAlign w:val="bottom"/>
          </w:tcPr>
          <w:p>
            <w:pPr>
              <w:pStyle w:val="TableContents"/>
              <w:spacing w:before="0" w:after="0"/>
              <w:ind w:left="0" w:right="0" w:hanging="0"/>
              <w:rPr/>
            </w:pPr>
            <w:r>
              <w:rPr/>
              <w:t> </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1229"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2007</w:t>
            </w:r>
          </w:p>
        </w:tc>
        <w:tc>
          <w:tcPr>
            <w:tcW w:w="230" w:type="dxa"/>
            <w:tcBorders/>
            <w:shd w:fill="CCEEFF" w:val="clear"/>
            <w:tcMar>
              <w:bottom w:w="0" w:type="dxa"/>
            </w:tcMar>
            <w:vAlign w:val="bottom"/>
          </w:tcPr>
          <w:p>
            <w:pPr>
              <w:pStyle w:val="TableContents"/>
              <w:spacing w:before="0" w:after="0"/>
              <w:ind w:left="0" w:right="0" w:hanging="0"/>
              <w:rPr/>
            </w:pPr>
            <w:r>
              <w:rPr/>
              <w:t> </w:t>
            </w:r>
          </w:p>
        </w:tc>
        <w:tc>
          <w:tcPr>
            <w:tcW w:w="77" w:type="dxa"/>
            <w:tcBorders/>
            <w:shd w:fill="CCEEFF" w:val="clear"/>
            <w:tcMar>
              <w:bottom w:w="0" w:type="dxa"/>
            </w:tcMar>
            <w:vAlign w:val="bottom"/>
          </w:tcPr>
          <w:p>
            <w:pPr>
              <w:pStyle w:val="TableContents"/>
              <w:spacing w:before="0" w:after="0"/>
              <w:ind w:left="0" w:right="0" w:hanging="0"/>
              <w:rPr/>
            </w:pPr>
            <w:r>
              <w:rPr/>
              <w:t> </w:t>
            </w:r>
          </w:p>
        </w:tc>
        <w:tc>
          <w:tcPr>
            <w:tcW w:w="299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5,701,156</w:t>
            </w:r>
          </w:p>
        </w:tc>
        <w:tc>
          <w:tcPr>
            <w:tcW w:w="7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Plains All American GP LLC matches 100% of employees contributions to its 401(k) plan in cash, subject to certain limitations in the plan. All Other Compensation for each of Messrs. Armstrong, Pefanis, Swanson and vonBerg includes $14,700 in such contributions for 2009. The remaining amount for each represents premium payments on behalf of such Named Executive Officer for group term life insurance. All Other Compensation for Mr. Duckett includes, for 2009, employer contributions to the PMC (Nova Scotia) Company savings plan of $32,638, group term life insurance premiums of $16,220, automobile lease payments of $29,143 and club dues.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Salary, bonus and all other compensation amounts for Mr. Duckett are presented in U.S. dollar equivalent based on the exchange rates in effect on the dates payments were made or approved.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Includes quarterly bonuses aggregating $1,920,000, $1,440,000 and $1,765,000 and annual bonuses of $1,300,000, $1,300,000 and $1,000,000 in 2009, 2008 and 2007, respectively. The annual bonuses are payable 60% at the time of award and 20% in each of the two succeeding years.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100</w:t>
      </w:r>
      <w:bookmarkStart w:id="121" w:name="PB_100_091724_7091"/>
      <w:bookmarkEnd w:id="1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summary information regarding all grants of plan-based awards made to our Named Executive Officers during the fiscal year ended December 31,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77"/>
        <w:gridCol w:w="105"/>
        <w:gridCol w:w="639"/>
        <w:gridCol w:w="105"/>
        <w:gridCol w:w="639"/>
        <w:gridCol w:w="105"/>
        <w:gridCol w:w="639"/>
        <w:gridCol w:w="105"/>
        <w:gridCol w:w="639"/>
        <w:gridCol w:w="105"/>
        <w:gridCol w:w="639"/>
        <w:gridCol w:w="105"/>
        <w:gridCol w:w="639"/>
        <w:gridCol w:w="105"/>
        <w:gridCol w:w="639"/>
        <w:gridCol w:w="105"/>
        <w:gridCol w:w="745"/>
        <w:gridCol w:w="212"/>
        <w:gridCol w:w="745"/>
        <w:gridCol w:w="106"/>
        <w:gridCol w:w="638"/>
        <w:gridCol w:w="106"/>
        <w:gridCol w:w="105"/>
        <w:gridCol w:w="852"/>
        <w:gridCol w:w="106"/>
      </w:tblGrid>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All Other</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All Other</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Stock</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Awards:</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Awards:</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Exercise</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pPr>
            <w:r>
              <w:rPr/>
              <w:t> </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Future Payouts</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Future Payouts</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or Base</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Under Non-Equity</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Under Equity</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Shares Of</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Securities</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Of</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Of</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 Plan Awards</w:t>
            </w:r>
          </w:p>
        </w:tc>
        <w:tc>
          <w:tcPr>
            <w:tcW w:w="105" w:type="dxa"/>
            <w:tcBorders/>
            <w:shd w:fill="auto" w:val="clear"/>
            <w:vAlign w:val="bottom"/>
          </w:tcPr>
          <w:p>
            <w:pPr>
              <w:pStyle w:val="TableContents"/>
              <w:spacing w:before="0" w:after="0"/>
              <w:ind w:left="0" w:right="0" w:hanging="0"/>
              <w:jc w:val="center"/>
              <w:rPr/>
            </w:pPr>
            <w:r>
              <w:rPr/>
              <w:t> </w:t>
            </w:r>
          </w:p>
        </w:tc>
        <w:tc>
          <w:tcPr>
            <w:tcW w:w="212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 Plan Awards</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Stock or</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Underlying</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Stock and</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Threshold</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Target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Threshold</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Target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Maximum</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Options</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Awards</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 Awards</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6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5" w:type="dxa"/>
            <w:tcBorders/>
            <w:shd w:fill="auto" w:val="clear"/>
            <w:vAlign w:val="bottom"/>
          </w:tcPr>
          <w:p>
            <w:pPr>
              <w:pStyle w:val="TableContents"/>
              <w:spacing w:before="0" w:after="0"/>
              <w:ind w:left="0" w:right="0" w:hanging="0"/>
              <w:jc w:val="center"/>
              <w:rPr/>
            </w:pPr>
            <w:r>
              <w:rPr/>
              <w:t> </w:t>
            </w:r>
          </w:p>
        </w:tc>
        <w:tc>
          <w:tcPr>
            <w:tcW w:w="7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6" w:type="dxa"/>
            <w:tcBorders/>
            <w:shd w:fill="auto" w:val="clear"/>
            <w:vAlign w:val="bottom"/>
          </w:tcPr>
          <w:p>
            <w:pPr>
              <w:pStyle w:val="TableContents"/>
              <w:spacing w:before="0" w:after="0"/>
              <w:ind w:left="0" w:right="0" w:hanging="0"/>
              <w:jc w:val="center"/>
              <w:rPr/>
            </w:pPr>
            <w:r>
              <w:rPr/>
              <w:t> </w:t>
            </w:r>
          </w:p>
        </w:tc>
        <w:tc>
          <w:tcPr>
            <w:tcW w:w="63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($/Sh)</w:t>
            </w:r>
          </w:p>
        </w:tc>
        <w:tc>
          <w:tcPr>
            <w:tcW w:w="106" w:type="dxa"/>
            <w:tcBorders/>
            <w:shd w:fill="auto" w:val="clear"/>
            <w:vAlign w:val="bottom"/>
          </w:tcPr>
          <w:p>
            <w:pPr>
              <w:pStyle w:val="TableContents"/>
              <w:spacing w:before="0" w:after="0"/>
              <w:ind w:left="0" w:right="0" w:hanging="0"/>
              <w:jc w:val="center"/>
              <w:rPr/>
            </w:pPr>
            <w:r>
              <w:rPr/>
              <w:t> </w:t>
            </w:r>
          </w:p>
        </w:tc>
        <w:tc>
          <w:tcPr>
            <w:tcW w:w="9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06" w:type="dxa"/>
            <w:tcBorders/>
            <w:shd w:fill="auto" w:val="clear"/>
            <w:vAlign w:val="bottom"/>
          </w:tcPr>
          <w:p>
            <w:pPr>
              <w:pStyle w:val="TableContents"/>
              <w:spacing w:before="0" w:after="0"/>
              <w:ind w:left="0" w:right="0" w:hanging="0"/>
              <w:jc w:val="center"/>
              <w:rPr/>
            </w:pPr>
            <w:r>
              <w:rPr/>
              <w:t> </w:t>
            </w:r>
          </w:p>
        </w:tc>
      </w:tr>
      <w:tr>
        <w:trPr/>
        <w:tc>
          <w:tcPr>
            <w:tcW w:w="127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Greg L. Armstrong</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r>
      <w:tr>
        <w:trPr/>
        <w:tc>
          <w:tcPr>
            <w:tcW w:w="127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Harry N. Pefanis</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638"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r>
      <w:tr>
        <w:trPr/>
        <w:tc>
          <w:tcPr>
            <w:tcW w:w="127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Al Swanson</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2/19/09</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 xml:space="preserve">35,000 </w:t>
            </w:r>
          </w:p>
        </w:tc>
        <w:tc>
          <w:tcPr>
            <w:tcW w:w="212"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(1)</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852"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 xml:space="preserve">376,483 </w:t>
            </w:r>
          </w:p>
        </w:tc>
        <w:tc>
          <w:tcPr>
            <w:tcW w:w="106"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r>
      <w:tr>
        <w:trPr/>
        <w:tc>
          <w:tcPr>
            <w:tcW w:w="1277" w:type="dxa"/>
            <w:tcBorders/>
            <w:shd w:fill="auto"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 David Duckett</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638"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r>
      <w:tr>
        <w:trPr/>
        <w:tc>
          <w:tcPr>
            <w:tcW w:w="1277"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John D. vonBerg</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639" w:type="dxa"/>
            <w:tcBorders/>
            <w:shd w:fill="CCEEFF" w:val="clear"/>
            <w:vAlign w:val="bottom"/>
          </w:tcPr>
          <w:p>
            <w:pPr>
              <w:pStyle w:val="TableContents"/>
              <w:spacing w:before="0" w:after="0"/>
              <w:ind w:left="0" w:right="0" w:hanging="0"/>
              <w:jc w:val="right"/>
              <w:rPr/>
            </w:pPr>
            <w:r>
              <w:rPr/>
              <w:t> </w:t>
            </w:r>
          </w:p>
        </w:tc>
        <w:tc>
          <w:tcPr>
            <w:tcW w:w="105"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638"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CCEEFF" w:val="clear"/>
            <w:vAlign w:val="bottom"/>
          </w:tcPr>
          <w:p>
            <w:pPr>
              <w:pStyle w:val="TableContents"/>
              <w:spacing w:before="0" w:after="0"/>
              <w:ind w:left="0" w:right="0" w:hanging="0"/>
              <w:rPr/>
            </w:pPr>
            <w:r>
              <w:rPr/>
              <w:t> </w:t>
            </w:r>
          </w:p>
        </w:tc>
        <w:tc>
          <w:tcPr>
            <w:tcW w:w="957" w:type="dxa"/>
            <w:gridSpan w:val="2"/>
            <w:tcBorders/>
            <w:shd w:fill="CCEEFF" w:val="clear"/>
            <w:vAlign w:val="bottom"/>
          </w:tcPr>
          <w:p>
            <w:pPr>
              <w:pStyle w:val="TableContents"/>
              <w:spacing w:before="0" w:after="0"/>
              <w:ind w:left="0" w:right="0" w:hanging="0"/>
              <w:jc w:val="right"/>
              <w:rPr/>
            </w:pPr>
            <w:r>
              <w:rPr/>
              <w:t> </w:t>
            </w:r>
          </w:p>
        </w:tc>
        <w:tc>
          <w:tcPr>
            <w:tcW w:w="106" w:type="dxa"/>
            <w:tcBorders/>
            <w:shd w:fill="CCEEFF" w:val="clear"/>
            <w:vAlign w:val="bottom"/>
          </w:tcPr>
          <w:p>
            <w:pPr>
              <w:pStyle w:val="TableContents"/>
              <w:spacing w:before="0" w:after="0"/>
              <w:ind w:left="0" w:right="0" w:hanging="0"/>
              <w:rPr/>
            </w:pPr>
            <w:r>
              <w:rPr/>
              <w:t> </w:t>
            </w:r>
          </w:p>
        </w:tc>
      </w:tr>
      <w:tr>
        <w:trPr/>
        <w:tc>
          <w:tcPr>
            <w:tcW w:w="1277" w:type="dxa"/>
            <w:tcBorders/>
            <w:shd w:fill="auto" w:val="cle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639" w:type="dxa"/>
            <w:tcBorders/>
            <w:shd w:fill="auto" w:val="clear"/>
            <w:vAlign w:val="bottom"/>
          </w:tcPr>
          <w:p>
            <w:pPr>
              <w:pStyle w:val="TableContents"/>
              <w:spacing w:before="0" w:after="0"/>
              <w:ind w:left="0" w:right="0" w:hanging="0"/>
              <w:jc w:val="right"/>
              <w:rPr/>
            </w:pPr>
            <w:r>
              <w:rPr/>
              <w:t> </w:t>
            </w:r>
          </w:p>
        </w:tc>
        <w:tc>
          <w:tcPr>
            <w:tcW w:w="105"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638" w:type="dxa"/>
            <w:tcBorders/>
            <w:shd w:fill="auto"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6" w:type="dxa"/>
            <w:tcBorders/>
            <w:shd w:fill="auto" w:val="clear"/>
            <w:vAlign w:val="bottom"/>
          </w:tcPr>
          <w:p>
            <w:pPr>
              <w:pStyle w:val="TableContents"/>
              <w:spacing w:before="0" w:after="0"/>
              <w:ind w:left="0" w:right="0" w:hanging="0"/>
              <w:rPr/>
            </w:pPr>
            <w:r>
              <w:rPr/>
              <w:t> </w:t>
            </w:r>
          </w:p>
        </w:tc>
        <w:tc>
          <w:tcPr>
            <w:tcW w:w="957" w:type="dxa"/>
            <w:gridSpan w:val="2"/>
            <w:tcBorders/>
            <w:shd w:fill="auto" w:val="clear"/>
            <w:vAlign w:val="bottom"/>
          </w:tcPr>
          <w:p>
            <w:pPr>
              <w:pStyle w:val="TableContents"/>
              <w:spacing w:before="0" w:after="0"/>
              <w:ind w:left="0" w:right="0" w:hanging="0"/>
              <w:jc w:val="right"/>
              <w:rPr/>
            </w:pPr>
            <w:r>
              <w:rPr/>
              <w:t> </w:t>
            </w:r>
          </w:p>
        </w:tc>
        <w:tc>
          <w:tcPr>
            <w:tcW w:w="106" w:type="dxa"/>
            <w:tcBorders/>
            <w:shd w:fill="auto" w:val="clear"/>
            <w:vAlign w:val="bottom"/>
          </w:tcPr>
          <w:p>
            <w:pPr>
              <w:pStyle w:val="TableContents"/>
              <w:spacing w:before="0" w:after="0"/>
              <w:ind w:left="0" w:right="0" w:hanging="0"/>
              <w:rPr/>
            </w:pPr>
            <w:r>
              <w:rPr/>
              <w:t> </w:t>
            </w:r>
          </w:p>
        </w:tc>
      </w:tr>
      <w:tr>
        <w:trPr/>
        <w:tc>
          <w:tcPr>
            <w:tcW w:w="127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phantom units will vest in one-third increments as follows: one-third will vest upon the later of the May 2011 distribution date and the date on which we pay a quarterly distribution of at least $0.9375; one-third will vest upon the later of the May 2012 distribution date and the date on which we pay a quarterly distribution of at least $1.00; and one-third will vest upon the later of the May 2013 distribution date and the date on which we pay a quarterly distribution of at least $1.0625. DERs associated with these units become payable in one-third increments upon achieving quarterly distribution levels of $0.9125, $0.9375 and $1.00 per unit, respectively. Any phantom units that have not vested (and all associated DERs) as of the May 2015 distribution date will expire.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Represents the grant date fair value of phantom units based on the probable outcome of underlying performance conditions.  The performance threshold for the first one-third vesting was deemed probable of occurrence as of the grant date.  The maximum grant date fair value of these phantom units assuming that the highest level of performance conditions will be met is $1,129,450.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Narrative Disclosure to Summary Compensation Table and Grants of Plan-Based Awards Table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discussion of 2009 salaries and bonuses is included in Compensation Discussion and Analysis. The following is a discussion of other material factors necessary to an understanding of the information disclosed in the Summary Compensation Table and under Grants of Plan-Based Awards Table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Salary</w:t>
      </w:r>
      <w:r>
        <w:rPr>
          <w:rFonts w:ascii="Times New Roman" w:hAnsi="Times New Roman"/>
          <w:sz w:val="17"/>
        </w:rPr>
        <w:t>As discussed in this Item 11, we do not make systematic annual adjustments to the salaries of our Named Executive Officers. In that regard, no salary adjustments were made for any of our Named Executive Officers in 2009, other than Mr. vonBerg and Mr. Swanson whose salaries were increased to $250,000 each.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Grants of Plan-Based Awards</w:t>
      </w:r>
      <w:r>
        <w:rPr>
          <w:rFonts w:ascii="Times New Roman" w:hAnsi="Times New Roman"/>
          <w:sz w:val="17"/>
        </w:rPr>
        <w:t>In February 2009, Mr. Swanson was awarded 35,000 phantom units under our LTIP. In February 2010, our Named Executive Officers were awarded the following phantom units: Mr. Armstrong, 180,000; Mr. Pefanis, 120,000; Mr. Swanson, 60,000; Mr. Duckett, 75,000; and Mr. vonBerg, 54,000.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Employment Contracts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101</w:t>
      </w:r>
      <w:bookmarkStart w:id="122" w:name="PB_101_091724_455"/>
      <w:bookmarkEnd w:id="1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Outstanding Equity Awards at Fiscal Year-End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with respect to outstanding equity awards at December 31, 2009 with respect to our Named Executive Officers: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02"/>
        <w:gridCol w:w="100"/>
        <w:gridCol w:w="825"/>
        <w:gridCol w:w="100"/>
        <w:gridCol w:w="835"/>
        <w:gridCol w:w="100"/>
        <w:gridCol w:w="825"/>
        <w:gridCol w:w="100"/>
        <w:gridCol w:w="807"/>
        <w:gridCol w:w="100"/>
        <w:gridCol w:w="815"/>
        <w:gridCol w:w="100"/>
        <w:gridCol w:w="833"/>
        <w:gridCol w:w="199"/>
        <w:gridCol w:w="102"/>
        <w:gridCol w:w="619"/>
        <w:gridCol w:w="100"/>
        <w:gridCol w:w="929"/>
        <w:gridCol w:w="199"/>
        <w:gridCol w:w="103"/>
        <w:gridCol w:w="729"/>
        <w:gridCol w:w="683"/>
      </w:tblGrid>
      <w:tr>
        <w:trPr/>
        <w:tc>
          <w:tcPr>
            <w:tcW w:w="100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jc w:val="center"/>
              <w:rPr/>
            </w:pPr>
            <w:r>
              <w:rPr/>
              <w:t> </w:t>
            </w:r>
          </w:p>
        </w:tc>
        <w:tc>
          <w:tcPr>
            <w:tcW w:w="450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 Awards</w:t>
            </w:r>
          </w:p>
        </w:tc>
        <w:tc>
          <w:tcPr>
            <w:tcW w:w="100" w:type="dxa"/>
            <w:tcBorders/>
            <w:shd w:fill="auto" w:val="clear"/>
            <w:vAlign w:val="bottom"/>
          </w:tcPr>
          <w:p>
            <w:pPr>
              <w:pStyle w:val="TableContents"/>
              <w:spacing w:before="0" w:after="0"/>
              <w:ind w:left="0" w:right="0" w:hanging="0"/>
              <w:jc w:val="center"/>
              <w:rPr/>
            </w:pPr>
            <w:r>
              <w:rPr/>
              <w:t> </w:t>
            </w:r>
          </w:p>
        </w:tc>
        <w:tc>
          <w:tcPr>
            <w:tcW w:w="381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Awards</w:t>
            </w:r>
          </w:p>
        </w:tc>
        <w:tc>
          <w:tcPr>
            <w:tcW w:w="683" w:type="dxa"/>
            <w:tcBorders/>
            <w:shd w:fill="auto" w:val="clear"/>
            <w:vAlign w:val="bottom"/>
          </w:tcPr>
          <w:p>
            <w:pPr>
              <w:pStyle w:val="TableContents"/>
              <w:spacing w:before="0" w:after="0"/>
              <w:ind w:left="0" w:right="0" w:hanging="0"/>
              <w:jc w:val="center"/>
              <w:rPr/>
            </w:pPr>
            <w:r>
              <w:rPr/>
              <w:t> </w:t>
            </w:r>
          </w:p>
        </w:tc>
      </w:tr>
      <w:tr>
        <w:trPr/>
        <w:tc>
          <w:tcPr>
            <w:tcW w:w="100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100" w:type="dxa"/>
            <w:tcBorders/>
            <w:shd w:fill="auto" w:val="clear"/>
            <w:vAlign w:val="bottom"/>
          </w:tcPr>
          <w:p>
            <w:pPr>
              <w:pStyle w:val="TableContents"/>
              <w:spacing w:before="0" w:after="0"/>
              <w:ind w:left="0" w:right="0" w:hanging="0"/>
              <w:jc w:val="center"/>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Securities</w:t>
              <w:br/>
              <w:t>Underlying</w:t>
              <w:br/>
              <w:t>Unexercised</w:t>
              <w:br/>
              <w:t>Options (#)</w:t>
              <w:br/>
              <w:t>Exercisable</w:t>
            </w:r>
          </w:p>
        </w:tc>
        <w:tc>
          <w:tcPr>
            <w:tcW w:w="100" w:type="dxa"/>
            <w:tcBorders/>
            <w:shd w:fill="auto" w:val="clear"/>
            <w:vAlign w:val="bottom"/>
          </w:tcPr>
          <w:p>
            <w:pPr>
              <w:pStyle w:val="TableContents"/>
              <w:spacing w:before="0" w:after="0"/>
              <w:ind w:left="0" w:right="0" w:hanging="0"/>
              <w:jc w:val="center"/>
              <w:rPr/>
            </w:pPr>
            <w:r>
              <w:rPr/>
              <w:t> </w:t>
            </w:r>
          </w:p>
        </w:tc>
        <w:tc>
          <w:tcPr>
            <w:tcW w:w="83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Securities</w:t>
              <w:br/>
              <w:t>Underlying</w:t>
              <w:br/>
              <w:t>Unexercised</w:t>
              <w:br/>
              <w:t>Options (#)</w:t>
              <w:br/>
              <w:t>Unexercisable</w:t>
            </w:r>
          </w:p>
        </w:tc>
        <w:tc>
          <w:tcPr>
            <w:tcW w:w="100" w:type="dxa"/>
            <w:tcBorders/>
            <w:shd w:fill="auto" w:val="clear"/>
            <w:vAlign w:val="bottom"/>
          </w:tcPr>
          <w:p>
            <w:pPr>
              <w:pStyle w:val="TableContents"/>
              <w:spacing w:before="0" w:after="0"/>
              <w:ind w:left="0" w:right="0" w:hanging="0"/>
              <w:jc w:val="center"/>
              <w:rPr/>
            </w:pPr>
            <w:r>
              <w:rPr/>
              <w:t> </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w:t>
              <w:br/>
              <w:t>Incentive</w:t>
              <w:br/>
              <w:t>Plan</w:t>
              <w:br/>
              <w:t>Awards:</w:t>
              <w:br/>
              <w:t>Number of</w:t>
              <w:br/>
              <w:t>Securities</w:t>
              <w:br/>
              <w:t>Underlying</w:t>
              <w:br/>
              <w:t>Unexercised</w:t>
              <w:br/>
              <w:t>Unearned</w:t>
              <w:br/>
              <w:t>Options (#)</w:t>
            </w:r>
          </w:p>
        </w:tc>
        <w:tc>
          <w:tcPr>
            <w:tcW w:w="100" w:type="dxa"/>
            <w:tcBorders/>
            <w:shd w:fill="auto" w:val="clear"/>
            <w:vAlign w:val="bottom"/>
          </w:tcPr>
          <w:p>
            <w:pPr>
              <w:pStyle w:val="TableContents"/>
              <w:spacing w:before="0" w:after="0"/>
              <w:ind w:left="0" w:right="0" w:hanging="0"/>
              <w:jc w:val="center"/>
              <w:rPr/>
            </w:pPr>
            <w:r>
              <w:rPr/>
              <w:t> </w:t>
            </w:r>
          </w:p>
        </w:tc>
        <w:tc>
          <w:tcPr>
            <w:tcW w:w="80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w:t>
              <w:br/>
              <w:t>Exercise</w:t>
              <w:br/>
              <w:t>Price ($)</w:t>
            </w:r>
          </w:p>
        </w:tc>
        <w:tc>
          <w:tcPr>
            <w:tcW w:w="100" w:type="dxa"/>
            <w:tcBorders/>
            <w:shd w:fill="auto" w:val="clear"/>
            <w:vAlign w:val="bottom"/>
          </w:tcPr>
          <w:p>
            <w:pPr>
              <w:pStyle w:val="TableContents"/>
              <w:spacing w:before="0" w:after="0"/>
              <w:ind w:left="0" w:right="0" w:hanging="0"/>
              <w:jc w:val="center"/>
              <w:rPr/>
            </w:pPr>
            <w:r>
              <w:rPr/>
              <w:t> </w:t>
            </w:r>
          </w:p>
        </w:tc>
        <w:tc>
          <w:tcPr>
            <w:tcW w:w="8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w:t>
              <w:br/>
              <w:t>Expiration</w:t>
              <w:br/>
              <w:t>Date</w:t>
            </w:r>
          </w:p>
        </w:tc>
        <w:tc>
          <w:tcPr>
            <w:tcW w:w="100" w:type="dxa"/>
            <w:tcBorders/>
            <w:shd w:fill="auto" w:val="clear"/>
            <w:vAlign w:val="bottom"/>
          </w:tcPr>
          <w:p>
            <w:pPr>
              <w:pStyle w:val="TableContents"/>
              <w:spacing w:before="0" w:after="0"/>
              <w:ind w:left="0" w:right="0" w:hanging="0"/>
              <w:jc w:val="center"/>
              <w:rPr/>
            </w:pPr>
            <w:r>
              <w:rPr/>
              <w:t> </w:t>
            </w:r>
          </w:p>
        </w:tc>
        <w:tc>
          <w:tcPr>
            <w:tcW w:w="83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w:t>
              <w:br/>
              <w:t>Shares or</w:t>
              <w:br/>
              <w:t>Units of Stock</w:t>
              <w:br/>
              <w:t>That Have</w:t>
              <w:br/>
              <w:t>Not</w:t>
              <w:br/>
              <w:t>Vested (#)</w:t>
            </w:r>
          </w:p>
        </w:tc>
        <w:tc>
          <w:tcPr>
            <w:tcW w:w="199" w:type="dxa"/>
            <w:tcBorders/>
            <w:shd w:fill="auto" w:val="clear"/>
            <w:vAlign w:val="bottom"/>
          </w:tcPr>
          <w:p>
            <w:pPr>
              <w:pStyle w:val="TableContents"/>
              <w:spacing w:before="0" w:after="0"/>
              <w:ind w:left="0" w:right="0" w:hanging="0"/>
              <w:jc w:val="center"/>
              <w:rPr/>
            </w:pPr>
            <w:r>
              <w:rPr/>
              <w:t> </w:t>
            </w:r>
          </w:p>
        </w:tc>
        <w:tc>
          <w:tcPr>
            <w:tcW w:w="7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Market</w:t>
              <w:br/>
              <w:t>Value of</w:t>
              <w:br/>
              <w:t>Shares or</w:t>
              <w:br/>
              <w:t>Units of</w:t>
              <w:br/>
              <w:t>Stock That</w:t>
              <w:br/>
              <w:t>Have Not</w:t>
              <w:br/>
              <w:t>Vested ($)</w:t>
            </w:r>
            <w:r>
              <w:rPr>
                <w:sz w:val="8"/>
              </w:rPr>
              <w:t>(1)</w:t>
            </w:r>
          </w:p>
        </w:tc>
        <w:tc>
          <w:tcPr>
            <w:tcW w:w="100" w:type="dxa"/>
            <w:tcBorders/>
            <w:shd w:fill="auto" w:val="clear"/>
            <w:vAlign w:val="bottom"/>
          </w:tcPr>
          <w:p>
            <w:pPr>
              <w:pStyle w:val="TableContents"/>
              <w:spacing w:before="0" w:after="0"/>
              <w:ind w:left="0" w:right="0" w:hanging="0"/>
              <w:jc w:val="center"/>
              <w:rPr/>
            </w:pPr>
            <w:r>
              <w:rPr/>
              <w:t> </w:t>
            </w:r>
          </w:p>
        </w:tc>
        <w:tc>
          <w:tcPr>
            <w:tcW w:w="9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w:t>
              <w:br/>
              <w:t>Incentive Plan</w:t>
              <w:br/>
              <w:t>Awards:</w:t>
              <w:br/>
              <w:t>Number of</w:t>
              <w:br/>
              <w:t>Unearned</w:t>
              <w:br/>
              <w:t>Shares, Units</w:t>
              <w:br/>
              <w:t>or Other</w:t>
              <w:br/>
              <w:t>Rights That</w:t>
              <w:br/>
              <w:t>Have Not</w:t>
              <w:br/>
              <w:t>Vested (#)</w:t>
            </w:r>
          </w:p>
        </w:tc>
        <w:tc>
          <w:tcPr>
            <w:tcW w:w="199" w:type="dxa"/>
            <w:tcBorders/>
            <w:shd w:fill="auto" w:val="clear"/>
            <w:vAlign w:val="bottom"/>
          </w:tcPr>
          <w:p>
            <w:pPr>
              <w:pStyle w:val="TableContents"/>
              <w:spacing w:before="0" w:after="0"/>
              <w:ind w:left="0" w:right="0" w:hanging="0"/>
              <w:jc w:val="center"/>
              <w:rPr/>
            </w:pPr>
            <w:r>
              <w:rPr/>
              <w:t> </w:t>
            </w:r>
          </w:p>
        </w:tc>
        <w:tc>
          <w:tcPr>
            <w:tcW w:w="8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Equity</w:t>
              <w:br/>
              <w:t>Incentive Plan</w:t>
              <w:br/>
              <w:t>Awards:</w:t>
              <w:br/>
              <w:t>Market or</w:t>
              <w:br/>
              <w:t>Payout Value</w:t>
              <w:br/>
              <w:t>of Unearned</w:t>
              <w:br/>
              <w:t>Shares, Units</w:t>
              <w:br/>
              <w:t>or Other</w:t>
              <w:br/>
              <w:t>Rights That</w:t>
              <w:br/>
              <w:t>Have Not</w:t>
              <w:br/>
              <w:t>Vested ($)</w:t>
            </w:r>
            <w:r>
              <w:rPr>
                <w:sz w:val="8"/>
              </w:rPr>
              <w:t>(1)</w:t>
            </w:r>
          </w:p>
        </w:tc>
        <w:tc>
          <w:tcPr>
            <w:tcW w:w="683" w:type="dxa"/>
            <w:tcBorders/>
            <w:shd w:fill="auto" w:val="clear"/>
            <w:vAlign w:val="bottom"/>
          </w:tcPr>
          <w:p>
            <w:pPr>
              <w:pStyle w:val="TableContents"/>
              <w:spacing w:before="0" w:after="0"/>
              <w:ind w:left="0" w:right="0" w:hanging="0"/>
              <w:jc w:val="center"/>
              <w:rPr/>
            </w:pPr>
            <w:r>
              <w:rPr/>
              <w:t> </w:t>
            </w:r>
          </w:p>
        </w:tc>
      </w:tr>
      <w:tr>
        <w:trPr/>
        <w:tc>
          <w:tcPr>
            <w:tcW w:w="10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Greg L. Armstrong</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6,342,000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3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3,171,000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6,342,000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2,770,700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5,987,300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07"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1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32" w:type="dxa"/>
            <w:gridSpan w:val="2"/>
            <w:tcBorders/>
            <w:shd w:fill="auto" w:val="clear"/>
            <w:vAlign w:val="bottom"/>
          </w:tcPr>
          <w:p>
            <w:pPr>
              <w:pStyle w:val="TableContents"/>
              <w:spacing w:before="0" w:after="0"/>
              <w:ind w:left="0" w:right="0" w:hanging="0"/>
              <w:jc w:val="right"/>
              <w:rPr/>
            </w:pPr>
            <w:r>
              <w:rPr/>
              <w:t> </w:t>
            </w:r>
          </w:p>
        </w:tc>
        <w:tc>
          <w:tcPr>
            <w:tcW w:w="683" w:type="dxa"/>
            <w:tcBorders/>
            <w:shd w:fill="auto"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Harry N. Pefanis</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4,228,000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3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2,114,000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4,228,000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2,078,025</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4,490,475</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07"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1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32" w:type="dxa"/>
            <w:gridSpan w:val="2"/>
            <w:tcBorders/>
            <w:shd w:fill="auto" w:val="clear"/>
            <w:vAlign w:val="bottom"/>
          </w:tcPr>
          <w:p>
            <w:pPr>
              <w:pStyle w:val="TableContents"/>
              <w:spacing w:before="0" w:after="0"/>
              <w:ind w:left="0" w:right="0" w:hanging="0"/>
              <w:jc w:val="right"/>
              <w:rPr/>
            </w:pPr>
            <w:r>
              <w:rPr/>
              <w:t> </w:t>
            </w:r>
          </w:p>
        </w:tc>
        <w:tc>
          <w:tcPr>
            <w:tcW w:w="683" w:type="dxa"/>
            <w:tcBorders/>
            <w:shd w:fill="auto"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Al Swanson</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17,000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898,450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3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581,350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22,000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1,162,700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721"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(5)</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1,849,750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692,675</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7,500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1,496,825</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07"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1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32" w:type="dxa"/>
            <w:gridSpan w:val="2"/>
            <w:tcBorders/>
            <w:shd w:fill="auto" w:val="clear"/>
            <w:vAlign w:val="bottom"/>
          </w:tcPr>
          <w:p>
            <w:pPr>
              <w:pStyle w:val="TableContents"/>
              <w:spacing w:before="0" w:after="0"/>
              <w:ind w:left="0" w:right="0" w:hanging="0"/>
              <w:jc w:val="right"/>
              <w:rPr/>
            </w:pPr>
            <w:r>
              <w:rPr/>
              <w:t> </w:t>
            </w:r>
          </w:p>
        </w:tc>
        <w:tc>
          <w:tcPr>
            <w:tcW w:w="683" w:type="dxa"/>
            <w:tcBorders/>
            <w:shd w:fill="auto"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 David Duckett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39,175</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2,070,399</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3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1,321,250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50,000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2,642,500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4,250</w:t>
            </w:r>
          </w:p>
        </w:tc>
        <w:tc>
          <w:tcPr>
            <w:tcW w:w="199" w:type="dxa"/>
            <w:tcBorders/>
            <w:shd w:fill="CCEEFF" w:val="clear"/>
            <w:vAlign w:val="bottom"/>
          </w:tcPr>
          <w:p>
            <w:pPr>
              <w:pStyle w:val="TableContents"/>
              <w:spacing w:before="0" w:after="0"/>
              <w:ind w:left="0" w:right="0" w:hanging="0"/>
              <w:rPr/>
            </w:pPr>
            <w:r>
              <w:rPr/>
              <w:t> </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1,177,548</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12,750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2,544,602</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auto" w:val="clear"/>
            <w:vAlign w:val="bottom"/>
          </w:tcPr>
          <w:p>
            <w:pPr>
              <w:pStyle w:val="TableContents"/>
              <w:spacing w:before="0" w:after="0"/>
              <w:ind w:left="0" w:right="0" w:hanging="0"/>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2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07"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15"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721" w:type="dxa"/>
            <w:gridSpan w:val="2"/>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c>
          <w:tcPr>
            <w:tcW w:w="929"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832" w:type="dxa"/>
            <w:gridSpan w:val="2"/>
            <w:tcBorders/>
            <w:shd w:fill="auto" w:val="clear"/>
            <w:vAlign w:val="bottom"/>
          </w:tcPr>
          <w:p>
            <w:pPr>
              <w:pStyle w:val="TableContents"/>
              <w:spacing w:before="0" w:after="0"/>
              <w:ind w:left="0" w:right="0" w:hanging="0"/>
              <w:jc w:val="right"/>
              <w:rPr/>
            </w:pPr>
            <w:r>
              <w:rPr/>
              <w:t> </w:t>
            </w:r>
          </w:p>
        </w:tc>
        <w:tc>
          <w:tcPr>
            <w:tcW w:w="683" w:type="dxa"/>
            <w:tcBorders/>
            <w:shd w:fill="auto"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John P. vonBerg</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28,675</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(2)</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1,515,474</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99" w:type="dxa"/>
            <w:tcBorders/>
            <w:shd w:fill="CCEEFF" w:val="clear"/>
            <w:vAlign w:val="bottom"/>
          </w:tcPr>
          <w:p>
            <w:pPr>
              <w:pStyle w:val="TableContents"/>
              <w:spacing w:before="0" w:after="0"/>
              <w:ind w:left="0" w:right="0" w:hanging="0"/>
              <w:rPr/>
            </w:pPr>
            <w:r>
              <w:rPr/>
              <w:t> </w:t>
            </w:r>
          </w:p>
        </w:tc>
        <w:tc>
          <w:tcPr>
            <w:tcW w:w="832" w:type="dxa"/>
            <w:gridSpan w:val="2"/>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18,000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951,300</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36,000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(3)</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1,902,600</w:t>
            </w:r>
          </w:p>
        </w:tc>
        <w:tc>
          <w:tcPr>
            <w:tcW w:w="683" w:type="dxa"/>
            <w:tcBorders/>
            <w:shd w:fill="CCEEFF" w:val="clear"/>
            <w:vAlign w:val="bottom"/>
          </w:tcPr>
          <w:p>
            <w:pPr>
              <w:pStyle w:val="TableContents"/>
              <w:spacing w:before="0" w:after="0"/>
              <w:ind w:left="0" w:right="0" w:hanging="0"/>
              <w:rPr/>
            </w:pPr>
            <w:r>
              <w:rPr/>
              <w:t> </w:t>
            </w:r>
          </w:p>
        </w:tc>
      </w:tr>
      <w:tr>
        <w:trPr/>
        <w:tc>
          <w:tcPr>
            <w:tcW w:w="1002" w:type="dxa"/>
            <w:tcBorders/>
            <w:shd w:fill="CCEEFF" w:val="clear"/>
            <w:vAlign w:val="bottom"/>
          </w:tcPr>
          <w:p>
            <w:pPr>
              <w:pStyle w:val="TableContents"/>
              <w:spacing w:before="0" w:after="0"/>
              <w:ind w:left="0" w:right="0" w:hanging="0"/>
              <w:rPr/>
            </w:pPr>
            <w:r>
              <w:rPr/>
              <w:t> </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2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07"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15"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w:t>
            </w:r>
          </w:p>
        </w:tc>
        <w:tc>
          <w:tcPr>
            <w:tcW w:w="100" w:type="dxa"/>
            <w:tcBorders/>
            <w:shd w:fill="CCEEFF" w:val="clear"/>
            <w:vAlign w:val="bottom"/>
          </w:tcPr>
          <w:p>
            <w:pPr>
              <w:pStyle w:val="TableContents"/>
              <w:spacing w:before="0" w:after="0"/>
              <w:ind w:left="0" w:right="0" w:hanging="0"/>
              <w:rPr/>
            </w:pPr>
            <w:r>
              <w:rPr/>
              <w:t> </w:t>
            </w:r>
          </w:p>
        </w:tc>
        <w:tc>
          <w:tcPr>
            <w:tcW w:w="833"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3,500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2"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61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969,745</w:t>
            </w:r>
          </w:p>
        </w:tc>
        <w:tc>
          <w:tcPr>
            <w:tcW w:w="100" w:type="dxa"/>
            <w:tcBorders/>
            <w:shd w:fill="CCEEFF" w:val="clear"/>
            <w:vAlign w:val="bottom"/>
          </w:tcPr>
          <w:p>
            <w:pPr>
              <w:pStyle w:val="TableContents"/>
              <w:spacing w:before="0" w:after="0"/>
              <w:ind w:left="0" w:right="0" w:hanging="0"/>
              <w:rPr/>
            </w:pPr>
            <w:r>
              <w:rPr/>
              <w:t> </w:t>
            </w:r>
          </w:p>
        </w:tc>
        <w:tc>
          <w:tcPr>
            <w:tcW w:w="9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10,500</w:t>
            </w:r>
          </w:p>
        </w:tc>
        <w:tc>
          <w:tcPr>
            <w:tcW w:w="199" w:type="dxa"/>
            <w:tcBorders/>
            <w:shd w:fill="CCEEFF" w:val="clear"/>
            <w:vAlign w:val="bottom"/>
          </w:tcPr>
          <w:p>
            <w:pPr>
              <w:pStyle w:val="TableContents"/>
              <w:spacing w:before="0" w:after="0"/>
              <w:ind w:left="0" w:right="0" w:hanging="0"/>
              <w:rPr>
                <w:rFonts w:ascii="Times New Roman" w:hAnsi="Times New Roman"/>
                <w:sz w:val="8"/>
              </w:rPr>
            </w:pPr>
            <w:r>
              <w:rPr>
                <w:rFonts w:ascii="Times New Roman" w:hAnsi="Times New Roman"/>
                <w:sz w:val="8"/>
              </w:rPr>
              <w:t>(4)</w:t>
            </w:r>
          </w:p>
        </w:tc>
        <w:tc>
          <w:tcPr>
            <w:tcW w:w="103" w:type="dxa"/>
            <w:tcBorders/>
            <w:shd w:fill="CCEEFF" w:val="clear"/>
            <w:vAlign w:val="bottom"/>
          </w:tcPr>
          <w:p>
            <w:pPr>
              <w:pStyle w:val="TableContents"/>
              <w:spacing w:before="0" w:after="0"/>
              <w:ind w:left="0" w:right="0" w:hanging="0"/>
              <w:rPr>
                <w:rFonts w:ascii="Times New Roman" w:hAnsi="Times New Roman"/>
                <w:sz w:val="13"/>
              </w:rPr>
            </w:pPr>
            <w:r>
              <w:rPr>
                <w:rFonts w:ascii="Times New Roman" w:hAnsi="Times New Roman"/>
                <w:sz w:val="13"/>
              </w:rPr>
              <w:t>$</w:t>
            </w:r>
          </w:p>
        </w:tc>
        <w:tc>
          <w:tcPr>
            <w:tcW w:w="729" w:type="dxa"/>
            <w:tcBorders/>
            <w:shd w:fill="CCEEFF" w:val="clear"/>
            <w:vAlign w:val="bottom"/>
          </w:tcPr>
          <w:p>
            <w:pPr>
              <w:pStyle w:val="TableContents"/>
              <w:spacing w:before="0" w:after="0"/>
              <w:ind w:left="0" w:right="0" w:hanging="0"/>
              <w:jc w:val="right"/>
              <w:rPr>
                <w:rFonts w:ascii="Times New Roman" w:hAnsi="Times New Roman"/>
                <w:sz w:val="13"/>
              </w:rPr>
            </w:pPr>
            <w:r>
              <w:rPr>
                <w:rFonts w:ascii="Times New Roman" w:hAnsi="Times New Roman"/>
                <w:sz w:val="13"/>
              </w:rPr>
              <w:t>2,095,555</w:t>
            </w:r>
          </w:p>
        </w:tc>
        <w:tc>
          <w:tcPr>
            <w:tcW w:w="68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Market value of phantom units reported in these columns is calculated by multiplying the closing market price ($52.85) of our common units at December 31, 2009 (the last trading day of the fiscal year) by the number of units. No discount is applied for remaining performance threshold or service period requirements. The Class B units are valued based on the grant date fair value computed in accordance with FASB ASC Topic 718 assuming that the highest level of performance conditions will be met.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All applicable performance (distribution) thresholds have been met, and these phantom units will vest upon the May 2010 distribution date. DERs associated with these phantom units have vested.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102</w:t>
      </w:r>
      <w:bookmarkStart w:id="123" w:name="PB_102_091837_8627"/>
      <w:bookmarkEnd w:id="1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These phantom units will vest in one-third increments as follows: one-third will vest upon the May 2011 distribution date; one-third will vest upon the later of the May 2011 distribution date and the date on which we pay a quarterly distribution of at least $1.00; and one-third will vest upon the later of the May 2012 distribution date and the date on which we pay a quarterly distribution of at least $0.9375. The first 50% of DERs associated with these units is currently payable. The remaining 50% become payable in 25% increments upon achieving quarterly distribution levels of $0.95 and $1.00 per unit. Any phantom units that have not vested (and all associated DERs) as of the May 2014 distribution date will expire.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2009, 25% of the Class B units held by Messrs. Armstrong, Pefanis, Swanson, Duckett and vonBerg had been earned.  None of the Class B units have vested. For additional information regarding the Class B units, please read Item 13. Certain Relationships and Related Transactions, and Director IndependenceOur General PartnerClass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These phantom units will vest in one-third increments as follows: one-third will vest upon the later of the May 2011 distribution date and the date on which we pay a quarterly distribution of at least $0.9375, one-third will vest upon the later of the May 2012 distribution date and the date on which we pay a quarterly distribution of at least $1.00, and one-third will vest upon the later of the May 2013 distribution date and the date on which we pay a quarterly distribution of at least $1.0625.  One-third of the DERs associated with these units is currently payable.  The remaining two-thirds become payable in 50% increments upon achieving quarterly distribution levels of $0.9375 and $1.00 per unit.  Any phantom units that have not vested (and all associated DERs) as of the May 2015 distribution date will expire.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Option Exercises and Units Vested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22"/>
        <w:gridCol w:w="207"/>
        <w:gridCol w:w="1563"/>
        <w:gridCol w:w="207"/>
        <w:gridCol w:w="1563"/>
        <w:gridCol w:w="207"/>
        <w:gridCol w:w="1563"/>
        <w:gridCol w:w="207"/>
        <w:gridCol w:w="1563"/>
        <w:gridCol w:w="103"/>
      </w:tblGrid>
      <w:tr>
        <w:trPr/>
        <w:tc>
          <w:tcPr>
            <w:tcW w:w="3022"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333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 Awards</w:t>
            </w:r>
          </w:p>
        </w:tc>
        <w:tc>
          <w:tcPr>
            <w:tcW w:w="207" w:type="dxa"/>
            <w:tcBorders/>
            <w:shd w:fill="auto" w:val="clear"/>
            <w:vAlign w:val="bottom"/>
          </w:tcPr>
          <w:p>
            <w:pPr>
              <w:pStyle w:val="TableContents"/>
              <w:spacing w:before="0" w:after="0"/>
              <w:ind w:left="0" w:right="0" w:hanging="0"/>
              <w:jc w:val="center"/>
              <w:rPr/>
            </w:pPr>
            <w:r>
              <w:rPr/>
              <w:t> </w:t>
            </w:r>
          </w:p>
        </w:tc>
        <w:tc>
          <w:tcPr>
            <w:tcW w:w="333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Awards</w:t>
            </w:r>
          </w:p>
        </w:tc>
        <w:tc>
          <w:tcPr>
            <w:tcW w:w="103" w:type="dxa"/>
            <w:tcBorders/>
            <w:shd w:fill="auto" w:val="clear"/>
            <w:vAlign w:val="bottom"/>
          </w:tcPr>
          <w:p>
            <w:pPr>
              <w:pStyle w:val="TableContents"/>
              <w:spacing w:before="0" w:after="0"/>
              <w:ind w:left="0" w:right="0" w:hanging="0"/>
              <w:jc w:val="center"/>
              <w:rPr/>
            </w:pPr>
            <w:r>
              <w:rPr/>
              <w:t> </w:t>
            </w:r>
          </w:p>
        </w:tc>
      </w:tr>
      <w:tr>
        <w:trPr/>
        <w:tc>
          <w:tcPr>
            <w:tcW w:w="302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7" w:type="dxa"/>
            <w:tcBorders/>
            <w:shd w:fill="auto" w:val="clear"/>
            <w:vAlign w:val="bottom"/>
          </w:tcPr>
          <w:p>
            <w:pPr>
              <w:pStyle w:val="TableContents"/>
              <w:spacing w:before="0" w:after="0"/>
              <w:ind w:left="0" w:right="0" w:hanging="0"/>
              <w:jc w:val="center"/>
              <w:rPr/>
            </w:pPr>
            <w:r>
              <w:rPr/>
              <w:t> </w:t>
            </w:r>
          </w:p>
        </w:tc>
        <w:tc>
          <w:tcPr>
            <w:tcW w:w="156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Number of Units</w:t>
              <w:br/>
              <w:t>Acquired on</w:t>
              <w:br/>
              <w:t>Exercise (#)</w:t>
            </w:r>
            <w:r>
              <w:rPr>
                <w:b/>
                <w:sz w:val="8"/>
              </w:rPr>
              <w:t>(1)</w:t>
            </w:r>
          </w:p>
        </w:tc>
        <w:tc>
          <w:tcPr>
            <w:tcW w:w="207" w:type="dxa"/>
            <w:tcBorders/>
            <w:shd w:fill="auto" w:val="clear"/>
            <w:vAlign w:val="bottom"/>
          </w:tcPr>
          <w:p>
            <w:pPr>
              <w:pStyle w:val="TableContents"/>
              <w:spacing w:before="0" w:after="0"/>
              <w:ind w:left="0" w:right="0" w:hanging="0"/>
              <w:jc w:val="center"/>
              <w:rPr/>
            </w:pPr>
            <w:r>
              <w:rPr/>
              <w:t> </w:t>
            </w:r>
          </w:p>
        </w:tc>
        <w:tc>
          <w:tcPr>
            <w:tcW w:w="156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 Realized on</w:t>
              <w:br/>
              <w:t>Exercise ($)</w:t>
            </w:r>
          </w:p>
        </w:tc>
        <w:tc>
          <w:tcPr>
            <w:tcW w:w="207" w:type="dxa"/>
            <w:tcBorders/>
            <w:shd w:fill="auto" w:val="clear"/>
            <w:vAlign w:val="bottom"/>
          </w:tcPr>
          <w:p>
            <w:pPr>
              <w:pStyle w:val="TableContents"/>
              <w:spacing w:before="0" w:after="0"/>
              <w:ind w:left="0" w:right="0" w:hanging="0"/>
              <w:jc w:val="center"/>
              <w:rPr/>
            </w:pPr>
            <w:r>
              <w:rPr/>
              <w:t> </w:t>
            </w:r>
          </w:p>
        </w:tc>
        <w:tc>
          <w:tcPr>
            <w:tcW w:w="156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Number of Units</w:t>
              <w:br/>
              <w:t>Acquired on</w:t>
              <w:br/>
              <w:t>Vesting (#)</w:t>
            </w:r>
            <w:r>
              <w:rPr>
                <w:b/>
                <w:sz w:val="8"/>
              </w:rPr>
              <w:t>(4)</w:t>
            </w:r>
          </w:p>
        </w:tc>
        <w:tc>
          <w:tcPr>
            <w:tcW w:w="207" w:type="dxa"/>
            <w:tcBorders/>
            <w:shd w:fill="auto" w:val="clear"/>
            <w:vAlign w:val="bottom"/>
          </w:tcPr>
          <w:p>
            <w:pPr>
              <w:pStyle w:val="TableContents"/>
              <w:spacing w:before="0" w:after="0"/>
              <w:ind w:left="0" w:right="0" w:hanging="0"/>
              <w:jc w:val="center"/>
              <w:rPr/>
            </w:pPr>
            <w:r>
              <w:rPr/>
              <w:t> </w:t>
            </w:r>
          </w:p>
        </w:tc>
        <w:tc>
          <w:tcPr>
            <w:tcW w:w="156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Value Realized on</w:t>
              <w:br/>
              <w:t>Vesting ($)</w:t>
            </w:r>
            <w:r>
              <w:rPr>
                <w:b/>
                <w:sz w:val="8"/>
              </w:rPr>
              <w:t>(4)</w:t>
            </w:r>
          </w:p>
        </w:tc>
        <w:tc>
          <w:tcPr>
            <w:tcW w:w="103" w:type="dxa"/>
            <w:tcBorders/>
            <w:shd w:fill="auto" w:val="clear"/>
            <w:vAlign w:val="bottom"/>
          </w:tcPr>
          <w:p>
            <w:pPr>
              <w:pStyle w:val="TableContents"/>
              <w:spacing w:before="0" w:after="0"/>
              <w:ind w:left="0" w:right="0" w:hanging="0"/>
              <w:jc w:val="center"/>
              <w:rPr/>
            </w:pPr>
            <w:r>
              <w:rPr/>
              <w:t> </w:t>
            </w:r>
          </w:p>
        </w:tc>
      </w:tr>
      <w:tr>
        <w:trPr/>
        <w:tc>
          <w:tcPr>
            <w:tcW w:w="30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37,500</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1,844,175</w:t>
            </w:r>
          </w:p>
        </w:tc>
        <w:tc>
          <w:tcPr>
            <w:tcW w:w="20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90,000</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3,710,700</w:t>
            </w:r>
          </w:p>
        </w:tc>
        <w:tc>
          <w:tcPr>
            <w:tcW w:w="103" w:type="dxa"/>
            <w:tcBorders/>
            <w:shd w:fill="CCEEFF" w:val="clear"/>
            <w:vAlign w:val="bottom"/>
          </w:tcPr>
          <w:p>
            <w:pPr>
              <w:pStyle w:val="TableContents"/>
              <w:spacing w:before="0" w:after="0"/>
              <w:ind w:left="0" w:right="0" w:hanging="0"/>
              <w:rPr/>
            </w:pPr>
            <w:r>
              <w:rPr/>
              <w:t> </w:t>
            </w:r>
          </w:p>
        </w:tc>
      </w:tr>
      <w:tr>
        <w:trPr/>
        <w:tc>
          <w:tcPr>
            <w:tcW w:w="30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27,500</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1,341,120</w:t>
            </w:r>
          </w:p>
        </w:tc>
        <w:tc>
          <w:tcPr>
            <w:tcW w:w="207"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2,473,800</w:t>
            </w:r>
          </w:p>
        </w:tc>
        <w:tc>
          <w:tcPr>
            <w:tcW w:w="103" w:type="dxa"/>
            <w:tcBorders/>
            <w:shd w:fill="auto" w:val="clear"/>
            <w:vAlign w:val="bottom"/>
          </w:tcPr>
          <w:p>
            <w:pPr>
              <w:pStyle w:val="TableContents"/>
              <w:spacing w:before="0" w:after="0"/>
              <w:ind w:left="0" w:right="0" w:hanging="0"/>
              <w:rPr/>
            </w:pPr>
            <w:r>
              <w:rPr/>
              <w:t> </w:t>
            </w:r>
          </w:p>
        </w:tc>
      </w:tr>
      <w:tr>
        <w:trPr/>
        <w:tc>
          <w:tcPr>
            <w:tcW w:w="30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17,000</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700,910</w:t>
            </w:r>
          </w:p>
        </w:tc>
        <w:tc>
          <w:tcPr>
            <w:tcW w:w="103" w:type="dxa"/>
            <w:tcBorders/>
            <w:shd w:fill="CCEEFF" w:val="clear"/>
            <w:vAlign w:val="bottom"/>
          </w:tcPr>
          <w:p>
            <w:pPr>
              <w:pStyle w:val="TableContents"/>
              <w:spacing w:before="0" w:after="0"/>
              <w:ind w:left="0" w:right="0" w:hanging="0"/>
              <w:rPr/>
            </w:pPr>
            <w:r>
              <w:rPr/>
              <w:t> </w:t>
            </w:r>
          </w:p>
        </w:tc>
      </w:tr>
      <w:tr>
        <w:trPr/>
        <w:tc>
          <w:tcPr>
            <w:tcW w:w="30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 David Duckett</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39,175</w:t>
            </w:r>
          </w:p>
        </w:tc>
        <w:tc>
          <w:tcPr>
            <w:tcW w:w="207" w:type="dxa"/>
            <w:tcBorders/>
            <w:shd w:fill="auto" w:val="clear"/>
            <w:vAlign w:val="bottom"/>
          </w:tcPr>
          <w:p>
            <w:pPr>
              <w:pStyle w:val="TableContents"/>
              <w:spacing w:before="0" w:after="0"/>
              <w:ind w:left="0" w:right="0" w:hanging="0"/>
              <w:rPr/>
            </w:pPr>
            <w:r>
              <w:rPr/>
              <w:t> </w:t>
            </w:r>
          </w:p>
        </w:tc>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1,615,185</w:t>
            </w:r>
          </w:p>
        </w:tc>
        <w:tc>
          <w:tcPr>
            <w:tcW w:w="103" w:type="dxa"/>
            <w:tcBorders/>
            <w:shd w:fill="auto" w:val="clear"/>
            <w:vAlign w:val="bottom"/>
          </w:tcPr>
          <w:p>
            <w:pPr>
              <w:pStyle w:val="TableContents"/>
              <w:spacing w:before="0" w:after="0"/>
              <w:ind w:left="0" w:right="0" w:hanging="0"/>
              <w:rPr/>
            </w:pPr>
            <w:r>
              <w:rPr/>
              <w:t> </w:t>
            </w:r>
          </w:p>
        </w:tc>
      </w:tr>
      <w:tr>
        <w:trPr/>
        <w:tc>
          <w:tcPr>
            <w:tcW w:w="30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28,675</w:t>
            </w:r>
          </w:p>
        </w:tc>
        <w:tc>
          <w:tcPr>
            <w:tcW w:w="207" w:type="dxa"/>
            <w:tcBorders/>
            <w:shd w:fill="CCEEFF" w:val="clear"/>
            <w:vAlign w:val="bottom"/>
          </w:tcPr>
          <w:p>
            <w:pPr>
              <w:pStyle w:val="TableContents"/>
              <w:spacing w:before="0" w:after="0"/>
              <w:ind w:left="0" w:right="0" w:hanging="0"/>
              <w:rPr/>
            </w:pPr>
            <w:r>
              <w:rPr/>
              <w:t> </w:t>
            </w:r>
          </w:p>
        </w:tc>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1,182,270</w:t>
            </w:r>
          </w:p>
        </w:tc>
        <w:tc>
          <w:tcPr>
            <w:tcW w:w="10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Represents the gross number and value of options exercised during the year ended December 31, 2009. The actual number of units delivered was net of the exercise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value realized upon exercise is based on the difference between the closing market price ($52.41) of our common units on December 23, 2009 (the exercise date) and the exercise price of the options ($3.232).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value realized upon exercise is based on the difference between the closing market price ($52.00) of our common units on December 22, 2009 (the exercise date) and the exercise price of the options ($3.232).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Represents the gross number and value of phantom units that vested during the year ended December 31, 2009. The actual number of units delivered was net of income tax withholding. Consistent with the terms of our 2005 Long-Term Incentive Plan, the value realized upon vesting is computed by multiplying the closing market price ($41.23) of our common units on May 14, 2009 (the date preceding the vesting date) by the number of units that vested.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103</w:t>
      </w:r>
      <w:bookmarkStart w:id="124" w:name="PB_103_091837_7906"/>
      <w:bookmarkEnd w:id="1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Pension Benefits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sponsor a 401(k) plan that is available to all U.S. employees, but we do not maintain a pension or defined benefit program.</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Nonqualified Deferred Compensation and Other Nonqualified Deferred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have a nonqualified deferred compensation plan or program for our officers or employees.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Potential Payments upon Termination or Change-in-Control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potential amounts payable to the Named Executive Officers upon termination of employment under various circumstances, and as if terminated on December 31,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29"/>
        <w:gridCol w:w="210"/>
        <w:gridCol w:w="1263"/>
        <w:gridCol w:w="210"/>
        <w:gridCol w:w="1263"/>
        <w:gridCol w:w="210"/>
        <w:gridCol w:w="1263"/>
        <w:gridCol w:w="210"/>
        <w:gridCol w:w="1263"/>
        <w:gridCol w:w="210"/>
        <w:gridCol w:w="1263"/>
        <w:gridCol w:w="211"/>
      </w:tblGrid>
      <w:tr>
        <w:trPr/>
        <w:tc>
          <w:tcPr>
            <w:tcW w:w="2629"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Reason of</w:t>
              <w:br/>
              <w:t>Death</w:t>
              <w:br/>
              <w:t>($)</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Reason of</w:t>
              <w:br/>
              <w:t>Disability</w:t>
              <w:br/>
              <w:t>($)</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Company</w:t>
              <w:br/>
              <w:t>without Cause</w:t>
              <w:br/>
              <w:t>($)</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By Executive</w:t>
              <w:br/>
              <w:t>with Good</w:t>
              <w:br/>
              <w:t>Reason</w:t>
              <w:br/>
              <w:t>($)</w:t>
            </w:r>
          </w:p>
        </w:tc>
        <w:tc>
          <w:tcPr>
            <w:tcW w:w="210" w:type="dxa"/>
            <w:tcBorders/>
            <w:shd w:fill="auto" w:val="clear"/>
            <w:vAlign w:val="bottom"/>
          </w:tcPr>
          <w:p>
            <w:pPr>
              <w:pStyle w:val="TableContents"/>
              <w:spacing w:before="0" w:after="0"/>
              <w:ind w:left="0" w:right="0" w:hanging="0"/>
              <w:jc w:val="center"/>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Connection</w:t>
              <w:br/>
              <w:t>with a Change</w:t>
              <w:br/>
              <w:t>In Control</w:t>
              <w:br/>
              <w:t>($)</w:t>
            </w:r>
          </w:p>
        </w:tc>
        <w:tc>
          <w:tcPr>
            <w:tcW w:w="211" w:type="dxa"/>
            <w:tcBorders/>
            <w:shd w:fill="auto" w:val="clear"/>
            <w:vAlign w:val="bottom"/>
          </w:tcPr>
          <w:p>
            <w:pPr>
              <w:pStyle w:val="TableContents"/>
              <w:spacing w:before="0" w:after="0"/>
              <w:ind w:left="0" w:right="0" w:hanging="0"/>
              <w:jc w:val="center"/>
              <w:rPr/>
            </w:pPr>
            <w:r>
              <w:rPr/>
              <w:t> </w:t>
            </w:r>
          </w:p>
        </w:tc>
      </w:tr>
      <w:tr>
        <w:trPr/>
        <w:tc>
          <w:tcPr>
            <w:tcW w:w="26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Greg L. Armstrong</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Salary and Bonus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8,250,000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8,250,000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8,250,000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8,250,000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12,375,000</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12,684,000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12,684,000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15,855,000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15,855,000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15,855,000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Health Benefits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32,102</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32,102</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32,102</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32,102</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Tax Gross-up</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1,436,780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rFonts w:ascii="Times New Roman" w:hAnsi="Times New Roman"/>
                <w:sz w:val="17"/>
              </w:rPr>
              <w:t>5,382,400</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20,934,000</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20,966,102</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24,137,102</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24,137,102</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35,081,282</w:t>
            </w:r>
          </w:p>
        </w:tc>
        <w:tc>
          <w:tcPr>
            <w:tcW w:w="211" w:type="dxa"/>
            <w:tcBorders/>
            <w:shd w:fill="CCEEFF" w:val="clear"/>
            <w:vAlign w:val="bottom"/>
          </w:tcPr>
          <w:p>
            <w:pPr>
              <w:pStyle w:val="TableContents"/>
              <w:spacing w:before="0" w:after="0"/>
              <w:ind w:left="0" w:right="0" w:hanging="0"/>
              <w:rPr/>
            </w:pPr>
            <w:r>
              <w:rPr/>
              <w:t> </w:t>
            </w:r>
          </w:p>
        </w:tc>
      </w:tr>
      <w:tr>
        <w:trPr/>
        <w:tc>
          <w:tcPr>
            <w:tcW w:w="262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Harry N. Pefanis</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Salary and Bonus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7,400,000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7,400,000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7,400,000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7,400,000</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11,100,000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8,456,000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8,456,000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10,570,000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10,570,000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10,570,000</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Health Benefits</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38,632</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38,632</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38,632</w:t>
            </w:r>
            <w:r>
              <w:rPr/>
              <w:t xml:space="preserve"> </w:t>
            </w:r>
          </w:p>
        </w:tc>
        <w:tc>
          <w:tcPr>
            <w:tcW w:w="210"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63" w:type="dxa"/>
            <w:tcBorders/>
            <w:shd w:fill="CCEEFF" w:val="clear"/>
            <w:vAlign w:val="bottom"/>
          </w:tcPr>
          <w:p>
            <w:pPr>
              <w:pStyle w:val="TableContents"/>
              <w:spacing w:before="0" w:after="0"/>
              <w:ind w:left="0" w:right="0" w:hanging="0"/>
              <w:jc w:val="right"/>
              <w:rPr/>
            </w:pPr>
            <w:r>
              <w:rPr>
                <w:rFonts w:ascii="Times New Roman" w:hAnsi="Times New Roman"/>
                <w:sz w:val="17"/>
              </w:rPr>
              <w:t>38,632</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Tax Gross-up</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1,393,741</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rFonts w:ascii="Times New Roman" w:hAnsi="Times New Roman"/>
                <w:sz w:val="17"/>
              </w:rPr>
              <w:t>4,036,800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15,856,000</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15,894,632</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18,008,632</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18,008,632</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27,139,173</w:t>
            </w:r>
          </w:p>
        </w:tc>
        <w:tc>
          <w:tcPr>
            <w:tcW w:w="211" w:type="dxa"/>
            <w:tcBorders/>
            <w:shd w:fill="auto" w:val="clear"/>
            <w:vAlign w:val="bottom"/>
          </w:tcPr>
          <w:p>
            <w:pPr>
              <w:pStyle w:val="TableContents"/>
              <w:spacing w:before="0" w:after="0"/>
              <w:ind w:left="0" w:right="0" w:hanging="0"/>
              <w:rPr/>
            </w:pPr>
            <w:r>
              <w:rPr/>
              <w:t> </w:t>
            </w:r>
          </w:p>
        </w:tc>
      </w:tr>
      <w:tr>
        <w:trPr/>
        <w:tc>
          <w:tcPr>
            <w:tcW w:w="2629" w:type="dxa"/>
            <w:tcBorders/>
            <w:shd w:fill="CCEEFF" w:val="clear"/>
            <w:vAlign w:val="bottom"/>
          </w:tcPr>
          <w:p>
            <w:pPr>
              <w:pStyle w:val="TableContents"/>
              <w:spacing w:before="0" w:after="0"/>
              <w:ind w:left="0" w:right="0" w:hanging="0"/>
              <w:rPr/>
            </w:pPr>
            <w:r>
              <w:rPr>
                <w:rFonts w:ascii="Times New Roman" w:hAnsi="Times New Roman"/>
                <w:b/>
                <w:sz w:val="17"/>
              </w:rPr>
              <w:t>Al Swanson</w:t>
            </w:r>
            <w:r>
              <w:rPr/>
              <w:t xml:space="preserve"> </w:t>
            </w:r>
            <w:r>
              <w:rPr>
                <w:sz w:val="11"/>
              </w:rPr>
              <w:t>(9)</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3,576,148</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3,576,148</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2,378,250</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5,390,700</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rFonts w:ascii="Times New Roman" w:hAnsi="Times New Roman"/>
                <w:sz w:val="17"/>
              </w:rPr>
              <w:t>1,345,600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3,576,148</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3,576,148</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2,378,250</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6,736,300</w:t>
            </w:r>
          </w:p>
        </w:tc>
        <w:tc>
          <w:tcPr>
            <w:tcW w:w="211" w:type="dxa"/>
            <w:tcBorders/>
            <w:shd w:fill="auto" w:val="clear"/>
            <w:vAlign w:val="bottom"/>
          </w:tcPr>
          <w:p>
            <w:pPr>
              <w:pStyle w:val="TableContents"/>
              <w:spacing w:before="0" w:after="0"/>
              <w:ind w:left="0" w:right="0" w:hanging="0"/>
              <w:rPr/>
            </w:pPr>
            <w:r>
              <w:rPr/>
              <w:t> </w:t>
            </w:r>
          </w:p>
        </w:tc>
      </w:tr>
      <w:tr>
        <w:trPr/>
        <w:tc>
          <w:tcPr>
            <w:tcW w:w="2629" w:type="dxa"/>
            <w:tcBorders/>
            <w:shd w:fill="CCEEFF" w:val="clear"/>
            <w:vAlign w:val="bottom"/>
          </w:tcPr>
          <w:p>
            <w:pPr>
              <w:pStyle w:val="TableContents"/>
              <w:spacing w:before="0" w:after="0"/>
              <w:ind w:left="0" w:right="0" w:hanging="0"/>
              <w:rPr/>
            </w:pPr>
            <w:r>
              <w:rPr>
                <w:rFonts w:ascii="Times New Roman" w:hAnsi="Times New Roman"/>
                <w:b/>
                <w:sz w:val="17"/>
              </w:rPr>
              <w:t>W. David Duckett</w:t>
            </w:r>
            <w:r>
              <w:rPr/>
              <w:t xml:space="preserve"> </w:t>
            </w:r>
            <w:r>
              <w:rPr>
                <w:sz w:val="11"/>
              </w:rPr>
              <w:t>(9)</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4,712,899</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4,712,899</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3,391,649</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6,034,149</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rFonts w:ascii="Times New Roman" w:hAnsi="Times New Roman"/>
                <w:sz w:val="17"/>
              </w:rPr>
              <w:t>2,287,520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4,712,899</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4,712,899</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3,391,649</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8,321,669</w:t>
            </w:r>
          </w:p>
        </w:tc>
        <w:tc>
          <w:tcPr>
            <w:tcW w:w="211" w:type="dxa"/>
            <w:tcBorders/>
            <w:shd w:fill="auto" w:val="clear"/>
            <w:vAlign w:val="bottom"/>
          </w:tcPr>
          <w:p>
            <w:pPr>
              <w:pStyle w:val="TableContents"/>
              <w:spacing w:before="0" w:after="0"/>
              <w:ind w:left="0" w:right="0" w:hanging="0"/>
              <w:rPr/>
            </w:pPr>
            <w:r>
              <w:rPr/>
              <w:t> </w:t>
            </w:r>
          </w:p>
        </w:tc>
      </w:tr>
      <w:tr>
        <w:trPr/>
        <w:tc>
          <w:tcPr>
            <w:tcW w:w="2629" w:type="dxa"/>
            <w:tcBorders/>
            <w:shd w:fill="CCEEFF" w:val="clear"/>
            <w:vAlign w:val="bottom"/>
          </w:tcPr>
          <w:p>
            <w:pPr>
              <w:pStyle w:val="TableContents"/>
              <w:spacing w:before="0" w:after="0"/>
              <w:ind w:left="0" w:right="0" w:hanging="0"/>
              <w:rPr/>
            </w:pPr>
            <w:r>
              <w:rPr>
                <w:rFonts w:ascii="Times New Roman" w:hAnsi="Times New Roman"/>
                <w:b/>
                <w:sz w:val="17"/>
              </w:rPr>
              <w:t>John P. vonBerg</w:t>
            </w:r>
            <w:r>
              <w:rPr/>
              <w:t xml:space="preserve"> </w:t>
            </w:r>
            <w:r>
              <w:rPr>
                <w:sz w:val="11"/>
              </w:rPr>
              <w:t>(9)</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63"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3,418,074</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3,418,074</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2,466,774</w:t>
            </w:r>
            <w:r>
              <w:rPr/>
              <w:t xml:space="preserve"> </w:t>
            </w:r>
          </w:p>
        </w:tc>
        <w:tc>
          <w:tcPr>
            <w:tcW w:w="210"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pPr>
            <w:r>
              <w:rPr>
                <w:rFonts w:ascii="Times New Roman" w:hAnsi="Times New Roman"/>
                <w:sz w:val="17"/>
              </w:rPr>
              <w:t>4,369,374</w:t>
            </w:r>
            <w:r>
              <w:rPr/>
              <w:t xml:space="preserve"> </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(5)</w:t>
            </w:r>
          </w:p>
        </w:tc>
      </w:tr>
      <w:tr>
        <w:trPr/>
        <w:tc>
          <w:tcPr>
            <w:tcW w:w="26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CCEEFF" w:val="clear"/>
            <w:vAlign w:val="bottom"/>
          </w:tcPr>
          <w:p>
            <w:pPr>
              <w:pStyle w:val="TableContents"/>
              <w:spacing w:before="0" w:after="0"/>
              <w:ind w:left="0" w:right="0" w:hanging="0"/>
              <w:rPr/>
            </w:pPr>
            <w:r>
              <w:rPr/>
              <w:t> </w:t>
            </w:r>
          </w:p>
        </w:tc>
        <w:tc>
          <w:tcPr>
            <w:tcW w:w="1263" w:type="dxa"/>
            <w:tcBorders>
              <w:bottom w:val="single" w:sz="8" w:space="0" w:color="000000"/>
            </w:tcBorders>
            <w:shd w:fill="CCEEFF" w:val="clear"/>
            <w:tcMar>
              <w:bottom w:w="28" w:type="dxa"/>
            </w:tcMar>
            <w:vAlign w:val="bottom"/>
          </w:tcPr>
          <w:p>
            <w:pPr>
              <w:pStyle w:val="TableContents"/>
              <w:spacing w:before="0" w:after="0"/>
              <w:ind w:left="0" w:right="0" w:hanging="0"/>
              <w:jc w:val="right"/>
              <w:rPr/>
            </w:pPr>
            <w:r>
              <w:rPr>
                <w:rFonts w:ascii="Times New Roman" w:hAnsi="Times New Roman"/>
                <w:sz w:val="17"/>
              </w:rPr>
              <w:t>1,883,840</w:t>
            </w:r>
            <w:r>
              <w:rPr/>
              <w:t xml:space="preserve"> </w:t>
            </w:r>
          </w:p>
        </w:tc>
        <w:tc>
          <w:tcPr>
            <w:tcW w:w="211"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r>
      <w:tr>
        <w:trPr/>
        <w:tc>
          <w:tcPr>
            <w:tcW w:w="26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3,418,074</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3,418,074</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2,466,774</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0" w:type="dxa"/>
            <w:tcBorders/>
            <w:shd w:fill="auto" w:val="clear"/>
            <w:vAlign w:val="bottom"/>
          </w:tcPr>
          <w:p>
            <w:pPr>
              <w:pStyle w:val="TableContents"/>
              <w:spacing w:before="0" w:after="0"/>
              <w:ind w:left="0" w:right="0" w:hanging="0"/>
              <w:rPr/>
            </w:pPr>
            <w:r>
              <w:rPr/>
              <w:t> </w:t>
            </w:r>
          </w:p>
        </w:tc>
        <w:tc>
          <w:tcPr>
            <w:tcW w:w="12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6,253,214</w:t>
            </w:r>
          </w:p>
        </w:tc>
        <w:tc>
          <w:tcPr>
            <w:tcW w:w="21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 (b) for good reason (as defined below), or (iii) Plains All American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2009, and also assumes a highest annual base salary of $375,000 and highest annual bonus of $3,750,000 for Mr. Armstrong, and a highest annual base salary of $300,000 and highest annual bonus of $3,400,000 for Mr. Pefanis.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104</w:t>
      </w:r>
      <w:bookmarkStart w:id="125" w:name="PB_104_091837_3736"/>
      <w:bookmarkEnd w:id="12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employment agreements between Plains All American GP LLC and Messrs. Armstrong and Pefanis define cause as (i) willfully engaging in gross misconduct, or (ii) conviction of a felony involving moral 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employment agreements between Plains All American GP LLC and Messrs. Armstrong and Pefanis define good reason as the occurrence of any of the following circumstances: (i) removal by Plains All American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2009, and also assumes a highest annual base salary of $375,000 and highest annual bonus of $3,750,000 for Mr. Armstrong, and a highest annual base salary of $300,000 and highest annual bonus of $3,400,000 for Mr. Pefanis.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2005, Vulcan Energy increased its interest in Plains All American GP LLC from approximately 44% to greater than 50%. The consummation of the transaction constituted a change of control under the employment agreements with Messrs. Armstrong and Pefanis. However, Messrs. Armstrong and Pefanis entered into agreements with Plains All American GP LLC waiving their rights to payments under their employment agreements in connection with the change of control, contingent on the execution and performance by Vulcan Energy of a voting agreement with Plains All American GP LLC that restricts certain of Vulcans voting rights. Upon a breach, termination, or notice of termination of the voting agreement by Vulcan Energy these waivers will automatically terminate and a change of control would be deemed to have occurred.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105</w:t>
      </w:r>
      <w:bookmarkStart w:id="126" w:name="PB_105_091837_9621"/>
      <w:bookmarkEnd w:id="12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letters evidencing phantom unit grants to our Named Executive Officers between 2005 and 2009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dollar value amount provided assumes the death or disability occurred on December 31, 2009. As a result, all phantom units and the associated DERs of our Named Executive Officers would have become nonforfeitable effective as of December 31, 2009, and vested on February 12, 2010 to the extent the vesting criteria had been satisfied (other than the passage of time) or, if the vesting criteria had not been satisfied, at the time(s) described in the footnotes to the Outstanding Equity Awards at Fiscal Year-End table. For the 2007 and 2009 grants, any units not vested by May 2014 and May 2015, respectively, would expire. The dollar value given assumes that all performance thresholds will be timely achieved if deemed probable of occurrence as of December 31, 2009, and is based on the market value on December 31, 2009 ($52.85 per unit) without discount for service period. If the performance thresholds were not deemed probable of occurrence as of December 31, 2009, the units are assumed to expire unvested in May 2014. At December 31, 2009, an annualized distribution level of $3.90 was deemed probable of occurrence. All outstanding 2005 and 2006 grants, two-thirds of the 2007 grants and one-third of the 2009 grants were assumed to eventually vest as a result.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Pursuant to the phantom unit grants to our Named Executive Officers between 2005 and 2009, in the event their employment is terminated other than in connection with a change in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 defined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2009. As a result, all of the outstanding 2005 and 2006 phantom unit grants and one-third of the 2007 phantom unit grants held by our Named Executive Officers would be deemed nonforfeitable and would vest on the February 2010 distribution date. The remaining two-thirds of the outstanding 2007 phantom unit grants and all of the 2009 phantom unit grants would be forfeited. The dollar value given is based on the market value on December 31, 2009 of $52.85 per unit, without discount for service period. In addition to the foregoing, under Canadian law, Mr. Duckett could have a claim for additional payment if inadequate notice were given for a termination without cause.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the waiver signed in 2005 by Mr. Armstrong and Mr. Pefanis (see footnote 2 above), upon a termination of employment by the company without cause or by the executive for good reason (in each case as defined in the relevant employment agreement) all of the executives outstanding awards under the 1998 and 2005 Long-Term Incentive Plans would immediately vest.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The letters evidencing the phantom unit grants to our Named Executive Officers between 2005 and 2009 provide that in the event of a change of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2009, all outstanding phantom units and the associated DERs would have become nonforfeitable as of December 31, 2009, and such phantom units would vest on the February 2010 distribution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106</w:t>
      </w:r>
      <w:bookmarkStart w:id="127" w:name="PB_106_091837_8715"/>
      <w:bookmarkEnd w:id="1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 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Plains All American GP LLC. With respect to the lattermost event, the 2005 grant letter makes an exception for any existing member of Plains All American GP LLC if the member signs a voting agreement such as that executed by Vulcan Energy in August 2005 (such exception not applying to the November 2005 grants to Messrs.  Duckett and vonBerg or the February 2006 grant to Mr. Swanson).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 current members of Plains All American GP LLC continue to own more than 50% of the member interest in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is made available by Plains All American GP LLC to its executive officers generally. The amounts provided in the table assume a termination date of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Pursuant to their employment agreements, Messrs. Armstrong and Pefanis will be reimbursed for any excise tax due under Section 4999 of the Code as a result of compensation (parachute) payments made under their respective employment agreements. The range of values of this benefit assumes that Messrs. Armstrong and Pefanis were terminated in connection with a change in control effective as of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(8)</w:t>
      </w:r>
      <w:r>
        <w:rPr>
          <w:rFonts w:ascii="Times New Roman" w:hAnsi="Times New Roman"/>
        </w:rPr>
        <w:t xml:space="preserve">                                     </w:t>
      </w:r>
      <w:r>
        <w:rPr>
          <w:rFonts w:ascii="Times New Roman" w:hAnsi="Times New Roman"/>
          <w:sz w:val="17"/>
        </w:rPr>
        <w:t xml:space="preserve">Pursuant to the Class B Restricted Units Agreements, upon the occurrence of a Change in Control, any earned Class B units become vested units and, to the extent any Class B units remain unearned, an incremental 25% of the number of Class B units originally granted becomes vested. As of December 31, 2009, 25% of the Class B units held by Messrs. Armstrong, Pefanis, Swanson, Duckett and vonBerg had been earned. Assuming a Change in Control on December 31, 2009, 50% of the Class B units held by Messrs. Armstrong, Pefanis, Swanson, Duckett and vonBerg would become vested.  The value of such Class B units as reflected in the table is derived in accordance with FASB ASC Topic 718. Change in Control means the determination by the Board that one of the following events has occurred:  (i) Plains All American GP LLC ceases to retain direct or indirect control over the Partnership; (ii) the owners of Plains All American GP LLC as of August 29, 2007 (the Grant Date) and their affiliates (the Owner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107</w:t>
      </w:r>
      <w:bookmarkStart w:id="128" w:name="PB_107_091837_563"/>
      <w:bookmarkEnd w:id="1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(9)</w:t>
      </w:r>
      <w:r>
        <w:rPr>
          <w:rFonts w:ascii="Times New Roman" w:hAnsi="Times New Roman"/>
        </w:rPr>
        <w:t xml:space="preserve">                                     </w:t>
      </w:r>
      <w:r>
        <w:rPr>
          <w:rFonts w:ascii="Times New Roman" w:hAnsi="Times New Roman"/>
          <w:sz w:val="17"/>
        </w:rPr>
        <w:t>If Messrs. Swanson, Duckett or vonBerg were terminated for cause, Plains All American GP LLC would be obligated to pay base salary through the date of termination, with no other payment obligation triggered by the termination under any employment arrangement.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Confidentiality, Non-Compete and Non-Solicitation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Compensation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 summary of the compensation paid to Plains All American GP LLCs non-employee directors in 2009:</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633"/>
        <w:gridCol w:w="204"/>
        <w:gridCol w:w="816"/>
        <w:gridCol w:w="204"/>
        <w:gridCol w:w="1021"/>
        <w:gridCol w:w="204"/>
        <w:gridCol w:w="816"/>
        <w:gridCol w:w="204"/>
        <w:gridCol w:w="1225"/>
        <w:gridCol w:w="204"/>
        <w:gridCol w:w="1226"/>
        <w:gridCol w:w="204"/>
        <w:gridCol w:w="1122"/>
        <w:gridCol w:w="204"/>
        <w:gridCol w:w="816"/>
        <w:gridCol w:w="102"/>
      </w:tblGrid>
      <w:tr>
        <w:trPr/>
        <w:tc>
          <w:tcPr>
            <w:tcW w:w="163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Fees</w:t>
              <w:br/>
              <w:t>Earned</w:t>
              <w:br/>
              <w:t>or Paid in</w:t>
              <w:br/>
              <w:t>Cash ($)</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021"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Stock</w:t>
              <w:br/>
              <w:t>Awards ($)</w:t>
            </w:r>
            <w:r>
              <w:rPr/>
              <w:t xml:space="preserve"> </w:t>
            </w:r>
            <w:r>
              <w:rPr>
                <w:b/>
                <w:sz w:val="8"/>
              </w:rPr>
              <w:t>(1)</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Option</w:t>
              <w:br/>
              <w:t>Awards ($)</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22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Non-Equity</w:t>
              <w:br/>
              <w:t>Incentive</w:t>
              <w:br/>
              <w:t>Plan</w:t>
              <w:br/>
              <w:t>Compensation</w:t>
              <w:br/>
              <w:t>($)</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22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 in</w:t>
              <w:br/>
              <w:t>Pension Value</w:t>
              <w:br/>
              <w:t>and</w:t>
              <w:br/>
              <w:t>Nonqualified</w:t>
              <w:br/>
              <w:t>Deferred</w:t>
              <w:br/>
              <w:t>Compensation</w:t>
              <w:br/>
              <w:t>Earnings</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112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All Other</w:t>
              <w:br/>
              <w:t>Compensation</w:t>
              <w:br/>
              <w:t>($)</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81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 ($)</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163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W. Lance Conn</w:t>
            </w:r>
            <w:r>
              <w:rPr/>
              <w:t xml:space="preserve"> </w:t>
            </w:r>
            <w:r>
              <w:rPr>
                <w:sz w:val="11"/>
              </w:rPr>
              <w:t>(2)</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178,984</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201,484</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163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75,000</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91,969</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166,969</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163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Gary R. Petersen</w:t>
            </w:r>
            <w:r>
              <w:rPr/>
              <w:t xml:space="preserve"> </w:t>
            </w:r>
            <w:r>
              <w:rPr>
                <w:sz w:val="11"/>
              </w:rPr>
              <w:t>(3)</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163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Robert V. Sinnott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47,000</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45,985</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92,985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163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Arthur L. Smith</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91,969</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5"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153,969</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163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60,000</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02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91,969</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5"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2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112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tcMar>
              <w:bottom w:w="0" w:type="dxa"/>
            </w:tcMar>
            <w:vAlign w:val="bottom"/>
          </w:tcPr>
          <w:p>
            <w:pPr>
              <w:pStyle w:val="TableContents"/>
              <w:spacing w:before="0" w:after="0"/>
              <w:ind w:left="0" w:right="0" w:hanging="0"/>
              <w:rPr/>
            </w:pPr>
            <w:r>
              <w:rPr/>
              <w:t> </w:t>
            </w:r>
          </w:p>
        </w:tc>
        <w:tc>
          <w:tcPr>
            <w:tcW w:w="81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151,969</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163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Christopher M. Temple </w:t>
            </w:r>
            <w:r>
              <w:rPr>
                <w:sz w:val="11"/>
              </w:rPr>
              <w:t>(2)</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22,500</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02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5"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226"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1122" w:type="dxa"/>
            <w:tcBorders/>
            <w:shd w:fill="CCEEFF" w:val="clear"/>
            <w:tcMar>
              <w:bottom w:w="0" w:type="dxa"/>
            </w:tcMar>
            <w:vAlign w:val="bottom"/>
          </w:tcPr>
          <w:p>
            <w:pPr>
              <w:pStyle w:val="TableContents"/>
              <w:spacing w:before="0" w:after="0"/>
              <w:ind w:left="0" w:right="0" w:hanging="0"/>
              <w:jc w:val="right"/>
              <w:rPr/>
            </w:pPr>
            <w:r>
              <w:rPr/>
              <w:t> </w:t>
            </w:r>
          </w:p>
        </w:tc>
        <w:tc>
          <w:tcPr>
            <w:tcW w:w="204" w:type="dxa"/>
            <w:tcBorders/>
            <w:shd w:fill="CCEEFF" w:val="clear"/>
            <w:tcMar>
              <w:bottom w:w="0" w:type="dxa"/>
            </w:tcMar>
            <w:vAlign w:val="bottom"/>
          </w:tcPr>
          <w:p>
            <w:pPr>
              <w:pStyle w:val="TableContents"/>
              <w:spacing w:before="0" w:after="0"/>
              <w:ind w:left="0" w:right="0" w:hanging="0"/>
              <w:rPr/>
            </w:pPr>
            <w:r>
              <w:rPr/>
              <w:t> </w:t>
            </w:r>
          </w:p>
        </w:tc>
        <w:tc>
          <w:tcPr>
            <w:tcW w:w="81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22,500</w:t>
            </w:r>
          </w:p>
        </w:tc>
        <w:tc>
          <w:tcPr>
            <w:tcW w:w="10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connection with the August 2009 vesting of director LTIP awards, Messrs. Goyanes, Smith and Symonds each were granted 2,500 units, Mr. Sinnott was granted 1,250 units and Mr. Conn was granted 313 units by virtue of the automatic re-grant feature of the vested awards. Upon vesting of the director LTIP awards in August 2009 (other than the incremental audit committee awards), a cash payment was made to Vulcan Capital and an affiliate of EnCap as directed by Messrs. Temple and Petersen, respectively. Such cash payment was based on the unit value of Mr. Sinnotts award on the previous years vesting date. In addition to the automatic re-grant in August, Mr. Conn also received an initial grant of 5,000 LTIPs in May 2009.  The dollar value of LTIPs granted during 2009 is based on the grant date fair value computed in accordance with FASB ASC Topic 718.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 xml:space="preserve">Compensation attributable to the director designated by Vulcan is assigned to Vulcan.  Mr. Conn served as Vulcans designated director from November 2008 until May 2009, and Mr. Temple served as Vulcans designated director from May 2009 until February 2010.  In February 2010, Mr. Conn resigned from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108</w:t>
      </w:r>
      <w:bookmarkStart w:id="129" w:name="PB_108_091837_9497"/>
      <w:bookmarkEnd w:id="1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board and Mr. McKay replaced Mr. Temple as Vulcans designated director.  Mr. Temple continues to serve as a director in an at-large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Mr. Petersen assigns to EnCap Energy Capital Fund III, L.P. any compensation attributable to his service as director.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2009, Messrs. Sinnott, Goyanes and Smith served as chairmen of the compensation, audit and governance committees,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non-employee directors receive LTIP awards or cash equivalent awards as part of their compensation. The LTIP awards vest annually in 25% increments over a four-year period and have an automatic re-grant feature such that as they vest, an equivalent amount is granted. The three non-employee directors who serve on the audit committee each have outstanding a grant of 10,000 units (vesting 2,500 units per year). Messrs. Temple and Sinnott each have outstanding a grant of 5,000 units (vesting 1,250 per year).  Upon vesting of the director LTIPs (other than the incremental audit committee awards), a cash payment is made to Vulcan Capital as directed by the Vulcan designee and to an affiliate of EnCap as directed by Mr. Petersen. Such cash payment is based on the unit value of Mr. Sinnotts award on the previous years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LTIP awards held by a director vest in full upon the next following vesting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Reimbursement of Expenses of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109</w:t>
      </w:r>
      <w:bookmarkStart w:id="130" w:name="PB_109_091837_3641"/>
      <w:bookmarkEnd w:id="1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12.  </w:t>
      </w:r>
      <w:r>
        <w:rPr>
          <w:rFonts w:ascii="Times New Roman" w:hAnsi="Times New Roman"/>
          <w:b/>
          <w:i/>
          <w:sz w:val="17"/>
        </w:rPr>
        <w:t>Security Ownership of Certain Beneficial Owners and Management and Related Unitholder Matters</w:t>
      </w:r>
      <w:bookmarkStart w:id="131" w:name="Item12_SecurityOwnershipOfCertain_065718"/>
      <w:bookmarkEnd w:id="131"/>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Beneficial Ownership of Limited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22,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704"/>
        <w:gridCol w:w="205"/>
        <w:gridCol w:w="1237"/>
        <w:gridCol w:w="411"/>
        <w:gridCol w:w="1236"/>
        <w:gridCol w:w="412"/>
      </w:tblGrid>
      <w:tr>
        <w:trPr/>
        <w:tc>
          <w:tcPr>
            <w:tcW w:w="670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of Beneficial</w:t>
              <w:br/>
              <w:t>Owner</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br/>
              <w:t>Units</w:t>
            </w:r>
          </w:p>
        </w:tc>
        <w:tc>
          <w:tcPr>
            <w:tcW w:w="411" w:type="dxa"/>
            <w:tcBorders/>
            <w:shd w:fill="auto" w:val="clear"/>
            <w:tcMar>
              <w:bottom w:w="0" w:type="dxa"/>
            </w:tcMar>
            <w:vAlign w:val="bottom"/>
          </w:tcPr>
          <w:p>
            <w:pPr>
              <w:pStyle w:val="TableContents"/>
              <w:spacing w:before="0" w:after="0"/>
              <w:ind w:left="0" w:right="0" w:hanging="0"/>
              <w:jc w:val="center"/>
              <w:rPr/>
            </w:pPr>
            <w:r>
              <w:rPr/>
              <w:t> </w:t>
            </w:r>
          </w:p>
        </w:tc>
        <w:tc>
          <w:tcPr>
            <w:tcW w:w="123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w:t>
              <w:br/>
              <w:t>of</w:t>
              <w:br/>
              <w:t>Common</w:t>
              <w:br/>
              <w:t>Units</w:t>
            </w:r>
          </w:p>
        </w:tc>
        <w:tc>
          <w:tcPr>
            <w:tcW w:w="412" w:type="dxa"/>
            <w:tcBorders/>
            <w:shd w:fill="auto" w:val="clear"/>
            <w:tcMar>
              <w:bottom w:w="0" w:type="dxa"/>
            </w:tcMar>
            <w:vAlign w:val="bottom"/>
          </w:tcPr>
          <w:p>
            <w:pPr>
              <w:pStyle w:val="TableContents"/>
              <w:spacing w:before="0" w:after="0"/>
              <w:ind w:left="0" w:right="0" w:hanging="0"/>
              <w:jc w:val="center"/>
              <w:rPr/>
            </w:pPr>
            <w:r>
              <w:rPr/>
              <w:t> </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Paul G. Allen</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pPr>
            <w:r>
              <w:rPr>
                <w:rFonts w:ascii="Times New Roman" w:hAnsi="Times New Roman"/>
                <w:sz w:val="17"/>
              </w:rPr>
              <w:t>16,293,379</w:t>
            </w:r>
            <w:r>
              <w:rPr/>
              <w:t xml:space="preserve"> </w:t>
            </w:r>
          </w:p>
        </w:tc>
        <w:tc>
          <w:tcPr>
            <w:tcW w:w="4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23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412"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w:t>
            </w:r>
            <w:r>
              <w:rPr>
                <w:sz w:val="11"/>
              </w:rPr>
              <w:t>(2)</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Vulcan Energy Corporation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12,390,120</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123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Richard Kayne/Kayne Anderson Capital Advisors, L.P.</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pPr>
            <w:r>
              <w:rPr>
                <w:rFonts w:ascii="Times New Roman" w:hAnsi="Times New Roman"/>
                <w:sz w:val="17"/>
              </w:rPr>
              <w:t>7,281,859</w:t>
            </w:r>
            <w:r>
              <w:rPr/>
              <w:t xml:space="preserve"> </w:t>
            </w:r>
          </w:p>
        </w:tc>
        <w:tc>
          <w:tcPr>
            <w:tcW w:w="4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23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347,490</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(5)(6)</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221,118 </w:t>
            </w:r>
          </w:p>
        </w:tc>
        <w:tc>
          <w:tcPr>
            <w:tcW w:w="4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36" w:type="dxa"/>
            <w:tcBorders/>
            <w:shd w:fill="CCEEFF" w:val="clear"/>
            <w:tcMar>
              <w:bottom w:w="0" w:type="dxa"/>
            </w:tcMar>
            <w:vAlign w:val="bottom"/>
          </w:tcPr>
          <w:p>
            <w:pPr>
              <w:pStyle w:val="TableContents"/>
              <w:spacing w:before="0" w:after="0"/>
              <w:ind w:left="0" w:right="0" w:hanging="0"/>
              <w:jc w:val="right"/>
              <w:rPr/>
            </w:pPr>
            <w:r>
              <w:rPr/>
              <w:t> </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Dave Duckett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142,497</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John P. vonBerg</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pPr>
            <w:r>
              <w:rPr>
                <w:rFonts w:ascii="Times New Roman" w:hAnsi="Times New Roman"/>
                <w:sz w:val="17"/>
              </w:rPr>
              <w:t>28,803</w:t>
            </w:r>
            <w:r>
              <w:rPr/>
              <w:t xml:space="preserve"> </w:t>
            </w:r>
          </w:p>
        </w:tc>
        <w:tc>
          <w:tcPr>
            <w:tcW w:w="411"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36" w:type="dxa"/>
            <w:tcBorders/>
            <w:shd w:fill="CCEEFF" w:val="clear"/>
            <w:tcMar>
              <w:bottom w:w="0" w:type="dxa"/>
            </w:tcMar>
            <w:vAlign w:val="bottom"/>
          </w:tcPr>
          <w:p>
            <w:pPr>
              <w:pStyle w:val="TableContents"/>
              <w:spacing w:before="0" w:after="0"/>
              <w:ind w:left="0" w:right="0" w:hanging="0"/>
              <w:jc w:val="right"/>
              <w:rPr/>
            </w:pPr>
            <w:r>
              <w:rPr/>
              <w:t> </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15,803</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26,700</w:t>
            </w:r>
          </w:p>
        </w:tc>
        <w:tc>
          <w:tcPr>
            <w:tcW w:w="411" w:type="dxa"/>
            <w:tcBorders/>
            <w:shd w:fill="CCEEFF" w:val="clear"/>
            <w:tcMar>
              <w:bottom w:w="0" w:type="dxa"/>
            </w:tcMar>
            <w:vAlign w:val="bottom"/>
          </w:tcPr>
          <w:p>
            <w:pPr>
              <w:pStyle w:val="TableContents"/>
              <w:spacing w:before="0" w:after="0"/>
              <w:ind w:left="0" w:right="0" w:hanging="0"/>
              <w:rPr/>
            </w:pPr>
            <w:r>
              <w:rPr/>
              <w:t> </w:t>
            </w:r>
          </w:p>
        </w:tc>
        <w:tc>
          <w:tcPr>
            <w:tcW w:w="1236" w:type="dxa"/>
            <w:tcBorders/>
            <w:shd w:fill="CCEEFF" w:val="clear"/>
            <w:tcMar>
              <w:bottom w:w="0" w:type="dxa"/>
            </w:tcMar>
            <w:vAlign w:val="bottom"/>
          </w:tcPr>
          <w:p>
            <w:pPr>
              <w:pStyle w:val="TableContents"/>
              <w:spacing w:before="0" w:after="0"/>
              <w:ind w:left="0" w:right="0" w:hanging="0"/>
              <w:jc w:val="right"/>
              <w:rPr/>
            </w:pPr>
            <w:r>
              <w:rPr/>
              <w:t> </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Geoff McKay</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5,200</w:t>
            </w:r>
          </w:p>
        </w:tc>
        <w:tc>
          <w:tcPr>
            <w:tcW w:w="411" w:type="dxa"/>
            <w:tcBorders/>
            <w:shd w:fill="CCEEFF" w:val="clear"/>
            <w:tcMar>
              <w:bottom w:w="0" w:type="dxa"/>
            </w:tcMar>
            <w:vAlign w:val="bottom"/>
          </w:tcPr>
          <w:p>
            <w:pPr>
              <w:pStyle w:val="TableContents"/>
              <w:spacing w:before="0" w:after="0"/>
              <w:ind w:left="0" w:right="0" w:hanging="0"/>
              <w:rPr/>
            </w:pPr>
            <w:r>
              <w:rPr/>
              <w:t> </w:t>
            </w:r>
          </w:p>
        </w:tc>
        <w:tc>
          <w:tcPr>
            <w:tcW w:w="1236" w:type="dxa"/>
            <w:tcBorders/>
            <w:shd w:fill="CCEEFF" w:val="clear"/>
            <w:tcMar>
              <w:bottom w:w="0" w:type="dxa"/>
            </w:tcMar>
            <w:vAlign w:val="bottom"/>
          </w:tcPr>
          <w:p>
            <w:pPr>
              <w:pStyle w:val="TableContents"/>
              <w:spacing w:before="0" w:after="0"/>
              <w:ind w:left="0" w:right="0" w:hanging="0"/>
              <w:jc w:val="right"/>
              <w:rPr/>
            </w:pPr>
            <w:r>
              <w:rPr/>
              <w:t> </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Robert V. Sinnott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53,302</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(9)</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Arthur L. Smith</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20,850</w:t>
            </w:r>
          </w:p>
        </w:tc>
        <w:tc>
          <w:tcPr>
            <w:tcW w:w="411" w:type="dxa"/>
            <w:tcBorders/>
            <w:shd w:fill="CCEEFF" w:val="clear"/>
            <w:tcMar>
              <w:bottom w:w="0" w:type="dxa"/>
            </w:tcMar>
            <w:vAlign w:val="bottom"/>
          </w:tcPr>
          <w:p>
            <w:pPr>
              <w:pStyle w:val="TableContents"/>
              <w:spacing w:before="0" w:after="0"/>
              <w:ind w:left="0" w:right="0" w:hanging="0"/>
              <w:rPr/>
            </w:pPr>
            <w:r>
              <w:rPr/>
              <w:t> </w:t>
            </w:r>
          </w:p>
        </w:tc>
        <w:tc>
          <w:tcPr>
            <w:tcW w:w="1236" w:type="dxa"/>
            <w:tcBorders/>
            <w:shd w:fill="CCEEFF" w:val="clear"/>
            <w:tcMar>
              <w:bottom w:w="0" w:type="dxa"/>
            </w:tcMar>
            <w:vAlign w:val="bottom"/>
          </w:tcPr>
          <w:p>
            <w:pPr>
              <w:pStyle w:val="TableContents"/>
              <w:spacing w:before="0" w:after="0"/>
              <w:ind w:left="0" w:right="0" w:hanging="0"/>
              <w:jc w:val="right"/>
              <w:rPr/>
            </w:pPr>
            <w:r>
              <w:rPr/>
              <w:t> </w:t>
            </w:r>
          </w:p>
        </w:tc>
        <w:tc>
          <w:tcPr>
            <w:tcW w:w="41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32,300</w:t>
            </w:r>
          </w:p>
        </w:tc>
        <w:tc>
          <w:tcPr>
            <w:tcW w:w="411" w:type="dxa"/>
            <w:tcBorders/>
            <w:shd w:fill="auto" w:val="clear"/>
            <w:tcMar>
              <w:bottom w:w="0" w:type="dxa"/>
            </w:tcMar>
            <w:vAlign w:val="bottom"/>
          </w:tcPr>
          <w:p>
            <w:pPr>
              <w:pStyle w:val="TableContents"/>
              <w:spacing w:before="0" w:after="0"/>
              <w:ind w:left="0" w:right="0" w:hanging="0"/>
              <w:rPr/>
            </w:pPr>
            <w:r>
              <w:rPr/>
              <w:t> </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670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Chris Temple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237"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11" w:type="dxa"/>
            <w:tcBorders/>
            <w:shd w:fill="CCEEFF" w:val="clear"/>
            <w:tcMar>
              <w:bottom w:w="0" w:type="dxa"/>
            </w:tcMar>
            <w:vAlign w:val="bottom"/>
          </w:tcPr>
          <w:p>
            <w:pPr>
              <w:pStyle w:val="TableContents"/>
              <w:spacing w:before="0" w:after="0"/>
              <w:ind w:left="0" w:right="0" w:hanging="0"/>
              <w:rPr/>
            </w:pPr>
            <w:r>
              <w:rPr/>
              <w:t> </w:t>
            </w:r>
          </w:p>
        </w:tc>
        <w:tc>
          <w:tcPr>
            <w:tcW w:w="1236" w:type="dxa"/>
            <w:tcBorders/>
            <w:shd w:fill="CCEEFF" w:val="clear"/>
            <w:tcMar>
              <w:bottom w:w="0" w:type="dxa"/>
            </w:tcMar>
            <w:vAlign w:val="bottom"/>
          </w:tcPr>
          <w:p>
            <w:pPr>
              <w:pStyle w:val="TableContents"/>
              <w:spacing w:before="0" w:after="0"/>
              <w:ind w:left="0" w:right="0" w:hanging="0"/>
              <w:jc w:val="right"/>
              <w:rPr>
                <w:position w:val="8"/>
                <w:sz w:val="19"/>
              </w:rPr>
            </w:pPr>
            <w:r>
              <w:rPr>
                <w:position w:val="8"/>
                <w:sz w:val="19"/>
              </w:rPr>
              <w:t> </w:t>
            </w:r>
          </w:p>
        </w:tc>
        <w:tc>
          <w:tcPr>
            <w:tcW w:w="412" w:type="dxa"/>
            <w:tcBorders/>
            <w:shd w:fill="CCEEFF" w:val="clear"/>
            <w:tcMar>
              <w:bottom w:w="0" w:type="dxa"/>
            </w:tcMar>
            <w:vAlign w:val="bottom"/>
          </w:tcPr>
          <w:p>
            <w:pPr>
              <w:pStyle w:val="TableContents"/>
              <w:spacing w:before="0" w:after="0"/>
              <w:ind w:left="0" w:right="0" w:hanging="0"/>
              <w:rPr>
                <w:position w:val="8"/>
                <w:sz w:val="19"/>
              </w:rPr>
            </w:pPr>
            <w:r>
              <w:rPr>
                <w:position w:val="8"/>
                <w:sz w:val="19"/>
              </w:rPr>
              <w:t> </w:t>
            </w:r>
          </w:p>
        </w:tc>
      </w:tr>
      <w:tr>
        <w:trPr/>
        <w:tc>
          <w:tcPr>
            <w:tcW w:w="6704"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All directors and executive officers as a group (16 persons)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237" w:type="dxa"/>
            <w:tcBorders/>
            <w:shd w:fill="auto" w:val="clear"/>
            <w:tcMar>
              <w:bottom w:w="0" w:type="dxa"/>
            </w:tcMar>
            <w:vAlign w:val="bottom"/>
          </w:tcPr>
          <w:p>
            <w:pPr>
              <w:pStyle w:val="TableContents"/>
              <w:spacing w:before="0" w:after="0"/>
              <w:ind w:left="0" w:right="0" w:hanging="0"/>
              <w:jc w:val="right"/>
              <w:rPr/>
            </w:pPr>
            <w:r>
              <w:rPr>
                <w:rFonts w:ascii="Times New Roman" w:hAnsi="Times New Roman"/>
                <w:sz w:val="17"/>
              </w:rPr>
              <w:t>1,084,488</w:t>
            </w:r>
            <w:r>
              <w:rPr/>
              <w:t xml:space="preserve"> </w:t>
            </w:r>
          </w:p>
        </w:tc>
        <w:tc>
          <w:tcPr>
            <w:tcW w:w="411"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(10)</w:t>
            </w:r>
          </w:p>
        </w:tc>
        <w:tc>
          <w:tcPr>
            <w:tcW w:w="1236" w:type="dxa"/>
            <w:tcBorders/>
            <w:shd w:fill="auto" w:val="clear"/>
            <w:tcMar>
              <w:bottom w:w="0" w:type="dxa"/>
            </w:tcMar>
            <w:vAlign w:val="bottom"/>
          </w:tcPr>
          <w:p>
            <w:pPr>
              <w:pStyle w:val="TableContents"/>
              <w:spacing w:before="0" w:after="0"/>
              <w:ind w:left="0" w:right="0" w:hanging="0"/>
              <w:jc w:val="right"/>
              <w:rPr/>
            </w:pPr>
            <w:r>
              <w:rPr/>
              <w:t> </w:t>
            </w:r>
          </w:p>
        </w:tc>
        <w:tc>
          <w:tcPr>
            <w:tcW w:w="41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Mr. Allen owns approximately 80% of the outstanding shares of common stock of Vulcan Energy Corporation. Mr. Allen also controls Vulcan Capital Private Equity I LLC (Vulcan I LLC), which is the record holder of 3,706,044 common units, and Vulcan Capital Private Equity II LLC (together with Vulcan I LLC, Vulcan LLC), which is the record holder of 197,215 common units. The address for Mr. Allen and Vulcan LLC is 505 Fifth Avenue S, Suite 900, Seattle, Washington 98104. Mr. Allen disclaims any deemed beneficial ownership, beyond his pecuniary interest, in any of our partner interests held by Vulcan Energy Corporation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Giving effect to the indirect ownership by Vulcan Energy Corporation of a portion of our general partner, Mr. Allen may be deemed to beneficially own approximately 12.7% of our total equity. Mr. Allen disclaims any deemed beneficial ownership, beyond his pecuniary interest, in any of our partner interests held by Vulcan Energy Corporation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address for Vulcan Energy Corporation is c/o Plains All American GP LLC, 333 Clay Street, Suite 1600, Houston, Texas 77002.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7,016,623 common units. Mr. Kayne may be deemed to beneficially own such units. In addition, Mr. Kayne directly owns or has sole voting and dispositive power over 265,236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2nd Floor, Los Angeles, California 90067.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110</w:t>
      </w:r>
      <w:bookmarkStart w:id="132" w:name="PB_110_091837_5250"/>
      <w:bookmarkEnd w:id="1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Does not include approximately 14,923 common units owned by our general partner in connection with its Performance Option Plan. Mr. Armstrong disclaims any beneficial ownership of such units beyond his rights as a grantee under the plan. See Item 13. Certain Relationships and Related Transactions, and Director IndependenceGeneral Partners Performance Option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Does not include unvested phantom units granted under our Long-Term Incentive Plans, none of which will vest within 60 days of the date hereof. See Item 11. Executive CompensationOutstanding Equity Awards at Fiscal Year-End.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Less than one percent.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(8)</w:t>
      </w:r>
      <w:r>
        <w:rPr>
          <w:rFonts w:ascii="Times New Roman" w:hAnsi="Times New Roman"/>
        </w:rPr>
        <w:t xml:space="preserve">                                     </w:t>
      </w:r>
      <w:r>
        <w:rPr>
          <w:rFonts w:ascii="Times New Roman" w:hAnsi="Times New Roman"/>
          <w:sz w:val="17"/>
        </w:rPr>
        <w:t>The GP LLC Agreement specifies that certain of the owners of our general partner have the right to designate a member of our board of directors. Mr. McKay has been designated as one of our directors by Vulcan Energy Corporation, of which he is Chairman of the Board.  Mr. McKay may receive performance-based compensation based on the performance of the holdings of Vulcan Energy Corporation and Vulcan LLC, including the common units held by these entities. Mr. McKay disclaims any deemed beneficial ownership of our common units held by Vulcan Energy Corporation and Vulcan LLC or any of their affiliates beyond his pecuniary interest therein, if any.  By virtue of its greater than 50% ownership in the general partner, Vulcan Energy Corporation controls the at-large seats occupied by Mr. Petersen and Mr. Temple.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(9)</w:t>
      </w:r>
      <w:r>
        <w:rPr>
          <w:rFonts w:ascii="Times New Roman" w:hAnsi="Times New Roman"/>
        </w:rPr>
        <w:t xml:space="preserve">                                     </w:t>
      </w:r>
      <w:r>
        <w:rPr>
          <w:rFonts w:ascii="Times New Roman" w:hAnsi="Times New Roman"/>
          <w:sz w:val="17"/>
        </w:rPr>
        <w:t>Pursuant to the GP LLC Agreement,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2nd Floor, Los Angeles, California 90067.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(10)</w:t>
      </w:r>
      <w:r>
        <w:rPr>
          <w:rFonts w:ascii="Times New Roman" w:hAnsi="Times New Roman"/>
        </w:rPr>
        <w:t xml:space="preserve">                                </w:t>
      </w:r>
      <w:r>
        <w:rPr>
          <w:rFonts w:ascii="Times New Roman" w:hAnsi="Times New Roman"/>
          <w:sz w:val="17"/>
        </w:rPr>
        <w:t>As of February 19, 2010, no units were pledged by directors or Named Executive Officers. Certain of the directors and Named Executive Officers hold units in marginable brokers accounts, but none of the units were margined as of February 19,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111</w:t>
      </w:r>
      <w:bookmarkStart w:id="133" w:name="PB_111_091837_7672"/>
      <w:bookmarkEnd w:id="13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Beneficial Ownership of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AAP, L.P. owns all of our incentive distribution rights and, through its 100% member interest in PAA GP LLC, our 2% general partner interest. The following table sets forth the effective ownership of Plains AAP, L.P. (after giving effect to proportionate ownership of Plains All American GP LLC, its 1% general partner).</w:t>
      </w:r>
    </w:p>
    <w:p>
      <w:pPr>
        <w:pStyle w:val="TextBody"/>
        <w:spacing w:before="0" w:after="0"/>
        <w:ind w:left="0" w:right="0" w:hanging="0"/>
        <w:rPr/>
      </w:pPr>
      <w:r>
        <w:rPr/>
        <w:t> </w:t>
      </w:r>
    </w:p>
    <w:tbl>
      <w:tblPr>
        <w:tblW w:w="3650" w:type="pct"/>
        <w:jc w:val="left"/>
        <w:tblInd w:w="0" w:type="dxa"/>
        <w:tblCellMar>
          <w:top w:w="0" w:type="dxa"/>
          <w:left w:w="0" w:type="dxa"/>
          <w:bottom w:w="28" w:type="dxa"/>
          <w:right w:w="0" w:type="dxa"/>
        </w:tblCellMar>
      </w:tblPr>
      <w:tblGrid>
        <w:gridCol w:w="5847"/>
        <w:gridCol w:w="224"/>
        <w:gridCol w:w="1220"/>
        <w:gridCol w:w="158"/>
      </w:tblGrid>
      <w:tr>
        <w:trPr/>
        <w:tc>
          <w:tcPr>
            <w:tcW w:w="584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 of Owner and Address (in the case of Owners of more</w:t>
              <w:br/>
              <w:t>than 5%)</w:t>
            </w:r>
          </w:p>
        </w:tc>
        <w:tc>
          <w:tcPr>
            <w:tcW w:w="224" w:type="dxa"/>
            <w:tcBorders/>
            <w:shd w:fill="auto" w:val="clear"/>
            <w:tcMar>
              <w:bottom w:w="0" w:type="dxa"/>
            </w:tcMar>
            <w:vAlign w:val="bottom"/>
          </w:tcPr>
          <w:p>
            <w:pPr>
              <w:pStyle w:val="TableContents"/>
              <w:spacing w:before="0" w:after="0"/>
              <w:ind w:left="0" w:right="0" w:hanging="0"/>
              <w:jc w:val="center"/>
              <w:rPr/>
            </w:pPr>
            <w:r>
              <w:rPr/>
              <w:t> </w:t>
            </w:r>
          </w:p>
        </w:tc>
        <w:tc>
          <w:tcPr>
            <w:tcW w:w="1220"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Percentage</w:t>
              <w:br/>
              <w:t>Ownership of</w:t>
              <w:br/>
              <w:t>Plains AAP, L.P.</w:t>
            </w:r>
            <w:r>
              <w:rPr/>
              <w:t xml:space="preserve"> </w:t>
            </w:r>
            <w:r>
              <w:rPr>
                <w:b/>
                <w:sz w:val="8"/>
              </w:rPr>
              <w:t>(1)</w:t>
            </w:r>
          </w:p>
        </w:tc>
        <w:tc>
          <w:tcPr>
            <w:tcW w:w="158" w:type="dxa"/>
            <w:tcBorders/>
            <w:shd w:fill="auto" w:val="clear"/>
            <w:tcMar>
              <w:bottom w:w="0" w:type="dxa"/>
            </w:tcMar>
            <w:vAlign w:val="bottom"/>
          </w:tcPr>
          <w:p>
            <w:pPr>
              <w:pStyle w:val="TableContents"/>
              <w:spacing w:before="0" w:after="0"/>
              <w:ind w:left="0" w:right="0" w:hanging="0"/>
              <w:jc w:val="center"/>
              <w:rPr/>
            </w:pPr>
            <w:r>
              <w:rPr/>
              <w:t> </w:t>
            </w:r>
          </w:p>
        </w:tc>
      </w:tr>
      <w:tr>
        <w:trPr/>
        <w:tc>
          <w:tcPr>
            <w:tcW w:w="5847"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Paul G. Allen</w:t>
            </w:r>
            <w:r>
              <w:rPr/>
              <w:t xml:space="preserve"> </w:t>
            </w:r>
            <w:r>
              <w:rPr>
                <w:sz w:val="11"/>
              </w:rPr>
              <w:t>(2)</w:t>
              <w:br/>
            </w:r>
            <w:r>
              <w:rPr>
                <w:sz w:val="17"/>
              </w:rPr>
              <w:t>505 Fifth Avenue S, Suite 900</w:t>
              <w:br/>
              <w:t xml:space="preserve">Seattle, WA 98104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22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50.1 </w:t>
            </w:r>
          </w:p>
        </w:tc>
        <w:tc>
          <w:tcPr>
            <w:tcW w:w="1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Vulcan Energy Corporation</w:t>
            </w:r>
            <w:r>
              <w:rPr/>
              <w:t xml:space="preserve"> </w:t>
            </w:r>
            <w:r>
              <w:rPr>
                <w:sz w:val="11"/>
              </w:rPr>
              <w:t>(3)</w:t>
              <w:br/>
            </w:r>
            <w:r>
              <w:rPr>
                <w:sz w:val="17"/>
              </w:rPr>
              <w:t>c/o Plains All American GP LLC</w:t>
              <w:br/>
              <w:t>333 Clay Street, Suite 1600</w:t>
              <w:br/>
              <w:t xml:space="preserve">Houston, TX 77002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22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50.1 </w:t>
            </w:r>
          </w:p>
        </w:tc>
        <w:tc>
          <w:tcPr>
            <w:tcW w:w="1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Oxy Holding Company (Pipeline), Inc.</w:t>
            </w:r>
            <w:r>
              <w:rPr/>
              <w:t xml:space="preserve"> </w:t>
            </w:r>
            <w:r>
              <w:rPr>
                <w:sz w:val="11"/>
              </w:rPr>
              <w:t>(4)</w:t>
              <w:br/>
            </w:r>
            <w:r>
              <w:rPr>
                <w:sz w:val="17"/>
              </w:rPr>
              <w:t>10889 Wilshire Boulevard</w:t>
              <w:br/>
              <w:t xml:space="preserve">Los Angeles, CA 90024 </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22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21.9 </w:t>
            </w:r>
          </w:p>
        </w:tc>
        <w:tc>
          <w:tcPr>
            <w:tcW w:w="1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auto" w:val="clear"/>
            <w:tcMar>
              <w:bottom w:w="0" w:type="dxa"/>
            </w:tcMar>
            <w:vAlign w:val="bottom"/>
          </w:tcPr>
          <w:p>
            <w:pPr>
              <w:pStyle w:val="TableContents"/>
              <w:spacing w:before="0" w:after="0"/>
              <w:ind w:left="0" w:right="0" w:hanging="0"/>
              <w:rPr/>
            </w:pPr>
            <w:r>
              <w:rPr>
                <w:rFonts w:ascii="Times New Roman" w:hAnsi="Times New Roman"/>
                <w:sz w:val="17"/>
              </w:rPr>
              <w:t>KAFU Holdings, L.P.</w:t>
            </w:r>
            <w:r>
              <w:rPr/>
              <w:t xml:space="preserve"> </w:t>
            </w:r>
            <w:r>
              <w:rPr>
                <w:sz w:val="11"/>
              </w:rPr>
              <w:t>(5)</w:t>
              <w:br/>
            </w:r>
            <w:r>
              <w:rPr>
                <w:sz w:val="17"/>
              </w:rPr>
              <w:t>1800 Avenue of the Stars, 2nd Floor</w:t>
              <w:br/>
              <w:t xml:space="preserve">Los Angeles, CA 90067 </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22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17.9 </w:t>
            </w:r>
          </w:p>
        </w:tc>
        <w:tc>
          <w:tcPr>
            <w:tcW w:w="1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PAA Management, L.P.</w:t>
            </w:r>
            <w:r>
              <w:rPr/>
              <w:t xml:space="preserve"> </w:t>
            </w:r>
            <w:r>
              <w:rPr>
                <w:sz w:val="11"/>
              </w:rPr>
              <w:t>(6)</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22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Strome Group, L.P.</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22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Strome MLP Fund, L.P.</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22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Lynx Holdings I, LLC</w:t>
            </w:r>
          </w:p>
        </w:tc>
        <w:tc>
          <w:tcPr>
            <w:tcW w:w="224" w:type="dxa"/>
            <w:tcBorders/>
            <w:shd w:fill="auto" w:val="clear"/>
            <w:tcMar>
              <w:bottom w:w="0" w:type="dxa"/>
            </w:tcMar>
            <w:vAlign w:val="bottom"/>
          </w:tcPr>
          <w:p>
            <w:pPr>
              <w:pStyle w:val="TableContents"/>
              <w:spacing w:before="0" w:after="0"/>
              <w:ind w:left="0" w:right="0" w:hanging="0"/>
              <w:rPr/>
            </w:pPr>
            <w:r>
              <w:rPr/>
              <w:t> </w:t>
            </w:r>
          </w:p>
        </w:tc>
        <w:tc>
          <w:tcPr>
            <w:tcW w:w="122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Various Individual Investors</w:t>
            </w:r>
          </w:p>
        </w:tc>
        <w:tc>
          <w:tcPr>
            <w:tcW w:w="224" w:type="dxa"/>
            <w:tcBorders/>
            <w:shd w:fill="CCEEFF" w:val="clear"/>
            <w:tcMar>
              <w:bottom w:w="0" w:type="dxa"/>
            </w:tcMar>
            <w:vAlign w:val="bottom"/>
          </w:tcPr>
          <w:p>
            <w:pPr>
              <w:pStyle w:val="TableContents"/>
              <w:spacing w:before="0" w:after="0"/>
              <w:ind w:left="0" w:right="0" w:hanging="0"/>
              <w:rPr/>
            </w:pPr>
            <w:r>
              <w:rPr/>
              <w:t> </w:t>
            </w:r>
          </w:p>
        </w:tc>
        <w:tc>
          <w:tcPr>
            <w:tcW w:w="122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1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Plains AAP, L.P. owns a 100% member interest in PAA GP LLC, which owns our 2% general partner interest. Plains AAP, L.P. has pledged its member interest, as well as its interest in our incentive distribution rights, as security for its obligations under the Credit Agreement dated as of January 3, 2008 among Plains AAP, L.P., Citibank, N.A. and the lenders party thereto (the Plains AAP Credit Agreement). A default by Plains AAP, L.P. under the Plains AAP Credit Agreement could result in a change in control of our general partner. Certain members of management own a profits interest in Plains AAP, L.P. in the form of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Mr. Allen owns approximately 80% of the outstanding shares of common stock of Vulcan Energy Corporation. Vulcan Energy GP Holdings Inc., a subsidiary of Vulcan Energy Corporation, owns 50.1% of the equity of our general partner. Vulcan Energy Corporation has pledged all of its equity interest in Vulcan Energy GP Holdings Inc. as security for its obligations under the Second Amended and Restated Credit Agreement dated as of August 12, 2005 among Vulcan Energy Corporation, Bank of America, N.A. and the lenders party thereto (as amended, the VEC Credit Agreement). A default by Vulcan Energy Corporation under the VEC Credit Agreement could result in an indirect change in control of our general partner. Mr. Allen disclaims any deemed beneficial ownership, beyond his pecuniary interest, in any of our partner interests held by Vulcan Energy Corporation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Mr. McKay disclaims any deemed beneficial ownership of the interests held by Vulcan Energy Corporation and its affiliates beyond his pecuniary interest therein, if any. In August 2005, Vulcan Energy Corporation entered into a voting agreement pursuant to which it agreed to restrict certain of its voting rights to help preserve a balanced board. See Item 10. Directors and Executive Officers of Our General Partner and Corporate GovernancePartnership Management and Governance for more information regarding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112</w:t>
      </w:r>
      <w:bookmarkStart w:id="134" w:name="PB_112_092157_5926"/>
      <w:bookmarkEnd w:id="1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Oxy has the right to designate an individual to attend Board meetings in an observer capacity. Under certain circumstances involving changes in senior-most management, Oxy will have the right to designate a director to serve on the Board and the authorized number of Board members will be expanded to a total of nine.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Mr. Sinnott disclaims any deemed beneficial ownership of the interests owned by KAFU Holdings, L.P. beyond his pecuniary interest therein, if any. Mr. Sinnott has a non-controlling ownership interest in KACALP, which is the general partner of KAFU Holdings, L.P. KACALP is entitled to a percentage of the profits earned by the funds invested in KAFU Holdings, 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PAA Management, L.P. is owned entirely by certain current and former members of senior management, including Messrs. Armstrong (approximately 25%), Pefanis (approximately 14%), Duckett (approximately 4%), vonBerg (approximately 4%) and Swanson (approximately 5%). Other than Mr. Armstrong, no directors own any interest in PAA Management, L.P. Executive officers as a group own approximately 66% of PAA Management, L.P. Mr. Armstrong disclaims any beneficial ownership of the general partner interest owned by Plains AAP, L.P., other than through his ownership interest in PAA Management, L.P.</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Equity Compensation Plan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certain information with respect to our equity compensation plans as of December 31, 2009. For a description of these plans, see Item 13. Certain Relationships and Related Transactions, and Director IndependenceEquity-Based Long-Term Incentive Plans.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977"/>
        <w:gridCol w:w="199"/>
        <w:gridCol w:w="1732"/>
        <w:gridCol w:w="322"/>
        <w:gridCol w:w="159"/>
        <w:gridCol w:w="1486"/>
        <w:gridCol w:w="222"/>
        <w:gridCol w:w="1780"/>
        <w:gridCol w:w="328"/>
      </w:tblGrid>
      <w:tr>
        <w:trPr/>
        <w:tc>
          <w:tcPr>
            <w:tcW w:w="397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Plan</w:t>
              <w:br/>
              <w:t>Category</w:t>
            </w:r>
          </w:p>
        </w:tc>
        <w:tc>
          <w:tcPr>
            <w:tcW w:w="199" w:type="dxa"/>
            <w:tcBorders/>
            <w:shd w:fill="auto" w:val="clear"/>
            <w:tcMar>
              <w:bottom w:w="0" w:type="dxa"/>
            </w:tcMar>
            <w:vAlign w:val="bottom"/>
          </w:tcPr>
          <w:p>
            <w:pPr>
              <w:pStyle w:val="TableContents"/>
              <w:spacing w:before="0" w:after="0"/>
              <w:ind w:left="0" w:right="0" w:hanging="0"/>
              <w:jc w:val="center"/>
              <w:rPr/>
            </w:pPr>
            <w:r>
              <w:rPr/>
              <w:t> </w:t>
            </w:r>
          </w:p>
        </w:tc>
        <w:tc>
          <w:tcPr>
            <w:tcW w:w="173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Units to</w:t>
              <w:br/>
              <w:t>be Issued upon</w:t>
              <w:br/>
              <w:t>Exercise/Vesting of</w:t>
              <w:br/>
              <w:t>Outstanding Options,</w:t>
              <w:br/>
              <w:t>Warrants and Rights</w:t>
              <w:br/>
              <w:t>(a)</w:t>
            </w:r>
          </w:p>
        </w:tc>
        <w:tc>
          <w:tcPr>
            <w:tcW w:w="322" w:type="dxa"/>
            <w:tcBorders/>
            <w:shd w:fill="auto" w:val="clear"/>
            <w:tcMar>
              <w:bottom w:w="0" w:type="dxa"/>
            </w:tcMar>
            <w:vAlign w:val="bottom"/>
          </w:tcPr>
          <w:p>
            <w:pPr>
              <w:pStyle w:val="TableContents"/>
              <w:spacing w:before="0" w:after="0"/>
              <w:ind w:left="0" w:right="0" w:hanging="0"/>
              <w:jc w:val="center"/>
              <w:rPr/>
            </w:pPr>
            <w:r>
              <w:rPr/>
              <w:t> </w:t>
            </w:r>
          </w:p>
        </w:tc>
        <w:tc>
          <w:tcPr>
            <w:tcW w:w="164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w:t>
              <w:br/>
              <w:t>Exercise Price of</w:t>
              <w:br/>
              <w:t>Outstanding Options,</w:t>
              <w:br/>
              <w:t>Warrants and Rights</w:t>
              <w:br/>
              <w:t>(b)</w:t>
            </w:r>
          </w:p>
        </w:tc>
        <w:tc>
          <w:tcPr>
            <w:tcW w:w="222" w:type="dxa"/>
            <w:tcBorders/>
            <w:shd w:fill="auto" w:val="clear"/>
            <w:tcMar>
              <w:bottom w:w="0" w:type="dxa"/>
            </w:tcMar>
            <w:vAlign w:val="bottom"/>
          </w:tcPr>
          <w:p>
            <w:pPr>
              <w:pStyle w:val="TableContents"/>
              <w:spacing w:before="0" w:after="0"/>
              <w:ind w:left="0" w:right="0" w:hanging="0"/>
              <w:jc w:val="center"/>
              <w:rPr/>
            </w:pPr>
            <w:r>
              <w:rPr/>
              <w:t> </w:t>
            </w:r>
          </w:p>
        </w:tc>
        <w:tc>
          <w:tcPr>
            <w:tcW w:w="178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Units</w:t>
              <w:br/>
              <w:t>Remaining Available</w:t>
              <w:br/>
              <w:t>for Future Issuance</w:t>
              <w:br/>
              <w:t>under Equity</w:t>
              <w:br/>
              <w:t>Compensation Plans</w:t>
              <w:br/>
              <w:t>(c)</w:t>
            </w:r>
          </w:p>
        </w:tc>
        <w:tc>
          <w:tcPr>
            <w:tcW w:w="328" w:type="dxa"/>
            <w:tcBorders/>
            <w:shd w:fill="auto" w:val="clear"/>
            <w:tcMar>
              <w:bottom w:w="0" w:type="dxa"/>
            </w:tcMar>
            <w:vAlign w:val="bottom"/>
          </w:tcPr>
          <w:p>
            <w:pPr>
              <w:pStyle w:val="TableContents"/>
              <w:spacing w:before="0" w:after="0"/>
              <w:ind w:left="0" w:right="0" w:hanging="0"/>
              <w:jc w:val="center"/>
              <w:rPr/>
            </w:pPr>
            <w:r>
              <w:rPr/>
              <w:t> </w:t>
            </w:r>
          </w:p>
        </w:tc>
      </w:tr>
      <w:tr>
        <w:trPr/>
        <w:tc>
          <w:tcPr>
            <w:tcW w:w="397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plans approved by unitholders:</w:t>
            </w:r>
          </w:p>
        </w:tc>
        <w:tc>
          <w:tcPr>
            <w:tcW w:w="199" w:type="dxa"/>
            <w:tcBorders/>
            <w:shd w:fill="CCEEFF" w:val="clear"/>
            <w:tcMar>
              <w:bottom w:w="0" w:type="dxa"/>
            </w:tcMar>
            <w:vAlign w:val="bottom"/>
          </w:tcPr>
          <w:p>
            <w:pPr>
              <w:pStyle w:val="TableContents"/>
              <w:spacing w:before="0" w:after="0"/>
              <w:ind w:left="0" w:right="0" w:hanging="0"/>
              <w:rPr/>
            </w:pPr>
            <w:r>
              <w:rPr/>
              <w:t> </w:t>
            </w:r>
          </w:p>
        </w:tc>
        <w:tc>
          <w:tcPr>
            <w:tcW w:w="1732" w:type="dxa"/>
            <w:tcBorders/>
            <w:shd w:fill="CCEEFF" w:val="clear"/>
            <w:tcMar>
              <w:bottom w:w="0" w:type="dxa"/>
            </w:tcMar>
            <w:vAlign w:val="bottom"/>
          </w:tcPr>
          <w:p>
            <w:pPr>
              <w:pStyle w:val="TableContents"/>
              <w:spacing w:before="0" w:after="0"/>
              <w:ind w:left="0" w:right="0" w:hanging="0"/>
              <w:jc w:val="right"/>
              <w:rPr/>
            </w:pPr>
            <w:r>
              <w:rPr/>
              <w:t> </w:t>
            </w:r>
          </w:p>
        </w:tc>
        <w:tc>
          <w:tcPr>
            <w:tcW w:w="322" w:type="dxa"/>
            <w:tcBorders/>
            <w:shd w:fill="CCEEFF" w:val="clear"/>
            <w:tcMar>
              <w:bottom w:w="0" w:type="dxa"/>
            </w:tcMar>
            <w:vAlign w:val="bottom"/>
          </w:tcPr>
          <w:p>
            <w:pPr>
              <w:pStyle w:val="TableContents"/>
              <w:spacing w:before="0" w:after="0"/>
              <w:ind w:left="0" w:right="0" w:hanging="0"/>
              <w:rPr/>
            </w:pPr>
            <w:r>
              <w:rPr/>
              <w:t> </w:t>
            </w:r>
          </w:p>
        </w:tc>
        <w:tc>
          <w:tcPr>
            <w:tcW w:w="1645" w:type="dxa"/>
            <w:gridSpan w:val="2"/>
            <w:tcBorders/>
            <w:shd w:fill="CCEEFF" w:val="clear"/>
            <w:tcMar>
              <w:bottom w:w="0" w:type="dxa"/>
            </w:tcMar>
            <w:vAlign w:val="bottom"/>
          </w:tcPr>
          <w:p>
            <w:pPr>
              <w:pStyle w:val="TableContents"/>
              <w:spacing w:before="0" w:after="0"/>
              <w:ind w:left="0" w:right="0" w:hanging="0"/>
              <w:jc w:val="right"/>
              <w:rPr/>
            </w:pPr>
            <w:r>
              <w:rPr/>
              <w:t> </w:t>
            </w:r>
          </w:p>
        </w:tc>
        <w:tc>
          <w:tcPr>
            <w:tcW w:w="222" w:type="dxa"/>
            <w:tcBorders/>
            <w:shd w:fill="CCEEFF" w:val="clear"/>
            <w:tcMar>
              <w:bottom w:w="0" w:type="dxa"/>
            </w:tcMar>
            <w:vAlign w:val="bottom"/>
          </w:tcPr>
          <w:p>
            <w:pPr>
              <w:pStyle w:val="TableContents"/>
              <w:spacing w:before="0" w:after="0"/>
              <w:ind w:left="0" w:right="0" w:hanging="0"/>
              <w:rPr/>
            </w:pPr>
            <w:r>
              <w:rPr/>
              <w:t> </w:t>
            </w:r>
          </w:p>
        </w:tc>
        <w:tc>
          <w:tcPr>
            <w:tcW w:w="1780" w:type="dxa"/>
            <w:tcBorders/>
            <w:shd w:fill="CCEEFF" w:val="clear"/>
            <w:tcMar>
              <w:bottom w:w="0" w:type="dxa"/>
            </w:tcMar>
            <w:vAlign w:val="bottom"/>
          </w:tcPr>
          <w:p>
            <w:pPr>
              <w:pStyle w:val="TableContents"/>
              <w:spacing w:before="0" w:after="0"/>
              <w:ind w:left="0" w:right="0" w:hanging="0"/>
              <w:jc w:val="right"/>
              <w:rPr/>
            </w:pPr>
            <w:r>
              <w:rPr/>
              <w:t> </w:t>
            </w:r>
          </w:p>
        </w:tc>
        <w:tc>
          <w:tcPr>
            <w:tcW w:w="328" w:type="dxa"/>
            <w:tcBorders/>
            <w:shd w:fill="CCEEFF" w:val="clear"/>
            <w:tcMar>
              <w:bottom w:w="0" w:type="dxa"/>
            </w:tcMar>
            <w:vAlign w:val="bottom"/>
          </w:tcPr>
          <w:p>
            <w:pPr>
              <w:pStyle w:val="TableContents"/>
              <w:spacing w:before="0" w:after="0"/>
              <w:ind w:left="0" w:right="0" w:hanging="0"/>
              <w:rPr/>
            </w:pPr>
            <w:r>
              <w:rPr/>
              <w:t> </w:t>
            </w:r>
          </w:p>
        </w:tc>
      </w:tr>
      <w:tr>
        <w:trPr/>
        <w:tc>
          <w:tcPr>
            <w:tcW w:w="397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1998 Long Term Incentive Plan</w:t>
            </w:r>
          </w:p>
        </w:tc>
        <w:tc>
          <w:tcPr>
            <w:tcW w:w="199" w:type="dxa"/>
            <w:tcBorders/>
            <w:shd w:fill="auto" w:val="clear"/>
            <w:tcMar>
              <w:bottom w:w="0" w:type="dxa"/>
            </w:tcMar>
            <w:vAlign w:val="bottom"/>
          </w:tcPr>
          <w:p>
            <w:pPr>
              <w:pStyle w:val="TableContents"/>
              <w:spacing w:before="0" w:after="0"/>
              <w:ind w:left="0" w:right="0" w:hanging="0"/>
              <w:rPr/>
            </w:pPr>
            <w:r>
              <w:rPr/>
              <w:t> </w:t>
            </w:r>
          </w:p>
        </w:tc>
        <w:tc>
          <w:tcPr>
            <w:tcW w:w="173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672,400</w:t>
            </w:r>
          </w:p>
        </w:tc>
        <w:tc>
          <w:tcPr>
            <w:tcW w:w="32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1645"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78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235,327</w:t>
            </w:r>
          </w:p>
        </w:tc>
        <w:tc>
          <w:tcPr>
            <w:tcW w:w="328"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(1)(3)</w:t>
            </w:r>
          </w:p>
        </w:tc>
      </w:tr>
      <w:tr>
        <w:trPr/>
        <w:tc>
          <w:tcPr>
            <w:tcW w:w="397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2005 Long Term Incentive Plan</w:t>
            </w:r>
          </w:p>
        </w:tc>
        <w:tc>
          <w:tcPr>
            <w:tcW w:w="199" w:type="dxa"/>
            <w:tcBorders/>
            <w:shd w:fill="CCEEFF" w:val="clear"/>
            <w:tcMar>
              <w:bottom w:w="0" w:type="dxa"/>
            </w:tcMar>
            <w:vAlign w:val="bottom"/>
          </w:tcPr>
          <w:p>
            <w:pPr>
              <w:pStyle w:val="TableContents"/>
              <w:spacing w:before="0" w:after="0"/>
              <w:ind w:left="0" w:right="0" w:hanging="0"/>
              <w:rPr/>
            </w:pPr>
            <w:r>
              <w:rPr/>
              <w:t> </w:t>
            </w:r>
          </w:p>
        </w:tc>
        <w:tc>
          <w:tcPr>
            <w:tcW w:w="173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1,127,420</w:t>
            </w:r>
          </w:p>
        </w:tc>
        <w:tc>
          <w:tcPr>
            <w:tcW w:w="3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(4)</w:t>
            </w:r>
          </w:p>
        </w:tc>
        <w:tc>
          <w:tcPr>
            <w:tcW w:w="164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78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1,285,247</w:t>
            </w:r>
          </w:p>
        </w:tc>
        <w:tc>
          <w:tcPr>
            <w:tcW w:w="328"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397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plans not approved by unitholders:</w:t>
            </w:r>
          </w:p>
        </w:tc>
        <w:tc>
          <w:tcPr>
            <w:tcW w:w="199" w:type="dxa"/>
            <w:tcBorders/>
            <w:shd w:fill="auto" w:val="clear"/>
            <w:tcMar>
              <w:bottom w:w="0" w:type="dxa"/>
            </w:tcMar>
            <w:vAlign w:val="bottom"/>
          </w:tcPr>
          <w:p>
            <w:pPr>
              <w:pStyle w:val="TableContents"/>
              <w:spacing w:before="0" w:after="0"/>
              <w:ind w:left="0" w:right="0" w:hanging="0"/>
              <w:rPr/>
            </w:pPr>
            <w:r>
              <w:rPr/>
              <w:t> </w:t>
            </w:r>
          </w:p>
        </w:tc>
        <w:tc>
          <w:tcPr>
            <w:tcW w:w="1732" w:type="dxa"/>
            <w:tcBorders/>
            <w:shd w:fill="auto" w:val="clear"/>
            <w:tcMar>
              <w:bottom w:w="0" w:type="dxa"/>
            </w:tcMar>
            <w:vAlign w:val="bottom"/>
          </w:tcPr>
          <w:p>
            <w:pPr>
              <w:pStyle w:val="TableContents"/>
              <w:spacing w:before="0" w:after="0"/>
              <w:ind w:left="0" w:right="0" w:hanging="0"/>
              <w:jc w:val="right"/>
              <w:rPr/>
            </w:pPr>
            <w:r>
              <w:rPr/>
              <w:t> </w:t>
            </w:r>
          </w:p>
        </w:tc>
        <w:tc>
          <w:tcPr>
            <w:tcW w:w="322" w:type="dxa"/>
            <w:tcBorders/>
            <w:shd w:fill="auto" w:val="clear"/>
            <w:tcMar>
              <w:bottom w:w="0" w:type="dxa"/>
            </w:tcMar>
            <w:vAlign w:val="bottom"/>
          </w:tcPr>
          <w:p>
            <w:pPr>
              <w:pStyle w:val="TableContents"/>
              <w:spacing w:before="0" w:after="0"/>
              <w:ind w:left="0" w:right="0" w:hanging="0"/>
              <w:rPr/>
            </w:pPr>
            <w:r>
              <w:rPr/>
              <w:t> </w:t>
            </w:r>
          </w:p>
        </w:tc>
        <w:tc>
          <w:tcPr>
            <w:tcW w:w="1645" w:type="dxa"/>
            <w:gridSpan w:val="2"/>
            <w:tcBorders/>
            <w:shd w:fill="auto" w:val="clear"/>
            <w:tcMar>
              <w:bottom w:w="0" w:type="dxa"/>
            </w:tcMar>
            <w:vAlign w:val="bottom"/>
          </w:tcPr>
          <w:p>
            <w:pPr>
              <w:pStyle w:val="TableContents"/>
              <w:spacing w:before="0" w:after="0"/>
              <w:ind w:left="0" w:right="0" w:hanging="0"/>
              <w:jc w:val="right"/>
              <w:rPr/>
            </w:pPr>
            <w:r>
              <w:rPr/>
              <w:t> </w:t>
            </w:r>
          </w:p>
        </w:tc>
        <w:tc>
          <w:tcPr>
            <w:tcW w:w="222" w:type="dxa"/>
            <w:tcBorders/>
            <w:shd w:fill="auto" w:val="clear"/>
            <w:tcMar>
              <w:bottom w:w="0" w:type="dxa"/>
            </w:tcMar>
            <w:vAlign w:val="bottom"/>
          </w:tcPr>
          <w:p>
            <w:pPr>
              <w:pStyle w:val="TableContents"/>
              <w:spacing w:before="0" w:after="0"/>
              <w:ind w:left="0" w:right="0" w:hanging="0"/>
              <w:rPr/>
            </w:pPr>
            <w:r>
              <w:rPr/>
              <w:t> </w:t>
            </w:r>
          </w:p>
        </w:tc>
        <w:tc>
          <w:tcPr>
            <w:tcW w:w="1780" w:type="dxa"/>
            <w:tcBorders/>
            <w:shd w:fill="auto" w:val="clear"/>
            <w:tcMar>
              <w:bottom w:w="0" w:type="dxa"/>
            </w:tcMar>
            <w:vAlign w:val="bottom"/>
          </w:tcPr>
          <w:p>
            <w:pPr>
              <w:pStyle w:val="TableContents"/>
              <w:spacing w:before="0" w:after="0"/>
              <w:ind w:left="0" w:right="0" w:hanging="0"/>
              <w:jc w:val="right"/>
              <w:rPr/>
            </w:pPr>
            <w:r>
              <w:rPr/>
              <w:t> </w:t>
            </w:r>
          </w:p>
        </w:tc>
        <w:tc>
          <w:tcPr>
            <w:tcW w:w="328" w:type="dxa"/>
            <w:tcBorders/>
            <w:shd w:fill="auto" w:val="clear"/>
            <w:tcMar>
              <w:bottom w:w="0" w:type="dxa"/>
            </w:tcMar>
            <w:vAlign w:val="bottom"/>
          </w:tcPr>
          <w:p>
            <w:pPr>
              <w:pStyle w:val="TableContents"/>
              <w:spacing w:before="0" w:after="0"/>
              <w:ind w:left="0" w:right="0" w:hanging="0"/>
              <w:rPr/>
            </w:pPr>
            <w:r>
              <w:rPr/>
              <w:t> </w:t>
            </w:r>
          </w:p>
        </w:tc>
      </w:tr>
      <w:tr>
        <w:trPr/>
        <w:tc>
          <w:tcPr>
            <w:tcW w:w="397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1998 Long Term Incentive Plan</w:t>
            </w:r>
          </w:p>
        </w:tc>
        <w:tc>
          <w:tcPr>
            <w:tcW w:w="199" w:type="dxa"/>
            <w:tcBorders/>
            <w:shd w:fill="CCEEFF" w:val="clear"/>
            <w:tcMar>
              <w:bottom w:w="0" w:type="dxa"/>
            </w:tcMar>
            <w:vAlign w:val="bottom"/>
          </w:tcPr>
          <w:p>
            <w:pPr>
              <w:pStyle w:val="TableContents"/>
              <w:spacing w:before="0" w:after="0"/>
              <w:ind w:left="0" w:right="0" w:hanging="0"/>
              <w:rPr/>
            </w:pPr>
            <w:r>
              <w:rPr/>
              <w:t> </w:t>
            </w:r>
          </w:p>
        </w:tc>
        <w:tc>
          <w:tcPr>
            <w:tcW w:w="173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(1)(5)</w:t>
            </w:r>
          </w:p>
        </w:tc>
        <w:tc>
          <w:tcPr>
            <w:tcW w:w="164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78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8"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(6)</w:t>
            </w:r>
          </w:p>
        </w:tc>
      </w:tr>
      <w:tr>
        <w:trPr/>
        <w:tc>
          <w:tcPr>
            <w:tcW w:w="397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Partners Performance Option Plan</w:t>
            </w:r>
          </w:p>
        </w:tc>
        <w:tc>
          <w:tcPr>
            <w:tcW w:w="199" w:type="dxa"/>
            <w:tcBorders/>
            <w:shd w:fill="auto" w:val="clear"/>
            <w:tcMar>
              <w:bottom w:w="0" w:type="dxa"/>
            </w:tcMar>
            <w:vAlign w:val="bottom"/>
          </w:tcPr>
          <w:p>
            <w:pPr>
              <w:pStyle w:val="TableContents"/>
              <w:spacing w:before="0" w:after="0"/>
              <w:ind w:left="0" w:right="0" w:hanging="0"/>
              <w:rPr/>
            </w:pPr>
            <w:r>
              <w:rPr/>
              <w:t> </w:t>
            </w:r>
          </w:p>
        </w:tc>
        <w:tc>
          <w:tcPr>
            <w:tcW w:w="173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c>
          <w:tcPr>
            <w:tcW w:w="15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3.232</w:t>
            </w:r>
          </w:p>
        </w:tc>
        <w:tc>
          <w:tcPr>
            <w:tcW w:w="222"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(8)</w:t>
            </w:r>
          </w:p>
        </w:tc>
        <w:tc>
          <w:tcPr>
            <w:tcW w:w="1780"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8" w:type="dxa"/>
            <w:tcBorders/>
            <w:shd w:fill="auto"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(7)</w:t>
            </w:r>
          </w:p>
        </w:tc>
      </w:tr>
      <w:tr>
        <w:trPr/>
        <w:tc>
          <w:tcPr>
            <w:tcW w:w="397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PPX Successor LTIP</w:t>
            </w:r>
          </w:p>
        </w:tc>
        <w:tc>
          <w:tcPr>
            <w:tcW w:w="199" w:type="dxa"/>
            <w:tcBorders/>
            <w:shd w:fill="CCEEFF" w:val="clear"/>
            <w:tcMar>
              <w:bottom w:w="0" w:type="dxa"/>
            </w:tcMar>
            <w:vAlign w:val="bottom"/>
          </w:tcPr>
          <w:p>
            <w:pPr>
              <w:pStyle w:val="TableContents"/>
              <w:spacing w:before="0" w:after="0"/>
              <w:ind w:left="0" w:right="0" w:hanging="0"/>
              <w:rPr/>
            </w:pPr>
            <w:r>
              <w:rPr/>
              <w:t> </w:t>
            </w:r>
          </w:p>
        </w:tc>
        <w:tc>
          <w:tcPr>
            <w:tcW w:w="173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299,000</w:t>
            </w:r>
          </w:p>
        </w:tc>
        <w:tc>
          <w:tcPr>
            <w:tcW w:w="3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(9)</w:t>
            </w:r>
          </w:p>
        </w:tc>
        <w:tc>
          <w:tcPr>
            <w:tcW w:w="1645"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22"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1780"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700,809</w:t>
            </w:r>
          </w:p>
        </w:tc>
        <w:tc>
          <w:tcPr>
            <w:tcW w:w="328" w:type="dxa"/>
            <w:tcBorders/>
            <w:shd w:fill="CCEEFF" w:val="clear"/>
            <w:tcMar>
              <w:bottom w:w="0" w:type="dxa"/>
            </w:tcMar>
            <w:vAlign w:val="bottom"/>
          </w:tcPr>
          <w:p>
            <w:pPr>
              <w:pStyle w:val="TableContents"/>
              <w:spacing w:before="0" w:after="0"/>
              <w:ind w:left="0" w:right="0" w:hanging="0"/>
              <w:rPr>
                <w:rFonts w:ascii="Times New Roman" w:hAnsi="Times New Roman"/>
                <w:sz w:val="11"/>
              </w:rPr>
            </w:pPr>
            <w:r>
              <w:rPr>
                <w:rFonts w:ascii="Times New Roman" w:hAnsi="Times New Roman"/>
                <w:sz w:val="11"/>
              </w:rPr>
              <w:t>(9)</w:t>
            </w:r>
          </w:p>
        </w:tc>
      </w:tr>
      <w:tr>
        <w:trPr/>
        <w:tc>
          <w:tcPr>
            <w:tcW w:w="3977" w:type="dxa"/>
            <w:tcBorders/>
            <w:shd w:fill="auto" w:val="clear"/>
            <w:tcMar>
              <w:bottom w:w="0" w:type="dxa"/>
            </w:tcMar>
            <w:vAlign w:val="center"/>
          </w:tcPr>
          <w:p>
            <w:pPr>
              <w:pStyle w:val="TableContents"/>
              <w:spacing w:before="0" w:after="283"/>
              <w:rPr>
                <w:sz w:val="4"/>
                <w:szCs w:val="4"/>
              </w:rPr>
            </w:pPr>
            <w:r>
              <w:rPr>
                <w:sz w:val="4"/>
                <w:szCs w:val="4"/>
              </w:rPr>
            </w:r>
          </w:p>
        </w:tc>
        <w:tc>
          <w:tcPr>
            <w:tcW w:w="199" w:type="dxa"/>
            <w:tcBorders/>
            <w:shd w:fill="auto" w:val="clear"/>
            <w:tcMar>
              <w:bottom w:w="0" w:type="dxa"/>
            </w:tcMar>
            <w:vAlign w:val="center"/>
          </w:tcPr>
          <w:p>
            <w:pPr>
              <w:pStyle w:val="TableContents"/>
              <w:spacing w:before="0" w:after="283"/>
              <w:rPr>
                <w:sz w:val="4"/>
                <w:szCs w:val="4"/>
              </w:rPr>
            </w:pPr>
            <w:r>
              <w:rPr>
                <w:sz w:val="4"/>
                <w:szCs w:val="4"/>
              </w:rPr>
            </w:r>
          </w:p>
        </w:tc>
        <w:tc>
          <w:tcPr>
            <w:tcW w:w="1732" w:type="dxa"/>
            <w:tcBorders/>
            <w:shd w:fill="auto" w:val="clear"/>
            <w:tcMar>
              <w:bottom w:w="0" w:type="dxa"/>
            </w:tcMar>
            <w:vAlign w:val="center"/>
          </w:tcPr>
          <w:p>
            <w:pPr>
              <w:pStyle w:val="TableContents"/>
              <w:spacing w:before="0" w:after="283"/>
              <w:rPr>
                <w:sz w:val="4"/>
                <w:szCs w:val="4"/>
              </w:rPr>
            </w:pPr>
            <w:r>
              <w:rPr>
                <w:sz w:val="4"/>
                <w:szCs w:val="4"/>
              </w:rPr>
            </w:r>
          </w:p>
        </w:tc>
        <w:tc>
          <w:tcPr>
            <w:tcW w:w="322" w:type="dxa"/>
            <w:tcBorders/>
            <w:shd w:fill="auto" w:val="clear"/>
            <w:tcMar>
              <w:bottom w:w="0" w:type="dxa"/>
            </w:tcMar>
            <w:vAlign w:val="center"/>
          </w:tcPr>
          <w:p>
            <w:pPr>
              <w:pStyle w:val="TableContents"/>
              <w:spacing w:before="0" w:after="283"/>
              <w:rPr>
                <w:sz w:val="4"/>
                <w:szCs w:val="4"/>
              </w:rPr>
            </w:pPr>
            <w:r>
              <w:rPr>
                <w:sz w:val="4"/>
                <w:szCs w:val="4"/>
              </w:rPr>
            </w:r>
          </w:p>
        </w:tc>
        <w:tc>
          <w:tcPr>
            <w:tcW w:w="159" w:type="dxa"/>
            <w:tcBorders/>
            <w:shd w:fill="auto" w:val="clear"/>
            <w:tcMar>
              <w:bottom w:w="0" w:type="dxa"/>
            </w:tcMar>
            <w:vAlign w:val="center"/>
          </w:tcPr>
          <w:p>
            <w:pPr>
              <w:pStyle w:val="TableContents"/>
              <w:spacing w:before="0" w:after="283"/>
              <w:rPr>
                <w:sz w:val="4"/>
                <w:szCs w:val="4"/>
              </w:rPr>
            </w:pPr>
            <w:r>
              <w:rPr>
                <w:sz w:val="4"/>
                <w:szCs w:val="4"/>
              </w:rPr>
            </w:r>
          </w:p>
        </w:tc>
        <w:tc>
          <w:tcPr>
            <w:tcW w:w="1486" w:type="dxa"/>
            <w:tcBorders/>
            <w:shd w:fill="auto" w:val="clear"/>
            <w:tcMar>
              <w:bottom w:w="0" w:type="dxa"/>
            </w:tcMar>
            <w:vAlign w:val="center"/>
          </w:tcPr>
          <w:p>
            <w:pPr>
              <w:pStyle w:val="TableContents"/>
              <w:spacing w:before="0" w:after="283"/>
              <w:rPr>
                <w:sz w:val="4"/>
                <w:szCs w:val="4"/>
              </w:rPr>
            </w:pPr>
            <w:r>
              <w:rPr>
                <w:sz w:val="4"/>
                <w:szCs w:val="4"/>
              </w:rPr>
            </w:r>
          </w:p>
        </w:tc>
        <w:tc>
          <w:tcPr>
            <w:tcW w:w="222" w:type="dxa"/>
            <w:tcBorders/>
            <w:shd w:fill="auto" w:val="clear"/>
            <w:tcMar>
              <w:bottom w:w="0" w:type="dxa"/>
            </w:tcMar>
            <w:vAlign w:val="center"/>
          </w:tcPr>
          <w:p>
            <w:pPr>
              <w:pStyle w:val="TableContents"/>
              <w:spacing w:before="0" w:after="283"/>
              <w:rPr>
                <w:sz w:val="4"/>
                <w:szCs w:val="4"/>
              </w:rPr>
            </w:pPr>
            <w:r>
              <w:rPr>
                <w:sz w:val="4"/>
                <w:szCs w:val="4"/>
              </w:rPr>
            </w:r>
          </w:p>
        </w:tc>
        <w:tc>
          <w:tcPr>
            <w:tcW w:w="1780" w:type="dxa"/>
            <w:tcBorders/>
            <w:shd w:fill="auto" w:val="clear"/>
            <w:tcMar>
              <w:bottom w:w="0" w:type="dxa"/>
            </w:tcMar>
            <w:vAlign w:val="center"/>
          </w:tcPr>
          <w:p>
            <w:pPr>
              <w:pStyle w:val="TableContents"/>
              <w:spacing w:before="0" w:after="283"/>
              <w:rPr>
                <w:sz w:val="4"/>
                <w:szCs w:val="4"/>
              </w:rPr>
            </w:pPr>
            <w:r>
              <w:rPr>
                <w:sz w:val="4"/>
                <w:szCs w:val="4"/>
              </w:rPr>
            </w:r>
          </w:p>
        </w:tc>
        <w:tc>
          <w:tcPr>
            <w:tcW w:w="328"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2009, we have issued approximately 427,742 common units in satisfaction of vesting under the 1998 LTIP. The number of units presented in column (a) assumes that all remaining grants will be satisfied by the issuance of new units upon vesting.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113</w:t>
      </w:r>
      <w:bookmarkStart w:id="135" w:name="PB_113_092157_4688"/>
      <w:bookmarkEnd w:id="13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Phantom unit awards under the 1998 LTIP, 2005 LTIP and PPX Successor LTIP vest without payment by recipients.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In fact, some portion of the phantom units may be settled in cash and some portion will be withheld for taxes. Any units not issued upon vesting will become available for future issuance under column (c).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xml:space="preserve">                                     </w:t>
      </w:r>
      <w:r>
        <w:rPr>
          <w:rFonts w:ascii="Times New Roman" w:hAnsi="Times New Roman"/>
          <w:sz w:val="17"/>
        </w:rPr>
        <w:t>Awards for up to 360,469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(7)</w:t>
      </w:r>
      <w:r>
        <w:rPr>
          <w:rFonts w:ascii="Times New Roman" w:hAnsi="Times New Roman"/>
        </w:rPr>
        <w:t xml:space="preserve">                                     </w:t>
      </w:r>
      <w:r>
        <w:rPr>
          <w:rFonts w:ascii="Times New Roman" w:hAnsi="Times New Roman"/>
          <w:sz w:val="17"/>
        </w:rPr>
        <w:t>Our general partner has adopted a Performance Option Plan for officers and key employees pursuant to which optionees have the right to purchase units from the general partner. The 450,000 units that were originally authorized to be sold under the plan were contributed to the general partner by certain of its owners in connection with the transfer of a majority of our general partner interest in 2001 without economic cost to the Partnership. Thus, there will be no units issued upon exercise/vesting of outstanding options. Options for 5,000 units were outstanding at December 31, 2009. All are vested, and no units remain available for future grant. See Item 13. Certain Relationships and Related Transactions, and Director IndependenceGeneral Partners Performance Option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(8)</w:t>
      </w:r>
      <w:r>
        <w:rPr>
          <w:rFonts w:ascii="Times New Roman" w:hAnsi="Times New Roman"/>
        </w:rPr>
        <w:t xml:space="preserve">                                     </w:t>
      </w:r>
      <w:r>
        <w:rPr>
          <w:rFonts w:ascii="Times New Roman" w:hAnsi="Times New Roman"/>
          <w:sz w:val="17"/>
        </w:rPr>
        <w:t>As of December 31, 2009, the strike price for all outstanding options under the general partners Performance Option Plan was approximately $3.232 per unit. The strike price decreases as distributions are paid. See Item 13. Certain Relationships and Related Transactions, and Director IndependenceGeneral Partners Performance Option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(9)</w:t>
      </w:r>
      <w:r>
        <w:rPr>
          <w:rFonts w:ascii="Times New Roman" w:hAnsi="Times New Roman"/>
        </w:rPr>
        <w:t xml:space="preserve">                                     </w:t>
      </w:r>
      <w:r>
        <w:rPr>
          <w:rFonts w:ascii="Times New Roman" w:hAnsi="Times New Roman"/>
          <w:sz w:val="17"/>
        </w:rPr>
        <w:t>In connection with the Pacific merger, under applicable stock exchange rules, we carried over the available units under the Pacific LTIP (applying the conversion ratio of 0.77 PAA units for each Pacific unit). In that regard, we have adopted the Plains All American PPX Successor Long-Term Incentive Plan (the PPX Successor LTIP). Potential awards under such plan include options and phantom units (with or without tandem DERs). The provisions of such plan are substantially the same as the 2005 LTIP, except that awards under the PPX Successor LTIP may only be made to employees who were working for Pacific at the time of the merger or to employees hired after the date of the Pacific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114</w:t>
      </w:r>
      <w:bookmarkStart w:id="136" w:name="PB_114_092157_2983"/>
      <w:bookmarkEnd w:id="1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13.  </w:t>
      </w:r>
      <w:r>
        <w:rPr>
          <w:rFonts w:ascii="Times New Roman" w:hAnsi="Times New Roman"/>
          <w:b/>
          <w:i/>
          <w:sz w:val="17"/>
        </w:rPr>
        <w:t>Certain Relationships and Related Transactions, and Director Independence</w:t>
      </w:r>
      <w:bookmarkStart w:id="137" w:name="Item13_CertainRelationshipsAndRel_065815"/>
      <w:bookmarkEnd w:id="137"/>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director independence, see Item 10. Directors and Executive Officers of Our General Partner and Corporate Governance.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Our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operations and activities are managed, and our officers and personnel are employed, by our general partner (or, in the case of our Canadian operations, PMC (Nova Scotia) Company). We do not pay our general partner a management fee, but we do reimburse our general partner for all expenses incurred on our behalf (other than expenses related to the Class B units of Plains AAP, L.P.). Total costs reimbursed by us to our general partner for the year ended December 31, 2009 were approximately $328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 In connection with the Pacific, Rainbow and PNGS acquisitions, our general partner agreed to a temporary reduction in the amount of incentive distributions otherwise payable to it. Following our distribution in February 2010, the remaining incentive distribution reductions related to the Pacific, Rainbow and PNGS acquisitions totaled approximately $18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illustrates the allocation of aggregate distributions at different per-unit levels, excluding the effect of the incentive distribution reductions: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127"/>
        <w:gridCol w:w="210"/>
        <w:gridCol w:w="119"/>
        <w:gridCol w:w="1106"/>
        <w:gridCol w:w="210"/>
        <w:gridCol w:w="119"/>
        <w:gridCol w:w="1106"/>
        <w:gridCol w:w="210"/>
        <w:gridCol w:w="120"/>
        <w:gridCol w:w="1111"/>
        <w:gridCol w:w="210"/>
        <w:gridCol w:w="1326"/>
        <w:gridCol w:w="231"/>
      </w:tblGrid>
      <w:tr>
        <w:trPr/>
        <w:tc>
          <w:tcPr>
            <w:tcW w:w="412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Annual LP Distribution Per</w:t>
              <w:br/>
              <w:t>Unit</w:t>
            </w:r>
          </w:p>
        </w:tc>
        <w:tc>
          <w:tcPr>
            <w:tcW w:w="210" w:type="dxa"/>
            <w:tcBorders/>
            <w:shd w:fill="auto" w:val="clear"/>
            <w:tcMar>
              <w:bottom w:w="0" w:type="dxa"/>
            </w:tcM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Distribution</w:t>
              <w:br/>
              <w:t>to LP</w:t>
              <w:br/>
              <w:t>Unitholders</w:t>
            </w:r>
            <w:r>
              <w:rPr>
                <w:b/>
                <w:sz w:val="8"/>
              </w:rPr>
              <w:t>(1)(2)</w:t>
            </w:r>
          </w:p>
        </w:tc>
        <w:tc>
          <w:tcPr>
            <w:tcW w:w="210" w:type="dxa"/>
            <w:tcBorders/>
            <w:shd w:fill="auto" w:val="clear"/>
            <w:tcMar>
              <w:bottom w:w="0" w:type="dxa"/>
            </w:tcM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Distribution</w:t>
              <w:br/>
              <w:t>to GP</w:t>
            </w:r>
            <w:r>
              <w:rPr>
                <w:b/>
                <w:sz w:val="8"/>
              </w:rPr>
              <w:t>(1)(2)(3)</w:t>
            </w:r>
          </w:p>
        </w:tc>
        <w:tc>
          <w:tcPr>
            <w:tcW w:w="210" w:type="dxa"/>
            <w:tcBorders/>
            <w:shd w:fill="auto" w:val="clear"/>
            <w:tcMar>
              <w:bottom w:w="0" w:type="dxa"/>
            </w:tcMar>
            <w:vAlign w:val="bottom"/>
          </w:tcPr>
          <w:p>
            <w:pPr>
              <w:pStyle w:val="TableContents"/>
              <w:spacing w:before="0" w:after="0"/>
              <w:ind w:left="0" w:right="0" w:hanging="0"/>
              <w:jc w:val="center"/>
              <w:rPr/>
            </w:pPr>
            <w:r>
              <w:rPr/>
              <w:t> </w:t>
            </w:r>
          </w:p>
        </w:tc>
        <w:tc>
          <w:tcPr>
            <w:tcW w:w="1231" w:type="dxa"/>
            <w:gridSpan w:val="2"/>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Total</w:t>
              <w:br/>
              <w:t>Distribution</w:t>
            </w:r>
            <w:r>
              <w:rPr>
                <w:b/>
                <w:sz w:val="8"/>
              </w:rPr>
              <w:t>(2)</w:t>
            </w:r>
          </w:p>
        </w:tc>
        <w:tc>
          <w:tcPr>
            <w:tcW w:w="210" w:type="dxa"/>
            <w:tcBorders/>
            <w:shd w:fill="auto" w:val="clear"/>
            <w:tcMar>
              <w:bottom w:w="0" w:type="dxa"/>
            </w:tcMar>
            <w:vAlign w:val="bottom"/>
          </w:tcPr>
          <w:p>
            <w:pPr>
              <w:pStyle w:val="TableContents"/>
              <w:spacing w:before="0" w:after="0"/>
              <w:ind w:left="0" w:right="0" w:hanging="0"/>
              <w:jc w:val="center"/>
              <w:rPr/>
            </w:pPr>
            <w:r>
              <w:rPr/>
              <w:t> </w:t>
            </w:r>
          </w:p>
        </w:tc>
        <w:tc>
          <w:tcPr>
            <w:tcW w:w="132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w:t>
              <w:br/>
              <w:t>of Total</w:t>
              <w:br/>
              <w:t>Distribution</w:t>
            </w:r>
          </w:p>
        </w:tc>
        <w:tc>
          <w:tcPr>
            <w:tcW w:w="231" w:type="dxa"/>
            <w:tcBorders/>
            <w:shd w:fill="auto" w:val="clear"/>
            <w:tcMar>
              <w:bottom w:w="0" w:type="dxa"/>
            </w:tcMar>
            <w:vAlign w:val="bottom"/>
          </w:tcPr>
          <w:p>
            <w:pPr>
              <w:pStyle w:val="TableContents"/>
              <w:spacing w:before="0" w:after="0"/>
              <w:ind w:left="0" w:right="0" w:hanging="0"/>
              <w:jc w:val="center"/>
              <w:rPr/>
            </w:pPr>
            <w:r>
              <w:rPr/>
              <w:t> </w:t>
            </w:r>
          </w:p>
        </w:tc>
      </w:tr>
      <w:tr>
        <w:trPr/>
        <w:tc>
          <w:tcPr>
            <w:tcW w:w="412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$1.80</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245,045</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5,001</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2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250,046</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3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$1.98</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269,549</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9,325</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278,874</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3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3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$2.70</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367,567</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41,998</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2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409,565</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3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3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$3.70</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503,703</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178,134</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681,837</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3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$3.80</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517,317</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191,747</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2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709,064</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3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3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$3.90</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530,930</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19"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205,361</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736,291</w:t>
            </w:r>
          </w:p>
        </w:tc>
        <w:tc>
          <w:tcPr>
            <w:tcW w:w="210" w:type="dxa"/>
            <w:tcBorders/>
            <w:shd w:fill="auto" w:val="clear"/>
            <w:tcMar>
              <w:bottom w:w="0" w:type="dxa"/>
            </w:tcMar>
            <w:vAlign w:val="bottom"/>
          </w:tcPr>
          <w:p>
            <w:pPr>
              <w:pStyle w:val="TableContents"/>
              <w:spacing w:before="0" w:after="0"/>
              <w:ind w:left="0" w:right="0" w:hanging="0"/>
              <w:rPr/>
            </w:pPr>
            <w:r>
              <w:rPr/>
              <w:t> </w:t>
            </w:r>
          </w:p>
        </w:tc>
        <w:tc>
          <w:tcPr>
            <w:tcW w:w="1326"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31"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$4.00</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544,544</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19"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218,975</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2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1"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763,519</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1326"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thousands.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Assumes 136,136,000 units outstanding. The actual number of units outstanding as of December 31, 2009 was 136,135,988. An increase in the number of units outstanding would increase both the distribution to unitholders and the distribution to the general partner for any given level of distribution per unit.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distributions attributable to the 2% general partner interest and the incentive distribution rights.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Equity-Based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general partner has adopted the Plains All American GP LLC 1998 Long-Term Incentive Plan (the 1998 LTIP) and the Plains All American GP LLC 2005 Long-Term Incentive Plan (the 2005 LTIP) for employees and directors of our general partner and its affiliates who perform services for us, and the PPX Successor LTIP for former Pacific employees and employees hired after the date of the Pacific merger (together with the 1998 LTIP and 2005 LTIP, the Plans). Awards contemplated by the Plans include phantom units (referred to as restricted units in the 1998 LTIP), distribution equivalent rights (DERs) and unit options. As amended, the 1998 LTIP authorizes the grant of awards covering an aggregate of 1,425,000 common units deliverable upon vesting or exercise (as applicable) of such awards. The 2005 LTIP authorizes the grant of awards covering an aggregate of 3,000,000 common units deliverable upon vesting or exercise (as applicable) of such awards. The PPX Successor LTIP authorizes the grant of awards covering an aggregate of 999,809 common units deliverable upon vesting or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115</w:t>
      </w:r>
      <w:bookmarkStart w:id="138" w:name="PB_115_092157_6228"/>
      <w:bookmarkEnd w:id="1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exercise (as applicable) of such awards. Our general partners board of directors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Common units to be delivered upon the vesting of rights may be newly issued common units, common units acquired by our general partner in the open market or in private transactions, common units acquired by us from any other person,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Phantom Units.</w:t>
      </w:r>
      <w:r>
        <w:rPr>
          <w:rFonts w:ascii="Times New Roman" w:hAnsi="Times New Roman"/>
        </w:rPr>
        <w:t xml:space="preserve">  </w:t>
      </w:r>
      <w:r>
        <w:rPr>
          <w:rFonts w:ascii="Times New Roman" w:hAnsi="Times New Roman"/>
          <w:sz w:val="17"/>
        </w:rPr>
        <w:t>A phantom unit entitles the grantee to receive, upon the vesting of the phantom unit, a common unit (or cash equivalent, depending on the terms of the grant).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grants of approximately 672,400, 1,127,420 and 713,100 unvested phantom units were outstanding under the 1998 LTIP, 2005 LTIP and PPX Successor LTIP, respectively, and approximately 235,327, 1,285,247 and 700,809 remained available for future grant, respectively. The compensation committee or board of directors may, in the future, make additional grants under the Plans to employees and directors containing such terms as the compensation committee or board of directors shall determine, including DERs with respect to phantom units. DERs entitle the grantee to a cash payment, either while the award is outstanding or upon vesting, equal to any cash distributions paid on a unit while the award is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issuance of the common units upon vesting of phantom units is primarily intended to serve as a means of incentive compensation for performance. Therefore, no consideration is paid to us by the plan participants upon receipt of the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Unit Options.</w:t>
      </w:r>
      <w:r>
        <w:rPr>
          <w:rFonts w:ascii="Times New Roman" w:hAnsi="Times New Roman"/>
        </w:rPr>
        <w:t xml:space="preserve">  </w:t>
      </w:r>
      <w:r>
        <w:rPr>
          <w:rFonts w:ascii="Times New Roman" w:hAnsi="Times New Roman"/>
          <w:sz w:val="17"/>
        </w:rPr>
        <w:t>Although the Plans currently permit the grant of options covering common units, no options have been granted under the Plans to 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 Partners Performance Option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2001, certain owners of the general partner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Because the awards are for services provided to the general partner, the expense associated with the awards is recorded on the general partners financial statements. As of December 31, 2009, 5,000 options remained outstanding under the plan, all of which are fully vested. No units remain available for future grant. The original exercise price of the options was $22 per unit, declining over time by an amount equal to 80% of each quarterly distribution per unit. As of December 31, 2009, the exercise price was approximately $3.232 per unit. Because the units underlying the plan were contributed to the general partner, we have no obligation to reimburse the general partner for the cost of the units upon exercise of the options.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August 2007, the owners of Plains AAP, L.P. authorized the creation and issuance of up to 200,000 Class B units of Plains AAP, L.P. and authorized the compensation committee of Plains All American GP LLC to issue grants of Class B units to create long-term incentives for our management. The entire economic burden of the Class B units, which are equity classified, is borne solely by Plains AAP, L.P. and does not impact our cash or units outstanding. Therefore, we recognize the grant date fair value of the Class B units as compensation expense over the service period. The expense is also reflected as a capital contribution, and thus results in a corresponding credit to Partners Capital in our Consolidated Financial Statements. The expense and capital contribution for the twelve months ended December 31, 2009 was approximately $5 million. We will not be obligated to reimburse Plains AAP, L.P. for such costs and any distributions made on the Class B units will not reduce the amount of cash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116</w:t>
      </w:r>
      <w:bookmarkStart w:id="139" w:name="PB_116_092157_6479"/>
      <w:bookmarkEnd w:id="1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available for distribution to our unitholders. Each Class B unit represents a profits interest in Plains AAP, L.P., which entitles the holder to participate in future profits and losses from operations, current distributions from operations, and an interest in future appreciation or depreciation in Plains AAP, L.P.s asset values. As of December 31, 2009, 165,500 Class B units were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outstanding Class B units are subject to restrictions on transfer and generally become earned (entitled to participate in distributions) in percentage increments when the annualized quarterly distributions on our common units equal or exceed certain thresholds. Class B units granted prior to 2009 become earned in 25% increments when the annualized quarterly distributions on our common units equal or exceed $3.50, $3.75, $4.00 and $4.50 per unit.  Class B units granted in 2009 become earned in increments of 37.5%, 37.5% and 25% 180 days after we pay annualized quarterly distributions on our common units of $3.75, $4.00 and $4.50, respectively.  Upon achievement of these performance thresholds (or, in some cases, within six months thereafter), the Class B units will be entitled to their proportionate share of all quarterly cash distributions made by Plains AAP, L.P. in excess of $11 million per quarter (as adjusted for debt service costs and excluding special distributions funded by debt). Assuming all authorized Class B units are issued, the maximum participation would be 8% of the amount in excess of $11 million per quarter, as adjusted. As of December 31, 2009, approximately 25% of the outstanding Class B units granted prior to 2009 had been earned and none of the Class B units granted in 2009 had been earned.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for any reason prior to January 1, 2016, other than a termination of employment by the employee for good reason or by Plains All American GP LLC other than for cause (as defined). Upon the occurrence of a change of control (as defined), (i) all earned units will vest (no longer be subject to Plains AAP, L.P.s call right), (ii) to the extent any of the units granted prior to 2009 are unearned at the time, an incremental 25% of the units originally awarded will vest, (iii) if none of the units granted in 2009 have been earned at the time, 37.5% will vest, (iv) if 37.5% of the units granted in 2009 have been earned at the time, then an additional 37.5% will vest and (v) if 75% of the units granted in 2009 have been earned at the time, then the remaining 25% will vest. All earned Class B units will also vest if they remain outstanding as of January 1, 2016 or Plains AAP, L.P. elects not to timely exercise its call right.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Vulcan Energy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Vulcan Energy and its affiliates owned approximately 50.1% of our general partner interest, as well as approximately 9% of our outstanding limited partner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Voting Agreement.</w:t>
      </w:r>
      <w:r>
        <w:rPr>
          <w:rFonts w:ascii="Times New Roman" w:hAnsi="Times New Roman"/>
        </w:rPr>
        <w:t xml:space="preserve">  </w:t>
      </w:r>
      <w:r>
        <w:rPr>
          <w:rFonts w:ascii="Times New Roman" w:hAnsi="Times New Roman"/>
          <w:sz w:val="17"/>
        </w:rPr>
        <w:t>In August 2005, Vulcan Energys ownership interest in our general partner increased from 44% to over 50%. At the closing of the transaction, Vulcan Energy entered into a voting agreement that restricts its ability to unilaterally elect or remove the independent directors serving on our audit committee and separately, our CEO and COO agreed, subject to certain ongoing conditions, to waive certain change-of-control payment rights that would otherwise have been triggered by the increase in Vulcan Energys ownership interest. These ownership changes to our general partner had no material impact on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Another owner of GP LLC, Lynx Holdings I, LLC, agreed to restrict certain of its voting rights with respect to its approximate 1.4% membership interest in GP LLC. See Item 10. Directors and Executive Officers of Our General Partner and Corporate GovernancePartnership Management and Governance.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Administrative Services Agreement.</w:t>
      </w:r>
      <w:r>
        <w:rPr>
          <w:rFonts w:ascii="Times New Roman" w:hAnsi="Times New Roman"/>
        </w:rPr>
        <w:t xml:space="preserve">  </w:t>
      </w:r>
      <w:r>
        <w:rPr>
          <w:rFonts w:ascii="Times New Roman" w:hAnsi="Times New Roman"/>
          <w:sz w:val="17"/>
        </w:rPr>
        <w:t xml:space="preserve">On October 14, 2005,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 million. Beginning in October 2008, the Services Agreement automatically renews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117</w:t>
      </w:r>
      <w:bookmarkStart w:id="140" w:name="PB_117_092157_2639"/>
      <w:bookmarkEnd w:id="1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 its affiliates then GP LLC is entitled to suspend the provision of that service and such a suspension will not constitute a breach of the Services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Omnibus Agreement.</w:t>
      </w:r>
      <w:r>
        <w:rPr>
          <w:rFonts w:ascii="Times New Roman" w:hAnsi="Times New Roman"/>
        </w:rPr>
        <w:t xml:space="preserve">  </w:t>
      </w:r>
      <w:r>
        <w:rPr>
          <w:rFonts w:ascii="Times New Roman" w:hAnsi="Times New Roman"/>
          <w:sz w:val="17"/>
        </w:rPr>
        <w:t>PAA, GP LLC, certain affiliated entities and Vulcan Energy are parties to an amended and restated omnibus agreement dated as of July 23, 2004. Pursuant to this agreement, Vulcan Energy has agreed, so long as Vulcan Energy or any of its affiliates owns an interest, directly or indirectly, in GP LLC, not to engage in or acquire any business engaged in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crude oil storage, terminalling and gathering activities in any state in the United States (except for Hawaii), the Outer Continental Shelf of the United States or any province or territory in Canada, for any person other than entities affiliated with Vulcan Energy and its affiliates (collectively, the Vulcan entities) or GP LLC, PAA, its operating partnerships and any controlled affiliates (collectively, the Plains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crude oil marketing activities;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transportation of crude oil by pipeline in any state in the United States (except for Hawaii), the Outer Continental Shelf of the United States or any province or territory in Canada, for any person other than the Plains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restrictions are subject to specified permitted exceptions and may be terminated by Vulcan Energy upon certain change of control events involving Vulcan Energy. The omnibus agreement further permits, except as otherwise restricted by the omnibus agreement or any other agreement, each Vulcan entity to engage in any business activity, including those that may be in direct competition with the Plains entities. Further, any owner of equity interests in Vulcan Energy may make passive investments in PAAs competitors so long as such owner does not directly or indirectly use any knowledge or confidential information it received through the ownership by a Plains entity to compete, or to engage in or become interested financially in any person that competes, in the restricted activities described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Indemnification Arrangement.</w:t>
      </w:r>
      <w:r>
        <w:rPr>
          <w:rFonts w:ascii="Times New Roman" w:hAnsi="Times New Roman"/>
        </w:rPr>
        <w:t xml:space="preserve">  </w:t>
      </w:r>
      <w:r>
        <w:rPr>
          <w:rFonts w:ascii="Times New Roman" w:hAnsi="Times New Roman"/>
          <w:sz w:val="17"/>
        </w:rPr>
        <w:t>In 2001, in connection with the transfer of interests in our general partner, Vulcan Energy (as successor in interest to the owner of our former general partner) agreed to indemnify us for (i) any claims relating to securities laws or regulations in connection with the upstream or midstream businesses, based on acts or omissions, or alleged acts or omissions, occurring on or prior to June 8, 2001, or (ii) any claims relating to the operation of the upstream business, whenever arising.  In addition, we agreed to indemnify Vulcan Energy for any claims relating to the operation of the midstream business, whenever arising.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Purchases.</w:t>
      </w:r>
      <w:r>
        <w:rPr>
          <w:rFonts w:ascii="Times New Roman" w:hAnsi="Times New Roman"/>
        </w:rPr>
        <w:t xml:space="preserve">  </w:t>
      </w:r>
      <w:r>
        <w:rPr>
          <w:rFonts w:ascii="Times New Roman" w:hAnsi="Times New Roman"/>
          <w:sz w:val="17"/>
        </w:rPr>
        <w:t>From August 2005 to May 2007, Calumet Florida L.L.C. (Calumet) was owned by Vulcan Resources Florida, Inc., the majority of which is owned by Paul G. Allen. In May 2007, Calumet was sold and ceased to be related to Vulcan Energy. In 2007, until the date that Calumet ceased to be related to Vulcan Energy, we purchased crude oil from Calumet for approximately $17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w:t>
      </w:r>
      <w:r>
        <w:rPr>
          <w:rFonts w:ascii="Times New Roman" w:hAnsi="Times New Roman"/>
        </w:rPr>
        <w:t xml:space="preserve">  </w:t>
      </w:r>
      <w:r>
        <w:rPr>
          <w:rFonts w:ascii="Times New Roman" w:hAnsi="Times New Roman"/>
          <w:sz w:val="17"/>
        </w:rPr>
        <w:t>In addition to those relationships described above, we have engaged in other transactions with affiliates of Vulcan Energy. See Natural Gas Storage Investment.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Natural Gas Storage Investment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September 2005, we and Vulcan Gas Storage LLC, a subsidiary of Vulcan LLC, an investment arm of Paul G. Allen, formed PAA/Vulcan Gas Storage, LLC to acquire ECI (now known as PAA Natural Gas Storage, LLC or PNGS), an indirect subsidiary of Sempra Energy, for approximately $250 million.  We and Vulcan Gas Storage each made an initial cash investment of approximately $113 million and Bluewater Natural Gas Holdings, LLC, a subsidiary of PAA/Vulcan, entered into a $90 million credit facility contemporaneously with closing.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 distributions did not result in an increase or decrease to our ownership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118</w:t>
      </w:r>
      <w:bookmarkStart w:id="141" w:name="PB_118_092157_2794"/>
      <w:bookmarkEnd w:id="1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3, 2009, one of our subsidiaries acquired the remaining 50% interest in PAA/Vulcan from Vulcan Gas Storage LLC, which resulted in our ownership of a 100% interest in PNGS.  The purchase price for the transaction consisted of $90 million in cash paid at closing, 1,907,305 common units issued to Vulcan Gas Storage at closing, and up to $40 million of deferred/contingent cash consideration.  The deferred/contingent consideration is payable in cash in two installments of $20 million each upon achievement of certain performance milestones and events expected to occur over the next several years.  At closing of the acquisition, we repaid all of PNGSs outstanding debt.  Mr. Temple had a profits interest in Vulcan Gas Storage from September 2008 until December 2009. The Board of Directors appointed a conflicts committee in connection with this transaction.  After engaging in a process of review and deliberation, the conflicts committee determined that the transaction was fair and reasonable.  See Review, Approval or Ratification of Transactions with Related Persons below.</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Tank Car Lease and CANPET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2001, we acquired the assets of CANPET Energy Group Inc. (CANPET). Mr. W. David Duckett, the President of PMC (Nova Scotia) Company, the general partner of Plains Marketing Canada, L.P., owned approximately 38% of CANPET. In connection with the CANPET acquisition, Plains Marketing Canada, L.P. assumed CANPETs rights and obligations under a Master Railcar Leasing Agreement between CANPET and Pivotal Enterprises Corporation (Pivotal). The agreement provides for Plains Marketing Canada, L.P. to lease approximately 57 railcars from Pivotal at a lease price of $1,000 (Canadian) per month, per car. Mr. Duckett owns a 23% interest in Pivotal. The railcars were sold and the lease was assigned by Pivotal to the Andrews Companies LLC in 2007.</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2008 and 2007, we purchased approximately $2.2 million, $3.6 million and $1.7 million, respectively, of oil from companies owned and controlled by funds managed by KACALP. We pay the same amount per barrel to these companies that we pay to other producers in the area.</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Review, Approval or Ratification of Transactions with Related Persons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our Governance Guidelines, a director is expected to bring to the attention of the CEO or the board any conflict or potential conflict of interest that may arise between the director or any affiliate of the director, on the one hand, and the Partnership or GP LLC on the other. The resolution of any such conflict or potential conflict should, at the discretion of the board in light of the circumstances, be determined by a majority of the disinterested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 conflict or potential conflict of interest arises between the Partnership and GP LLC, the resolution of any such conflict or potential conflict should be addressed by the board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 Such resolution may include resolution of any derivative conflicts created by an executive officers ownership of interests in GP LLC or a directors appointment by an owner of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our Code of Business Conduct, any Executive Officer must avoid conflicts of interest unless approved by the board of directors.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case of any sale of equity by the Partnership in which an owner or affiliate of an owner of our general partner participates, our practice is to obtain general approval of the full board for the transaction. The board typically delegates authority to set the specific terms to a pricing committee, consisting of the CEO and one independent director. Actions by the pricing committee require unanimous approval.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119</w:t>
      </w:r>
      <w:bookmarkStart w:id="142" w:name="PB_119_092157_8299"/>
      <w:bookmarkEnd w:id="1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14.  </w:t>
      </w:r>
      <w:r>
        <w:rPr>
          <w:rFonts w:ascii="Times New Roman" w:hAnsi="Times New Roman"/>
          <w:b/>
          <w:i/>
          <w:sz w:val="17"/>
        </w:rPr>
        <w:t>Principal Accountant Fees and Services</w:t>
      </w:r>
      <w:bookmarkStart w:id="143" w:name="Item14_PrincipalAccountantFeesAnd_065907"/>
      <w:bookmarkEnd w:id="14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aggregate fees billed for professional services rendered by our independent auditor (in millions):</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4419"/>
        <w:gridCol w:w="229"/>
        <w:gridCol w:w="112"/>
        <w:gridCol w:w="1126"/>
        <w:gridCol w:w="229"/>
        <w:gridCol w:w="112"/>
        <w:gridCol w:w="1126"/>
        <w:gridCol w:w="96"/>
      </w:tblGrid>
      <w:tr>
        <w:trPr/>
        <w:tc>
          <w:tcPr>
            <w:tcW w:w="4419" w:type="dxa"/>
            <w:tcBorders/>
            <w:shd w:fill="auto" w:val="clear"/>
            <w:vAlign w:val="bottom"/>
          </w:tcPr>
          <w:p>
            <w:pPr>
              <w:pStyle w:val="TableContents"/>
              <w:spacing w:before="0" w:after="0"/>
              <w:ind w:left="0" w:right="0" w:hanging="0"/>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27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w:t>
              <w:br/>
              <w:t>December 31,</w:t>
            </w:r>
          </w:p>
        </w:tc>
        <w:tc>
          <w:tcPr>
            <w:tcW w:w="96" w:type="dxa"/>
            <w:tcBorders/>
            <w:shd w:fill="auto" w:val="clear"/>
            <w:vAlign w:val="bottom"/>
          </w:tcPr>
          <w:p>
            <w:pPr>
              <w:pStyle w:val="TableContents"/>
              <w:spacing w:before="0" w:after="0"/>
              <w:ind w:left="0" w:right="0" w:hanging="0"/>
              <w:jc w:val="center"/>
              <w:rPr/>
            </w:pPr>
            <w:r>
              <w:rPr/>
              <w:t> </w:t>
            </w:r>
          </w:p>
        </w:tc>
      </w:tr>
      <w:tr>
        <w:trPr/>
        <w:tc>
          <w:tcPr>
            <w:tcW w:w="4419" w:type="dxa"/>
            <w:tcBorders/>
            <w:shd w:fill="auto" w:val="clear"/>
            <w:vAlign w:val="bottom"/>
          </w:tcPr>
          <w:p>
            <w:pPr>
              <w:pStyle w:val="TableContents"/>
              <w:spacing w:before="0" w:after="0"/>
              <w:ind w:left="0" w:right="0" w:hanging="0"/>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9"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96" w:type="dxa"/>
            <w:tcBorders/>
            <w:shd w:fill="auto" w:val="clear"/>
            <w:vAlign w:val="bottom"/>
          </w:tcPr>
          <w:p>
            <w:pPr>
              <w:pStyle w:val="TableContents"/>
              <w:spacing w:before="0" w:after="0"/>
              <w:ind w:left="0" w:right="0" w:hanging="0"/>
              <w:jc w:val="center"/>
              <w:rPr/>
            </w:pPr>
            <w:r>
              <w:rPr/>
              <w:t> </w:t>
            </w:r>
          </w:p>
        </w:tc>
      </w:tr>
      <w:tr>
        <w:trPr/>
        <w:tc>
          <w:tcPr>
            <w:tcW w:w="4419" w:type="dxa"/>
            <w:tcBorders/>
            <w:shd w:fill="CCEEFF" w:val="clear"/>
            <w:vAlign w:val="bottom"/>
          </w:tcPr>
          <w:p>
            <w:pPr>
              <w:pStyle w:val="TableContents"/>
              <w:spacing w:before="0" w:after="0"/>
              <w:ind w:left="0" w:right="0" w:hanging="0"/>
              <w:rPr/>
            </w:pPr>
            <w:r>
              <w:rPr>
                <w:rFonts w:ascii="Times New Roman" w:hAnsi="Times New Roman"/>
                <w:sz w:val="17"/>
              </w:rPr>
              <w:t>Audit fees</w:t>
            </w:r>
            <w:r>
              <w:rPr>
                <w:sz w:val="11"/>
              </w:rPr>
              <w:t>(1)</w:t>
            </w:r>
          </w:p>
        </w:tc>
        <w:tc>
          <w:tcPr>
            <w:tcW w:w="229"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9"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96" w:type="dxa"/>
            <w:tcBorders/>
            <w:shd w:fill="CCEEFF" w:val="clear"/>
            <w:vAlign w:val="bottom"/>
          </w:tcPr>
          <w:p>
            <w:pPr>
              <w:pStyle w:val="TableContents"/>
              <w:spacing w:before="0" w:after="0"/>
              <w:ind w:left="0" w:right="0" w:hanging="0"/>
              <w:rPr/>
            </w:pPr>
            <w:r>
              <w:rPr/>
              <w:t> </w:t>
            </w:r>
          </w:p>
        </w:tc>
      </w:tr>
      <w:tr>
        <w:trPr/>
        <w:tc>
          <w:tcPr>
            <w:tcW w:w="4419" w:type="dxa"/>
            <w:tcBorders/>
            <w:shd w:fill="auto" w:val="clear"/>
            <w:vAlign w:val="bottom"/>
          </w:tcPr>
          <w:p>
            <w:pPr>
              <w:pStyle w:val="TableContents"/>
              <w:spacing w:before="0" w:after="0"/>
              <w:ind w:left="0" w:right="0" w:hanging="0"/>
              <w:rPr/>
            </w:pPr>
            <w:r>
              <w:rPr>
                <w:rFonts w:ascii="Times New Roman" w:hAnsi="Times New Roman"/>
                <w:sz w:val="17"/>
              </w:rPr>
              <w:t>Audit-related fees</w:t>
            </w:r>
            <w:r>
              <w:rPr>
                <w:sz w:val="11"/>
              </w:rPr>
              <w:t>(2)</w:t>
            </w:r>
          </w:p>
        </w:tc>
        <w:tc>
          <w:tcPr>
            <w:tcW w:w="229"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29"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96" w:type="dxa"/>
            <w:tcBorders/>
            <w:shd w:fill="auto" w:val="clear"/>
            <w:vAlign w:val="bottom"/>
          </w:tcPr>
          <w:p>
            <w:pPr>
              <w:pStyle w:val="TableContents"/>
              <w:spacing w:before="0" w:after="0"/>
              <w:ind w:left="0" w:right="0" w:hanging="0"/>
              <w:rPr/>
            </w:pPr>
            <w:r>
              <w:rPr/>
              <w:t> </w:t>
            </w:r>
          </w:p>
        </w:tc>
      </w:tr>
      <w:tr>
        <w:trPr/>
        <w:tc>
          <w:tcPr>
            <w:tcW w:w="4419" w:type="dxa"/>
            <w:tcBorders/>
            <w:shd w:fill="CCEEFF" w:val="clear"/>
            <w:vAlign w:val="bottom"/>
          </w:tcPr>
          <w:p>
            <w:pPr>
              <w:pStyle w:val="TableContents"/>
              <w:spacing w:before="0" w:after="0"/>
              <w:ind w:left="0" w:right="0" w:hanging="0"/>
              <w:rPr/>
            </w:pPr>
            <w:r>
              <w:rPr>
                <w:rFonts w:ascii="Times New Roman" w:hAnsi="Times New Roman"/>
                <w:sz w:val="17"/>
              </w:rPr>
              <w:t>Tax fees</w:t>
            </w:r>
            <w:r>
              <w:rPr>
                <w:sz w:val="11"/>
              </w:rPr>
              <w:t>(3)</w:t>
            </w:r>
          </w:p>
        </w:tc>
        <w:tc>
          <w:tcPr>
            <w:tcW w:w="229"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29"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96" w:type="dxa"/>
            <w:tcBorders/>
            <w:shd w:fill="CCEEFF" w:val="clear"/>
            <w:vAlign w:val="bottom"/>
          </w:tcPr>
          <w:p>
            <w:pPr>
              <w:pStyle w:val="TableContents"/>
              <w:spacing w:before="0" w:after="0"/>
              <w:ind w:left="0" w:right="0" w:hanging="0"/>
              <w:rPr/>
            </w:pPr>
            <w:r>
              <w:rPr/>
              <w:t> </w:t>
            </w:r>
          </w:p>
        </w:tc>
      </w:tr>
      <w:tr>
        <w:trPr/>
        <w:tc>
          <w:tcPr>
            <w:tcW w:w="4419" w:type="dxa"/>
            <w:tcBorders/>
            <w:shd w:fill="auto" w:val="clear"/>
            <w:vAlign w:val="bottom"/>
          </w:tcPr>
          <w:p>
            <w:pPr>
              <w:pStyle w:val="TableContents"/>
              <w:spacing w:before="0" w:after="0"/>
              <w:ind w:left="0" w:right="0" w:hanging="0"/>
              <w:rPr/>
            </w:pPr>
            <w:r>
              <w:rPr>
                <w:rFonts w:ascii="Times New Roman" w:hAnsi="Times New Roman"/>
                <w:sz w:val="17"/>
              </w:rPr>
              <w:t>All other fees</w:t>
            </w:r>
            <w:r>
              <w:rPr>
                <w:sz w:val="11"/>
              </w:rPr>
              <w:t>(4)</w:t>
            </w:r>
          </w:p>
        </w:tc>
        <w:tc>
          <w:tcPr>
            <w:tcW w:w="229"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29"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96" w:type="dxa"/>
            <w:tcBorders/>
            <w:shd w:fill="auto" w:val="clear"/>
            <w:vAlign w:val="bottom"/>
          </w:tcPr>
          <w:p>
            <w:pPr>
              <w:pStyle w:val="TableContents"/>
              <w:spacing w:before="0" w:after="0"/>
              <w:ind w:left="0" w:right="0" w:hanging="0"/>
              <w:rPr/>
            </w:pPr>
            <w:r>
              <w:rPr/>
              <w:t> </w:t>
            </w:r>
          </w:p>
        </w:tc>
      </w:tr>
      <w:tr>
        <w:trPr/>
        <w:tc>
          <w:tcPr>
            <w:tcW w:w="44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29"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29"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9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Audit fees include those related to our annual audit (including internal control evaluation and reporting), audits of our general partner and certain joint ventures of which we are the operator, and work performed on our registration of publicly-held debt and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Audit-related fees primarily relate to audits of our benefit plans and carve-out audits of acquired companies.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Tax fees are related to tax processing as well as the preparation of Forms K-1 for our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All other fees primarily consist of those associated with due diligence performed on our behalf and evaluating potential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Pre-Approval Policy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services provided by our independent auditor are subject to pre-approval by our audit committee. The audit committee has instituted a policy that describes certain pre-approved non-audit services. We believe that the description of services is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policy. All services provided by our independent auditor during the years ended December 31, 2009 and 2008 were approved in advance by our audit committee.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120</w:t>
      </w:r>
      <w:bookmarkStart w:id="144" w:name="PB_120_092157_8247"/>
      <w:bookmarkEnd w:id="1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IV</w:t>
      </w:r>
      <w:bookmarkStart w:id="145" w:name="Partiv_125056"/>
      <w:bookmarkEnd w:id="14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Item 15.  </w:t>
      </w:r>
      <w:r>
        <w:rPr>
          <w:rFonts w:ascii="Times New Roman" w:hAnsi="Times New Roman"/>
          <w:b/>
          <w:i/>
          <w:sz w:val="17"/>
        </w:rPr>
        <w:t>Exhibits and Financial Statement Schedules</w:t>
      </w:r>
      <w:bookmarkStart w:id="146" w:name="Item15_ExhibitsAndFinancialStatem_141829"/>
      <w:bookmarkEnd w:id="146"/>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(a) (1)</w:t>
      </w:r>
      <w:r>
        <w:rPr>
          <w:rFonts w:ascii="Times New Roman" w:hAnsi="Times New Roman"/>
        </w:rPr>
        <w:t xml:space="preserve">                </w:t>
      </w:r>
      <w:r>
        <w:rPr>
          <w:rFonts w:ascii="Times New Roman" w:hAnsi="Times New Roman"/>
          <w:i/>
          <w:sz w:val="17"/>
        </w:rPr>
        <w:t>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Index to the Consolidated Financial Statements set forth on Page F-1.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i/>
          <w:sz w:val="17"/>
        </w:rPr>
        <w:t>Financial Statement Schedules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schedules are omitted because they are either not applicable or the required information is shown in the consolidated financial statements or notes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i/>
          <w:sz w:val="17"/>
        </w:rPr>
        <w:t>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36"/>
        <w:gridCol w:w="727"/>
        <w:gridCol w:w="8542"/>
      </w:tblGrid>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3.2 to the Current Report on Form 8-K filed August 7, 2008).</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121</w:t>
      </w:r>
      <w:bookmarkStart w:id="147" w:name="PB_121_092733_5335"/>
      <w:bookmarkEnd w:id="1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5"/>
        <w:gridCol w:w="729"/>
        <w:gridCol w:w="8541"/>
      </w:tblGrid>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122</w:t>
      </w:r>
      <w:bookmarkStart w:id="148" w:name="PB_122_092733_5796"/>
      <w:bookmarkEnd w:id="1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6"/>
        <w:gridCol w:w="727"/>
        <w:gridCol w:w="8542"/>
      </w:tblGrid>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4.12</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4.15</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pPr>
            <w:r>
              <w:rPr>
                <w:rFonts w:ascii="Times New Roman" w:hAnsi="Times New Roman"/>
                <w:sz w:val="17"/>
              </w:rPr>
              <w:t>Indenture dated September 23, 2005 among Pacific Energy Partners, L.P., PAA Finance Corp. (f/k/a Pacific Energy Finance Corporation), the Guarantors named therein, and Wells Fargo Bank, National Association, as trustee of the 6</w:t>
            </w:r>
            <w:r>
              <w:rPr>
                <w:sz w:val="11"/>
              </w:rPr>
              <w:t>1</w:t>
            </w:r>
            <w:r>
              <w:rPr>
                <w:sz w:val="17"/>
              </w:rPr>
              <w:t>/</w:t>
            </w:r>
            <w:r>
              <w:rPr>
                <w:sz w:val="11"/>
              </w:rPr>
              <w:t>4</w:t>
            </w:r>
            <w:r>
              <w:rPr>
                <w:sz w:val="17"/>
              </w:rPr>
              <w:t>% senior notes due 2015 (incorporated by reference to Exhibit 4.1 to Pacific Energy Partners, L.P.s Current Report on Form 8-K filed September 28, 2005).</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c>
          <w:tcPr>
            <w:tcW w:w="936" w:type="dxa"/>
            <w:tcBorders/>
            <w:shd w:fill="auto" w:val="clear"/>
          </w:tcPr>
          <w:p>
            <w:pPr>
              <w:pStyle w:val="TableContents"/>
              <w:spacing w:before="0" w:after="0"/>
              <w:ind w:left="0" w:right="0" w:hanging="0"/>
              <w:jc w:val="right"/>
              <w:rPr/>
            </w:pPr>
            <w:r>
              <w:rPr/>
              <w:t> </w:t>
            </w:r>
          </w:p>
        </w:tc>
        <w:tc>
          <w:tcPr>
            <w:tcW w:w="727" w:type="dxa"/>
            <w:tcBorders/>
            <w:shd w:fill="auto" w:val="clear"/>
          </w:tcPr>
          <w:p>
            <w:pPr>
              <w:pStyle w:val="TableContents"/>
              <w:spacing w:before="0" w:after="0"/>
              <w:ind w:left="0" w:right="0" w:hanging="0"/>
              <w:jc w:val="center"/>
              <w:rPr/>
            </w:pPr>
            <w:r>
              <w:rPr/>
              <w:t> </w:t>
            </w:r>
          </w:p>
        </w:tc>
        <w:tc>
          <w:tcPr>
            <w:tcW w:w="8542"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72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123</w:t>
      </w:r>
      <w:bookmarkStart w:id="149" w:name="PB_123_092733_2897"/>
      <w:bookmarkEnd w:id="1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6"/>
        <w:gridCol w:w="729"/>
        <w:gridCol w:w="8540"/>
      </w:tblGrid>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Amended and Restated Credit Agreement dated as of July 31, 2006 by and among Plains All American Pipeline, L.P., as US Borrower; PMC (Nova Scotia) Company and Plains Marketing Canada, L.P., as Canadian Borrowers; Bank of America, N.A., as Administrative Agent; Bank of America, N.A., acting through its Canada Branch, as Canadian Administrative Agent; Wachovia Bank, National Association and J. P. Morgan Chase Bank, N.A., as Co-Syndication Agents; Fortis Capital Corp., Citibank, N.A., BNP Paribas, UBS Securities LLC, SunTrust Bank, and The Bank of Nova Scotia, as Co-Documentation Agents; the Lenders party thereto; and Banc of America Securities LLC and Wachovia Capital Markets, LLC, as Joint Lead Arrangers and Joint Book Managers (incorporated by reference to Exhibit 10.1 to the Current Report on Form 8-K filed August 4, 2006).</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Crude Oil Marketing Agreement dated as of July 23, 2004, among Plains Resources Inc., Calumet Florida Inc. and Plains Marketing, L.P. (incorporated by reference to Exhibit 10.2 to the Quarterly Report on Form 10-Q for the quarter ended June 30, 2004).</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10.7**</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936"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10.8**</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2005 Long-Term Incentive Plan (incorporated by reference to Exhibit 10.1 to the Current Report on Form 8-K filed January 26, 2005).</w:t>
            </w:r>
          </w:p>
        </w:tc>
      </w:tr>
      <w:tr>
        <w:trPr/>
        <w:tc>
          <w:tcPr>
            <w:tcW w:w="936"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10.9**</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936"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10.10**</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2001 Performance Option Plan (incorporated by reference to Exhibit 99.2 to the Registration Statement on Form S-8 filed December 11, 2001, File No. 333-74920).</w:t>
            </w:r>
          </w:p>
        </w:tc>
      </w:tr>
      <w:tr>
        <w:trPr/>
        <w:tc>
          <w:tcPr>
            <w:tcW w:w="936"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10.11**</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936"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10.12**</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10.13</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Asset Purchase and Sale Agreement dated February 28, 2001 between Murphy Oil Company Ltd. and Plains Marketing Canada, L.P. (incorporated by reference to Exhibit 99.1 to the Current Report on Form 8-K filed May 10, 2001).</w:t>
            </w:r>
          </w:p>
        </w:tc>
      </w:tr>
      <w:tr>
        <w:trPr/>
        <w:tc>
          <w:tcPr>
            <w:tcW w:w="936"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0"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Agreement dated July 30, 1993, between All American Pipeline Company and Exxon Company, U.S.A. (incorporated by reference to Exhibit 10.9 to the Registration Statement on Form S-1 filed September 23, 1998, File No. 333-64107).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124</w:t>
      </w:r>
      <w:bookmarkStart w:id="150" w:name="PB_124_092733_3020"/>
      <w:bookmarkEnd w:id="1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6"/>
        <w:gridCol w:w="728"/>
        <w:gridCol w:w="8541"/>
      </w:tblGrid>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10.15</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10.16</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Contribution, Conveyance and Assumption Agreement dated as of December 15, 1998 (incorporated by reference to Exhibit 10.13 to the Annual Report on Form 10-K for the year ended December 31, 1998).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10.18**</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Inc. 1998 Management Incentive Plan (incorporated by reference to Exhibit 10.5 to the Annual Report on Form 10-K for the year ended December 31, 1998).</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10.19**</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PMC (Nova Scotia) Company Bonus Program (incorporated by reference to Exhibit 10.20 to the Annual Report on Form 10-K for the year ended December 31, 2004).</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10.20**</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Quarterly Bonus Program Summary (incorporated by reference to Exhibit 10.21 to the Annual Report on Form 10-K for the year ended December 31,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pPr>
            <w:r>
              <w:rPr>
                <w:rFonts w:ascii="Times New Roman" w:hAnsi="Times New Roman"/>
                <w:sz w:val="17"/>
              </w:rPr>
              <w:t>10.21**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Directors Compensation Summary.</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Railcar Leasing Agreement dated as of May 25, 1998 (effective June 1, 1998), between Pivotal Enterprises Corporation and CANPET Energy Group, Inc., (incorporated by reference to Exhibit 10.16 to the Annual Report on Form 10-K for the year ended December 31, 2001).</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10.23**</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(Armstrong/Pefanis) (incorporated by reference to Exhibit 10.24 to the Annual Report on Form 10-K for the year ended December 31,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10.24**</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(executive officers) (incorporated by reference to Exhibit 10.3 to the Current Report on Form 8-K filed April 1,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10.25**</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(independent directors) (incorporated by reference to Exhibit 10.3 to the Current Report on Form 8-K filed February 23,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10.26**</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(designated directors) (incorporated by reference to Exhibit 10.4 to the Current Report on Form 8-K filed February 23,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10.27**</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(payment to entity) (incorporated by reference to Exhibit 10.5 to the Current Report on Form 8-K filed February 23,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10.28**</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Performance Option Grant Letter (incorporated by reference to Exhibit 10.1 to the Current Report on Form 8-K filed April 1, 2005).</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10.29</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Administrative Services Agreement between Plains All American GP LLC and Vulcan Energy Corporation dated October 14, 2005 (incorporated by reference to Exhibit 1.1 to the Current Report on Form 8-K filed October 19, 2005).</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Membership Interest Purchase Agreement by and between Sempra Energy Trading Corp. and PAA/Vulcan Gas Storage, LLC dated August 19, 2005 (incorporated by reference to Exhibit 1.2 to the Current Report on Form 8-K filed September 19,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10.31**</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Agreement dated as of August 12, 2005 between Plains All American GP LLC and Greg L. Armstrong (incorporated by reference to Exhibit 10.1 to the Current Report on Form 8-K filed August 16, 2005).</w:t>
            </w:r>
          </w:p>
        </w:tc>
      </w:tr>
      <w:tr>
        <w:trPr/>
        <w:tc>
          <w:tcPr>
            <w:tcW w:w="936" w:type="dxa"/>
            <w:tcBorders/>
            <w:shd w:fill="auto" w:val="clear"/>
          </w:tcPr>
          <w:p>
            <w:pPr>
              <w:pStyle w:val="TableContents"/>
              <w:spacing w:before="0" w:after="0"/>
              <w:ind w:left="115" w:right="115"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10.32**</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Agreement dated as of August 12, 2005 between Plains All American GP LLC and Harry N. Pefanis (incorporated by reference to Exhibit 10.2 to the Current Report on Form 8-K filed August 16, 2005).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125</w:t>
      </w:r>
      <w:bookmarkStart w:id="151" w:name="PB_125_092733_7748"/>
      <w:bookmarkEnd w:id="1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5"/>
        <w:gridCol w:w="729"/>
        <w:gridCol w:w="8541"/>
      </w:tblGrid>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10.33</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Vulcan Energy GP Holdings Inc. and Plains All American GP LLC (incorporated by reference to Exhibit 10.3 to the Current Report on Form 8-K filed August 16, 2005).</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Lynx Holdings I, LLC and Plains All American GP LLC (incorporated by reference to Exhibit 10.4 to the Current Report on Form 8-K filed August 16, 2005).</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10.35**</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(executive officers) (incorporated by reference to Exhibit 10.39 to the Annual Report on Form 10-K for the year ended December 31, 2005).</w:t>
            </w:r>
          </w:p>
        </w:tc>
      </w:tr>
      <w:tr>
        <w:trPr/>
        <w:tc>
          <w:tcPr>
            <w:tcW w:w="935"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10.36**</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Employment Agreement between Plains All American GP LLC and John P. vonBerg dated December 18, 2001 (incorporated by reference to Exhibit 10.40 to the Annual Report on Form 10-K for the year ended December 31, 2005).</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10.37**</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(audit committee members) (incorporated by reference to Exhibit 10.1 to the Current Report on Form 8-K filed August 23, 2006).</w:t>
            </w:r>
          </w:p>
        </w:tc>
      </w:tr>
      <w:tr>
        <w:trPr/>
        <w:tc>
          <w:tcPr>
            <w:tcW w:w="935" w:type="dxa"/>
            <w:tcBorders/>
            <w:shd w:fill="auto" w:val="clear"/>
          </w:tcPr>
          <w:p>
            <w:pPr>
              <w:pStyle w:val="TableContents"/>
              <w:spacing w:before="0" w:after="0"/>
              <w:ind w:left="115" w:right="115"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10.38**</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PPX Successor Long-Term Incentive Plan (incorporated by reference to Exhibit 10.45 to the Annual Report on Form 10-K for the year ended December 31, 2006).</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10.39**</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Forms of LTIP Grant Letters dated February 22, 2007 (Named Executive Officers) (incorporated by reference to Exhibit 10.1 to the Quarterly Report on Form 10-Q for the quarter ended March 31, 2007).</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10.40</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dated July 31, 2007 to the Second Amended and Restated Credit Agreement [US/Canada Facilities] by and between Plains All American Pipeline, L.P., PMC (Nova Scotia) Company, Plains Marketing Canada, L.P., Rangeland Pipeline Company, Bank of America, N.A., as Administrative Agent, and the Lenders party thereto (incorporated by reference to Exhibit 10.1 to the Current Report on Form 8-K filed August 6, 2007).</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10.41**</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Separation and Release Agreement dated August 21, 2007 between Plains All American GP LLC and George R. Coiner (incorporated by reference to Exhibit 10.3 to the Quarterly Report on Form 10-Q for the quarter ended September 30, 2007).</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115" w:right="115" w:hanging="0"/>
              <w:jc w:val="right"/>
              <w:rPr>
                <w:rFonts w:ascii="Times New Roman" w:hAnsi="Times New Roman"/>
                <w:sz w:val="17"/>
              </w:rPr>
            </w:pPr>
            <w:r>
              <w:rPr>
                <w:rFonts w:ascii="Times New Roman" w:hAnsi="Times New Roman"/>
                <w:sz w:val="17"/>
              </w:rPr>
              <w:t>10.42**</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Plains AAP, L.P. Class B Restricted Units Agreement (incorporated by reference to Exhibit 10.1 to the Current Report on Form 8-K filed January 4,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Restated Credit Agreement dated as of November 6, 2008 by among Plains Marketing, L.P., Bank of America, N.A., as Administrative Agent, and the Lenders party there to (incorporated by reference to Exhibit 10.1 to the Current Report on Form 8-K filed November 7,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10.44</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Second Restated Credit Agreement dated as of October 27, 2009, by and among Plains Marketing, L.P., Bank of America, N.A., as Administrative Agent, BNP Paribas, as Syndication Agent, SOCIETE GENERALE, as Documentation Agent, Banc of America Securities LLC (BAS), BNP Paribas (BNPP) and Societe Generale, as joint lead arrangers, BAS and BNPP, as joint bookrunners, and the Lenders party thereto (incorporated by reference to Exhibit 10.1 to the Current Report on Form 8-K filed October 29, 2009).</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10.45</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Restated Guaranty Agreement dated November 6, 2008 by Plains All American Pipeline, L.P. in favor of Bank of America, N.A., as Administrative Agent (incorporated by reference to Exhibit 10.2 to the Current Report on Form 8-K filed November 7,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and Assumption Agreement dated December 28, 2007, by and between Plains AAP, L.P. and PAA GP LLC (incorporated by reference to Exhibit 10.2 to the Current Report on Form 8-K filed January 4,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10.47</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Assumption, Ratification and Confirmation Agreement dated January 1, 2008 by Plains Midstream Canada ULC in favor of the Lenders party to the Second Amended and Restated Credit Agreement [US/Canada Facilities], as amended (incorporated by reference to Exhibit 10.54 to the Annual Report on Form 10-K for the year ended December 31, 2007).</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10.48**</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Greg L. Armstrong (incorporated by reference to Exhibit 10.49 to the Annual Report on Form 10-K for the year ended December 31, 2008).</w:t>
            </w:r>
          </w:p>
        </w:tc>
      </w:tr>
      <w:tr>
        <w:trPr/>
        <w:tc>
          <w:tcPr>
            <w:tcW w:w="935" w:type="dxa"/>
            <w:tcBorders/>
            <w:shd w:fill="auto" w:val="clear"/>
          </w:tcPr>
          <w:p>
            <w:pPr>
              <w:pStyle w:val="TableContents"/>
              <w:spacing w:before="0" w:after="0"/>
              <w:ind w:left="0" w:right="0" w:hanging="0"/>
              <w:jc w:val="right"/>
              <w:rPr/>
            </w:pPr>
            <w:r>
              <w:rPr/>
              <w:t> </w:t>
            </w:r>
          </w:p>
        </w:tc>
        <w:tc>
          <w:tcPr>
            <w:tcW w:w="729"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10.49**</w:t>
            </w:r>
          </w:p>
        </w:tc>
        <w:tc>
          <w:tcPr>
            <w:tcW w:w="72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Harry N. Pefanis (incorporated by reference to Exhibit 10.50 to the Annual Report on Form 10-K for the year ended December 31, 2008).</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126</w:t>
      </w:r>
      <w:bookmarkStart w:id="152" w:name="PB_126_092733_141"/>
      <w:bookmarkEnd w:id="1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36"/>
        <w:gridCol w:w="728"/>
        <w:gridCol w:w="8541"/>
      </w:tblGrid>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10.50**</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Plains All American GP LLC 2005 Long-Term Incentive Plan dated December 4, 2008 (incorporated by reference to Exhibit 10.51 to the Annual Report on Form 10-K for the year ended December 31, 2008).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10.51**</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Amendment to Plains All American GP LLC 1998 Long-Term Incentive Plan dated December 4, 2008 (incorporated by reference to Exhibit 10.52 to the Annual Report on Form 10-K for the year ended December 31, 2008).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Amendment to LTIP grant letters (executive officers) (incorporated by reference to Exhibit 10.53 to the Annual Report on Form 10-K for the year ended December 31, 2008).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10.53**</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Amendment to LTIP grant letters (directors) (incorporated by reference to Exhibit 10.54 to the Annual Report on Form 10-K for the year ended December 31, 2008).</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12.1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936" w:type="dxa"/>
            <w:tcBorders/>
            <w:shd w:fill="auto" w:val="clear"/>
          </w:tcPr>
          <w:p>
            <w:pPr>
              <w:pStyle w:val="TableContents"/>
              <w:spacing w:before="0" w:after="0"/>
              <w:ind w:left="0" w:right="0"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21.1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List of Subsidiaries of Plains All American Pipeline, L.P.</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23.1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PricewaterhouseCoopers LLP.</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31.1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31.2</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32.1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32.2</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936" w:type="dxa"/>
            <w:tcBorders/>
            <w:shd w:fill="auto" w:val="clear"/>
          </w:tcPr>
          <w:p>
            <w:pPr>
              <w:pStyle w:val="TableContents"/>
              <w:spacing w:before="0" w:after="0"/>
              <w:ind w:left="158" w:right="158" w:hanging="0"/>
              <w:jc w:val="right"/>
              <w:rPr/>
            </w:pPr>
            <w:r>
              <w:rPr/>
              <w:t> </w:t>
            </w:r>
          </w:p>
        </w:tc>
        <w:tc>
          <w:tcPr>
            <w:tcW w:w="728" w:type="dxa"/>
            <w:tcBorders/>
            <w:shd w:fill="auto" w:val="clear"/>
          </w:tcPr>
          <w:p>
            <w:pPr>
              <w:pStyle w:val="TableContents"/>
              <w:spacing w:before="0" w:after="0"/>
              <w:ind w:left="0" w:right="0" w:hanging="0"/>
              <w:jc w:val="center"/>
              <w:rPr/>
            </w:pPr>
            <w:r>
              <w:rPr/>
              <w:t> </w:t>
            </w:r>
          </w:p>
        </w:tc>
        <w:tc>
          <w:tcPr>
            <w:tcW w:w="8541" w:type="dxa"/>
            <w:tcBorders/>
            <w:shd w:fill="auto" w:val="clear"/>
          </w:tcPr>
          <w:p>
            <w:pPr>
              <w:pStyle w:val="TableContents"/>
              <w:spacing w:before="0" w:after="0"/>
              <w:ind w:left="0" w:right="0" w:hanging="0"/>
              <w:rPr/>
            </w:pPr>
            <w:r>
              <w:rPr/>
              <w:t> </w:t>
            </w:r>
          </w:p>
        </w:tc>
      </w:tr>
      <w:tr>
        <w:trPr/>
        <w:tc>
          <w:tcPr>
            <w:tcW w:w="936" w:type="dxa"/>
            <w:tcBorders/>
            <w:shd w:fill="auto" w:val="clear"/>
          </w:tcPr>
          <w:p>
            <w:pPr>
              <w:pStyle w:val="TableContents"/>
              <w:spacing w:before="0" w:after="0"/>
              <w:ind w:left="158" w:right="158" w:hanging="0"/>
              <w:jc w:val="right"/>
              <w:rPr/>
            </w:pPr>
            <w:r>
              <w:rPr>
                <w:rFonts w:ascii="Times New Roman" w:hAnsi="Times New Roman"/>
                <w:sz w:val="17"/>
              </w:rPr>
              <w:t>101</w:t>
            </w:r>
            <w:r>
              <w:rPr>
                <w:sz w:val="11"/>
              </w:rPr>
              <w:t></w:t>
            </w:r>
          </w:p>
        </w:tc>
        <w:tc>
          <w:tcPr>
            <w:tcW w:w="72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annual report on Form 10-K of Plains All American Pipeline, L.P. for the year ended December 31, 2009, formatted in XBRL (extensible Business Reporting Language): (i) Consolidated Statements of Operations, (ii) Consolidated Balance Sheets, (iii) Consolidated Statements of Cash Flows, (iv) Consolidated Statements of Changes in Partners Capital, (v) Consolidated Statements of Comprehensive Income, (vi) Consolidated Statements of Changes in Accumulated Other Comprehensive Income and (vii) Notes to the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127</w:t>
      </w:r>
      <w:bookmarkStart w:id="153" w:name="PB_127_092733_7608"/>
      <w:bookmarkEnd w:id="1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6"/>
        <w:gridCol w:w="417"/>
        <w:gridCol w:w="4582"/>
      </w:tblGrid>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206" w:type="dxa"/>
            <w:tcBorders/>
            <w:shd w:fill="auto" w:val="clear"/>
          </w:tcPr>
          <w:p>
            <w:pPr>
              <w:pStyle w:val="TableContents"/>
              <w:spacing w:before="0" w:after="0"/>
              <w:ind w:left="0" w:right="0" w:hanging="0"/>
              <w:rPr/>
            </w:pPr>
            <w:r>
              <w:rPr/>
              <w:t> </w:t>
            </w:r>
          </w:p>
        </w:tc>
        <w:tc>
          <w:tcPr>
            <w:tcW w:w="4999" w:type="dxa"/>
            <w:gridSpan w:val="2"/>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PAA GP LLC, </w:t>
              <w:br/>
            </w:r>
            <w:r>
              <w:rPr>
                <w:rFonts w:ascii="Times New Roman" w:hAnsi="Times New Roman"/>
                <w:i/>
                <w:sz w:val="17"/>
              </w:rPr>
              <w:t>its general partner</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Plains AAP, L.P., </w:t>
              <w:br/>
            </w:r>
            <w:r>
              <w:rPr>
                <w:rFonts w:ascii="Times New Roman" w:hAnsi="Times New Roman"/>
                <w:i/>
                <w:sz w:val="17"/>
              </w:rPr>
              <w:t>its sole member</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PLAINS ALL AMERICAN GP LLC, </w:t>
              <w:br/>
            </w:r>
            <w:r>
              <w:rPr>
                <w:rFonts w:ascii="Times New Roman" w:hAnsi="Times New Roman"/>
                <w:i/>
                <w:sz w:val="17"/>
              </w:rPr>
              <w:t>its general partner</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caps/>
              </w:rPr>
            </w:pPr>
            <w:r>
              <w:rPr>
                <w:caps/>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 xml:space="preserve">Greg L. Armstrong, </w:t>
              <w:br/>
            </w:r>
            <w:r>
              <w:rPr>
                <w:rFonts w:ascii="Times New Roman" w:hAnsi="Times New Roman"/>
                <w:b/>
                <w:i/>
                <w:sz w:val="17"/>
              </w:rPr>
              <w:t xml:space="preserve">Chairman of the Board, Chief Executive Officer </w:t>
              <w:br/>
              <w:t xml:space="preserve">and Director of Plains All American GP LLC </w:t>
              <w:br/>
              <w:t>(Principal Executive Officer)</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26, 2010</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/s/ AL SWANSON </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 xml:space="preserve">Al Swanson, </w:t>
              <w:br/>
            </w:r>
            <w:r>
              <w:rPr>
                <w:rFonts w:ascii="Times New Roman" w:hAnsi="Times New Roman"/>
                <w:b/>
                <w:i/>
                <w:sz w:val="17"/>
              </w:rPr>
              <w:t xml:space="preserve">Senior Vice President and Chief Financial Officer </w:t>
              <w:br/>
              <w:t xml:space="preserve">of Plains All American GP LLC </w:t>
              <w:br/>
              <w:t>(Principal Financial Officer)</w:t>
            </w:r>
          </w:p>
        </w:tc>
      </w:tr>
      <w:tr>
        <w:trPr/>
        <w:tc>
          <w:tcPr>
            <w:tcW w:w="5206" w:type="dxa"/>
            <w:tcBorders/>
            <w:shd w:fill="auto" w:val="clear"/>
          </w:tcPr>
          <w:p>
            <w:pPr>
              <w:pStyle w:val="TableContents"/>
              <w:spacing w:before="0" w:after="0"/>
              <w:ind w:left="0" w:right="0" w:hanging="0"/>
              <w:rPr/>
            </w:pPr>
            <w:r>
              <w:rPr/>
              <w:t> </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r>
        <w:trPr/>
        <w:tc>
          <w:tcPr>
            <w:tcW w:w="52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26, 2010</w:t>
            </w:r>
          </w:p>
        </w:tc>
        <w:tc>
          <w:tcPr>
            <w:tcW w:w="417"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128</w:t>
      </w:r>
      <w:bookmarkStart w:id="154" w:name="PB_128_092733_8146"/>
      <w:bookmarkEnd w:id="1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997"/>
        <w:gridCol w:w="211"/>
        <w:gridCol w:w="3682"/>
        <w:gridCol w:w="210"/>
        <w:gridCol w:w="2105"/>
      </w:tblGrid>
      <w:tr>
        <w:trPr/>
        <w:tc>
          <w:tcPr>
            <w:tcW w:w="399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Name</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368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Title</w:t>
            </w:r>
          </w:p>
        </w:tc>
        <w:tc>
          <w:tcPr>
            <w:tcW w:w="210" w:type="dxa"/>
            <w:tcBorders/>
            <w:shd w:fill="auto" w:val="clear"/>
            <w:tcMar>
              <w:bottom w:w="0" w:type="dxa"/>
            </w:tcMar>
            <w:vAlign w:val="bottom"/>
          </w:tcPr>
          <w:p>
            <w:pPr>
              <w:pStyle w:val="TableContents"/>
              <w:spacing w:before="0" w:after="0"/>
              <w:ind w:left="0" w:right="0" w:hanging="0"/>
              <w:jc w:val="center"/>
              <w:rPr/>
            </w:pPr>
            <w:r>
              <w:rPr/>
              <w:t> </w:t>
            </w:r>
          </w:p>
        </w:tc>
        <w:tc>
          <w:tcPr>
            <w:tcW w:w="210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w:t>
            </w:r>
          </w:p>
        </w:tc>
      </w:tr>
      <w:tr>
        <w:trPr/>
        <w:tc>
          <w:tcPr>
            <w:tcW w:w="3997" w:type="dxa"/>
            <w:tcBorders/>
            <w:shd w:fill="auto" w:val="clear"/>
            <w:tcMar>
              <w:bottom w:w="0" w:type="dxa"/>
            </w:tcMar>
          </w:tcPr>
          <w:p>
            <w:pPr>
              <w:pStyle w:val="TableContents"/>
              <w:spacing w:before="0" w:after="0"/>
              <w:ind w:left="0" w:right="0" w:hanging="0"/>
              <w:jc w:val="center"/>
              <w:rPr/>
            </w:pPr>
            <w:r>
              <w:rPr/>
              <w:t> </w:t>
            </w:r>
          </w:p>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GREG L. ARMSTRONG</w:t>
            </w:r>
          </w:p>
          <w:p>
            <w:pPr>
              <w:pStyle w:val="TableContents"/>
              <w:spacing w:before="0" w:after="0"/>
              <w:ind w:left="0" w:right="0" w:hanging="0"/>
              <w:jc w:val="center"/>
              <w:rPr>
                <w:rFonts w:ascii="Times New Roman" w:hAnsi="Times New Roman"/>
                <w:sz w:val="17"/>
              </w:rPr>
            </w:pPr>
            <w:r>
              <w:rPr>
                <w:rFonts w:ascii="Times New Roman" w:hAnsi="Times New Roman"/>
                <w:sz w:val="17"/>
              </w:rPr>
              <w:t>Greg L. Armstrong</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Chairman of the Board, Chief</w:t>
              <w:br/>
              <w:t>Executive Officer and Director of</w:t>
              <w:br/>
              <w:t>Plains All American GP LLC</w:t>
              <w:br/>
              <w:t>(Principal Executive Officer)</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spacing w:before="0" w:after="0"/>
              <w:ind w:left="0" w:right="0" w:hanging="0"/>
              <w:jc w:val="center"/>
              <w:rPr/>
            </w:pPr>
            <w:r>
              <w:rPr/>
              <w:t> </w:t>
            </w:r>
          </w:p>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HARRY N. PEFANIS</w:t>
            </w:r>
          </w:p>
          <w:p>
            <w:pPr>
              <w:pStyle w:val="TableContents"/>
              <w:spacing w:before="0" w:after="0"/>
              <w:ind w:left="0" w:right="0" w:hanging="0"/>
              <w:jc w:val="center"/>
              <w:rPr>
                <w:rFonts w:ascii="Times New Roman" w:hAnsi="Times New Roman"/>
                <w:sz w:val="17"/>
              </w:rPr>
            </w:pPr>
            <w:r>
              <w:rPr>
                <w:rFonts w:ascii="Times New Roman" w:hAnsi="Times New Roman"/>
                <w:sz w:val="17"/>
              </w:rPr>
              <w:t>Harry N. Pefanis</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President and Chief Operating</w:t>
              <w:br/>
              <w:t>Officer of Plains All</w:t>
              <w:br/>
              <w:t>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spacing w:before="0" w:after="0"/>
              <w:ind w:left="0" w:right="0" w:hanging="0"/>
              <w:jc w:val="center"/>
              <w:rPr/>
            </w:pPr>
            <w:r>
              <w:rPr/>
              <w:t> </w:t>
            </w:r>
          </w:p>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AL SWANSON</w:t>
            </w:r>
          </w:p>
          <w:p>
            <w:pPr>
              <w:pStyle w:val="TableContents"/>
              <w:spacing w:before="0" w:after="0"/>
              <w:ind w:left="0" w:right="0" w:hanging="0"/>
              <w:jc w:val="center"/>
              <w:rPr>
                <w:rFonts w:ascii="Times New Roman" w:hAnsi="Times New Roman"/>
                <w:sz w:val="17"/>
              </w:rPr>
            </w:pPr>
            <w:r>
              <w:rPr>
                <w:rFonts w:ascii="Times New Roman" w:hAnsi="Times New Roman"/>
                <w:sz w:val="17"/>
              </w:rPr>
              <w:t>Al Swanson</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Vice President and Chief</w:t>
              <w:br/>
              <w:t>Financial Officer of Plains All</w:t>
              <w:br/>
              <w:t>American GP LLC (Principal</w:t>
              <w:br/>
              <w:t>Financial Officer)</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spacing w:before="0" w:after="0"/>
              <w:ind w:left="0" w:right="0" w:hanging="0"/>
              <w:jc w:val="center"/>
              <w:rPr/>
            </w:pPr>
            <w:r>
              <w:rPr/>
              <w:t> </w:t>
            </w:r>
          </w:p>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TINA L. SUMMERS</w:t>
            </w:r>
          </w:p>
          <w:p>
            <w:pPr>
              <w:pStyle w:val="TableContents"/>
              <w:spacing w:before="0" w:after="0"/>
              <w:ind w:left="0" w:right="0" w:hanging="0"/>
              <w:jc w:val="center"/>
              <w:rPr>
                <w:rFonts w:ascii="Times New Roman" w:hAnsi="Times New Roman"/>
                <w:sz w:val="17"/>
              </w:rPr>
            </w:pPr>
            <w:r>
              <w:rPr>
                <w:rFonts w:ascii="Times New Roman" w:hAnsi="Times New Roman"/>
                <w:sz w:val="17"/>
              </w:rPr>
              <w:t>Tina L. Summers</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Vice PresidentAccounting and</w:t>
              <w:br/>
              <w:t>Chief Accounting Officer of Plains</w:t>
              <w:br/>
              <w:t>All American GP LLC (Principal</w:t>
              <w:br/>
              <w:t>Accounting Officer)</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EVERARDO GOYANES</w:t>
            </w:r>
          </w:p>
          <w:p>
            <w:pPr>
              <w:pStyle w:val="TableContents"/>
              <w:spacing w:before="0" w:after="0"/>
              <w:ind w:left="0" w:right="0" w:hanging="0"/>
              <w:jc w:val="center"/>
              <w:rPr>
                <w:rFonts w:ascii="Times New Roman" w:hAnsi="Times New Roman"/>
                <w:sz w:val="17"/>
              </w:rPr>
            </w:pPr>
            <w:r>
              <w:rPr>
                <w:rFonts w:ascii="Times New Roman" w:hAnsi="Times New Roman"/>
                <w:sz w:val="17"/>
              </w:rPr>
              <w:t>Everardo Goyanes</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T. GEOFF MCKAY</w:t>
            </w:r>
          </w:p>
          <w:p>
            <w:pPr>
              <w:pStyle w:val="TableContents"/>
              <w:spacing w:before="0" w:after="0"/>
              <w:ind w:left="0" w:right="0" w:hanging="0"/>
              <w:jc w:val="center"/>
              <w:rPr>
                <w:rFonts w:ascii="Times New Roman" w:hAnsi="Times New Roman"/>
                <w:sz w:val="17"/>
              </w:rPr>
            </w:pPr>
            <w:r>
              <w:rPr>
                <w:rFonts w:ascii="Times New Roman" w:hAnsi="Times New Roman"/>
                <w:sz w:val="17"/>
              </w:rPr>
              <w:t>T. Geoff McKay</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GARY R. PETERSEN</w:t>
            </w:r>
          </w:p>
          <w:p>
            <w:pPr>
              <w:pStyle w:val="TableContents"/>
              <w:spacing w:before="0" w:after="0"/>
              <w:ind w:left="0" w:right="0" w:hanging="0"/>
              <w:jc w:val="center"/>
              <w:rPr>
                <w:rFonts w:ascii="Times New Roman" w:hAnsi="Times New Roman"/>
                <w:sz w:val="17"/>
              </w:rPr>
            </w:pPr>
            <w:r>
              <w:rPr>
                <w:rFonts w:ascii="Times New Roman" w:hAnsi="Times New Roman"/>
                <w:sz w:val="17"/>
              </w:rPr>
              <w:t>Gary R. Petersen</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ROBERT V. SINNOTT</w:t>
            </w:r>
          </w:p>
          <w:p>
            <w:pPr>
              <w:pStyle w:val="TableContents"/>
              <w:spacing w:before="0" w:after="0"/>
              <w:ind w:left="0" w:right="0" w:hanging="0"/>
              <w:jc w:val="center"/>
              <w:rPr>
                <w:rFonts w:ascii="Times New Roman" w:hAnsi="Times New Roman"/>
                <w:sz w:val="17"/>
              </w:rPr>
            </w:pPr>
            <w:r>
              <w:rPr>
                <w:rFonts w:ascii="Times New Roman" w:hAnsi="Times New Roman"/>
                <w:sz w:val="17"/>
              </w:rPr>
              <w:t>Robert V. Sinnott</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ARTHUR L. SMITH</w:t>
            </w:r>
          </w:p>
          <w:p>
            <w:pPr>
              <w:pStyle w:val="TableContents"/>
              <w:spacing w:before="0" w:after="0"/>
              <w:ind w:left="0" w:right="0" w:hanging="0"/>
              <w:jc w:val="center"/>
              <w:rPr>
                <w:rFonts w:ascii="Times New Roman" w:hAnsi="Times New Roman"/>
                <w:sz w:val="17"/>
              </w:rPr>
            </w:pPr>
            <w:r>
              <w:rPr>
                <w:rFonts w:ascii="Times New Roman" w:hAnsi="Times New Roman"/>
                <w:sz w:val="17"/>
              </w:rPr>
              <w:t>Arthur L. Smith</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J. TAFT SYMONDS</w:t>
            </w:r>
          </w:p>
          <w:p>
            <w:pPr>
              <w:pStyle w:val="TableContents"/>
              <w:spacing w:before="0" w:after="0"/>
              <w:ind w:left="0" w:right="0" w:hanging="0"/>
              <w:jc w:val="center"/>
              <w:rPr>
                <w:rFonts w:ascii="Times New Roman" w:hAnsi="Times New Roman"/>
                <w:sz w:val="17"/>
              </w:rPr>
            </w:pPr>
            <w:r>
              <w:rPr>
                <w:rFonts w:ascii="Times New Roman" w:hAnsi="Times New Roman"/>
                <w:sz w:val="17"/>
              </w:rPr>
              <w:t>J. Taft Symonds</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r>
        <w:trPr/>
        <w:tc>
          <w:tcPr>
            <w:tcW w:w="3997" w:type="dxa"/>
            <w:tcBorders/>
            <w:shd w:fill="auto" w:val="clear"/>
            <w:tcMar>
              <w:bottom w:w="0" w:type="dxa"/>
            </w:tcMar>
          </w:tcPr>
          <w:p>
            <w:pPr>
              <w:pStyle w:val="TableContents"/>
              <w:spacing w:before="0" w:after="0"/>
              <w:ind w:left="0" w:right="0" w:hanging="0"/>
              <w:jc w:val="center"/>
              <w:rPr/>
            </w:pPr>
            <w:r>
              <w:rPr/>
              <w:t> </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pPr>
            <w:r>
              <w:rPr/>
              <w:t> </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pPr>
            <w:r>
              <w:rPr/>
              <w:t> </w:t>
            </w:r>
          </w:p>
        </w:tc>
      </w:tr>
      <w:tr>
        <w:trPr/>
        <w:tc>
          <w:tcPr>
            <w:tcW w:w="3997" w:type="dxa"/>
            <w:tcBorders/>
            <w:shd w:fill="auto" w:val="clear"/>
            <w:tcMar>
              <w:bottom w:w="0" w:type="dxa"/>
            </w:tcMar>
          </w:tcPr>
          <w:p>
            <w:pPr>
              <w:pStyle w:val="TableContents"/>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/s/ CHRISTOPHER M. TEMPLE</w:t>
            </w:r>
          </w:p>
          <w:p>
            <w:pPr>
              <w:pStyle w:val="TableContents"/>
              <w:spacing w:before="0" w:after="0"/>
              <w:ind w:left="0" w:right="0" w:hanging="0"/>
              <w:jc w:val="center"/>
              <w:rPr>
                <w:rFonts w:ascii="Times New Roman" w:hAnsi="Times New Roman"/>
                <w:sz w:val="17"/>
              </w:rPr>
            </w:pPr>
            <w:r>
              <w:rPr>
                <w:rFonts w:ascii="Times New Roman" w:hAnsi="Times New Roman"/>
                <w:sz w:val="17"/>
              </w:rPr>
              <w:t>Christopher M. Temple</w:t>
            </w:r>
          </w:p>
        </w:tc>
        <w:tc>
          <w:tcPr>
            <w:tcW w:w="211" w:type="dxa"/>
            <w:tcBorders/>
            <w:shd w:fill="auto" w:val="clear"/>
            <w:tcMar>
              <w:bottom w:w="0" w:type="dxa"/>
            </w:tcMar>
          </w:tcPr>
          <w:p>
            <w:pPr>
              <w:pStyle w:val="TableContents"/>
              <w:spacing w:before="0" w:after="0"/>
              <w:ind w:left="0" w:right="0" w:hanging="0"/>
              <w:rPr/>
            </w:pPr>
            <w:r>
              <w:rPr/>
              <w:t> </w:t>
            </w:r>
          </w:p>
        </w:tc>
        <w:tc>
          <w:tcPr>
            <w:tcW w:w="3682" w:type="dxa"/>
            <w:tcBorders/>
            <w:shd w:fill="auto" w:val="clear"/>
            <w:tcMar>
              <w:bottom w:w="0" w:type="dxa"/>
            </w:tcMar>
            <w:vAlign w:val="center"/>
          </w:tcPr>
          <w:p>
            <w:pPr>
              <w:pStyle w:val="TableContents"/>
              <w:spacing w:before="0" w:after="0"/>
              <w:ind w:left="0" w:right="0" w:hanging="0"/>
              <w:rPr>
                <w:rFonts w:ascii="Times New Roman" w:hAnsi="Times New Roman"/>
                <w:sz w:val="17"/>
              </w:rPr>
            </w:pPr>
            <w:r>
              <w:rPr>
                <w:rFonts w:ascii="Times New Roman" w:hAnsi="Times New Roman"/>
                <w:sz w:val="17"/>
              </w:rPr>
              <w:t>Director of</w:t>
              <w:br/>
              <w:t>Plains All American GP LLC</w:t>
            </w:r>
          </w:p>
        </w:tc>
        <w:tc>
          <w:tcPr>
            <w:tcW w:w="210" w:type="dxa"/>
            <w:tcBorders/>
            <w:shd w:fill="auto" w:val="clear"/>
            <w:tcMar>
              <w:bottom w:w="0" w:type="dxa"/>
            </w:tcMar>
          </w:tcPr>
          <w:p>
            <w:pPr>
              <w:pStyle w:val="TableContents"/>
              <w:spacing w:before="0" w:after="0"/>
              <w:ind w:left="0" w:right="0" w:hanging="0"/>
              <w:jc w:val="center"/>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7"/>
              </w:rPr>
            </w:pPr>
            <w:r>
              <w:rPr>
                <w:rFonts w:ascii="Times New Roman" w:hAnsi="Times New Roman"/>
                <w:sz w:val="17"/>
              </w:rPr>
              <w:t>February 26, 2010</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129</w:t>
      </w:r>
      <w:bookmarkStart w:id="155" w:name="PB_129_092733_7091"/>
      <w:bookmarkEnd w:id="15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INDEX TO THE CONSOLIDATED FINANCIAL STATEMENTS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383"/>
        <w:gridCol w:w="205"/>
        <w:gridCol w:w="617"/>
      </w:tblGrid>
      <w:tr>
        <w:trPr/>
        <w:tc>
          <w:tcPr>
            <w:tcW w:w="9383" w:type="dxa"/>
            <w:tcBorders/>
            <w:shd w:fill="auto" w:val="clear"/>
            <w:vAlign w:val="bottom"/>
          </w:tcPr>
          <w:p>
            <w:pPr>
              <w:pStyle w:val="TableContents"/>
              <w:spacing w:before="0" w:after="0"/>
              <w:ind w:left="0" w:right="0" w:hanging="0"/>
              <w:rPr/>
            </w:pPr>
            <w:r>
              <w:rPr/>
              <w:t> </w:t>
            </w:r>
          </w:p>
        </w:tc>
        <w:tc>
          <w:tcPr>
            <w:tcW w:w="205" w:type="dxa"/>
            <w:tcBorders/>
            <w:shd w:fill="auto" w:val="clear"/>
          </w:tcPr>
          <w:p>
            <w:pPr>
              <w:pStyle w:val="TableContents"/>
              <w:spacing w:before="0" w:after="0"/>
              <w:ind w:left="0" w:right="0" w:hanging="0"/>
              <w:jc w:val="center"/>
              <w:rPr/>
            </w:pPr>
            <w:r>
              <w:rPr/>
              <w:t> </w:t>
            </w:r>
          </w:p>
        </w:tc>
        <w:tc>
          <w:tcPr>
            <w:tcW w:w="61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Consolidated Financial Statements</w:t>
            </w:r>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pPr>
            <w:r>
              <w:rPr/>
              <w:t> </w:t>
            </w:r>
          </w:p>
        </w:tc>
      </w:tr>
      <w:tr>
        <w:trPr/>
        <w:tc>
          <w:tcPr>
            <w:tcW w:w="9383" w:type="dxa"/>
            <w:tcBorders/>
            <w:shd w:fill="auto" w:val="clear"/>
          </w:tcPr>
          <w:p>
            <w:pPr>
              <w:pStyle w:val="TableContents"/>
              <w:spacing w:before="0" w:after="0"/>
              <w:ind w:left="0" w:right="0" w:hanging="0"/>
              <w:rPr/>
            </w:pPr>
            <w:hyperlink w:anchor="ManagementsReportOnInternalContro_141426">
              <w:r>
                <w:rPr>
                  <w:rStyle w:val="InternetLink"/>
                  <w:rFonts w:ascii="Times New Roman" w:hAnsi="Times New Roman"/>
                  <w:sz w:val="17"/>
                </w:rPr>
                <w:t>Managements Report on Internal Control Over Financial Reporting</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F-2</w:t>
            </w:r>
          </w:p>
        </w:tc>
      </w:tr>
      <w:tr>
        <w:trPr/>
        <w:tc>
          <w:tcPr>
            <w:tcW w:w="9383" w:type="dxa"/>
            <w:tcBorders/>
            <w:shd w:fill="auto" w:val="clear"/>
          </w:tcPr>
          <w:p>
            <w:pPr>
              <w:pStyle w:val="TableContents"/>
              <w:spacing w:before="0" w:after="0"/>
              <w:ind w:left="0" w:right="0" w:hanging="0"/>
              <w:rPr/>
            </w:pPr>
            <w:hyperlink w:anchor="ReportOfIndependentRegisteredPubl_141443">
              <w:r>
                <w:rPr>
                  <w:rStyle w:val="InternetLink"/>
                  <w:rFonts w:ascii="Times New Roman" w:hAnsi="Times New Roman"/>
                  <w:sz w:val="17"/>
                </w:rPr>
                <w:t>Report of Independent Registered Public Accounting Firm</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F-3</w:t>
            </w:r>
          </w:p>
        </w:tc>
      </w:tr>
      <w:tr>
        <w:trPr/>
        <w:tc>
          <w:tcPr>
            <w:tcW w:w="9383" w:type="dxa"/>
            <w:tcBorders/>
            <w:shd w:fill="auto" w:val="clear"/>
          </w:tcPr>
          <w:p>
            <w:pPr>
              <w:pStyle w:val="TableContents"/>
              <w:spacing w:before="0" w:after="0"/>
              <w:ind w:left="0" w:right="0" w:hanging="0"/>
              <w:rPr/>
            </w:pPr>
            <w:hyperlink w:anchor="ConsolidatedBalanceSheets_141450">
              <w:r>
                <w:rPr>
                  <w:rStyle w:val="InternetLink"/>
                  <w:rFonts w:ascii="Times New Roman" w:hAnsi="Times New Roman"/>
                  <w:sz w:val="17"/>
                </w:rPr>
                <w:t>Consolidated Balance Sheets as of December 31, 2009 and 2008</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F-4</w:t>
            </w:r>
          </w:p>
        </w:tc>
      </w:tr>
      <w:tr>
        <w:trPr/>
        <w:tc>
          <w:tcPr>
            <w:tcW w:w="9383" w:type="dxa"/>
            <w:tcBorders/>
            <w:shd w:fill="auto" w:val="clear"/>
          </w:tcPr>
          <w:p>
            <w:pPr>
              <w:pStyle w:val="TableContents"/>
              <w:spacing w:before="0" w:after="0"/>
              <w:ind w:left="0" w:right="0" w:hanging="0"/>
              <w:rPr/>
            </w:pPr>
            <w:hyperlink w:anchor="ConsolidatedStatementsOfOperation_141454">
              <w:r>
                <w:rPr>
                  <w:rStyle w:val="InternetLink"/>
                  <w:rFonts w:ascii="Times New Roman" w:hAnsi="Times New Roman"/>
                  <w:sz w:val="17"/>
                </w:rPr>
                <w:t>Consolidated Statements of Operations for the years ended December 31, 2009, 2008 and 2007</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F-5</w:t>
            </w:r>
          </w:p>
        </w:tc>
      </w:tr>
      <w:tr>
        <w:trPr/>
        <w:tc>
          <w:tcPr>
            <w:tcW w:w="9383" w:type="dxa"/>
            <w:tcBorders/>
            <w:shd w:fill="auto" w:val="clear"/>
          </w:tcPr>
          <w:p>
            <w:pPr>
              <w:pStyle w:val="TableContents"/>
              <w:spacing w:before="0" w:after="0"/>
              <w:ind w:left="0" w:right="0" w:hanging="0"/>
              <w:rPr/>
            </w:pPr>
            <w:hyperlink w:anchor="ConsolidatedStatementsOfCashFlows_141500">
              <w:r>
                <w:rPr>
                  <w:rStyle w:val="InternetLink"/>
                  <w:rFonts w:ascii="Times New Roman" w:hAnsi="Times New Roman"/>
                  <w:sz w:val="17"/>
                </w:rPr>
                <w:t>Consolidated Statements of Cash Flows for the years ended December 31, 2009, 2008 and 2007</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F-6</w:t>
            </w:r>
          </w:p>
        </w:tc>
      </w:tr>
      <w:tr>
        <w:trPr/>
        <w:tc>
          <w:tcPr>
            <w:tcW w:w="9383" w:type="dxa"/>
            <w:tcBorders/>
            <w:shd w:fill="auto" w:val="clear"/>
          </w:tcPr>
          <w:p>
            <w:pPr>
              <w:pStyle w:val="TableContents"/>
              <w:spacing w:before="0" w:after="0"/>
              <w:ind w:left="0" w:right="0" w:hanging="0"/>
              <w:rPr/>
            </w:pPr>
            <w:hyperlink w:anchor="ConsolidatedStatementsOfChangesIn_141503">
              <w:r>
                <w:rPr>
                  <w:rStyle w:val="InternetLink"/>
                  <w:rFonts w:ascii="Times New Roman" w:hAnsi="Times New Roman"/>
                  <w:sz w:val="17"/>
                </w:rPr>
                <w:t>Consolidated Statements of Changes in Partners Capital for the years ended December 31, 2009, 2008 and 2007</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F-7</w:t>
            </w:r>
          </w:p>
        </w:tc>
      </w:tr>
      <w:tr>
        <w:trPr/>
        <w:tc>
          <w:tcPr>
            <w:tcW w:w="9383" w:type="dxa"/>
            <w:tcBorders/>
            <w:shd w:fill="auto" w:val="clear"/>
          </w:tcPr>
          <w:p>
            <w:pPr>
              <w:pStyle w:val="TableContents"/>
              <w:spacing w:before="0" w:after="0"/>
              <w:ind w:left="0" w:right="0" w:hanging="0"/>
              <w:rPr/>
            </w:pPr>
            <w:hyperlink w:anchor="ConsolidatedStatementsOfComprehen_141506">
              <w:r>
                <w:rPr>
                  <w:rStyle w:val="InternetLink"/>
                  <w:rFonts w:ascii="Times New Roman" w:hAnsi="Times New Roman"/>
                  <w:sz w:val="17"/>
                </w:rPr>
                <w:t>Consolidated Statements of Comprehensive Income for the years ended December 31, 2009, 2008 and 2007</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F-8</w:t>
            </w:r>
          </w:p>
        </w:tc>
      </w:tr>
      <w:tr>
        <w:trPr/>
        <w:tc>
          <w:tcPr>
            <w:tcW w:w="9383" w:type="dxa"/>
            <w:tcBorders/>
            <w:shd w:fill="auto" w:val="clear"/>
          </w:tcPr>
          <w:p>
            <w:pPr>
              <w:pStyle w:val="TableContents"/>
              <w:spacing w:before="0" w:after="0"/>
              <w:ind w:left="0" w:right="0" w:hanging="0"/>
              <w:rPr/>
            </w:pPr>
            <w:hyperlink w:anchor="ConsolidatedStatementsOfChangesIn_141516">
              <w:r>
                <w:rPr>
                  <w:rStyle w:val="InternetLink"/>
                  <w:rFonts w:ascii="Times New Roman" w:hAnsi="Times New Roman"/>
                  <w:sz w:val="17"/>
                </w:rPr>
                <w:t>Consolidated Statements of Changes in Accumulated Other Comprehensive Income for the years ended December 31, 2009, 2008 and 2007</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F-8</w:t>
            </w:r>
          </w:p>
        </w:tc>
      </w:tr>
      <w:tr>
        <w:trPr/>
        <w:tc>
          <w:tcPr>
            <w:tcW w:w="9383" w:type="dxa"/>
            <w:tcBorders/>
            <w:shd w:fill="auto" w:val="clear"/>
          </w:tcPr>
          <w:p>
            <w:pPr>
              <w:pStyle w:val="TableContents"/>
              <w:spacing w:before="0" w:after="0"/>
              <w:ind w:left="0" w:right="0" w:hanging="0"/>
              <w:rPr/>
            </w:pPr>
            <w:hyperlink w:anchor="NotesToTheConsolidatedFinancialSt_141525">
              <w:r>
                <w:rPr>
                  <w:rStyle w:val="InternetLink"/>
                  <w:rFonts w:ascii="Times New Roman" w:hAnsi="Times New Roman"/>
                  <w:sz w:val="17"/>
                </w:rPr>
                <w:t>Notes to the Consolidated Financial Statements</w:t>
              </w:r>
            </w:hyperlink>
          </w:p>
        </w:tc>
        <w:tc>
          <w:tcPr>
            <w:tcW w:w="205" w:type="dxa"/>
            <w:tcBorders/>
            <w:shd w:fill="auto" w:val="clear"/>
          </w:tcPr>
          <w:p>
            <w:pPr>
              <w:pStyle w:val="TableContents"/>
              <w:spacing w:before="0" w:after="0"/>
              <w:ind w:left="0" w:right="0" w:hanging="0"/>
              <w:jc w:val="right"/>
              <w:rPr/>
            </w:pPr>
            <w:r>
              <w:rPr/>
              <w:t> </w:t>
            </w:r>
          </w:p>
        </w:tc>
        <w:tc>
          <w:tcPr>
            <w:tcW w:w="6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w:t>
      </w:r>
      <w:bookmarkStart w:id="156" w:name="PB_1_133818_7056"/>
      <w:bookmarkEnd w:id="1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MANAGEMENTS REPORT ON INTERNAL CONTROL OVER FINANCIAL REPORTING</w:t>
      </w:r>
      <w:bookmarkStart w:id="157" w:name="ManagementsReportOnInternalContro_141426"/>
      <w:bookmarkEnd w:id="15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has used the framework set forth in the report entitled Internal ControlIntegrated Framework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effectiveness of the Partnerships internal control over financial reporting as of December 31, 2009 has been audited by PricewaterhouseCoopers LLP, an independent registered public accounting firm, as stated in their report which appears on Page F-3.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p>
            <w:pPr>
              <w:pStyle w:val="TableContents"/>
              <w:spacing w:before="0" w:after="0"/>
              <w:ind w:left="0" w:right="0" w:hanging="0"/>
              <w:rPr>
                <w:rFonts w:ascii="Times New Roman" w:hAnsi="Times New Roman"/>
                <w:i/>
                <w:sz w:val="17"/>
              </w:rPr>
            </w:pPr>
            <w:r>
              <w:rPr>
                <w:rFonts w:ascii="Times New Roman" w:hAnsi="Times New Roman"/>
                <w:i/>
                <w:sz w:val="17"/>
              </w:rPr>
              <w:t>Chairman of the Board, Chief Executive Officer and</w:t>
            </w:r>
          </w:p>
          <w:p>
            <w:pPr>
              <w:pStyle w:val="TableContents"/>
              <w:spacing w:before="0" w:after="0"/>
              <w:ind w:left="0" w:right="0" w:hanging="0"/>
              <w:rPr>
                <w:rFonts w:ascii="Times New Roman" w:hAnsi="Times New Roman"/>
                <w:i/>
                <w:sz w:val="17"/>
              </w:rPr>
            </w:pPr>
            <w:r>
              <w:rPr>
                <w:rFonts w:ascii="Times New Roman" w:hAnsi="Times New Roman"/>
                <w:i/>
                <w:sz w:val="17"/>
              </w:rPr>
              <w:t>Director of Plains All American GP LLC</w:t>
            </w:r>
          </w:p>
          <w:p>
            <w:pPr>
              <w:pStyle w:val="TableContents"/>
              <w:spacing w:before="0" w:after="0"/>
              <w:ind w:left="0" w:right="0" w:hanging="0"/>
              <w:rPr>
                <w:rFonts w:ascii="Times New Roman" w:hAnsi="Times New Roman"/>
                <w:i/>
                <w:sz w:val="17"/>
              </w:rPr>
            </w:pPr>
            <w:r>
              <w:rPr>
                <w:rFonts w:ascii="Times New Roman" w:hAnsi="Times New Roman"/>
                <w:i/>
                <w:sz w:val="17"/>
              </w:rPr>
              <w:t>(Principal Executive Officer)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p>
            <w:pPr>
              <w:pStyle w:val="TableContents"/>
              <w:spacing w:before="0" w:after="0"/>
              <w:ind w:left="0" w:right="0" w:hanging="0"/>
              <w:rPr>
                <w:rFonts w:ascii="Times New Roman" w:hAnsi="Times New Roman"/>
                <w:i/>
                <w:sz w:val="17"/>
              </w:rPr>
            </w:pPr>
            <w:r>
              <w:rPr>
                <w:rFonts w:ascii="Times New Roman" w:hAnsi="Times New Roman"/>
                <w:i/>
                <w:sz w:val="17"/>
              </w:rPr>
              <w:t>Senior Vice President and Chief Financial Officer of</w:t>
            </w:r>
          </w:p>
          <w:p>
            <w:pPr>
              <w:pStyle w:val="TableContents"/>
              <w:spacing w:before="0" w:after="0"/>
              <w:ind w:left="0" w:right="0" w:hanging="0"/>
              <w:rPr>
                <w:rFonts w:ascii="Times New Roman" w:hAnsi="Times New Roman"/>
                <w:i/>
                <w:sz w:val="17"/>
              </w:rPr>
            </w:pPr>
            <w:r>
              <w:rPr>
                <w:rFonts w:ascii="Times New Roman" w:hAnsi="Times New Roman"/>
                <w:i/>
                <w:sz w:val="17"/>
              </w:rPr>
              <w:t>Plains All American GP LLC</w:t>
            </w:r>
          </w:p>
          <w:p>
            <w:pPr>
              <w:pStyle w:val="TableContents"/>
              <w:spacing w:before="0" w:after="0"/>
              <w:ind w:left="0" w:right="0" w:hanging="0"/>
              <w:rPr>
                <w:rFonts w:ascii="Times New Roman" w:hAnsi="Times New Roman"/>
                <w:i/>
                <w:sz w:val="17"/>
              </w:rPr>
            </w:pPr>
            <w:r>
              <w:rPr>
                <w:rFonts w:ascii="Times New Roman" w:hAnsi="Times New Roman"/>
                <w:i/>
                <w:sz w:val="17"/>
              </w:rPr>
              <w:t>(Principal Financial Officer)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26, 2010</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w:t>
      </w:r>
      <w:bookmarkStart w:id="158" w:name="PB_2_133954_5335"/>
      <w:bookmarkEnd w:id="1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Report of Independent Registered Public Accounting Firm</w:t>
      </w:r>
      <w:bookmarkStart w:id="159" w:name="ReportOfIndependentRegisteredPubl_141443"/>
      <w:bookmarkEnd w:id="159"/>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To the Board of Directors of the General Partner and Unitholders of</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2009 and 2008, and the results of their operations and their cash flows for each of the three years in the period ended December 31, 2009 in conformity with accounting principles generally accepted in the United States of America. Also in our opinion, the Partnership maintained, in all material respects, effective internal control over financial reporting as of December 31, 2009, based on criteria established in </w:t>
      </w:r>
      <w:r>
        <w:rPr>
          <w:rFonts w:ascii="Times New Roman" w:hAnsi="Times New Roman"/>
          <w:i/>
          <w:sz w:val="17"/>
        </w:rPr>
        <w:t>Internal ControlIntegrated Framework</w:t>
      </w:r>
      <w:r>
        <w:rPr>
          <w:rFonts w:ascii="Times New Roman" w:hAnsi="Times New Roman"/>
          <w:sz w:val="17"/>
        </w:rPr>
        <w:t xml:space="preserve"> issued by the Committee of Sponsoring Organizations of the Treadway Commission (COSO). The Partnerships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Partnerships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052"/>
      </w:tblGrid>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w:t>
            </w:r>
          </w:p>
        </w:tc>
        <w:tc>
          <w:tcPr>
            <w:tcW w:w="50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PricewaterhouseCoopers LLP</w:t>
            </w:r>
          </w:p>
        </w:tc>
      </w:tr>
      <w:tr>
        <w:trPr/>
        <w:tc>
          <w:tcPr>
            <w:tcW w:w="5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26, 2010</w:t>
            </w:r>
          </w:p>
        </w:tc>
        <w:tc>
          <w:tcPr>
            <w:tcW w:w="5052"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w:t>
      </w:r>
      <w:bookmarkStart w:id="160" w:name="PB_3_134050_5796"/>
      <w:bookmarkEnd w:id="1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BALANCE SHEETS</w:t>
      </w:r>
      <w:bookmarkStart w:id="161" w:name="ConsolidatedBalanceSheets_141450"/>
      <w:bookmarkEnd w:id="161"/>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90"/>
        <w:gridCol w:w="208"/>
        <w:gridCol w:w="137"/>
        <w:gridCol w:w="1147"/>
        <w:gridCol w:w="214"/>
        <w:gridCol w:w="137"/>
        <w:gridCol w:w="1147"/>
        <w:gridCol w:w="125"/>
      </w:tblGrid>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4" w:type="dxa"/>
            <w:tcBorders/>
            <w:shd w:fill="auto" w:val="clear"/>
            <w:vAlign w:val="bottom"/>
          </w:tcPr>
          <w:p>
            <w:pPr>
              <w:pStyle w:val="TableContents"/>
              <w:spacing w:before="0" w:after="0"/>
              <w:ind w:left="0" w:right="0" w:hanging="0"/>
              <w:jc w:val="center"/>
              <w:rPr/>
            </w:pPr>
            <w:r>
              <w:rPr/>
              <w:t> </w:t>
            </w:r>
          </w:p>
        </w:tc>
        <w:tc>
          <w:tcPr>
            <w:tcW w:w="128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5" w:type="dxa"/>
            <w:tcBorders/>
            <w:shd w:fill="auto" w:val="clear"/>
            <w:vAlign w:val="bottom"/>
          </w:tcPr>
          <w:p>
            <w:pPr>
              <w:pStyle w:val="TableContents"/>
              <w:spacing w:before="0" w:after="0"/>
              <w:ind w:left="0" w:right="0" w:hanging="0"/>
              <w:jc w:val="center"/>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4" w:type="dxa"/>
            <w:tcBorders/>
            <w:shd w:fill="auto" w:val="clear"/>
            <w:vAlign w:val="bottom"/>
          </w:tcPr>
          <w:p>
            <w:pPr>
              <w:pStyle w:val="TableContents"/>
              <w:spacing w:before="0" w:after="0"/>
              <w:ind w:left="0" w:right="0" w:hanging="0"/>
              <w:jc w:val="center"/>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5" w:type="dxa"/>
            <w:tcBorders/>
            <w:shd w:fill="auto" w:val="clear"/>
            <w:vAlign w:val="bottom"/>
          </w:tcPr>
          <w:p>
            <w:pPr>
              <w:pStyle w:val="TableContents"/>
              <w:spacing w:before="0" w:after="0"/>
              <w:ind w:left="0" w:right="0" w:hanging="0"/>
              <w:jc w:val="center"/>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8"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4"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2,253</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1,525</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1,157</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801</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2,596</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7,240</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5,727</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9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8"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214"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8"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2,295</w:t>
            </w:r>
          </w:p>
        </w:tc>
        <w:tc>
          <w:tcPr>
            <w:tcW w:w="214"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1,507</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 (Note 4)</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1,027</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net discount of $14 and $6, respectively</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3,219</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4,417</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3,520</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11)</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(136,135,988 and 122,911,645 units outstanding, respectively)</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4,002</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3,469</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08"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4" w:type="dxa"/>
            <w:tcBorders/>
            <w:shd w:fill="auto"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7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08"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14" w:type="dxa"/>
            <w:tcBorders/>
            <w:shd w:fill="CCEEFF" w:val="clear"/>
            <w:vAlign w:val="bottom"/>
          </w:tcPr>
          <w:p>
            <w:pPr>
              <w:pStyle w:val="TableContents"/>
              <w:spacing w:before="0" w:after="0"/>
              <w:ind w:left="0" w:right="0" w:hanging="0"/>
              <w:rPr/>
            </w:pPr>
            <w:r>
              <w:rPr/>
              <w:t> </w:t>
            </w:r>
          </w:p>
        </w:tc>
        <w:tc>
          <w:tcPr>
            <w:tcW w:w="128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5" w:type="dxa"/>
            <w:tcBorders/>
            <w:shd w:fill="CCEEFF" w:val="clear"/>
            <w:vAlign w:val="bottom"/>
          </w:tcPr>
          <w:p>
            <w:pPr>
              <w:pStyle w:val="TableContents"/>
              <w:spacing w:before="0" w:after="0"/>
              <w:ind w:left="0" w:right="0" w:hanging="0"/>
              <w:rPr/>
            </w:pPr>
            <w:r>
              <w:rPr/>
              <w:t> </w:t>
            </w:r>
          </w:p>
        </w:tc>
      </w:tr>
      <w:tr>
        <w:trPr/>
        <w:tc>
          <w:tcPr>
            <w:tcW w:w="7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8"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214"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w:t>
      </w:r>
      <w:bookmarkStart w:id="162" w:name="PB_4_134236_2897"/>
      <w:bookmarkEnd w:id="1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OPERATIONS</w:t>
      </w:r>
      <w:bookmarkStart w:id="163" w:name="ConsolidatedStatementsOfOperation_141454"/>
      <w:bookmarkEnd w:id="163"/>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82"/>
        <w:gridCol w:w="213"/>
        <w:gridCol w:w="110"/>
        <w:gridCol w:w="1080"/>
        <w:gridCol w:w="214"/>
        <w:gridCol w:w="110"/>
        <w:gridCol w:w="1080"/>
        <w:gridCol w:w="214"/>
        <w:gridCol w:w="110"/>
        <w:gridCol w:w="1080"/>
        <w:gridCol w:w="112"/>
      </w:tblGrid>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399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2" w:type="dxa"/>
            <w:tcBorders/>
            <w:shd w:fill="auto" w:val="clear"/>
            <w:vAlign w:val="bottom"/>
          </w:tcPr>
          <w:p>
            <w:pPr>
              <w:pStyle w:val="TableContents"/>
              <w:spacing w:before="0" w:after="0"/>
              <w:ind w:left="0" w:right="0" w:hanging="0"/>
              <w:jc w:val="center"/>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4"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4"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2" w:type="dxa"/>
            <w:tcBorders/>
            <w:shd w:fill="auto" w:val="clear"/>
            <w:vAlign w:val="bottom"/>
          </w:tcPr>
          <w:p>
            <w:pPr>
              <w:pStyle w:val="TableContents"/>
              <w:spacing w:before="0" w:after="0"/>
              <w:ind w:left="0" w:right="0" w:hanging="0"/>
              <w:jc w:val="center"/>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segment revenues</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17,757</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29,348</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19,834</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20,394</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16,656</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28,479</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19,001</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17,741</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29,467</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19,876</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of capitalized interest of $15, $17 and $14, respectively)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(224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(196 </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(162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2" w:type="dxa"/>
            <w:tcBorders/>
            <w:shd w:fill="CCEEFF" w:val="clear"/>
            <w:vAlign w:val="bottom"/>
          </w:tcPr>
          <w:p>
            <w:pPr>
              <w:pStyle w:val="TableContents"/>
              <w:spacing w:before="0" w:after="0"/>
              <w:ind w:left="0" w:right="0" w:hanging="0"/>
              <w:rPr/>
            </w:pPr>
            <w:r>
              <w:rPr/>
              <w:t> </w:t>
            </w:r>
          </w:p>
        </w:tc>
      </w:tr>
      <w:tr>
        <w:trPr/>
        <w:tc>
          <w:tcPr>
            <w:tcW w:w="5882"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190"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588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3"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4" w:type="dxa"/>
            <w:tcBorders/>
            <w:shd w:fill="CCEEFF" w:val="clear"/>
            <w:vAlign w:val="bottom"/>
          </w:tcPr>
          <w:p>
            <w:pPr>
              <w:pStyle w:val="TableContents"/>
              <w:spacing w:before="0" w:after="0"/>
              <w:ind w:left="0" w:right="0" w:hanging="0"/>
              <w:rPr/>
            </w:pPr>
            <w:r>
              <w:rPr/>
              <w:t> </w:t>
            </w:r>
          </w:p>
        </w:tc>
        <w:tc>
          <w:tcPr>
            <w:tcW w:w="119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w:t>
      </w:r>
      <w:bookmarkStart w:id="164" w:name="PB_5_134447_3020"/>
      <w:bookmarkEnd w:id="1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CASH FLOWS</w:t>
      </w:r>
      <w:bookmarkStart w:id="165" w:name="ConsolidatedStatementsOfCashFlows_141500"/>
      <w:bookmarkEnd w:id="16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86"/>
        <w:gridCol w:w="215"/>
        <w:gridCol w:w="130"/>
        <w:gridCol w:w="1079"/>
        <w:gridCol w:w="220"/>
        <w:gridCol w:w="133"/>
        <w:gridCol w:w="1091"/>
        <w:gridCol w:w="220"/>
        <w:gridCol w:w="127"/>
        <w:gridCol w:w="1076"/>
        <w:gridCol w:w="128"/>
      </w:tblGrid>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407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8" w:type="dxa"/>
            <w:tcBorders/>
            <w:shd w:fill="auto" w:val="clear"/>
            <w:vAlign w:val="bottom"/>
          </w:tcPr>
          <w:p>
            <w:pPr>
              <w:pStyle w:val="TableContents"/>
              <w:spacing w:before="0" w:after="0"/>
              <w:ind w:left="0" w:right="0" w:hanging="0"/>
              <w:jc w:val="center"/>
              <w:rPr/>
            </w:pPr>
            <w:r>
              <w:rPr/>
              <w:t> </w:t>
            </w:r>
          </w:p>
        </w:tc>
      </w:tr>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0" w:type="dxa"/>
            <w:tcBorders/>
            <w:shd w:fill="auto" w:val="clear"/>
            <w:vAlign w:val="bottom"/>
          </w:tcPr>
          <w:p>
            <w:pPr>
              <w:pStyle w:val="TableContents"/>
              <w:spacing w:before="0" w:after="0"/>
              <w:ind w:left="0" w:right="0" w:hanging="0"/>
              <w:jc w:val="center"/>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0" w:type="dxa"/>
            <w:tcBorders/>
            <w:shd w:fill="auto" w:val="clear"/>
            <w:vAlign w:val="bottom"/>
          </w:tcPr>
          <w:p>
            <w:pPr>
              <w:pStyle w:val="TableContents"/>
              <w:spacing w:before="0" w:after="0"/>
              <w:ind w:left="0" w:right="0" w:hanging="0"/>
              <w:jc w:val="center"/>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28" w:type="dxa"/>
            <w:tcBorders/>
            <w:shd w:fill="auto" w:val="clear"/>
            <w:vAlign w:val="bottom"/>
          </w:tcPr>
          <w:p>
            <w:pPr>
              <w:pStyle w:val="TableContents"/>
              <w:spacing w:before="0" w:after="0"/>
              <w:ind w:left="0" w:right="0" w:hanging="0"/>
              <w:jc w:val="center"/>
              <w:rPr/>
            </w:pPr>
            <w:r>
              <w:rPr/>
              <w:t> </w:t>
            </w:r>
          </w:p>
        </w:tc>
      </w:tr>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4076"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28" w:type="dxa"/>
            <w:tcBorders/>
            <w:shd w:fill="auto" w:val="clear"/>
            <w:vAlign w:val="bottom"/>
          </w:tcPr>
          <w:p>
            <w:pPr>
              <w:pStyle w:val="TableContents"/>
              <w:spacing w:before="0" w:after="0"/>
              <w:ind w:left="0" w:right="0" w:hanging="0"/>
              <w:jc w:val="center"/>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5"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20"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20"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 of linefill</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 of investment assets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received/(paid) for terminated interest rate and foreign currency hedging instruments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purchase of remaining 50% interest in PNGS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(739</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other current liabilities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602</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(550</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616</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 (Note 3)</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linefill in assets owned</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 and other</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(1,339</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revolving credit facilities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short-term letter of credit and hedged inventory facility</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 of PNGS debt</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5)</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5)</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5)</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86"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03"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215" w:type="dxa"/>
            <w:tcBorders/>
            <w:shd w:fill="CCEEFF" w:val="clear"/>
            <w:vAlign w:val="bottom"/>
          </w:tcPr>
          <w:p>
            <w:pPr>
              <w:pStyle w:val="TableContents"/>
              <w:spacing w:before="0" w:after="0"/>
              <w:ind w:left="0" w:right="0" w:hanging="0"/>
              <w:rPr/>
            </w:pPr>
            <w:r>
              <w:rPr/>
              <w:t> </w:t>
            </w:r>
          </w:p>
        </w:tc>
        <w:tc>
          <w:tcPr>
            <w:tcW w:w="12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0"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5"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0"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0"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5"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220"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20"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28" w:type="dxa"/>
            <w:tcBorders/>
            <w:shd w:fill="CCEEFF" w:val="clear"/>
            <w:vAlign w:val="bottom"/>
          </w:tcPr>
          <w:p>
            <w:pPr>
              <w:pStyle w:val="TableContents"/>
              <w:spacing w:before="0" w:after="0"/>
              <w:ind w:left="0" w:right="0" w:hanging="0"/>
              <w:rPr/>
            </w:pPr>
            <w:r>
              <w:rPr/>
              <w:t> </w:t>
            </w:r>
          </w:p>
        </w:tc>
      </w:tr>
      <w:tr>
        <w:trPr/>
        <w:tc>
          <w:tcPr>
            <w:tcW w:w="5786"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0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03"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5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paid/(refunded) for income taxes, net</w:t>
            </w:r>
          </w:p>
        </w:tc>
        <w:tc>
          <w:tcPr>
            <w:tcW w:w="215"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0"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F-6</w:t>
      </w:r>
      <w:bookmarkStart w:id="166" w:name="PB_6_135045_7748"/>
      <w:bookmarkEnd w:id="1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CHANGES IN PARTNERS CAPITAL</w:t>
      </w:r>
      <w:bookmarkStart w:id="167" w:name="ConsolidatedStatementsOfChangesIn_141503"/>
      <w:bookmarkEnd w:id="167"/>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71"/>
        <w:gridCol w:w="107"/>
        <w:gridCol w:w="738"/>
        <w:gridCol w:w="107"/>
        <w:gridCol w:w="148"/>
        <w:gridCol w:w="755"/>
        <w:gridCol w:w="123"/>
        <w:gridCol w:w="204"/>
        <w:gridCol w:w="670"/>
        <w:gridCol w:w="123"/>
        <w:gridCol w:w="246"/>
        <w:gridCol w:w="1161"/>
        <w:gridCol w:w="122"/>
        <w:gridCol w:w="331"/>
        <w:gridCol w:w="961"/>
        <w:gridCol w:w="123"/>
        <w:gridCol w:w="148"/>
        <w:gridCol w:w="755"/>
        <w:gridCol w:w="712"/>
      </w:tblGrid>
      <w:tr>
        <w:trPr/>
        <w:tc>
          <w:tcPr>
            <w:tcW w:w="2671"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738"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874"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22" w:type="dxa"/>
            <w:tcBorders/>
            <w:shd w:fill="auto" w:val="clear"/>
            <w:vAlign w:val="bottom"/>
          </w:tcPr>
          <w:p>
            <w:pPr>
              <w:pStyle w:val="TableContents"/>
              <w:spacing w:before="0" w:after="0"/>
              <w:ind w:left="0" w:right="0" w:hanging="0"/>
              <w:jc w:val="center"/>
              <w:rPr/>
            </w:pPr>
            <w:r>
              <w:rPr/>
              <w:t> </w:t>
            </w:r>
          </w:p>
        </w:tc>
        <w:tc>
          <w:tcPr>
            <w:tcW w:w="1292"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712" w:type="dxa"/>
            <w:tcBorders/>
            <w:shd w:fill="auto" w:val="clear"/>
            <w:vAlign w:val="bottom"/>
          </w:tcPr>
          <w:p>
            <w:pPr>
              <w:pStyle w:val="TableContents"/>
              <w:spacing w:before="0" w:after="0"/>
              <w:ind w:left="0" w:right="0" w:hanging="0"/>
              <w:jc w:val="center"/>
              <w:rPr/>
            </w:pPr>
            <w:r>
              <w:rPr/>
              <w:t> </w:t>
            </w:r>
          </w:p>
        </w:tc>
      </w:tr>
      <w:tr>
        <w:trPr/>
        <w:tc>
          <w:tcPr>
            <w:tcW w:w="2671"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738" w:type="dxa"/>
            <w:tcBorders/>
            <w:shd w:fill="auto" w:val="clear"/>
            <w:vAlign w:val="bottom"/>
          </w:tcPr>
          <w:p>
            <w:pPr>
              <w:pStyle w:val="TableContents"/>
              <w:spacing w:before="0" w:after="0"/>
              <w:ind w:left="0" w:right="0" w:hanging="0"/>
              <w:jc w:val="center"/>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874"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22" w:type="dxa"/>
            <w:tcBorders/>
            <w:shd w:fill="auto" w:val="clear"/>
            <w:vAlign w:val="bottom"/>
          </w:tcPr>
          <w:p>
            <w:pPr>
              <w:pStyle w:val="TableContents"/>
              <w:spacing w:before="0" w:after="0"/>
              <w:ind w:left="0" w:right="0" w:hanging="0"/>
              <w:jc w:val="center"/>
              <w:rPr/>
            </w:pPr>
            <w:r>
              <w:rPr/>
              <w:t> </w:t>
            </w:r>
          </w:p>
        </w:tc>
        <w:tc>
          <w:tcPr>
            <w:tcW w:w="1292" w:type="dxa"/>
            <w:gridSpan w:val="2"/>
            <w:tcBorders/>
            <w:shd w:fill="auto" w:val="clear"/>
            <w:vAlign w:val="bottom"/>
          </w:tcPr>
          <w:p>
            <w:pPr>
              <w:pStyle w:val="TableContents"/>
              <w:spacing w:before="0" w:after="0"/>
              <w:ind w:left="0" w:right="0" w:hanging="0"/>
              <w:jc w:val="center"/>
              <w:rPr/>
            </w:pPr>
            <w:r>
              <w:rPr/>
              <w:t> </w:t>
            </w:r>
          </w:p>
        </w:tc>
        <w:tc>
          <w:tcPr>
            <w:tcW w:w="123"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pPr>
            <w:r>
              <w:rPr/>
              <w:t> </w:t>
            </w:r>
          </w:p>
        </w:tc>
        <w:tc>
          <w:tcPr>
            <w:tcW w:w="712" w:type="dxa"/>
            <w:tcBorders/>
            <w:shd w:fill="auto" w:val="clear"/>
            <w:vAlign w:val="bottom"/>
          </w:tcPr>
          <w:p>
            <w:pPr>
              <w:pStyle w:val="TableContents"/>
              <w:spacing w:before="0" w:after="0"/>
              <w:ind w:left="0" w:right="0" w:hanging="0"/>
              <w:jc w:val="center"/>
              <w:rPr/>
            </w:pPr>
            <w:r>
              <w:rPr/>
              <w:t> </w:t>
            </w:r>
          </w:p>
        </w:tc>
      </w:tr>
      <w:tr>
        <w:trPr/>
        <w:tc>
          <w:tcPr>
            <w:tcW w:w="2671"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174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23" w:type="dxa"/>
            <w:tcBorders/>
            <w:shd w:fill="auto" w:val="clear"/>
            <w:vAlign w:val="bottom"/>
          </w:tcPr>
          <w:p>
            <w:pPr>
              <w:pStyle w:val="TableContents"/>
              <w:spacing w:before="0" w:after="0"/>
              <w:ind w:left="0" w:right="0" w:hanging="0"/>
              <w:jc w:val="center"/>
              <w:rPr/>
            </w:pPr>
            <w:r>
              <w:rPr/>
              <w:t> </w:t>
            </w:r>
          </w:p>
        </w:tc>
        <w:tc>
          <w:tcPr>
            <w:tcW w:w="87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23"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22" w:type="dxa"/>
            <w:tcBorders/>
            <w:shd w:fill="auto" w:val="clear"/>
            <w:vAlign w:val="bottom"/>
          </w:tcPr>
          <w:p>
            <w:pPr>
              <w:pStyle w:val="TableContents"/>
              <w:spacing w:before="0" w:after="0"/>
              <w:ind w:left="0" w:right="0" w:hanging="0"/>
              <w:jc w:val="center"/>
              <w:rPr/>
            </w:pPr>
            <w:r>
              <w:rPr/>
              <w:t> </w:t>
            </w:r>
          </w:p>
        </w:tc>
        <w:tc>
          <w:tcPr>
            <w:tcW w:w="129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23" w:type="dxa"/>
            <w:tcBorders/>
            <w:shd w:fill="auto" w:val="clear"/>
            <w:vAlign w:val="bottom"/>
          </w:tcPr>
          <w:p>
            <w:pPr>
              <w:pStyle w:val="TableContents"/>
              <w:spacing w:before="0" w:after="0"/>
              <w:ind w:left="0" w:right="0" w:hanging="0"/>
              <w:jc w:val="center"/>
              <w:rPr/>
            </w:pPr>
            <w:r>
              <w:rPr/>
              <w:t> </w:t>
            </w:r>
          </w:p>
        </w:tc>
        <w:tc>
          <w:tcPr>
            <w:tcW w:w="90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712" w:type="dxa"/>
            <w:tcBorders/>
            <w:shd w:fill="auto" w:val="clear"/>
            <w:vAlign w:val="bottom"/>
          </w:tcPr>
          <w:p>
            <w:pPr>
              <w:pStyle w:val="TableContents"/>
              <w:spacing w:before="0" w:after="0"/>
              <w:ind w:left="0" w:right="0" w:hanging="0"/>
              <w:jc w:val="center"/>
              <w:rPr/>
            </w:pPr>
            <w:r>
              <w:rPr/>
              <w:t> </w:t>
            </w:r>
          </w:p>
        </w:tc>
      </w:tr>
      <w:tr>
        <w:trPr/>
        <w:tc>
          <w:tcPr>
            <w:tcW w:w="2671" w:type="dxa"/>
            <w:tcBorders/>
            <w:shd w:fill="auto" w:val="clear"/>
            <w:vAlign w:val="bottom"/>
          </w:tcPr>
          <w:p>
            <w:pPr>
              <w:pStyle w:val="TableContents"/>
              <w:spacing w:before="0" w:after="0"/>
              <w:ind w:left="0" w:right="0" w:hanging="0"/>
              <w:rPr/>
            </w:pPr>
            <w:r>
              <w:rPr/>
              <w:t> </w:t>
            </w:r>
          </w:p>
        </w:tc>
        <w:tc>
          <w:tcPr>
            <w:tcW w:w="107" w:type="dxa"/>
            <w:tcBorders/>
            <w:shd w:fill="auto" w:val="clear"/>
            <w:vAlign w:val="bottom"/>
          </w:tcPr>
          <w:p>
            <w:pPr>
              <w:pStyle w:val="TableContents"/>
              <w:spacing w:before="0" w:after="0"/>
              <w:ind w:left="0" w:right="0" w:hanging="0"/>
              <w:jc w:val="center"/>
              <w:rPr/>
            </w:pPr>
            <w:r>
              <w:rPr/>
              <w:t> </w:t>
            </w:r>
          </w:p>
        </w:tc>
        <w:tc>
          <w:tcPr>
            <w:tcW w:w="73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07" w:type="dxa"/>
            <w:tcBorders/>
            <w:shd w:fill="auto" w:val="clear"/>
            <w:vAlign w:val="bottom"/>
          </w:tcPr>
          <w:p>
            <w:pPr>
              <w:pStyle w:val="TableContents"/>
              <w:spacing w:before="0" w:after="0"/>
              <w:ind w:left="0" w:right="0" w:hanging="0"/>
              <w:jc w:val="center"/>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23" w:type="dxa"/>
            <w:tcBorders/>
            <w:shd w:fill="auto" w:val="clear"/>
            <w:vAlign w:val="bottom"/>
          </w:tcPr>
          <w:p>
            <w:pPr>
              <w:pStyle w:val="TableContents"/>
              <w:spacing w:before="0" w:after="0"/>
              <w:ind w:left="0" w:right="0" w:hanging="0"/>
              <w:jc w:val="center"/>
              <w:rPr/>
            </w:pPr>
            <w:r>
              <w:rPr/>
              <w:t> </w:t>
            </w:r>
          </w:p>
        </w:tc>
        <w:tc>
          <w:tcPr>
            <w:tcW w:w="8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23"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r>
          </w:p>
        </w:tc>
        <w:tc>
          <w:tcPr>
            <w:tcW w:w="122" w:type="dxa"/>
            <w:tcBorders/>
            <w:shd w:fill="auto" w:val="clear"/>
            <w:vAlign w:val="bottom"/>
          </w:tcPr>
          <w:p>
            <w:pPr>
              <w:pStyle w:val="TableContents"/>
              <w:spacing w:before="0" w:after="0"/>
              <w:ind w:left="0" w:right="0" w:hanging="0"/>
              <w:jc w:val="center"/>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r>
          </w:p>
        </w:tc>
        <w:tc>
          <w:tcPr>
            <w:tcW w:w="123" w:type="dxa"/>
            <w:tcBorders/>
            <w:shd w:fill="auto" w:val="clear"/>
            <w:vAlign w:val="bottom"/>
          </w:tcPr>
          <w:p>
            <w:pPr>
              <w:pStyle w:val="TableContents"/>
              <w:spacing w:before="0" w:after="0"/>
              <w:ind w:left="0" w:right="0" w:hanging="0"/>
              <w:jc w:val="center"/>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712" w:type="dxa"/>
            <w:tcBorders/>
            <w:shd w:fill="auto" w:val="clear"/>
            <w:vAlign w:val="bottom"/>
          </w:tcPr>
          <w:p>
            <w:pPr>
              <w:pStyle w:val="TableContents"/>
              <w:spacing w:before="0" w:after="0"/>
              <w:ind w:left="0" w:right="0" w:hanging="0"/>
              <w:jc w:val="center"/>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2006</w:t>
            </w:r>
          </w:p>
        </w:tc>
        <w:tc>
          <w:tcPr>
            <w:tcW w:w="107" w:type="dxa"/>
            <w:tcBorders/>
            <w:shd w:fill="CCEEFF" w:val="clear"/>
            <w:vAlign w:val="bottom"/>
          </w:tcPr>
          <w:p>
            <w:pPr>
              <w:pStyle w:val="TableContents"/>
              <w:spacing w:before="0" w:after="0"/>
              <w:ind w:left="0" w:right="0" w:hanging="0"/>
              <w:rPr/>
            </w:pPr>
            <w:r>
              <w:rPr/>
              <w:t> </w:t>
            </w:r>
          </w:p>
        </w:tc>
        <w:tc>
          <w:tcPr>
            <w:tcW w:w="7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109</w:t>
            </w:r>
          </w:p>
        </w:tc>
        <w:tc>
          <w:tcPr>
            <w:tcW w:w="107"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2,906</w:t>
            </w:r>
          </w:p>
        </w:tc>
        <w:tc>
          <w:tcPr>
            <w:tcW w:w="123" w:type="dxa"/>
            <w:tcBorders/>
            <w:shd w:fill="CCEEFF" w:val="clear"/>
            <w:vAlign w:val="bottom"/>
          </w:tcPr>
          <w:p>
            <w:pPr>
              <w:pStyle w:val="TableContents"/>
              <w:spacing w:before="0" w:after="0"/>
              <w:ind w:left="0" w:right="0" w:hanging="0"/>
              <w:rPr/>
            </w:pPr>
            <w:r>
              <w:rPr/>
              <w:t> </w:t>
            </w:r>
          </w:p>
        </w:tc>
        <w:tc>
          <w:tcPr>
            <w:tcW w:w="20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71</w:t>
            </w:r>
          </w:p>
        </w:tc>
        <w:tc>
          <w:tcPr>
            <w:tcW w:w="123" w:type="dxa"/>
            <w:tcBorders/>
            <w:shd w:fill="CCEEFF" w:val="clear"/>
            <w:vAlign w:val="bottom"/>
          </w:tcPr>
          <w:p>
            <w:pPr>
              <w:pStyle w:val="TableContents"/>
              <w:spacing w:before="0" w:after="0"/>
              <w:ind w:left="0" w:right="0" w:hanging="0"/>
              <w:rPr/>
            </w:pPr>
            <w:r>
              <w:rPr/>
              <w:t> </w:t>
            </w:r>
          </w:p>
        </w:tc>
        <w:tc>
          <w:tcPr>
            <w:tcW w:w="2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2,977</w:t>
            </w:r>
          </w:p>
        </w:tc>
        <w:tc>
          <w:tcPr>
            <w:tcW w:w="122" w:type="dxa"/>
            <w:tcBorders/>
            <w:shd w:fill="CCEEFF" w:val="clear"/>
            <w:vAlign w:val="bottom"/>
          </w:tcPr>
          <w:p>
            <w:pPr>
              <w:pStyle w:val="TableContents"/>
              <w:spacing w:before="0" w:after="0"/>
              <w:ind w:left="0" w:right="0" w:hanging="0"/>
              <w:rPr/>
            </w:pPr>
            <w:r>
              <w:rPr/>
              <w:t> </w:t>
            </w:r>
          </w:p>
        </w:tc>
        <w:tc>
          <w:tcPr>
            <w:tcW w:w="3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23"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2,977</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Issuance of common units under Long Term Incentive Plans (LTIP) </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 </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17 </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17 </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17 </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 (Note 10)</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07" w:type="dxa"/>
            <w:tcBorders/>
            <w:shd w:fill="CCEEFF" w:val="clear"/>
            <w:vAlign w:val="bottom"/>
          </w:tcPr>
          <w:p>
            <w:pPr>
              <w:pStyle w:val="TableContents"/>
              <w:spacing w:before="0" w:after="0"/>
              <w:ind w:left="0" w:right="0" w:hanging="0"/>
              <w:rPr/>
            </w:pPr>
            <w:r>
              <w:rPr/>
              <w:t> </w:t>
            </w:r>
          </w:p>
        </w:tc>
        <w:tc>
          <w:tcPr>
            <w:tcW w:w="73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2007</w:t>
            </w:r>
          </w:p>
        </w:tc>
        <w:tc>
          <w:tcPr>
            <w:tcW w:w="107"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116</w:t>
            </w:r>
          </w:p>
        </w:tc>
        <w:tc>
          <w:tcPr>
            <w:tcW w:w="10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3,343</w:t>
            </w:r>
          </w:p>
        </w:tc>
        <w:tc>
          <w:tcPr>
            <w:tcW w:w="123" w:type="dxa"/>
            <w:tcBorders/>
            <w:shd w:fill="auto" w:val="clear"/>
            <w:vAlign w:val="bottom"/>
          </w:tcPr>
          <w:p>
            <w:pPr>
              <w:pStyle w:val="TableContents"/>
              <w:spacing w:before="0" w:after="0"/>
              <w:ind w:left="0" w:right="0" w:hanging="0"/>
              <w:rPr/>
            </w:pPr>
            <w:r>
              <w:rPr/>
              <w:t> </w:t>
            </w:r>
          </w:p>
        </w:tc>
        <w:tc>
          <w:tcPr>
            <w:tcW w:w="2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81</w:t>
            </w:r>
          </w:p>
        </w:tc>
        <w:tc>
          <w:tcPr>
            <w:tcW w:w="123"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3,424</w:t>
            </w:r>
          </w:p>
        </w:tc>
        <w:tc>
          <w:tcPr>
            <w:tcW w:w="122" w:type="dxa"/>
            <w:tcBorders/>
            <w:shd w:fill="auto" w:val="clear"/>
            <w:vAlign w:val="bottom"/>
          </w:tcPr>
          <w:p>
            <w:pPr>
              <w:pStyle w:val="TableContents"/>
              <w:spacing w:before="0" w:after="0"/>
              <w:ind w:left="0" w:right="0" w:hanging="0"/>
              <w:rPr/>
            </w:pPr>
            <w:r>
              <w:rPr/>
              <w:t> </w:t>
            </w:r>
          </w:p>
        </w:tc>
        <w:tc>
          <w:tcPr>
            <w:tcW w:w="3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23"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3,424</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w:t>
            </w:r>
          </w:p>
        </w:tc>
        <w:tc>
          <w:tcPr>
            <w:tcW w:w="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 (Note 10)</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loss</w:t>
            </w:r>
          </w:p>
        </w:tc>
        <w:tc>
          <w:tcPr>
            <w:tcW w:w="107" w:type="dxa"/>
            <w:tcBorders/>
            <w:shd w:fill="CCEEFF" w:val="clear"/>
            <w:vAlign w:val="bottom"/>
          </w:tcPr>
          <w:p>
            <w:pPr>
              <w:pStyle w:val="TableContents"/>
              <w:spacing w:before="0" w:after="0"/>
              <w:ind w:left="0" w:right="0" w:hanging="0"/>
              <w:rPr/>
            </w:pPr>
            <w:r>
              <w:rPr/>
              <w:t> </w:t>
            </w:r>
          </w:p>
        </w:tc>
        <w:tc>
          <w:tcPr>
            <w:tcW w:w="73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2008</w:t>
            </w:r>
          </w:p>
        </w:tc>
        <w:tc>
          <w:tcPr>
            <w:tcW w:w="107"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123</w:t>
            </w:r>
          </w:p>
        </w:tc>
        <w:tc>
          <w:tcPr>
            <w:tcW w:w="10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3,469</w:t>
            </w:r>
          </w:p>
        </w:tc>
        <w:tc>
          <w:tcPr>
            <w:tcW w:w="123" w:type="dxa"/>
            <w:tcBorders/>
            <w:shd w:fill="auto" w:val="clear"/>
            <w:vAlign w:val="bottom"/>
          </w:tcPr>
          <w:p>
            <w:pPr>
              <w:pStyle w:val="TableContents"/>
              <w:spacing w:before="0" w:after="0"/>
              <w:ind w:left="0" w:right="0" w:hanging="0"/>
              <w:rPr/>
            </w:pPr>
            <w:r>
              <w:rPr/>
              <w:t> </w:t>
            </w:r>
          </w:p>
        </w:tc>
        <w:tc>
          <w:tcPr>
            <w:tcW w:w="2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83</w:t>
            </w:r>
          </w:p>
        </w:tc>
        <w:tc>
          <w:tcPr>
            <w:tcW w:w="123"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3,552</w:t>
            </w:r>
          </w:p>
        </w:tc>
        <w:tc>
          <w:tcPr>
            <w:tcW w:w="122" w:type="dxa"/>
            <w:tcBorders/>
            <w:shd w:fill="auto" w:val="clear"/>
            <w:vAlign w:val="bottom"/>
          </w:tcPr>
          <w:p>
            <w:pPr>
              <w:pStyle w:val="TableContents"/>
              <w:spacing w:before="0" w:after="0"/>
              <w:ind w:left="0" w:right="0" w:hanging="0"/>
              <w:rPr/>
            </w:pPr>
            <w:r>
              <w:rPr/>
              <w:t> </w:t>
            </w:r>
          </w:p>
        </w:tc>
        <w:tc>
          <w:tcPr>
            <w:tcW w:w="3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23"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3,552</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pPr>
            <w:r>
              <w:rPr/>
              <w:t> </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Sale of noncontrolling interest in a subsidiary</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Issuance of common units in connection with the PNGS Acquisition </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 </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91 </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2 </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93 </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93 </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712" w:type="dxa"/>
            <w:tcBorders/>
            <w:shd w:fill="CCEEFF" w:val="clear"/>
            <w:vAlign w:val="bottom"/>
          </w:tcPr>
          <w:p>
            <w:pPr>
              <w:pStyle w:val="TableContents"/>
              <w:spacing w:before="0" w:after="0"/>
              <w:ind w:left="0" w:right="0" w:hanging="0"/>
              <w:rPr/>
            </w:pPr>
            <w:r>
              <w:rPr/>
              <w:t> </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 (Note 10)</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to noncontrolling interest</w:t>
            </w:r>
          </w:p>
        </w:tc>
        <w:tc>
          <w:tcPr>
            <w:tcW w:w="107" w:type="dxa"/>
            <w:tcBorders/>
            <w:shd w:fill="CCEEFF" w:val="clear"/>
            <w:vAlign w:val="bottom"/>
          </w:tcPr>
          <w:p>
            <w:pPr>
              <w:pStyle w:val="TableContents"/>
              <w:spacing w:before="0" w:after="0"/>
              <w:ind w:left="0" w:right="0" w:hanging="0"/>
              <w:rPr/>
            </w:pPr>
            <w:r>
              <w:rPr/>
              <w:t> </w:t>
            </w:r>
          </w:p>
        </w:tc>
        <w:tc>
          <w:tcPr>
            <w:tcW w:w="7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8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c>
          <w:tcPr>
            <w:tcW w:w="12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107" w:type="dxa"/>
            <w:tcBorders/>
            <w:shd w:fill="auto" w:val="clear"/>
            <w:vAlign w:val="bottom"/>
          </w:tcPr>
          <w:p>
            <w:pPr>
              <w:pStyle w:val="TableContents"/>
              <w:spacing w:before="0" w:after="0"/>
              <w:ind w:left="0" w:right="0" w:hanging="0"/>
              <w:rPr/>
            </w:pPr>
            <w:r>
              <w:rPr/>
              <w:t> </w:t>
            </w:r>
          </w:p>
        </w:tc>
        <w:tc>
          <w:tcPr>
            <w:tcW w:w="7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23" w:type="dxa"/>
            <w:tcBorders/>
            <w:shd w:fill="auto" w:val="clear"/>
            <w:vAlign w:val="bottom"/>
          </w:tcPr>
          <w:p>
            <w:pPr>
              <w:pStyle w:val="TableContents"/>
              <w:spacing w:before="0" w:after="0"/>
              <w:ind w:left="0" w:right="0" w:hanging="0"/>
              <w:rPr/>
            </w:pPr>
            <w:r>
              <w:rPr/>
              <w:t> </w:t>
            </w:r>
          </w:p>
        </w:tc>
        <w:tc>
          <w:tcPr>
            <w:tcW w:w="8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2" w:type="dxa"/>
            <w:tcBorders/>
            <w:shd w:fill="auto" w:val="clear"/>
            <w:vAlign w:val="bottom"/>
          </w:tcPr>
          <w:p>
            <w:pPr>
              <w:pStyle w:val="TableContents"/>
              <w:spacing w:before="0" w:after="0"/>
              <w:ind w:left="0" w:right="0" w:hanging="0"/>
              <w:rPr/>
            </w:pPr>
            <w:r>
              <w:rPr/>
              <w:t> </w:t>
            </w:r>
          </w:p>
        </w:tc>
        <w:tc>
          <w:tcPr>
            <w:tcW w:w="12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712" w:type="dxa"/>
            <w:tcBorders/>
            <w:shd w:fill="auto" w:val="clear"/>
            <w:vAlign w:val="bottom"/>
          </w:tcPr>
          <w:p>
            <w:pPr>
              <w:pStyle w:val="TableContents"/>
              <w:spacing w:before="0" w:after="0"/>
              <w:ind w:left="0" w:right="0" w:hanging="0"/>
              <w:rPr/>
            </w:pPr>
            <w:r>
              <w:rPr/>
              <w:t> </w:t>
            </w:r>
          </w:p>
        </w:tc>
      </w:tr>
      <w:tr>
        <w:trPr/>
        <w:tc>
          <w:tcPr>
            <w:tcW w:w="26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07" w:type="dxa"/>
            <w:tcBorders/>
            <w:shd w:fill="CCEEFF" w:val="clear"/>
            <w:vAlign w:val="bottom"/>
          </w:tcPr>
          <w:p>
            <w:pPr>
              <w:pStyle w:val="TableContents"/>
              <w:spacing w:before="0" w:after="0"/>
              <w:ind w:left="0" w:right="0" w:hanging="0"/>
              <w:rPr/>
            </w:pPr>
            <w:r>
              <w:rPr/>
              <w:t> </w:t>
            </w:r>
          </w:p>
        </w:tc>
        <w:tc>
          <w:tcPr>
            <w:tcW w:w="73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7"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107" w:type="dxa"/>
            <w:tcBorders/>
            <w:shd w:fill="auto" w:val="clear"/>
            <w:vAlign w:val="bottom"/>
          </w:tcPr>
          <w:p>
            <w:pPr>
              <w:pStyle w:val="TableContents"/>
              <w:spacing w:before="0" w:after="0"/>
              <w:ind w:left="0" w:right="0" w:hanging="0"/>
              <w:rPr/>
            </w:pPr>
            <w:r>
              <w:rPr/>
              <w:t> </w:t>
            </w:r>
          </w:p>
        </w:tc>
        <w:tc>
          <w:tcPr>
            <w:tcW w:w="7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136</w:t>
            </w:r>
          </w:p>
        </w:tc>
        <w:tc>
          <w:tcPr>
            <w:tcW w:w="10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4,002</w:t>
            </w:r>
          </w:p>
        </w:tc>
        <w:tc>
          <w:tcPr>
            <w:tcW w:w="123" w:type="dxa"/>
            <w:tcBorders/>
            <w:shd w:fill="auto" w:val="clear"/>
            <w:vAlign w:val="bottom"/>
          </w:tcPr>
          <w:p>
            <w:pPr>
              <w:pStyle w:val="TableContents"/>
              <w:spacing w:before="0" w:after="0"/>
              <w:ind w:left="0" w:right="0" w:hanging="0"/>
              <w:rPr/>
            </w:pPr>
            <w:r>
              <w:rPr/>
              <w:t> </w:t>
            </w:r>
          </w:p>
        </w:tc>
        <w:tc>
          <w:tcPr>
            <w:tcW w:w="20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94</w:t>
            </w:r>
          </w:p>
        </w:tc>
        <w:tc>
          <w:tcPr>
            <w:tcW w:w="123" w:type="dxa"/>
            <w:tcBorders/>
            <w:shd w:fill="auto" w:val="clear"/>
            <w:vAlign w:val="bottom"/>
          </w:tcPr>
          <w:p>
            <w:pPr>
              <w:pStyle w:val="TableContents"/>
              <w:spacing w:before="0" w:after="0"/>
              <w:ind w:left="0" w:right="0" w:hanging="0"/>
              <w:rPr/>
            </w:pPr>
            <w:r>
              <w:rPr/>
              <w:t> </w:t>
            </w:r>
          </w:p>
        </w:tc>
        <w:tc>
          <w:tcPr>
            <w:tcW w:w="2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4,096</w:t>
            </w:r>
          </w:p>
        </w:tc>
        <w:tc>
          <w:tcPr>
            <w:tcW w:w="122" w:type="dxa"/>
            <w:tcBorders/>
            <w:shd w:fill="auto" w:val="clear"/>
            <w:vAlign w:val="bottom"/>
          </w:tcPr>
          <w:p>
            <w:pPr>
              <w:pStyle w:val="TableContents"/>
              <w:spacing w:before="0" w:after="0"/>
              <w:ind w:left="0" w:right="0" w:hanging="0"/>
              <w:rPr/>
            </w:pPr>
            <w:r>
              <w:rPr/>
              <w:t> </w:t>
            </w:r>
          </w:p>
        </w:tc>
        <w:tc>
          <w:tcPr>
            <w:tcW w:w="3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96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63</w:t>
            </w:r>
          </w:p>
        </w:tc>
        <w:tc>
          <w:tcPr>
            <w:tcW w:w="123"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4,159</w:t>
            </w:r>
          </w:p>
        </w:tc>
        <w:tc>
          <w:tcPr>
            <w:tcW w:w="7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F-7</w:t>
      </w:r>
      <w:bookmarkStart w:id="168" w:name="PB_7_135556_141"/>
      <w:bookmarkEnd w:id="1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COMPREHENSIVE INCOME</w:t>
      </w:r>
      <w:bookmarkStart w:id="169" w:name="ConsolidatedStatementsOfComprehen_141506"/>
      <w:bookmarkEnd w:id="169"/>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31"/>
        <w:gridCol w:w="215"/>
        <w:gridCol w:w="122"/>
        <w:gridCol w:w="1080"/>
        <w:gridCol w:w="216"/>
        <w:gridCol w:w="122"/>
        <w:gridCol w:w="1080"/>
        <w:gridCol w:w="219"/>
        <w:gridCol w:w="122"/>
        <w:gridCol w:w="1080"/>
        <w:gridCol w:w="118"/>
      </w:tblGrid>
      <w:tr>
        <w:trPr/>
        <w:tc>
          <w:tcPr>
            <w:tcW w:w="5831"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4041"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5831"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9" w:type="dxa"/>
            <w:tcBorders/>
            <w:shd w:fill="auto" w:val="clear"/>
            <w:vAlign w:val="bottom"/>
          </w:tcPr>
          <w:p>
            <w:pPr>
              <w:pStyle w:val="TableContents"/>
              <w:spacing w:before="0" w:after="0"/>
              <w:ind w:left="0" w:right="0" w:hanging="0"/>
              <w:jc w:val="center"/>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8" w:type="dxa"/>
            <w:tcBorders/>
            <w:shd w:fill="auto" w:val="clear"/>
            <w:vAlign w:val="bottom"/>
          </w:tcPr>
          <w:p>
            <w:pPr>
              <w:pStyle w:val="TableContents"/>
              <w:spacing w:before="0" w:after="0"/>
              <w:ind w:left="0" w:right="0" w:hanging="0"/>
              <w:jc w:val="center"/>
              <w:rPr/>
            </w:pPr>
            <w:r>
              <w:rPr/>
              <w:t> </w:t>
            </w:r>
          </w:p>
        </w:tc>
      </w:tr>
      <w:tr>
        <w:trPr/>
        <w:tc>
          <w:tcPr>
            <w:tcW w:w="58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5"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6"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9"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8" w:type="dxa"/>
            <w:tcBorders/>
            <w:shd w:fill="CCEEFF" w:val="clear"/>
            <w:vAlign w:val="bottom"/>
          </w:tcPr>
          <w:p>
            <w:pPr>
              <w:pStyle w:val="TableContents"/>
              <w:spacing w:before="0" w:after="0"/>
              <w:ind w:left="0" w:right="0" w:hanging="0"/>
              <w:rPr/>
            </w:pPr>
            <w:r>
              <w:rPr/>
              <w:t> </w:t>
            </w:r>
          </w:p>
        </w:tc>
      </w:tr>
      <w:tr>
        <w:trPr/>
        <w:tc>
          <w:tcPr>
            <w:tcW w:w="58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15"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6" w:type="dxa"/>
            <w:tcBorders/>
            <w:shd w:fill="auto" w:val="clear"/>
            <w:vAlign w:val="bottom"/>
          </w:tcPr>
          <w:p>
            <w:pPr>
              <w:pStyle w:val="TableContents"/>
              <w:spacing w:before="0" w:after="0"/>
              <w:ind w:left="0" w:right="0" w:hanging="0"/>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8" w:type="dxa"/>
            <w:tcBorders/>
            <w:shd w:fill="auto" w:val="clear"/>
            <w:vAlign w:val="bottom"/>
          </w:tcPr>
          <w:p>
            <w:pPr>
              <w:pStyle w:val="TableContents"/>
              <w:spacing w:before="0" w:after="0"/>
              <w:ind w:left="0" w:right="0" w:hanging="0"/>
              <w:rPr/>
            </w:pPr>
            <w:r>
              <w:rPr/>
              <w:t> </w:t>
            </w:r>
          </w:p>
        </w:tc>
      </w:tr>
      <w:tr>
        <w:trPr/>
        <w:tc>
          <w:tcPr>
            <w:tcW w:w="58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15"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627</w:t>
            </w:r>
          </w:p>
        </w:tc>
        <w:tc>
          <w:tcPr>
            <w:tcW w:w="216"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9"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CONSOLIDATED STATEMENTS OF CHANGES IN ACCUMULATED</w:t>
        <w:br/>
        <w:t>OTHER COMPREHENSIVE INCOME</w:t>
      </w:r>
      <w:bookmarkStart w:id="170" w:name="ConsolidatedStatementsOfChangesIn_141516"/>
      <w:bookmarkEnd w:id="17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17"/>
        <w:gridCol w:w="205"/>
        <w:gridCol w:w="208"/>
        <w:gridCol w:w="1172"/>
        <w:gridCol w:w="217"/>
        <w:gridCol w:w="211"/>
        <w:gridCol w:w="1179"/>
        <w:gridCol w:w="217"/>
        <w:gridCol w:w="172"/>
        <w:gridCol w:w="978"/>
        <w:gridCol w:w="217"/>
        <w:gridCol w:w="151"/>
        <w:gridCol w:w="1020"/>
        <w:gridCol w:w="141"/>
      </w:tblGrid>
      <w:tr>
        <w:trPr/>
        <w:tc>
          <w:tcPr>
            <w:tcW w:w="41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17" w:type="dxa"/>
            <w:tcBorders/>
            <w:shd w:fill="auto" w:val="clear"/>
            <w:vAlign w:val="bottom"/>
          </w:tcPr>
          <w:p>
            <w:pPr>
              <w:pStyle w:val="TableContents"/>
              <w:spacing w:before="0" w:after="0"/>
              <w:ind w:left="0" w:right="0" w:hanging="0"/>
              <w:jc w:val="center"/>
              <w:rPr/>
            </w:pPr>
            <w:r>
              <w:rPr/>
              <w:t> </w:t>
            </w:r>
          </w:p>
        </w:tc>
        <w:tc>
          <w:tcPr>
            <w:tcW w:w="139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17" w:type="dxa"/>
            <w:tcBorders/>
            <w:shd w:fill="auto" w:val="clear"/>
            <w:vAlign w:val="bottom"/>
          </w:tcPr>
          <w:p>
            <w:pPr>
              <w:pStyle w:val="TableContents"/>
              <w:spacing w:before="0" w:after="0"/>
              <w:ind w:left="0" w:right="0" w:hanging="0"/>
              <w:jc w:val="center"/>
              <w:rPr/>
            </w:pPr>
            <w:r>
              <w:rPr/>
              <w:t> </w:t>
            </w:r>
          </w:p>
        </w:tc>
        <w:tc>
          <w:tcPr>
            <w:tcW w:w="1150" w:type="dxa"/>
            <w:gridSpan w:val="2"/>
            <w:tcBorders/>
            <w:shd w:fill="auto" w:val="clear"/>
            <w:vAlign w:val="bottom"/>
          </w:tcPr>
          <w:p>
            <w:pPr>
              <w:pStyle w:val="TableContents"/>
              <w:spacing w:before="0" w:after="0"/>
              <w:ind w:left="0" w:right="0" w:hanging="0"/>
              <w:jc w:val="center"/>
              <w:rPr/>
            </w:pPr>
            <w:r>
              <w:rPr/>
              <w:t> </w:t>
            </w:r>
          </w:p>
        </w:tc>
        <w:tc>
          <w:tcPr>
            <w:tcW w:w="217" w:type="dxa"/>
            <w:tcBorders/>
            <w:shd w:fill="auto" w:val="clear"/>
            <w:vAlign w:val="bottom"/>
          </w:tcPr>
          <w:p>
            <w:pPr>
              <w:pStyle w:val="TableContents"/>
              <w:spacing w:before="0" w:after="0"/>
              <w:ind w:left="0" w:right="0" w:hanging="0"/>
              <w:jc w:val="center"/>
              <w:rPr/>
            </w:pPr>
            <w:r>
              <w:rPr/>
              <w:t> </w:t>
            </w:r>
          </w:p>
        </w:tc>
        <w:tc>
          <w:tcPr>
            <w:tcW w:w="1171" w:type="dxa"/>
            <w:gridSpan w:val="2"/>
            <w:tcBorders/>
            <w:shd w:fill="auto" w:val="clear"/>
            <w:vAlign w:val="bottom"/>
          </w:tcPr>
          <w:p>
            <w:pPr>
              <w:pStyle w:val="TableContents"/>
              <w:spacing w:before="0" w:after="0"/>
              <w:ind w:left="0" w:right="0" w:hanging="0"/>
              <w:jc w:val="center"/>
              <w:rPr/>
            </w:pPr>
            <w:r>
              <w:rPr/>
              <w:t> </w:t>
            </w:r>
          </w:p>
        </w:tc>
        <w:tc>
          <w:tcPr>
            <w:tcW w:w="141" w:type="dxa"/>
            <w:tcBorders/>
            <w:shd w:fill="auto" w:val="clear"/>
            <w:vAlign w:val="bottom"/>
          </w:tcPr>
          <w:p>
            <w:pPr>
              <w:pStyle w:val="TableContents"/>
              <w:spacing w:before="0" w:after="0"/>
              <w:ind w:left="0" w:right="0" w:hanging="0"/>
              <w:jc w:val="center"/>
              <w:rPr/>
            </w:pPr>
            <w:r>
              <w:rPr/>
              <w:t> </w:t>
            </w:r>
          </w:p>
        </w:tc>
      </w:tr>
      <w:tr>
        <w:trPr/>
        <w:tc>
          <w:tcPr>
            <w:tcW w:w="4117"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17" w:type="dxa"/>
            <w:tcBorders/>
            <w:shd w:fill="auto" w:val="clear"/>
            <w:vAlign w:val="bottom"/>
          </w:tcPr>
          <w:p>
            <w:pPr>
              <w:pStyle w:val="TableContents"/>
              <w:spacing w:before="0" w:after="0"/>
              <w:ind w:left="0" w:right="0" w:hanging="0"/>
              <w:jc w:val="center"/>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17" w:type="dxa"/>
            <w:tcBorders/>
            <w:shd w:fill="auto" w:val="clear"/>
            <w:vAlign w:val="bottom"/>
          </w:tcPr>
          <w:p>
            <w:pPr>
              <w:pStyle w:val="TableContents"/>
              <w:spacing w:before="0" w:after="0"/>
              <w:ind w:left="0" w:right="0" w:hanging="0"/>
              <w:jc w:val="center"/>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r>
          </w:p>
        </w:tc>
        <w:tc>
          <w:tcPr>
            <w:tcW w:w="217" w:type="dxa"/>
            <w:tcBorders/>
            <w:shd w:fill="auto" w:val="clear"/>
            <w:vAlign w:val="bottom"/>
          </w:tcPr>
          <w:p>
            <w:pPr>
              <w:pStyle w:val="TableContents"/>
              <w:spacing w:before="0" w:after="0"/>
              <w:ind w:left="0" w:right="0" w:hanging="0"/>
              <w:jc w:val="center"/>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41" w:type="dxa"/>
            <w:tcBorders/>
            <w:shd w:fill="auto" w:val="clear"/>
            <w:vAlign w:val="bottom"/>
          </w:tcPr>
          <w:p>
            <w:pPr>
              <w:pStyle w:val="TableContents"/>
              <w:spacing w:before="0" w:after="0"/>
              <w:ind w:left="0" w:right="0" w:hanging="0"/>
              <w:jc w:val="center"/>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2006</w:t>
            </w:r>
          </w:p>
        </w:tc>
        <w:tc>
          <w:tcPr>
            <w:tcW w:w="205"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7"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 on cash flow hedges</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2007 Activity</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2007</w:t>
            </w:r>
          </w:p>
        </w:tc>
        <w:tc>
          <w:tcPr>
            <w:tcW w:w="205" w:type="dxa"/>
            <w:tcBorders/>
            <w:shd w:fill="auto" w:val="clear"/>
            <w:vAlign w:val="bottom"/>
          </w:tcPr>
          <w:p>
            <w:pPr>
              <w:pStyle w:val="TableContents"/>
              <w:spacing w:before="0" w:after="0"/>
              <w:ind w:left="0" w:right="0" w:hanging="0"/>
              <w:rPr/>
            </w:pPr>
            <w:r>
              <w:rPr/>
              <w:t> </w:t>
            </w:r>
          </w:p>
        </w:tc>
        <w:tc>
          <w:tcPr>
            <w:tcW w:w="20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auto" w:val="clear"/>
            <w:vAlign w:val="bottom"/>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17"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gain on cash flow hedges</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2008 Activity</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2008</w:t>
            </w:r>
          </w:p>
        </w:tc>
        <w:tc>
          <w:tcPr>
            <w:tcW w:w="205" w:type="dxa"/>
            <w:tcBorders/>
            <w:shd w:fill="auto" w:val="clear"/>
            <w:vAlign w:val="bottom"/>
          </w:tcPr>
          <w:p>
            <w:pPr>
              <w:pStyle w:val="TableContents"/>
              <w:spacing w:before="0" w:after="0"/>
              <w:ind w:left="0" w:right="0" w:hanging="0"/>
              <w:rPr/>
            </w:pPr>
            <w:r>
              <w:rPr/>
              <w:t> </w:t>
            </w:r>
          </w:p>
        </w:tc>
        <w:tc>
          <w:tcPr>
            <w:tcW w:w="20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17" w:type="dxa"/>
            <w:tcBorders/>
            <w:shd w:fill="auto" w:val="clear"/>
            <w:vAlign w:val="bottom"/>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41" w:type="dxa"/>
            <w:tcBorders/>
            <w:shd w:fill="CCEEFF" w:val="clear"/>
            <w:vAlign w:val="bottom"/>
          </w:tcPr>
          <w:p>
            <w:pPr>
              <w:pStyle w:val="TableContents"/>
              <w:spacing w:before="0" w:after="0"/>
              <w:ind w:left="0" w:right="0" w:hanging="0"/>
              <w:rPr/>
            </w:pPr>
            <w:r>
              <w:rPr/>
              <w:t>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39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Proportionate share of our unconsolidated entities other comprehensive loss </w:t>
            </w:r>
          </w:p>
        </w:tc>
        <w:tc>
          <w:tcPr>
            <w:tcW w:w="205" w:type="dxa"/>
            <w:tcBorders/>
            <w:shd w:fill="CCEEFF" w:val="clear"/>
            <w:vAlign w:val="bottom"/>
          </w:tcPr>
          <w:p>
            <w:pPr>
              <w:pStyle w:val="TableContents"/>
              <w:spacing w:before="0" w:after="0"/>
              <w:ind w:left="0" w:right="0" w:hanging="0"/>
              <w:rPr/>
            </w:pPr>
            <w:r>
              <w:rPr/>
              <w:t> </w:t>
            </w:r>
          </w:p>
        </w:tc>
        <w:tc>
          <w:tcPr>
            <w:tcW w:w="13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217" w:type="dxa"/>
            <w:tcBorders/>
            <w:shd w:fill="CCEEFF" w:val="clear"/>
            <w:vAlign w:val="bottom"/>
          </w:tcPr>
          <w:p>
            <w:pPr>
              <w:pStyle w:val="TableContents"/>
              <w:spacing w:before="0" w:after="0"/>
              <w:ind w:left="0" w:right="0" w:hanging="0"/>
              <w:rPr/>
            </w:pPr>
            <w:r>
              <w:rPr/>
              <w:t> </w:t>
            </w:r>
          </w:p>
        </w:tc>
        <w:tc>
          <w:tcPr>
            <w:tcW w:w="13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 </w:t>
            </w:r>
          </w:p>
        </w:tc>
        <w:tc>
          <w:tcPr>
            <w:tcW w:w="217" w:type="dxa"/>
            <w:tcBorders/>
            <w:shd w:fill="CCEEFF" w:val="clear"/>
            <w:vAlign w:val="bottom"/>
          </w:tcPr>
          <w:p>
            <w:pPr>
              <w:pStyle w:val="TableContents"/>
              <w:spacing w:before="0" w:after="0"/>
              <w:ind w:left="0" w:right="0" w:hanging="0"/>
              <w:rPr/>
            </w:pPr>
            <w:r>
              <w:rPr/>
              <w:t> </w:t>
            </w:r>
          </w:p>
        </w:tc>
        <w:tc>
          <w:tcPr>
            <w:tcW w:w="11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(1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 </w:t>
            </w:r>
          </w:p>
        </w:tc>
      </w:tr>
      <w:tr>
        <w:trPr/>
        <w:tc>
          <w:tcPr>
            <w:tcW w:w="41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2009 Activity</w:t>
            </w:r>
          </w:p>
        </w:tc>
        <w:tc>
          <w:tcPr>
            <w:tcW w:w="205" w:type="dxa"/>
            <w:tcBorders/>
            <w:shd w:fill="auto" w:val="clear"/>
            <w:vAlign w:val="bottom"/>
          </w:tcPr>
          <w:p>
            <w:pPr>
              <w:pStyle w:val="TableContents"/>
              <w:spacing w:before="0" w:after="0"/>
              <w:ind w:left="0" w:right="0" w:hanging="0"/>
              <w:rPr/>
            </w:pPr>
            <w:r>
              <w:rPr/>
              <w:t> </w:t>
            </w:r>
          </w:p>
        </w:tc>
        <w:tc>
          <w:tcPr>
            <w:tcW w:w="13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7" w:type="dxa"/>
            <w:tcBorders/>
            <w:shd w:fill="auto" w:val="clear"/>
            <w:vAlign w:val="bottom"/>
          </w:tcPr>
          <w:p>
            <w:pPr>
              <w:pStyle w:val="TableContents"/>
              <w:spacing w:before="0" w:after="0"/>
              <w:ind w:left="0" w:right="0" w:hanging="0"/>
              <w:rPr/>
            </w:pPr>
            <w:r>
              <w:rPr/>
              <w:t> </w:t>
            </w:r>
          </w:p>
        </w:tc>
        <w:tc>
          <w:tcPr>
            <w:tcW w:w="115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41" w:type="dxa"/>
            <w:tcBorders/>
            <w:shd w:fill="auto" w:val="clear"/>
            <w:vAlign w:val="bottom"/>
          </w:tcPr>
          <w:p>
            <w:pPr>
              <w:pStyle w:val="TableContents"/>
              <w:spacing w:before="0" w:after="0"/>
              <w:ind w:left="0" w:right="0" w:hanging="0"/>
              <w:rPr/>
            </w:pPr>
            <w:r>
              <w:rPr/>
              <w:t> </w:t>
            </w:r>
          </w:p>
        </w:tc>
      </w:tr>
      <w:tr>
        <w:trPr/>
        <w:tc>
          <w:tcPr>
            <w:tcW w:w="4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205"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7" w:type="dxa"/>
            <w:tcBorders/>
            <w:shd w:fill="CCEEFF" w:val="clear"/>
            <w:vAlign w:val="bottom"/>
          </w:tcPr>
          <w:p>
            <w:pPr>
              <w:pStyle w:val="TableContents"/>
              <w:spacing w:before="0" w:after="0"/>
              <w:ind w:left="0" w:right="0" w:hanging="0"/>
              <w:rPr/>
            </w:pPr>
            <w:r>
              <w:rPr/>
              <w:t> </w:t>
            </w:r>
          </w:p>
        </w:tc>
        <w:tc>
          <w:tcPr>
            <w:tcW w:w="1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4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F-8</w:t>
      </w:r>
      <w:bookmarkStart w:id="171" w:name="PB_8_140212_7608"/>
      <w:bookmarkEnd w:id="1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THE CONSOLIDATED FINANCIAL STATEMENTS</w:t>
      </w:r>
      <w:bookmarkStart w:id="172" w:name="NotesToTheConsolidatedFinancialSt_141525"/>
      <w:bookmarkEnd w:id="172"/>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Our operations are conducted directly and indirectly through our primary operating subsidiaries. As used in this Form 10-K, the terms Partnership, Plains, we, us, our, ours and similar terms refer to Plains All American Pipeline, L.P. and its subsidiaries, unless the context indicates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We manage our operations through three operating segments: (i) Transportation, (ii) Facilities and (iii) Supply and Logistics. We previously referred to the Supply and Logistics segment as the Marketing segment.  We revised the segment name to better describe the business activities conducted within that segment.  See Note 15 for further discussion of our three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2% general partner interest is held by PAA GP LLC, a Delaware limited liability company, whose sole member is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personnel are employed by our subsidiary PMC (Nova Scotia) Company, the general partner of Plains Marketing Canada, L.P. References to our general partner, as the context requires, include any or all of PAA GP LLC, Plains AAP, L.P. and Plains All American GP LLC. Plains AAP, L.P. and Plains All American GP LLC are essentially held by 13 owners with interests ranging from approximately 50% to less than 1%.</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financial statements and related notes present and discuss our consolidated financial position as of December 31, 2009 and 2008, and the consolidated results of our operations, cash flows, changes in partners capital, comprehensive income and changes in accumulated other comprehensive income for the years ended December 31, 2009, 2008 and 2007. All significant intercompany transactions have been eliminated in consolidation, and certain reclassifications have been made to information from previous years to conform to the current presentation. These reclassifications do not affect net income. The accompanying consolidated financial statements include Plains and all of its wholly owned subsidiaries. Investments in entities over which we have significant influence but not control are accounted for by the equity method. We evaluate our equity investments for impairment in accordance with Financial Accounting Standards Board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within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2Summary of Significant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Use of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preparation of financial statements in conformity with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We make significant estimates with respect to (i) purchases and sales accruals, (ii) estimated fair value of assets and liabilities acquired and identification of associated goodwill and intangible assets, (iii) mark-to-market gains and losses on derivative instruments (pursuant to guidance issued by the FASB regarding fair value measurements), (iv) accruals and contingent liabilities, (v) equity compensation plan accruals, (vi) property, plant and equipment and depreciation expense and (vii) allowance for doubtful accounts. Although we believe these estimates are reasonable, actual results could differ from these estimates.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F-9</w:t>
      </w:r>
      <w:bookmarkStart w:id="173" w:name="PB_9_140254_8146"/>
      <w:bookmarkEnd w:id="17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Revenue Recognition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Supply and Logistics Segment Revenues.</w:t>
      </w:r>
      <w:r>
        <w:rPr>
          <w:rFonts w:ascii="Times New Roman" w:hAnsi="Times New Roman"/>
        </w:rPr>
        <w:t xml:space="preserve">  </w:t>
      </w:r>
      <w:r>
        <w:rPr>
          <w:rFonts w:ascii="Times New Roman" w:hAnsi="Times New Roman"/>
          <w:sz w:val="17"/>
        </w:rPr>
        <w:t>Revenues from sales of crude oil, LPG and refined products are recognized at the time title to the product sold transfers to the purchaser, which occurs upon delivery of the product to the purchaser or its designee. Sales of crude oil, LPG and refined products consist of outright sales contracts and buy/sell arrangements as well as exchanges. Also, inventory purchases and sales under buy/sell transactions are treated as inventory exchanges and are presented net within Supply and Logistics segment revenues in our consolidated statements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we may utilize derivatives in connection with the transactions described above. For commodity derivatives that are designated as cash flow hedges, derivative gains and losses are deferred to Accumulated Other Comprehensive Income (AOCI) and recognized in revenues in the periods during which the underlying physical hedged transaction impacts earnings. For derivatives that do not qualify for hedge accounting or are not designated for hedge accounting, as well as ineffectiveness associated with cash flow hedges, are recognized in revenues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Transportation Segment Revenues.</w:t>
      </w:r>
      <w:r>
        <w:rPr>
          <w:rFonts w:ascii="Times New Roman" w:hAnsi="Times New Roman"/>
        </w:rPr>
        <w:t xml:space="preserve">  </w:t>
      </w:r>
      <w:r>
        <w:rPr>
          <w:rFonts w:ascii="Times New Roman" w:hAnsi="Times New Roman"/>
          <w:sz w:val="17"/>
        </w:rPr>
        <w:t>Revenues from pipeline tariffs and fees are associated with the transportation of crude oil and refined products at a published tariff as well as revenues associated 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and are subject to make up rights for take or pay arrangements. All pipeline tariff and fee revenues are based on actual volumes and rates. As is common in the industry, our tariffs incorporate a loss allowance factor that is intended to, among other things, offset losses due to evaporation, measurement and other losses in transit. We value the variance of allowance volumes to actual losses at the estimated net realizable value (including the impact of gains and losses from derivative related activities) at the time the variance occurred and the result is recorded as either an increase or decrease to tariff revenues. In addition, we have certain agreements that require counterparties to ship a minimum volume over an agreed upon period. Revenue is recognized at the latter of when the volume is shipped (pursuant to specifications outlined in the tariffs) or when the counterpartys ability to make up the minimum volume has expired.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Facilities Segment Revenues.</w:t>
      </w:r>
      <w:r>
        <w:rPr>
          <w:rFonts w:ascii="Times New Roman" w:hAnsi="Times New Roman"/>
        </w:rPr>
        <w:t xml:space="preserve">  </w:t>
      </w:r>
      <w:r>
        <w:rPr>
          <w:rFonts w:ascii="Times New Roman" w:hAnsi="Times New Roman"/>
          <w:sz w:val="17"/>
        </w:rPr>
        <w:t>Storage and terminalling revenues include (i) storage fees that are generated when we lease storage capacity, (ii) terminalling fees, or throughput fees, that are generated when we receive crude oil, refined products, LPG or natural gas from one connecting pipeline and redeliver the applicable product to another connecting carrier, (iii) hub service fees for the movement of natural gas across our header systems and (iv) fees from LPG fractionation and isomerization services.  We generate revenue through a combination of month-to-month and multi-year leases and processing arrangements.  Storage fees resulting from short-term and long-term contracts are typically recognized in revenue ratably over the term of the contract regardless of the actual storage capacity utilized. Terminal fees are recognized as the crude oil, LPG or refined product exits the terminal and is delivered to the connecting carrier or third-party terminal. Hub service fees are recognized in the period the natural gas moves across our header system. In addition, we have certain agreements that require counterparties to throughput a minimum volume over an agreed upon period. Revenue is recognized at the latter of when the volume exits the terminal or when the counterpartys ability to make up the minimum volume has expired.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Purchases and related costs include (i) the cost of crude oil, LPG and refined products obtained in outright purchases; (ii) fees incurred for third-party transportation and storage, whether by pipeline, truck, ship or barge; (iii) interest cost attributable to borrowings for inventory stored in a contango market; (iv) performance-related bonus accruals; and (v) expenses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F-10</w:t>
      </w:r>
      <w:bookmarkStart w:id="174" w:name="PB_10_130439_3020"/>
      <w:bookmarkEnd w:id="1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issuing letters of credit to support these purchases. These costs are recognized when incurred except in the case of products purchased, which are recognized at the time title transfers to us.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Field Operating Costs and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Field operating costs consist of various field operating expenses, including fuel and power costs, telecommunications, payroll and benefit costs (including equity compensation expense) for truck drivers and field personnel, maintenance and integrity management costs, regulatory compliance, environmental remediation, insurance, vehicle leases, and property taxes. General and administrative expenses consist primarily of payroll and benefit costs (including equity compensation expense), certain information system and legal costs, office rent, contract and consultant costs and audit and tax fees.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Foreign Currency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subsidiaries are based in Canada and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in Partners Capital reflected on our consolidated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included in the consolidated statements of operations. The revaluation of foreign currency transactions and monetary assets and liabilities resulted in a gain of approximately $13 million for the year ended December 31, 2009, a loss of approximately $22 million for the year ended December 31, 2008 and a gain of less than $1 million for the year ended December 31, 2007.</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and Cash Equivalents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and cash equivalents consist of all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 In accordance with our policy, outstanding checks are classified as accounts payable rather than negative cash. As of December 31, 2009 and 2008, accounts payable included approximately $50 million and $44 million, respectively, of outstanding checks that were reclassified from cash and cash equivalents.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Accounts Receivable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LPG, refined products and natural gas storage. These purchasers include, but are not limited to refineries,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last two years, U.S. and world financial markets and energy prices were extremely volatile and global economies substantially weakened. This financial market volatility combined with the fluctuation in energy prices experienced over the past two years has caused liquidity issues impacting many companies, which in turn have increased the potential credit risks associated with certain counterparties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such credit risks, we have in place a rigorous credit review process.  We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December 31, 2009 and 2008, we had received approximately $212 million and $66 million, respectively, of advance cash payments from third parties to mitigate credit risk. In addition, we enter into netting arrangements with our counterparties. These arrangements cover a significant part of our transactions and also serve to mitigate credit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F-11</w:t>
      </w:r>
      <w:bookmarkStart w:id="175" w:name="PB_11_130439_7748"/>
      <w:bookmarkEnd w:id="1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Actual balances are not applied against the reserve until substantially all collection efforts have been exhausted. At December 31, 2009 and 2008, substantially all of our net accounts receivable were less than 60 days past their scheduled invoice date. Our allowance for doubtful accounts receivable totaled $9 million and $5 million at December 31, 2009 and 2008, respectively. Although we consider our allowance for doubtful trade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Inventory, Linefill, Base Gas and Long-term Inventory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primarily consists of crude oil, LPG, refined products and natural gas in pipelines, storage facilities and rail cars that are valued at the lower of cost or market, with cost determined using an average cost method within specific inventory pools.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During 2008 and 2007, we recorded non-cash charges of approximately $168 million and $1 million, respectively, related to the writedown of such inventory.  During 2009, no such writedowns were recognized.  Linefill, base gas and minimum working inventory requirements in assets we own are recorded at historical cost and consist of crude oil, LPG and natural gas.  (See Note 3 for the fair value of assets and liabilities recognized as part of the PNGS acquisition.)  Linefill is used to pack the pipeline such that when an incremental product is injected into or enters a pipeline it forces product out at another location.  Base gas requirements of natural gas, as well as the minimum amount of crude oil and refined products is used to operate our storage and terminalling facilities, similar to linefill in the pipelines.  During 2009, 2008 and 2007, we recorded gains of approximately $4 million, $3 million and $12 million, respectively, on the sale of pipeline linefill for proceeds of approximately $24 million, $23 million and $20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Minimum working inventory requirements in third-party assets and other working inventory in our assets that is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average cost, and into long-term inventory, which is reflected as a separate line item within other assets on the consolidated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base gas and long term inventory consisted of the following (barrels in thousands, cubic feet in millions and total value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F-12</w:t>
      </w:r>
      <w:bookmarkStart w:id="176" w:name="PB_12_130439_141"/>
      <w:bookmarkEnd w:id="17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46"/>
        <w:gridCol w:w="212"/>
        <w:gridCol w:w="745"/>
        <w:gridCol w:w="212"/>
        <w:gridCol w:w="744"/>
        <w:gridCol w:w="213"/>
        <w:gridCol w:w="106"/>
        <w:gridCol w:w="638"/>
        <w:gridCol w:w="212"/>
        <w:gridCol w:w="106"/>
        <w:gridCol w:w="638"/>
        <w:gridCol w:w="213"/>
        <w:gridCol w:w="744"/>
        <w:gridCol w:w="212"/>
        <w:gridCol w:w="745"/>
        <w:gridCol w:w="212"/>
        <w:gridCol w:w="106"/>
        <w:gridCol w:w="638"/>
        <w:gridCol w:w="212"/>
        <w:gridCol w:w="106"/>
        <w:gridCol w:w="638"/>
        <w:gridCol w:w="107"/>
      </w:tblGrid>
      <w:tr>
        <w:trPr/>
        <w:tc>
          <w:tcPr>
            <w:tcW w:w="244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3614"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213" w:type="dxa"/>
            <w:tcBorders/>
            <w:shd w:fill="auto" w:val="clear"/>
            <w:vAlign w:val="bottom"/>
          </w:tcPr>
          <w:p>
            <w:pPr>
              <w:pStyle w:val="TableContents"/>
              <w:spacing w:before="0" w:after="0"/>
              <w:ind w:left="0" w:right="0" w:hanging="0"/>
              <w:jc w:val="center"/>
              <w:rPr/>
            </w:pPr>
            <w:r>
              <w:rPr/>
              <w:t> </w:t>
            </w:r>
          </w:p>
        </w:tc>
        <w:tc>
          <w:tcPr>
            <w:tcW w:w="3613"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2008</w:t>
            </w:r>
          </w:p>
        </w:tc>
        <w:tc>
          <w:tcPr>
            <w:tcW w:w="107" w:type="dxa"/>
            <w:tcBorders/>
            <w:shd w:fill="auto" w:val="clear"/>
            <w:vAlign w:val="bottom"/>
          </w:tcPr>
          <w:p>
            <w:pPr>
              <w:pStyle w:val="TableContents"/>
              <w:spacing w:before="0" w:after="0"/>
              <w:ind w:left="0" w:right="0" w:hanging="0"/>
              <w:jc w:val="center"/>
              <w:rPr/>
            </w:pPr>
            <w:r>
              <w:rPr/>
              <w:t> </w:t>
            </w:r>
          </w:p>
        </w:tc>
      </w:tr>
      <w:tr>
        <w:trPr/>
        <w:tc>
          <w:tcPr>
            <w:tcW w:w="244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74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br/>
              <w:t>Measure</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Value</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br/>
              <w:t>Unit (1)</w:t>
            </w:r>
          </w:p>
        </w:tc>
        <w:tc>
          <w:tcPr>
            <w:tcW w:w="213" w:type="dxa"/>
            <w:tcBorders/>
            <w:shd w:fill="auto" w:val="clear"/>
            <w:vAlign w:val="bottom"/>
          </w:tcPr>
          <w:p>
            <w:pPr>
              <w:pStyle w:val="TableContents"/>
              <w:spacing w:before="0" w:after="0"/>
              <w:ind w:left="0" w:right="0" w:hanging="0"/>
              <w:jc w:val="center"/>
              <w:rPr/>
            </w:pPr>
            <w:r>
              <w:rPr/>
              <w:t> </w:t>
            </w:r>
          </w:p>
        </w:tc>
        <w:tc>
          <w:tcPr>
            <w:tcW w:w="7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br/>
              <w:t>Measure</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Value</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4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br/>
              <w:t>Unit (1)</w:t>
            </w:r>
          </w:p>
        </w:tc>
        <w:tc>
          <w:tcPr>
            <w:tcW w:w="107" w:type="dxa"/>
            <w:tcBorders/>
            <w:shd w:fill="auto" w:val="clear"/>
            <w:vAlign w:val="bottom"/>
          </w:tcPr>
          <w:p>
            <w:pPr>
              <w:pStyle w:val="TableContents"/>
              <w:spacing w:before="0" w:after="0"/>
              <w:ind w:left="0" w:right="0" w:hanging="0"/>
              <w:jc w:val="center"/>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Inventory</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Crude oil</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12,232</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886</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72.43</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9,986</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421</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42.16</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LPG</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6,051</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247</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40.82</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7,748</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370</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47.75</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Refined products</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283</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21</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74.20</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103</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48.54</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Natural gas (2) (3)</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181</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cubic feet</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3.30</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cubic feet</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Parts and supplies</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Inventory subtotal</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1,157</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801</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Linefill and base gas</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Crude oil</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9,404</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471</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50.09</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9,148</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422</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46.13</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Natural gas (2) (3)</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9,194</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cubic feet</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28</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3.04</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cubic feet</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N/A</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LPG</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52</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38.46</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44.78</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Linefill and base gas subtotal</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501</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425</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Long-term inventory</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Crude oil</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1,497</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103</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68.80</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1,781</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121</w:t>
            </w:r>
          </w:p>
        </w:tc>
        <w:tc>
          <w:tcPr>
            <w:tcW w:w="212" w:type="dxa"/>
            <w:tcBorders/>
            <w:shd w:fill="auto" w:val="cle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auto"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67.94</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LPG</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458</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39.30</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363</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barrels</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18</w:t>
            </w:r>
          </w:p>
        </w:tc>
        <w:tc>
          <w:tcPr>
            <w:tcW w:w="212" w:type="dxa"/>
            <w:tcBorders/>
            <w:shd w:fill="CCEEFF" w:val="cle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shd w:fill="CCEEFF" w:val="cle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49.59</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sz w:val="15"/>
              </w:rPr>
            </w:pPr>
            <w:r>
              <w:rPr>
                <w:rFonts w:ascii="Times New Roman" w:hAnsi="Times New Roman"/>
                <w:sz w:val="15"/>
              </w:rPr>
              <w:t>Long-term inventory subtotal</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121</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139</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r>
      <w:tr>
        <w:trPr/>
        <w:tc>
          <w:tcPr>
            <w:tcW w:w="2446"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5"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744" w:type="dxa"/>
            <w:gridSpan w:val="2"/>
            <w:tcBorders/>
            <w:shd w:fill="CCEEFF" w:val="clear"/>
            <w:vAlign w:val="bottom"/>
          </w:tcPr>
          <w:p>
            <w:pPr>
              <w:pStyle w:val="TableContents"/>
              <w:spacing w:before="0" w:after="0"/>
              <w:ind w:left="0" w:right="0" w:hanging="0"/>
              <w:jc w:val="right"/>
              <w:rPr/>
            </w:pPr>
            <w:r>
              <w:rPr/>
              <w:t> </w:t>
            </w:r>
          </w:p>
        </w:tc>
        <w:tc>
          <w:tcPr>
            <w:tcW w:w="107" w:type="dxa"/>
            <w:tcBorders/>
            <w:shd w:fill="CCEEFF" w:val="clear"/>
            <w:vAlign w:val="bottom"/>
          </w:tcPr>
          <w:p>
            <w:pPr>
              <w:pStyle w:val="TableContents"/>
              <w:spacing w:before="0" w:after="0"/>
              <w:ind w:left="0" w:right="0" w:hanging="0"/>
              <w:rPr/>
            </w:pPr>
            <w:r>
              <w:rPr/>
              <w:t> </w:t>
            </w:r>
          </w:p>
        </w:tc>
      </w:tr>
      <w:tr>
        <w:trPr/>
        <w:tc>
          <w:tcPr>
            <w:tcW w:w="2446" w:type="dxa"/>
            <w:tcBorders/>
            <w:shd w:fill="auto" w:val="clear"/>
            <w:vAlign w:val="bottom"/>
          </w:tcPr>
          <w:p>
            <w:pPr>
              <w:pStyle w:val="TableContents"/>
              <w:spacing w:before="0" w:after="0"/>
              <w:ind w:left="0" w:right="0" w:hanging="0"/>
              <w:rPr>
                <w:rFonts w:ascii="Times New Roman" w:hAnsi="Times New Roman"/>
                <w:b/>
                <w:sz w:val="15"/>
              </w:rPr>
            </w:pPr>
            <w:r>
              <w:rPr>
                <w:rFonts w:ascii="Times New Roman" w:hAnsi="Times New Roman"/>
                <w:b/>
                <w:sz w:val="15"/>
              </w:rPr>
              <w:t>Total</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1,779</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745"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5"/>
              </w:rPr>
            </w:pPr>
            <w:r>
              <w:rPr>
                <w:rFonts w:ascii="Times New Roman" w:hAnsi="Times New Roman"/>
                <w:sz w:val="15"/>
              </w:rPr>
              <w:t>$</w:t>
            </w:r>
          </w:p>
        </w:tc>
        <w:tc>
          <w:tcPr>
            <w:tcW w:w="63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5"/>
              </w:rPr>
            </w:pPr>
            <w:r>
              <w:rPr>
                <w:rFonts w:ascii="Times New Roman" w:hAnsi="Times New Roman"/>
                <w:sz w:val="15"/>
              </w:rPr>
              <w:t>1,365</w:t>
            </w:r>
          </w:p>
        </w:tc>
        <w:tc>
          <w:tcPr>
            <w:tcW w:w="212" w:type="dxa"/>
            <w:tcBorders/>
            <w:shd w:fill="auto" w:val="clear"/>
            <w:vAlign w:val="bottom"/>
          </w:tcPr>
          <w:p>
            <w:pPr>
              <w:pStyle w:val="TableContents"/>
              <w:spacing w:before="0" w:after="0"/>
              <w:ind w:left="0" w:right="0" w:hanging="0"/>
              <w:rPr/>
            </w:pPr>
            <w:r>
              <w:rPr/>
              <w:t> </w:t>
            </w:r>
          </w:p>
        </w:tc>
        <w:tc>
          <w:tcPr>
            <w:tcW w:w="744" w:type="dxa"/>
            <w:gridSpan w:val="2"/>
            <w:tcBorders/>
            <w:shd w:fill="auto" w:val="clear"/>
            <w:vAlign w:val="bottom"/>
          </w:tcPr>
          <w:p>
            <w:pPr>
              <w:pStyle w:val="TableContents"/>
              <w:spacing w:before="0" w:after="0"/>
              <w:ind w:left="0" w:right="0" w:hanging="0"/>
              <w:jc w:val="right"/>
              <w:rPr/>
            </w:pPr>
            <w:r>
              <w:rPr/>
              <w:t> </w:t>
            </w:r>
          </w:p>
        </w:tc>
        <w:tc>
          <w:tcPr>
            <w:tcW w:w="10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Price per unit represents a weighted average associated with various grades, qualities and locations; accordingly, these prices may not be comparable to published benchmarks for such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To account for the 6:1 mcf of natural gas to crude oil barrel ratio, the natural gas volumes can be converted to barrels by dividing by 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September 2009, we acquired the remaining 50% indirect interest in PAA Natural Gas Storage, LLC (PNGS).  We historically accounted for our 50% indirect interest in PNGS under the equity method.  As such, we did not have direct ownership of PNGSs natural gas inventory or base gas.  See Note 3 to our Consolidated Financial Statements for additional discussion regarding the 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Property, Plant and Equipment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our capitalization policy, costs associated with acquisitions and improvements that expand our existing capacity, including related interest costs, are capitalized. For the years ended December 31, 2009, 2008 and 2007, capitalized interest was $15 million, $17 million and $14 million, respectively. We also capitalize expenditures for the replacement of partially or fully depreciated assets in order to maintain the service capability, level of production, and/or functionality of our existing assets. Repair and maintenance expenditures incurred in order to maintain the day to day operation of our existing assets are expensed as incurred.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Property, plant and equipment, net is stated at cost and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08"/>
        <w:gridCol w:w="212"/>
        <w:gridCol w:w="1289"/>
        <w:gridCol w:w="212"/>
        <w:gridCol w:w="110"/>
        <w:gridCol w:w="1069"/>
        <w:gridCol w:w="213"/>
        <w:gridCol w:w="110"/>
        <w:gridCol w:w="1069"/>
        <w:gridCol w:w="113"/>
      </w:tblGrid>
      <w:tr>
        <w:trPr/>
        <w:tc>
          <w:tcPr>
            <w:tcW w:w="580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8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Useful</w:t>
            </w:r>
          </w:p>
        </w:tc>
        <w:tc>
          <w:tcPr>
            <w:tcW w:w="212" w:type="dxa"/>
            <w:tcBorders/>
            <w:shd w:fill="auto" w:val="clear"/>
            <w:vAlign w:val="bottom"/>
          </w:tcPr>
          <w:p>
            <w:pPr>
              <w:pStyle w:val="TableContents"/>
              <w:spacing w:before="0" w:after="0"/>
              <w:ind w:left="0" w:right="0" w:hanging="0"/>
              <w:jc w:val="center"/>
              <w:rPr/>
            </w:pPr>
            <w:r>
              <w:rPr/>
              <w:t> </w:t>
            </w:r>
          </w:p>
        </w:tc>
        <w:tc>
          <w:tcPr>
            <w:tcW w:w="257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3" w:type="dxa"/>
            <w:tcBorders/>
            <w:shd w:fill="auto" w:val="clear"/>
            <w:vAlign w:val="bottom"/>
          </w:tcPr>
          <w:p>
            <w:pPr>
              <w:pStyle w:val="TableContents"/>
              <w:spacing w:before="0" w:after="0"/>
              <w:ind w:left="0" w:right="0" w:hanging="0"/>
              <w:jc w:val="center"/>
              <w:rPr/>
            </w:pPr>
            <w:r>
              <w:rPr/>
              <w:t> </w:t>
            </w:r>
          </w:p>
        </w:tc>
      </w:tr>
      <w:tr>
        <w:trPr/>
        <w:tc>
          <w:tcPr>
            <w:tcW w:w="580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8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Lives (Years)</w:t>
            </w:r>
          </w:p>
        </w:tc>
        <w:tc>
          <w:tcPr>
            <w:tcW w:w="212"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3" w:type="dxa"/>
            <w:tcBorders/>
            <w:shd w:fill="auto" w:val="clear"/>
            <w:vAlign w:val="bottom"/>
          </w:tcPr>
          <w:p>
            <w:pPr>
              <w:pStyle w:val="TableContents"/>
              <w:spacing w:before="0" w:after="0"/>
              <w:ind w:left="0" w:right="0" w:hanging="0"/>
              <w:jc w:val="center"/>
              <w:rPr/>
            </w:pPr>
            <w:r>
              <w:rPr/>
              <w:t> </w:t>
            </w:r>
          </w:p>
        </w:tc>
      </w:tr>
      <w:tr>
        <w:trPr/>
        <w:tc>
          <w:tcPr>
            <w:tcW w:w="58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 and facilities</w:t>
            </w:r>
          </w:p>
        </w:tc>
        <w:tc>
          <w:tcPr>
            <w:tcW w:w="212" w:type="dxa"/>
            <w:tcBorders/>
            <w:shd w:fill="CCEEFF" w:val="clear"/>
            <w:vAlign w:val="bottom"/>
          </w:tcPr>
          <w:p>
            <w:pPr>
              <w:pStyle w:val="TableContents"/>
              <w:spacing w:before="0" w:after="0"/>
              <w:ind w:left="0" w:right="0" w:hanging="0"/>
              <w:rPr/>
            </w:pPr>
            <w:r>
              <w:rPr/>
              <w:t> </w:t>
            </w:r>
          </w:p>
        </w:tc>
        <w:tc>
          <w:tcPr>
            <w:tcW w:w="12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30 - 50</w:t>
            </w:r>
          </w:p>
        </w:tc>
        <w:tc>
          <w:tcPr>
            <w:tcW w:w="21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4,535</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3,934</w:t>
            </w:r>
          </w:p>
        </w:tc>
        <w:tc>
          <w:tcPr>
            <w:tcW w:w="113" w:type="dxa"/>
            <w:tcBorders/>
            <w:shd w:fill="CCEEFF" w:val="clear"/>
            <w:vAlign w:val="bottom"/>
          </w:tcPr>
          <w:p>
            <w:pPr>
              <w:pStyle w:val="TableContents"/>
              <w:spacing w:before="0" w:after="0"/>
              <w:ind w:left="0" w:right="0" w:hanging="0"/>
              <w:rPr/>
            </w:pPr>
            <w:r>
              <w:rPr/>
              <w:t> </w:t>
            </w:r>
          </w:p>
        </w:tc>
      </w:tr>
      <w:tr>
        <w:trPr/>
        <w:tc>
          <w:tcPr>
            <w:tcW w:w="58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and terminal facilities</w:t>
            </w:r>
          </w:p>
        </w:tc>
        <w:tc>
          <w:tcPr>
            <w:tcW w:w="212" w:type="dxa"/>
            <w:tcBorders/>
            <w:shd w:fill="auto" w:val="clear"/>
            <w:vAlign w:val="bottom"/>
          </w:tcPr>
          <w:p>
            <w:pPr>
              <w:pStyle w:val="TableContents"/>
              <w:spacing w:before="0" w:after="0"/>
              <w:ind w:left="0" w:right="0" w:hanging="0"/>
              <w:rPr/>
            </w:pPr>
            <w:r>
              <w:rPr/>
              <w:t> </w:t>
            </w:r>
          </w:p>
        </w:tc>
        <w:tc>
          <w:tcPr>
            <w:tcW w:w="12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30 - 70</w:t>
            </w:r>
          </w:p>
        </w:tc>
        <w:tc>
          <w:tcPr>
            <w:tcW w:w="212"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1,735</w:t>
            </w:r>
          </w:p>
        </w:tc>
        <w:tc>
          <w:tcPr>
            <w:tcW w:w="213"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w:t>
            </w:r>
          </w:p>
        </w:tc>
        <w:tc>
          <w:tcPr>
            <w:tcW w:w="113" w:type="dxa"/>
            <w:tcBorders/>
            <w:shd w:fill="auto" w:val="clear"/>
            <w:vAlign w:val="bottom"/>
          </w:tcPr>
          <w:p>
            <w:pPr>
              <w:pStyle w:val="TableContents"/>
              <w:spacing w:before="0" w:after="0"/>
              <w:ind w:left="0" w:right="0" w:hanging="0"/>
              <w:rPr/>
            </w:pPr>
            <w:r>
              <w:rPr/>
              <w:t> </w:t>
            </w:r>
          </w:p>
        </w:tc>
      </w:tr>
      <w:tr>
        <w:trPr/>
        <w:tc>
          <w:tcPr>
            <w:tcW w:w="58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equipment and other</w:t>
            </w:r>
          </w:p>
        </w:tc>
        <w:tc>
          <w:tcPr>
            <w:tcW w:w="212" w:type="dxa"/>
            <w:tcBorders/>
            <w:shd w:fill="CCEEFF" w:val="clear"/>
            <w:vAlign w:val="bottom"/>
          </w:tcPr>
          <w:p>
            <w:pPr>
              <w:pStyle w:val="TableContents"/>
              <w:spacing w:before="0" w:after="0"/>
              <w:ind w:left="0" w:right="0" w:hanging="0"/>
              <w:rPr/>
            </w:pPr>
            <w:r>
              <w:rPr/>
              <w:t> </w:t>
            </w:r>
          </w:p>
        </w:tc>
        <w:tc>
          <w:tcPr>
            <w:tcW w:w="12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5 - 15</w:t>
            </w:r>
          </w:p>
        </w:tc>
        <w:tc>
          <w:tcPr>
            <w:tcW w:w="212"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3"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13" w:type="dxa"/>
            <w:tcBorders/>
            <w:shd w:fill="CCEEFF" w:val="clear"/>
            <w:vAlign w:val="bottom"/>
          </w:tcPr>
          <w:p>
            <w:pPr>
              <w:pStyle w:val="TableContents"/>
              <w:spacing w:before="0" w:after="0"/>
              <w:ind w:left="0" w:right="0" w:hanging="0"/>
              <w:rPr/>
            </w:pPr>
            <w:r>
              <w:rPr/>
              <w:t> </w:t>
            </w:r>
          </w:p>
        </w:tc>
      </w:tr>
      <w:tr>
        <w:trPr/>
        <w:tc>
          <w:tcPr>
            <w:tcW w:w="58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Construction in progress</w:t>
            </w:r>
          </w:p>
        </w:tc>
        <w:tc>
          <w:tcPr>
            <w:tcW w:w="212" w:type="dxa"/>
            <w:tcBorders/>
            <w:shd w:fill="auto" w:val="clear"/>
            <w:vAlign w:val="bottom"/>
          </w:tcPr>
          <w:p>
            <w:pPr>
              <w:pStyle w:val="TableContents"/>
              <w:spacing w:before="0" w:after="0"/>
              <w:ind w:left="0" w:right="0" w:hanging="0"/>
              <w:rPr/>
            </w:pPr>
            <w:r>
              <w:rPr/>
              <w:t> </w:t>
            </w:r>
          </w:p>
        </w:tc>
        <w:tc>
          <w:tcPr>
            <w:tcW w:w="12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w:t>
            </w:r>
          </w:p>
        </w:tc>
        <w:tc>
          <w:tcPr>
            <w:tcW w:w="213"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113" w:type="dxa"/>
            <w:tcBorders/>
            <w:shd w:fill="auto" w:val="clear"/>
            <w:vAlign w:val="bottom"/>
          </w:tcPr>
          <w:p>
            <w:pPr>
              <w:pStyle w:val="TableContents"/>
              <w:spacing w:before="0" w:after="0"/>
              <w:ind w:left="0" w:right="0" w:hanging="0"/>
              <w:rPr/>
            </w:pPr>
            <w:r>
              <w:rPr/>
              <w:t> </w:t>
            </w:r>
          </w:p>
        </w:tc>
      </w:tr>
      <w:tr>
        <w:trPr/>
        <w:tc>
          <w:tcPr>
            <w:tcW w:w="58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Office property and equipment</w:t>
            </w:r>
          </w:p>
        </w:tc>
        <w:tc>
          <w:tcPr>
            <w:tcW w:w="212" w:type="dxa"/>
            <w:tcBorders/>
            <w:shd w:fill="CCEEFF" w:val="clear"/>
            <w:vAlign w:val="bottom"/>
          </w:tcPr>
          <w:p>
            <w:pPr>
              <w:pStyle w:val="TableContents"/>
              <w:spacing w:before="0" w:after="0"/>
              <w:ind w:left="0" w:right="0" w:hanging="0"/>
              <w:rPr/>
            </w:pPr>
            <w:r>
              <w:rPr/>
              <w:t> </w:t>
            </w:r>
          </w:p>
        </w:tc>
        <w:tc>
          <w:tcPr>
            <w:tcW w:w="12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3 - 5</w:t>
            </w:r>
          </w:p>
        </w:tc>
        <w:tc>
          <w:tcPr>
            <w:tcW w:w="212"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3"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13" w:type="dxa"/>
            <w:tcBorders/>
            <w:shd w:fill="CCEEFF" w:val="clear"/>
            <w:vAlign w:val="bottom"/>
          </w:tcPr>
          <w:p>
            <w:pPr>
              <w:pStyle w:val="TableContents"/>
              <w:spacing w:before="0" w:after="0"/>
              <w:ind w:left="0" w:right="0" w:hanging="0"/>
              <w:rPr/>
            </w:pPr>
            <w:r>
              <w:rPr/>
              <w:t> </w:t>
            </w:r>
          </w:p>
        </w:tc>
      </w:tr>
      <w:tr>
        <w:trPr/>
        <w:tc>
          <w:tcPr>
            <w:tcW w:w="58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Land and other</w:t>
            </w:r>
          </w:p>
        </w:tc>
        <w:tc>
          <w:tcPr>
            <w:tcW w:w="212" w:type="dxa"/>
            <w:tcBorders/>
            <w:shd w:fill="auto" w:val="clear"/>
            <w:vAlign w:val="bottom"/>
          </w:tcPr>
          <w:p>
            <w:pPr>
              <w:pStyle w:val="TableContents"/>
              <w:spacing w:before="0" w:after="0"/>
              <w:ind w:left="0" w:right="0" w:hanging="0"/>
              <w:rPr/>
            </w:pPr>
            <w:r>
              <w:rPr/>
              <w:t> </w:t>
            </w:r>
          </w:p>
        </w:tc>
        <w:tc>
          <w:tcPr>
            <w:tcW w:w="12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12"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3"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3" w:type="dxa"/>
            <w:tcBorders/>
            <w:shd w:fill="auto" w:val="clear"/>
            <w:vAlign w:val="bottom"/>
          </w:tcPr>
          <w:p>
            <w:pPr>
              <w:pStyle w:val="TableContents"/>
              <w:spacing w:before="0" w:after="0"/>
              <w:ind w:left="0" w:right="0" w:hanging="0"/>
              <w:rPr/>
            </w:pPr>
            <w:r>
              <w:rPr/>
              <w:t> </w:t>
            </w:r>
          </w:p>
        </w:tc>
      </w:tr>
      <w:tr>
        <w:trPr/>
        <w:tc>
          <w:tcPr>
            <w:tcW w:w="5808"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89"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7,240</w:t>
            </w:r>
          </w:p>
        </w:tc>
        <w:tc>
          <w:tcPr>
            <w:tcW w:w="213"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5,727</w:t>
            </w:r>
          </w:p>
        </w:tc>
        <w:tc>
          <w:tcPr>
            <w:tcW w:w="113" w:type="dxa"/>
            <w:tcBorders/>
            <w:shd w:fill="CCEEFF" w:val="clear"/>
            <w:vAlign w:val="bottom"/>
          </w:tcPr>
          <w:p>
            <w:pPr>
              <w:pStyle w:val="TableContents"/>
              <w:spacing w:before="0" w:after="0"/>
              <w:ind w:left="0" w:right="0" w:hanging="0"/>
              <w:rPr/>
            </w:pPr>
            <w:r>
              <w:rPr/>
              <w:t> </w:t>
            </w:r>
          </w:p>
        </w:tc>
      </w:tr>
      <w:tr>
        <w:trPr/>
        <w:tc>
          <w:tcPr>
            <w:tcW w:w="58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accumulated depreciation</w:t>
            </w:r>
          </w:p>
        </w:tc>
        <w:tc>
          <w:tcPr>
            <w:tcW w:w="212" w:type="dxa"/>
            <w:tcBorders/>
            <w:shd w:fill="auto" w:val="clear"/>
            <w:vAlign w:val="bottom"/>
          </w:tcPr>
          <w:p>
            <w:pPr>
              <w:pStyle w:val="TableContents"/>
              <w:spacing w:before="0" w:after="0"/>
              <w:ind w:left="0" w:right="0" w:hanging="0"/>
              <w:rPr/>
            </w:pPr>
            <w:r>
              <w:rPr/>
              <w:t> </w:t>
            </w:r>
          </w:p>
        </w:tc>
        <w:tc>
          <w:tcPr>
            <w:tcW w:w="1289"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(668</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8"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89" w:type="dxa"/>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58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auto" w:val="clear"/>
            <w:vAlign w:val="bottom"/>
          </w:tcPr>
          <w:p>
            <w:pPr>
              <w:pStyle w:val="TableContents"/>
              <w:spacing w:before="0" w:after="0"/>
              <w:ind w:left="0" w:right="0" w:hanging="0"/>
              <w:rPr/>
            </w:pPr>
            <w:r>
              <w:rPr/>
              <w:t> </w:t>
            </w:r>
          </w:p>
        </w:tc>
        <w:tc>
          <w:tcPr>
            <w:tcW w:w="1289" w:type="dxa"/>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expense for the years ended December 31, 2009, 2008 and 2007 was $216 million, $196 million and $160 million,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F-13</w:t>
      </w:r>
      <w:bookmarkStart w:id="177" w:name="PB_13_131328_7608"/>
      <w:bookmarkEnd w:id="1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calculate our depreciation using the straight-line method, based on estimated useful lives and salvage values of our assets. These estimates are based on various factors including age and condition (in the case of acquired assets),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Historically, adjustments to useful lives have not had a material impact on our aggregate depreciation levels from year to year. Also, gains and losses on sales of assets and asset impairments are included as a component of depreciation and amortization in the consolidated statements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investments in Frontier Pipeline Company (Frontier), Settoon Towing, LLC (Settoon Towing) and Butte Pipe Line Company (Butte) are accounted for under the equity method of accounting. Our ownership interests in Frontier, Settoon Towing and Butte are 22%, 50% and 22%, respectively. We do not consolidate any part of the assets or liabilities of our equity investees. Our share of net income or loss is reflected as one line item on the income statement and will increase or decrease, as applicable, the carrying value of our investments on the balance sheet. In addition, we include a proportionate share of our equity method investees unrealized gains and losses in other comprehensive income on our consolidated balance sheet.  We also adjust our investment balances in these investees by the like amount.  Distributions to the Partnership will reduce the carrying value of our investments and will be reflected on our cash flow statement netted against equity in earnings. In turn, contributions will increase the carrying value of our investments and will be reflected on our cash flow statement within investing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account for noncontrolling interests in subsidiaries in accordance with FASB guidance specific to noncontrolling interests.  FASB guidance requires all entities to report noncontrolling interests in subsidiaries (formerly referred to as minority interest) as a component of equity in the consolidated financial statements. Noncontrolling interest represents the portion of assets and liabilities in a subsidiary that is owned by a third-party.  See Note 5 for additional discussion regarding our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Asset Retirement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We have estimated that the fair value of these obligations was approximately $5 million at December 31, 2009 and 2008.</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F-14</w:t>
      </w:r>
      <w:bookmarkStart w:id="178" w:name="PB_14_131407_8146"/>
      <w:bookmarkEnd w:id="17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Impairment of Long-Lived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evaluate property, plant and equipment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whether there is an indication of impairment;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grouping of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intention of holding versus selling an asset;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forecast of undiscounted expected future cash flow over the assets estimated useful life;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if an impairment exists, the fair value of the asset or asset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we recognized impairments of less than $1 million for assets taken out of service. Impairments of approximately $5 million and less than $1 million were recognized during 2008 and 2007, respectively, and were predominantly related to assets that were taken out of service. These assets did not support spending the capital necessary to continue service and we utilized other assets to handle these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Goodwill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FASB guidance, we test goodwill at least annually (as of June 30) and on an interim basis if a triggering event occurs, such as an adverse change in business climate, to determine whether an impairment has occurred.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requires a two step approach to testing goodwill for impairment. In Step 1,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we proceed to Step 2. In Step 2, we compare the implied fair value of the reporting units goodwill with the book value. A goodwill impairment loss is recognized if the carrying amount exceeds its fair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there is a potential indicator of impairment if a companys market capitalization is less than its book equity. Periodically, we compare our market capitalization to our book equity to determine if there is an indicator of potential impairment. Throughout 2009, our market capitalization exceeded the book value of our equity and thus, this indicated that there was no triggering event. There were no other indicators of potential impairment of our goodwill during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Through Step 1 of our annual testing of goodwill for potential impairment, we determined that the fair value of each reporting unit was greater than its respective book value, and therefore goodwill was not considered impaired.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F-15</w:t>
      </w:r>
      <w:bookmarkStart w:id="179" w:name="PB_15_131423_7091"/>
      <w:bookmarkEnd w:id="17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will continue to monitor various potential indicators (including the financial markets) to determine if a triggering event occurs and will perform another goodwill impairment analysis if necessary. We have not recognized any impairment of goodwill during the last three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changes in goodwill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61"/>
        <w:gridCol w:w="200"/>
        <w:gridCol w:w="229"/>
        <w:gridCol w:w="1281"/>
        <w:gridCol w:w="213"/>
        <w:gridCol w:w="152"/>
        <w:gridCol w:w="1112"/>
        <w:gridCol w:w="200"/>
        <w:gridCol w:w="184"/>
        <w:gridCol w:w="1080"/>
        <w:gridCol w:w="213"/>
        <w:gridCol w:w="152"/>
        <w:gridCol w:w="1086"/>
        <w:gridCol w:w="142"/>
      </w:tblGrid>
      <w:tr>
        <w:trPr/>
        <w:tc>
          <w:tcPr>
            <w:tcW w:w="39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13"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00" w:type="dxa"/>
            <w:tcBorders/>
            <w:shd w:fill="auto" w:val="clear"/>
            <w:vAlign w:val="bottom"/>
          </w:tcPr>
          <w:p>
            <w:pPr>
              <w:pStyle w:val="TableContents"/>
              <w:spacing w:before="0" w:after="0"/>
              <w:ind w:left="0" w:right="0" w:hanging="0"/>
              <w:jc w:val="center"/>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Supply &amp;</w:t>
              <w:br/>
            </w:r>
            <w:r>
              <w:rPr>
                <w:b/>
                <w:sz w:val="13"/>
              </w:rPr>
              <w:t>Logistics</w:t>
            </w:r>
          </w:p>
        </w:tc>
        <w:tc>
          <w:tcPr>
            <w:tcW w:w="213" w:type="dxa"/>
            <w:tcBorders/>
            <w:shd w:fill="auto" w:val="clear"/>
            <w:vAlign w:val="bottom"/>
          </w:tcPr>
          <w:p>
            <w:pPr>
              <w:pStyle w:val="TableContents"/>
              <w:spacing w:before="0" w:after="0"/>
              <w:ind w:left="0" w:right="0" w:hanging="0"/>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Total </w:t>
            </w:r>
            <w:r>
              <w:rPr>
                <w:b/>
                <w:sz w:val="8"/>
              </w:rPr>
              <w:t>(1)</w:t>
            </w:r>
          </w:p>
        </w:tc>
        <w:tc>
          <w:tcPr>
            <w:tcW w:w="142" w:type="dxa"/>
            <w:tcBorders/>
            <w:shd w:fill="auto" w:val="clear"/>
            <w:vAlign w:val="bottom"/>
          </w:tcPr>
          <w:p>
            <w:pPr>
              <w:pStyle w:val="TableContents"/>
              <w:spacing w:before="0" w:after="0"/>
              <w:ind w:left="0" w:right="0" w:hanging="0"/>
              <w:jc w:val="center"/>
              <w:rPr/>
            </w:pPr>
            <w:r>
              <w:rPr/>
              <w:t> </w:t>
            </w:r>
          </w:p>
        </w:tc>
      </w:tr>
      <w:tr>
        <w:trPr/>
        <w:tc>
          <w:tcPr>
            <w:tcW w:w="39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2007</w:t>
            </w:r>
          </w:p>
        </w:tc>
        <w:tc>
          <w:tcPr>
            <w:tcW w:w="200" w:type="dxa"/>
            <w:tcBorders/>
            <w:shd w:fill="CCEEFF" w:val="clear"/>
            <w:vAlign w:val="bottom"/>
          </w:tcPr>
          <w:p>
            <w:pPr>
              <w:pStyle w:val="TableContents"/>
              <w:spacing w:before="0" w:after="0"/>
              <w:ind w:left="0" w:right="0" w:hanging="0"/>
              <w:rPr/>
            </w:pPr>
            <w:r>
              <w:rPr/>
              <w:t> </w:t>
            </w:r>
          </w:p>
        </w:tc>
        <w:tc>
          <w:tcPr>
            <w:tcW w:w="2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81" w:type="dxa"/>
            <w:tcBorders>
              <w:bottom w:val="double" w:sz="6" w:space="0" w:color="000000"/>
            </w:tcBorders>
            <w:shd w:fill="CCEEFF"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404</w:t>
            </w:r>
          </w:p>
        </w:tc>
        <w:tc>
          <w:tcPr>
            <w:tcW w:w="213"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2" w:type="dxa"/>
            <w:tcBorders>
              <w:bottom w:val="double" w:sz="6" w:space="0" w:color="000000"/>
            </w:tcBorders>
            <w:shd w:fill="CCEEFF"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283</w:t>
            </w:r>
          </w:p>
        </w:tc>
        <w:tc>
          <w:tcPr>
            <w:tcW w:w="200" w:type="dxa"/>
            <w:tcBorders/>
            <w:shd w:fill="CCEEFF" w:val="clear"/>
            <w:vAlign w:val="bottom"/>
          </w:tcPr>
          <w:p>
            <w:pPr>
              <w:pStyle w:val="TableContents"/>
              <w:spacing w:before="0" w:after="0"/>
              <w:ind w:left="0" w:right="0" w:hanging="0"/>
              <w:jc w:val="right"/>
              <w:rPr/>
            </w:pPr>
            <w:r>
              <w:rPr/>
              <w:t> </w:t>
            </w:r>
          </w:p>
        </w:tc>
        <w:tc>
          <w:tcPr>
            <w:tcW w:w="18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385</w:t>
            </w:r>
          </w:p>
        </w:tc>
        <w:tc>
          <w:tcPr>
            <w:tcW w:w="213"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6" w:type="dxa"/>
            <w:tcBorders>
              <w:bottom w:val="double" w:sz="6" w:space="0" w:color="000000"/>
            </w:tcBorders>
            <w:shd w:fill="CCEEFF"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1,072</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2008 Goodwill Related Activity:</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 acquisition</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194</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pPr>
            <w:r>
              <w:rPr>
                <w:rFonts w:ascii="Times New Roman" w:hAnsi="Times New Roman"/>
                <w:sz w:val="17"/>
              </w:rPr>
              <w:t xml:space="preserve">Purchase accounting adjustments </w:t>
            </w:r>
            <w:r>
              <w:rPr>
                <w:sz w:val="11"/>
              </w:rPr>
              <w:t>(2)</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2008</w:t>
            </w:r>
          </w:p>
        </w:tc>
        <w:tc>
          <w:tcPr>
            <w:tcW w:w="200" w:type="dxa"/>
            <w:tcBorders/>
            <w:shd w:fill="auto" w:val="clear"/>
            <w:vAlign w:val="bottom"/>
          </w:tcPr>
          <w:p>
            <w:pPr>
              <w:pStyle w:val="TableContents"/>
              <w:spacing w:before="0" w:after="0"/>
              <w:ind w:left="0" w:right="0" w:hanging="0"/>
              <w:rPr/>
            </w:pPr>
            <w:r>
              <w:rPr/>
              <w:t> </w:t>
            </w:r>
          </w:p>
        </w:tc>
        <w:tc>
          <w:tcPr>
            <w:tcW w:w="2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81"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b/>
                <w:sz w:val="17"/>
              </w:rPr>
              <w:t>562</w:t>
            </w:r>
          </w:p>
        </w:tc>
        <w:tc>
          <w:tcPr>
            <w:tcW w:w="213"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b/>
                <w:sz w:val="17"/>
              </w:rPr>
              <w:t>283</w:t>
            </w:r>
          </w:p>
        </w:tc>
        <w:tc>
          <w:tcPr>
            <w:tcW w:w="200" w:type="dxa"/>
            <w:tcBorders/>
            <w:shd w:fill="auto" w:val="clear"/>
            <w:vAlign w:val="bottom"/>
          </w:tcPr>
          <w:p>
            <w:pPr>
              <w:pStyle w:val="TableContents"/>
              <w:spacing w:before="0" w:after="0"/>
              <w:ind w:left="0" w:right="0" w:hanging="0"/>
              <w:jc w:val="right"/>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0"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365</w:t>
            </w:r>
          </w:p>
        </w:tc>
        <w:tc>
          <w:tcPr>
            <w:tcW w:w="213"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1,210</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2009 Goodwill Related Activity:</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PNGS acquisition</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acquisitions</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pPr>
            <w:r>
              <w:rPr>
                <w:rFonts w:ascii="Times New Roman" w:hAnsi="Times New Roman"/>
                <w:sz w:val="17"/>
              </w:rPr>
              <w:t xml:space="preserve">Purchase accounting adjustments </w:t>
            </w:r>
            <w:r>
              <w:rPr>
                <w:sz w:val="11"/>
              </w:rPr>
              <w:t>(2)</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200" w:type="dxa"/>
            <w:tcBorders/>
            <w:shd w:fill="auto" w:val="clear"/>
            <w:vAlign w:val="bottom"/>
          </w:tcPr>
          <w:p>
            <w:pPr>
              <w:pStyle w:val="TableContents"/>
              <w:spacing w:before="0" w:after="0"/>
              <w:ind w:left="0" w:right="0" w:hanging="0"/>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auto" w:val="clear"/>
            <w:vAlign w:val="bottom"/>
          </w:tcPr>
          <w:p>
            <w:pPr>
              <w:pStyle w:val="TableContents"/>
              <w:spacing w:before="0" w:after="0"/>
              <w:ind w:left="0" w:right="0" w:hanging="0"/>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jc w:val="right"/>
              <w:rPr/>
            </w:pPr>
            <w:r>
              <w:rPr/>
              <w:t> </w:t>
            </w:r>
          </w:p>
        </w:tc>
        <w:tc>
          <w:tcPr>
            <w:tcW w:w="126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3" w:type="dxa"/>
            <w:tcBorders/>
            <w:shd w:fill="auto" w:val="clear"/>
            <w:vAlign w:val="bottom"/>
          </w:tcPr>
          <w:p>
            <w:pPr>
              <w:pStyle w:val="TableContents"/>
              <w:spacing w:before="0" w:after="0"/>
              <w:ind w:left="0" w:right="0" w:hanging="0"/>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42" w:type="dxa"/>
            <w:tcBorders/>
            <w:shd w:fill="auto" w:val="clear"/>
            <w:vAlign w:val="bottom"/>
          </w:tcPr>
          <w:p>
            <w:pPr>
              <w:pStyle w:val="TableContents"/>
              <w:spacing w:before="0" w:after="0"/>
              <w:ind w:left="0" w:right="0" w:hanging="0"/>
              <w:rPr/>
            </w:pPr>
            <w:r>
              <w:rPr/>
              <w:t> </w:t>
            </w:r>
          </w:p>
        </w:tc>
      </w:tr>
      <w:tr>
        <w:trPr/>
        <w:tc>
          <w:tcPr>
            <w:tcW w:w="3961"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51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jc w:val="right"/>
              <w:rPr/>
            </w:pPr>
            <w:r>
              <w:rPr/>
              <w:t> </w:t>
            </w:r>
          </w:p>
        </w:tc>
        <w:tc>
          <w:tcPr>
            <w:tcW w:w="1264"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238"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39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2009</w:t>
            </w:r>
          </w:p>
        </w:tc>
        <w:tc>
          <w:tcPr>
            <w:tcW w:w="200" w:type="dxa"/>
            <w:tcBorders/>
            <w:shd w:fill="auto" w:val="clear"/>
            <w:vAlign w:val="bottom"/>
          </w:tcPr>
          <w:p>
            <w:pPr>
              <w:pStyle w:val="TableContents"/>
              <w:spacing w:before="0" w:after="0"/>
              <w:ind w:left="0" w:right="0" w:hanging="0"/>
              <w:rPr/>
            </w:pPr>
            <w:r>
              <w:rPr/>
              <w:t> </w:t>
            </w:r>
          </w:p>
        </w:tc>
        <w:tc>
          <w:tcPr>
            <w:tcW w:w="2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281"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608</w:t>
            </w:r>
          </w:p>
        </w:tc>
        <w:tc>
          <w:tcPr>
            <w:tcW w:w="213"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2"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308</w:t>
            </w:r>
          </w:p>
        </w:tc>
        <w:tc>
          <w:tcPr>
            <w:tcW w:w="200" w:type="dxa"/>
            <w:tcBorders/>
            <w:shd w:fill="auto" w:val="clear"/>
            <w:vAlign w:val="bottom"/>
          </w:tcPr>
          <w:p>
            <w:pPr>
              <w:pStyle w:val="TableContents"/>
              <w:spacing w:before="0" w:after="0"/>
              <w:ind w:left="0" w:right="0" w:hanging="0"/>
              <w:jc w:val="right"/>
              <w:rPr/>
            </w:pPr>
            <w:r>
              <w:rPr/>
              <w:t> </w:t>
            </w:r>
          </w:p>
        </w:tc>
        <w:tc>
          <w:tcPr>
            <w:tcW w:w="18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0"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371</w:t>
            </w:r>
          </w:p>
        </w:tc>
        <w:tc>
          <w:tcPr>
            <w:tcW w:w="213"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b/>
                <w:sz w:val="17"/>
              </w:rPr>
              <w:t>1,287</w:t>
            </w:r>
          </w:p>
        </w:tc>
        <w:tc>
          <w:tcPr>
            <w:tcW w:w="14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of December 31, 2009, we do not have any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Goodwill is recorded at the acquisition date based on a preliminary purchase price allocation. This preliminary goodwill balance may be adjusted when the purchase price allocation is finalized.  See Note 3 for additional discussion of our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Assets,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net of accumulated amortization consist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28"/>
        <w:gridCol w:w="211"/>
        <w:gridCol w:w="111"/>
        <w:gridCol w:w="1059"/>
        <w:gridCol w:w="212"/>
        <w:gridCol w:w="111"/>
        <w:gridCol w:w="1059"/>
        <w:gridCol w:w="114"/>
      </w:tblGrid>
      <w:tr>
        <w:trPr/>
        <w:tc>
          <w:tcPr>
            <w:tcW w:w="732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4" w:type="dxa"/>
            <w:tcBorders/>
            <w:shd w:fill="auto" w:val="clear"/>
            <w:vAlign w:val="bottom"/>
          </w:tcPr>
          <w:p>
            <w:pPr>
              <w:pStyle w:val="TableContents"/>
              <w:spacing w:before="0" w:after="0"/>
              <w:ind w:left="0" w:right="0" w:hanging="0"/>
              <w:jc w:val="center"/>
              <w:rPr/>
            </w:pPr>
            <w:r>
              <w:rPr/>
              <w:t> </w:t>
            </w:r>
          </w:p>
        </w:tc>
      </w:tr>
      <w:tr>
        <w:trPr/>
        <w:tc>
          <w:tcPr>
            <w:tcW w:w="73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Debt issue costs</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4" w:type="dxa"/>
            <w:tcBorders/>
            <w:shd w:fill="CCEEFF" w:val="clear"/>
            <w:vAlign w:val="bottom"/>
          </w:tcPr>
          <w:p>
            <w:pPr>
              <w:pStyle w:val="TableContents"/>
              <w:spacing w:before="0" w:after="0"/>
              <w:ind w:left="0" w:right="0" w:hanging="0"/>
              <w:rPr/>
            </w:pPr>
            <w:r>
              <w:rPr/>
              <w:t> </w:t>
            </w:r>
          </w:p>
        </w:tc>
      </w:tr>
      <w:tr>
        <w:trPr/>
        <w:tc>
          <w:tcPr>
            <w:tcW w:w="73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Fair value of derivative instruments</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2"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14" w:type="dxa"/>
            <w:tcBorders/>
            <w:shd w:fill="auto" w:val="clear"/>
            <w:vAlign w:val="bottom"/>
          </w:tcPr>
          <w:p>
            <w:pPr>
              <w:pStyle w:val="TableContents"/>
              <w:spacing w:before="0" w:after="0"/>
              <w:ind w:left="0" w:right="0" w:hanging="0"/>
              <w:rPr/>
            </w:pPr>
            <w:r>
              <w:rPr/>
              <w:t> </w:t>
            </w:r>
          </w:p>
        </w:tc>
      </w:tr>
      <w:tr>
        <w:trPr/>
        <w:tc>
          <w:tcPr>
            <w:tcW w:w="73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11"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4" w:type="dxa"/>
            <w:tcBorders/>
            <w:shd w:fill="CCEEFF" w:val="clear"/>
            <w:vAlign w:val="bottom"/>
          </w:tcPr>
          <w:p>
            <w:pPr>
              <w:pStyle w:val="TableContents"/>
              <w:spacing w:before="0" w:after="0"/>
              <w:ind w:left="0" w:right="0" w:hanging="0"/>
              <w:rPr/>
            </w:pPr>
            <w:r>
              <w:rPr/>
              <w:t> </w:t>
            </w:r>
          </w:p>
        </w:tc>
      </w:tr>
      <w:tr>
        <w:trPr/>
        <w:tc>
          <w:tcPr>
            <w:tcW w:w="73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2"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4" w:type="dxa"/>
            <w:tcBorders/>
            <w:shd w:fill="auto" w:val="clear"/>
            <w:vAlign w:val="bottom"/>
          </w:tcPr>
          <w:p>
            <w:pPr>
              <w:pStyle w:val="TableContents"/>
              <w:spacing w:before="0" w:after="0"/>
              <w:ind w:left="0" w:right="0" w:hanging="0"/>
              <w:rPr/>
            </w:pPr>
            <w:r>
              <w:rPr/>
              <w:t> </w:t>
            </w:r>
          </w:p>
        </w:tc>
      </w:tr>
      <w:tr>
        <w:trPr/>
        <w:tc>
          <w:tcPr>
            <w:tcW w:w="732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423</w:t>
            </w:r>
          </w:p>
        </w:tc>
        <w:tc>
          <w:tcPr>
            <w:tcW w:w="21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14" w:type="dxa"/>
            <w:tcBorders/>
            <w:shd w:fill="CCEEFF" w:val="clear"/>
            <w:vAlign w:val="bottom"/>
          </w:tcPr>
          <w:p>
            <w:pPr>
              <w:pStyle w:val="TableContents"/>
              <w:spacing w:before="0" w:after="0"/>
              <w:ind w:left="0" w:right="0" w:hanging="0"/>
              <w:rPr/>
            </w:pPr>
            <w:r>
              <w:rPr/>
              <w:t> </w:t>
            </w:r>
          </w:p>
        </w:tc>
      </w:tr>
      <w:tr>
        <w:trPr/>
        <w:tc>
          <w:tcPr>
            <w:tcW w:w="73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accumulated amortization</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28"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212"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F-16</w:t>
      </w:r>
      <w:bookmarkStart w:id="180" w:name="PB_16_131756_455"/>
      <w:bookmarkEnd w:id="18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debt issue costs of approximately $12 million and $7 million in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Amortization expense related to other assets (including finite-lived intangible assets) for the three years ended December 31, 2009, 2008 and 2007 was $19 million, $21 million and $13 million, respectively. Our amortization expense for finite-lived intangible assets for the years ended December 31, 2009, 2008 and 2007 was $14 million, $15 million and $10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Intangible assets that have finite lives are tested for impairment when events or circumstances indicate that the carrying value may not be recoverable. Our intangible assets that have finite lives consist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89"/>
        <w:gridCol w:w="180"/>
        <w:gridCol w:w="1338"/>
        <w:gridCol w:w="180"/>
        <w:gridCol w:w="146"/>
        <w:gridCol w:w="551"/>
        <w:gridCol w:w="180"/>
        <w:gridCol w:w="237"/>
        <w:gridCol w:w="952"/>
        <w:gridCol w:w="193"/>
        <w:gridCol w:w="146"/>
        <w:gridCol w:w="551"/>
        <w:gridCol w:w="180"/>
        <w:gridCol w:w="146"/>
        <w:gridCol w:w="551"/>
        <w:gridCol w:w="180"/>
        <w:gridCol w:w="237"/>
        <w:gridCol w:w="952"/>
        <w:gridCol w:w="193"/>
        <w:gridCol w:w="146"/>
        <w:gridCol w:w="551"/>
        <w:gridCol w:w="126"/>
      </w:tblGrid>
      <w:tr>
        <w:trPr/>
        <w:tc>
          <w:tcPr>
            <w:tcW w:w="22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338" w:type="dxa"/>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189"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189"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r>
      <w:tr>
        <w:trPr/>
        <w:tc>
          <w:tcPr>
            <w:tcW w:w="22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338" w:type="dxa"/>
            <w:tcBorders/>
            <w:shd w:fill="auto" w:val="cle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95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80" w:type="dxa"/>
            <w:tcBorders/>
            <w:shd w:fill="auto" w:val="clear"/>
            <w:vAlign w:val="bottom"/>
          </w:tcPr>
          <w:p>
            <w:pPr>
              <w:pStyle w:val="TableContents"/>
              <w:spacing w:before="0" w:after="0"/>
              <w:ind w:left="0" w:right="0" w:hanging="0"/>
              <w:jc w:val="center"/>
              <w:rPr/>
            </w:pPr>
            <w:r>
              <w:rPr/>
              <w:t> </w:t>
            </w:r>
          </w:p>
        </w:tc>
        <w:tc>
          <w:tcPr>
            <w:tcW w:w="295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2008</w:t>
            </w:r>
          </w:p>
        </w:tc>
        <w:tc>
          <w:tcPr>
            <w:tcW w:w="126" w:type="dxa"/>
            <w:tcBorders/>
            <w:shd w:fill="auto" w:val="clear"/>
            <w:vAlign w:val="bottom"/>
          </w:tcPr>
          <w:p>
            <w:pPr>
              <w:pStyle w:val="TableContents"/>
              <w:spacing w:before="0" w:after="0"/>
              <w:ind w:left="0" w:right="0" w:hanging="0"/>
              <w:jc w:val="center"/>
              <w:rPr/>
            </w:pPr>
            <w:r>
              <w:rPr/>
              <w:t> </w:t>
            </w:r>
          </w:p>
        </w:tc>
      </w:tr>
      <w:tr>
        <w:trPr/>
        <w:tc>
          <w:tcPr>
            <w:tcW w:w="22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33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Useful</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shd w:fill="auto" w:val="clear"/>
            <w:vAlign w:val="bottom"/>
          </w:tcPr>
          <w:p>
            <w:pPr>
              <w:pStyle w:val="TableContents"/>
              <w:spacing w:before="0" w:after="0"/>
              <w:ind w:left="0" w:right="0" w:hanging="0"/>
              <w:jc w:val="center"/>
              <w:rPr/>
            </w:pPr>
            <w:r>
              <w:rPr/>
              <w:t> </w:t>
            </w:r>
          </w:p>
        </w:tc>
        <w:tc>
          <w:tcPr>
            <w:tcW w:w="18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Accumulated</w:t>
            </w:r>
          </w:p>
        </w:tc>
        <w:tc>
          <w:tcPr>
            <w:tcW w:w="19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r>
      <w:tr>
        <w:trPr/>
        <w:tc>
          <w:tcPr>
            <w:tcW w:w="22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33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Lives (Years)</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w:t>
            </w:r>
          </w:p>
        </w:tc>
        <w:tc>
          <w:tcPr>
            <w:tcW w:w="180" w:type="dxa"/>
            <w:tcBorders/>
            <w:shd w:fill="auto" w:val="clear"/>
            <w:vAlign w:val="bottom"/>
          </w:tcPr>
          <w:p>
            <w:pPr>
              <w:pStyle w:val="TableContents"/>
              <w:spacing w:before="0" w:after="0"/>
              <w:ind w:left="0" w:right="0" w:hanging="0"/>
              <w:jc w:val="center"/>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amortization</w:t>
            </w:r>
          </w:p>
        </w:tc>
        <w:tc>
          <w:tcPr>
            <w:tcW w:w="193" w:type="dxa"/>
            <w:tcBorders/>
            <w:shd w:fill="auto" w:val="clear"/>
            <w:vAlign w:val="bottom"/>
          </w:tcPr>
          <w:p>
            <w:pPr>
              <w:pStyle w:val="TableContents"/>
              <w:spacing w:before="0" w:after="0"/>
              <w:ind w:left="0" w:right="0" w:hanging="0"/>
              <w:jc w:val="center"/>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80" w:type="dxa"/>
            <w:tcBorders/>
            <w:shd w:fill="auto" w:val="clear"/>
            <w:vAlign w:val="bottom"/>
          </w:tcPr>
          <w:p>
            <w:pPr>
              <w:pStyle w:val="TableContents"/>
              <w:spacing w:before="0" w:after="0"/>
              <w:ind w:left="0" w:right="0" w:hanging="0"/>
              <w:jc w:val="center"/>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w:t>
            </w:r>
          </w:p>
        </w:tc>
        <w:tc>
          <w:tcPr>
            <w:tcW w:w="180" w:type="dxa"/>
            <w:tcBorders/>
            <w:shd w:fill="auto" w:val="clear"/>
            <w:vAlign w:val="bottom"/>
          </w:tcPr>
          <w:p>
            <w:pPr>
              <w:pStyle w:val="TableContents"/>
              <w:spacing w:before="0" w:after="0"/>
              <w:ind w:left="0" w:right="0" w:hanging="0"/>
              <w:jc w:val="center"/>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amortization</w:t>
            </w:r>
          </w:p>
        </w:tc>
        <w:tc>
          <w:tcPr>
            <w:tcW w:w="193" w:type="dxa"/>
            <w:tcBorders/>
            <w:shd w:fill="auto" w:val="clear"/>
            <w:vAlign w:val="bottom"/>
          </w:tcPr>
          <w:p>
            <w:pPr>
              <w:pStyle w:val="TableContents"/>
              <w:spacing w:before="0" w:after="0"/>
              <w:ind w:left="0" w:right="0" w:hanging="0"/>
              <w:jc w:val="center"/>
              <w:rPr/>
            </w:pPr>
            <w:r>
              <w:rPr/>
              <w:t> </w:t>
            </w:r>
          </w:p>
        </w:tc>
        <w:tc>
          <w:tcPr>
            <w:tcW w:w="6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6" w:type="dxa"/>
            <w:tcBorders/>
            <w:shd w:fill="auto" w:val="clear"/>
            <w:vAlign w:val="bottom"/>
          </w:tcPr>
          <w:p>
            <w:pPr>
              <w:pStyle w:val="TableContents"/>
              <w:spacing w:before="0" w:after="0"/>
              <w:ind w:left="0" w:right="0" w:hanging="0"/>
              <w:jc w:val="center"/>
              <w:rPr/>
            </w:pPr>
            <w:r>
              <w:rPr/>
              <w:t> </w:t>
            </w:r>
          </w:p>
        </w:tc>
      </w:tr>
      <w:tr>
        <w:trPr/>
        <w:tc>
          <w:tcPr>
            <w:tcW w:w="22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Customer contracts and relationships</w:t>
            </w:r>
          </w:p>
        </w:tc>
        <w:tc>
          <w:tcPr>
            <w:tcW w:w="180" w:type="dxa"/>
            <w:tcBorders/>
            <w:shd w:fill="CCEEFF" w:val="clear"/>
            <w:vAlign w:val="bottom"/>
          </w:tcPr>
          <w:p>
            <w:pPr>
              <w:pStyle w:val="TableContents"/>
              <w:spacing w:before="0" w:after="0"/>
              <w:ind w:left="0" w:right="0" w:hanging="0"/>
              <w:rPr/>
            </w:pPr>
            <w:r>
              <w:rPr/>
              <w:t> </w:t>
            </w:r>
          </w:p>
        </w:tc>
        <w:tc>
          <w:tcPr>
            <w:tcW w:w="133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1-30</w:t>
            </w:r>
          </w:p>
        </w:tc>
        <w:tc>
          <w:tcPr>
            <w:tcW w:w="180"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80" w:type="dxa"/>
            <w:tcBorders/>
            <w:shd w:fill="CCEEFF" w:val="clear"/>
            <w:vAlign w:val="bottom"/>
          </w:tcPr>
          <w:p>
            <w:pPr>
              <w:pStyle w:val="TableContents"/>
              <w:spacing w:before="0" w:after="0"/>
              <w:ind w:left="0" w:right="0" w:hanging="0"/>
              <w:rPr/>
            </w:pPr>
            <w:r>
              <w:rPr/>
              <w:t> </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0"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80" w:type="dxa"/>
            <w:tcBorders/>
            <w:shd w:fill="CCEEFF" w:val="clear"/>
            <w:vAlign w:val="bottom"/>
          </w:tcPr>
          <w:p>
            <w:pPr>
              <w:pStyle w:val="TableContents"/>
              <w:spacing w:before="0" w:after="0"/>
              <w:ind w:left="0" w:right="0" w:hanging="0"/>
              <w:rPr/>
            </w:pPr>
            <w:r>
              <w:rPr/>
              <w:t> </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26" w:type="dxa"/>
            <w:tcBorders/>
            <w:shd w:fill="CCEEFF" w:val="clear"/>
            <w:vAlign w:val="bottom"/>
          </w:tcPr>
          <w:p>
            <w:pPr>
              <w:pStyle w:val="TableContents"/>
              <w:spacing w:before="0" w:after="0"/>
              <w:ind w:left="0" w:right="0" w:hanging="0"/>
              <w:rPr/>
            </w:pPr>
            <w:r>
              <w:rPr/>
              <w:t> </w:t>
            </w:r>
          </w:p>
        </w:tc>
      </w:tr>
      <w:tr>
        <w:trPr/>
        <w:tc>
          <w:tcPr>
            <w:tcW w:w="2289" w:type="dxa"/>
            <w:tcBorders/>
            <w:shd w:fill="auto" w:val="clear"/>
            <w:vAlign w:val="bottom"/>
          </w:tcPr>
          <w:p>
            <w:pPr>
              <w:pStyle w:val="TableContents"/>
              <w:spacing w:before="0" w:after="0"/>
              <w:ind w:left="0" w:right="0" w:hanging="0"/>
              <w:rPr/>
            </w:pPr>
            <w:r>
              <w:rPr>
                <w:rFonts w:ascii="Times New Roman" w:hAnsi="Times New Roman"/>
                <w:sz w:val="17"/>
              </w:rPr>
              <w:t xml:space="preserve">Emission reduction credits </w:t>
            </w:r>
            <w:r>
              <w:rPr>
                <w:sz w:val="11"/>
              </w:rPr>
              <w:t>(1)</w:t>
            </w:r>
          </w:p>
        </w:tc>
        <w:tc>
          <w:tcPr>
            <w:tcW w:w="180" w:type="dxa"/>
            <w:tcBorders/>
            <w:shd w:fill="auto" w:val="clear"/>
            <w:vAlign w:val="bottom"/>
          </w:tcPr>
          <w:p>
            <w:pPr>
              <w:pStyle w:val="TableContents"/>
              <w:spacing w:before="0" w:after="0"/>
              <w:ind w:left="0" w:right="0" w:hanging="0"/>
              <w:rPr/>
            </w:pPr>
            <w:r>
              <w:rPr/>
              <w:t> </w:t>
            </w:r>
          </w:p>
        </w:tc>
        <w:tc>
          <w:tcPr>
            <w:tcW w:w="133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N/A</w:t>
            </w:r>
          </w:p>
        </w:tc>
        <w:tc>
          <w:tcPr>
            <w:tcW w:w="180"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0"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80"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0" w:type="dxa"/>
            <w:tcBorders/>
            <w:shd w:fill="auto" w:val="clear"/>
            <w:vAlign w:val="bottom"/>
          </w:tcPr>
          <w:p>
            <w:pPr>
              <w:pStyle w:val="TableContents"/>
              <w:spacing w:before="0" w:after="0"/>
              <w:ind w:left="0" w:right="0" w:hanging="0"/>
              <w:rPr/>
            </w:pPr>
            <w:r>
              <w:rPr/>
              <w:t> </w:t>
            </w:r>
          </w:p>
        </w:tc>
        <w:tc>
          <w:tcPr>
            <w:tcW w:w="11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6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26" w:type="dxa"/>
            <w:tcBorders/>
            <w:shd w:fill="auto" w:val="clear"/>
            <w:vAlign w:val="bottom"/>
          </w:tcPr>
          <w:p>
            <w:pPr>
              <w:pStyle w:val="TableContents"/>
              <w:spacing w:before="0" w:after="0"/>
              <w:ind w:left="0" w:right="0" w:hanging="0"/>
              <w:rPr/>
            </w:pPr>
            <w:r>
              <w:rPr/>
              <w:t> </w:t>
            </w:r>
          </w:p>
        </w:tc>
      </w:tr>
      <w:tr>
        <w:trPr/>
        <w:tc>
          <w:tcPr>
            <w:tcW w:w="22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tax abatement</w:t>
            </w:r>
          </w:p>
        </w:tc>
        <w:tc>
          <w:tcPr>
            <w:tcW w:w="180" w:type="dxa"/>
            <w:tcBorders/>
            <w:shd w:fill="CCEEFF" w:val="clear"/>
            <w:vAlign w:val="bottom"/>
          </w:tcPr>
          <w:p>
            <w:pPr>
              <w:pStyle w:val="TableContents"/>
              <w:spacing w:before="0" w:after="0"/>
              <w:ind w:left="0" w:right="0" w:hanging="0"/>
              <w:rPr/>
            </w:pPr>
            <w:r>
              <w:rPr/>
              <w:t> </w:t>
            </w:r>
          </w:p>
        </w:tc>
        <w:tc>
          <w:tcPr>
            <w:tcW w:w="133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80" w:type="dxa"/>
            <w:tcBorders/>
            <w:shd w:fill="CCEEFF" w:val="clear"/>
            <w:vAlign w:val="bottom"/>
          </w:tcPr>
          <w:p>
            <w:pPr>
              <w:pStyle w:val="TableContents"/>
              <w:spacing w:before="0" w:after="0"/>
              <w:ind w:left="0" w:right="0" w:hanging="0"/>
              <w:rPr/>
            </w:pPr>
            <w:r>
              <w:rPr/>
              <w:t> </w:t>
            </w:r>
          </w:p>
        </w:tc>
        <w:tc>
          <w:tcPr>
            <w:tcW w:w="6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0" w:type="dxa"/>
            <w:tcBorders/>
            <w:shd w:fill="CCEEFF" w:val="clear"/>
            <w:vAlign w:val="bottom"/>
          </w:tcPr>
          <w:p>
            <w:pPr>
              <w:pStyle w:val="TableContents"/>
              <w:spacing w:before="0" w:after="0"/>
              <w:ind w:left="0" w:right="0" w:hanging="0"/>
              <w:rPr/>
            </w:pPr>
            <w:r>
              <w:rPr/>
              <w:t> </w:t>
            </w:r>
          </w:p>
        </w:tc>
        <w:tc>
          <w:tcPr>
            <w:tcW w:w="11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0" w:type="dxa"/>
            <w:tcBorders/>
            <w:shd w:fill="CCEEFF" w:val="clear"/>
            <w:vAlign w:val="bottom"/>
          </w:tcPr>
          <w:p>
            <w:pPr>
              <w:pStyle w:val="TableContents"/>
              <w:spacing w:before="0" w:after="0"/>
              <w:ind w:left="0" w:right="0" w:hanging="0"/>
              <w:rPr/>
            </w:pPr>
            <w:r>
              <w:rPr/>
              <w:t> </w:t>
            </w:r>
          </w:p>
        </w:tc>
        <w:tc>
          <w:tcPr>
            <w:tcW w:w="6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pPr>
            <w:r>
              <w:rPr/>
              <w:t> </w:t>
            </w:r>
          </w:p>
        </w:tc>
        <w:tc>
          <w:tcPr>
            <w:tcW w:w="11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6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6" w:type="dxa"/>
            <w:tcBorders/>
            <w:shd w:fill="CCEEFF" w:val="clear"/>
            <w:vAlign w:val="bottom"/>
          </w:tcPr>
          <w:p>
            <w:pPr>
              <w:pStyle w:val="TableContents"/>
              <w:spacing w:before="0" w:after="0"/>
              <w:ind w:left="0" w:right="0" w:hanging="0"/>
              <w:rPr/>
            </w:pPr>
            <w:r>
              <w:rPr/>
              <w:t> </w:t>
            </w:r>
          </w:p>
        </w:tc>
      </w:tr>
      <w:tr>
        <w:trPr/>
        <w:tc>
          <w:tcPr>
            <w:tcW w:w="2289"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1338" w:type="dxa"/>
            <w:tcBorders/>
            <w:shd w:fill="auto" w:val="clear"/>
            <w:vAlign w:val="bottom"/>
          </w:tcPr>
          <w:p>
            <w:pPr>
              <w:pStyle w:val="TableContents"/>
              <w:spacing w:before="0" w:after="0"/>
              <w:ind w:left="0" w:right="0" w:hanging="0"/>
              <w:jc w:val="right"/>
              <w:rPr/>
            </w:pPr>
            <w:r>
              <w:rPr/>
              <w:t> </w:t>
            </w:r>
          </w:p>
        </w:tc>
        <w:tc>
          <w:tcPr>
            <w:tcW w:w="18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180"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8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80" w:type="dxa"/>
            <w:tcBorders/>
            <w:shd w:fill="auto" w:val="clear"/>
            <w:vAlign w:val="bottom"/>
          </w:tcPr>
          <w:p>
            <w:pPr>
              <w:pStyle w:val="TableContents"/>
              <w:spacing w:before="0" w:after="0"/>
              <w:ind w:left="0" w:right="0" w:hanging="0"/>
              <w:rPr/>
            </w:pPr>
            <w:r>
              <w:rPr/>
              <w:t> </w:t>
            </w:r>
          </w:p>
        </w:tc>
        <w:tc>
          <w:tcPr>
            <w:tcW w:w="2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Emission reduction credits are finite lived and are subject to amortization from the date that they are first utilized. At December 31, 2009, none of our emission reduction credits were being utilized because the projects for which they were acquired are not in service.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our amortization expense related to finite-lived intangible assets for the next five years will be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13"/>
        <w:gridCol w:w="212"/>
        <w:gridCol w:w="114"/>
        <w:gridCol w:w="1054"/>
        <w:gridCol w:w="112"/>
      </w:tblGrid>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CCEEFF" w:val="clear"/>
            <w:vAlign w:val="bottom"/>
          </w:tcPr>
          <w:p>
            <w:pPr>
              <w:pStyle w:val="TableContents"/>
              <w:spacing w:before="0" w:after="0"/>
              <w:ind w:left="0" w:right="0" w:hanging="0"/>
              <w:rPr/>
            </w:pPr>
            <w:r>
              <w:rPr/>
              <w:t> </w:t>
            </w:r>
          </w:p>
        </w:tc>
      </w:tr>
      <w:tr>
        <w:trPr/>
        <w:tc>
          <w:tcPr>
            <w:tcW w:w="87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2"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auto" w:val="clear"/>
            <w:vAlign w:val="bottom"/>
          </w:tcPr>
          <w:p>
            <w:pPr>
              <w:pStyle w:val="TableContents"/>
              <w:spacing w:before="0" w:after="0"/>
              <w:ind w:left="0" w:right="0" w:hanging="0"/>
              <w:rPr/>
            </w:pPr>
            <w:r>
              <w:rPr/>
              <w:t> </w:t>
            </w:r>
          </w:p>
        </w:tc>
      </w:tr>
      <w:tr>
        <w:trPr/>
        <w:tc>
          <w:tcPr>
            <w:tcW w:w="87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2"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also record receivables for amounts recoverable from insurance or from third parties under indemnification agreements in the period that we determine the costs are probable of recovery.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expense expenditures that relate to an existing condition caused by past operations that do not contribute to current or future profitability. We record environmental liabilities assumed in business combinations based on the estimated fair value of the environmental obligations caused by past operations of the acquired company. See Note 12 for further discussion of environmental remediation matters.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and Other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7 for discussion of U.S. federal and state taxes and 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(i) income taxes in the jurisdictions in which we operate, (ii) net deferred tax assets and liabilities based on temporary differences that are expected to be recovered or settled at the enacted tax rates expected in future periods, (iii) valuation allowances for deferred tax assets and (iv) contingent tax liabilities for estimated exposures related to our current tax positions. We have not recorded a valuation allowance against our deferred tax assets as we believe that it is more likely than not that they will be realized.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adopted the provisions of the FASB guidance related to accounting for uncertainty in income taxes on January 1, 2007. Pursuant to this guidance, we must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2009 and 2008, we have not recognized any material amounts in connection with uncertainty in income taxes.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F-17</w:t>
      </w:r>
      <w:bookmarkStart w:id="181" w:name="PB_17_132245_4141"/>
      <w:bookmarkEnd w:id="181"/>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June 2009, the FASB issued guidance to establish the source of authoritative generally accepted accounting principles to be applied by nongovernmental entities in the preparation of financial statements.  As this guidance is meant to establish the source of authoritative GAAP and to better organize current accounting guidance, it only affects the referencing to applicable guidance throughout the accompanying consolidated financial statements and the notes thereto.  This guidance was effective for interim or annual periods ending after September 15, 2009; therefore, we adopted this guidance as of July 1, 2009.  Our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2009, the FASB issued guidance that establishes general standards of accounting for and disclosure of subsequent events or events that occur after the balance sheet date but before financial statements are issued.  This guidance sets forth (i) the period after the balance sheet date during which management shall evaluate events or transactions that may occur for potential recognition or disclosure in the financial statements, (ii) the circumstances under which an entity shall recognize events or transactions occurring after the balance sheet date in its financial statements and (iii) the disclosures that an entity shall make about events or transactions that occurred after the balance sheet date.  This guidance was effective for interim or annual periods ending after June 15, 2009; therefore, we adopted this guidance as of April 1, 2009.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April 2009, the FASB issued guidance that increases the frequency of fair value disclosures from annual to quarterly in an effort to provide financial statement users with more timely and transparent information about the effects of current market conditions on financial instruments. This is intended to address concerns raised by some financial statement users about the lack of comparability resulting from the use of different measurement attributes for financial instruments. These disclosures are also intended to stimulate more robust discussions about financial instrument valuations between users and reporting entities. We adopted this guidance as of April 1, 2009.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November 2008, the FASB issued guidance that addresses certain accounting considerations, including initial measurement, decreases in investment value, and changes in the level of ownership or degree of influence related to equity method investments. We adopted this guidance as of January 1, 2009.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April 2008, the FASB issued guidance that amends the factors that should be considered in developing renewal or extension assumptions used to determine the useful life of a recognized intangible asset under previous guidance over goodwill and other intangible assets. The intent of this guidance is to improve the consistency between the useful life of a recognized intangible asset and the period of expected cash flows used to measure the fair value of the asset under generally accepted accounting principles. We adopted this guidance as of January 1, 2009.  Adoption did not have any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2008, the FASB issued guidance that amends previous guidance with respect to disclosures of derivative instruments and hedging activities. This guidance requires enhanced disclosures about (i) how and why an entity uses derivative instruments, (ii) how derivative instruments and related hedged items are accounted for under the guidance and its related interpretations and (iii) how derivative instruments and related hedged items affect an entitys financial position, financial performance and cash flows. The provisions of this guidance were effective for financial statements issued for fiscal years and interim periods beginning after November 15, 2008. We adopted this guidance as of January 1, 2009. Adoption did not have any material impact on our financial position, results of operations or cash flows.  See Note 6 for enhanced disclosure of 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March 2008, the FASB issued guidance that addresses the application of the two-class method in determining income per unit for master limited partnerships having multiple classes of securities that may participate in partnership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F-18</w:t>
      </w:r>
      <w:bookmarkStart w:id="182" w:name="PB_18_133635_7056"/>
      <w:bookmarkEnd w:id="18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distributions. The two-class method is an earnings allocation formula that determines earnings per unit for each class of common units and participating securities according to participation rights in undistributed earnings. We adopted this guidance as of January 1, 2009.  This guidance has been applied retrospectively for all financial statement periods presented.  Adoption impacted the net income available to limited partners used in our computation of earnings per unit, but did not impact our net income, distributions to limited partners, financial position, results of operations or cash flows.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2007, the FASB issued guidance regarding accounting for noncontrolling interests in consolidated financial statements. This guidance requires all entities to report noncontrolling (minority) interests in subsidiaries as equity in the consolidated financial statements. The guidance eliminates the diversity that currently exists in accounting for transactions between an entity and noncontrolling interests by requiring that they be treated as equity transactions. The provisions of this guidance were effective on a prospective basis for fiscal years, and interim periods within those fiscal years, beginning on or after December 15, 2008. We adopted this guidance as of January 1, 2009. Such adoption did not have any material impact on our consolidated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2007, the FASB issued further guidance regarding accounting for business combinations. This guidance establishes principles and requirements for how an acquirer (i) recognizes and measures in its financial statements the identifiable assets acquired, the liabilities assumed, and any noncontrolling interest in the acquiree; (ii) recognizes and measures the goodwill acquired in the business combination or a gain from a bargain purchase and (iii) determines what information to disclose to enable users of the financial statements to evaluate the nature and financial effects of the business combination. The provisions of this guidance were effective for business combinations for which the acquisition date is on or after the beginning of the first annual reporting period beginning on or after December 15, 2008. We adopted this guidance as of January 1, 2009. Adoption has impacted our accounting for acquisitions subsequent to that date.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Derivative Instruments and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utilize risk management strategies to mitigate those risks when we determine that there is value in doing so. We use various derivative instruments to (i) manage our exposure to commodity price risk as well as to optimize our profits, (ii) manage our exposure to interest rate risk and (iii) manage our exposure to currency exchange-rate risk. We record all open derivative instruments on the balance sheet as either assets or liabilities measured at their fair value per the guidance issued by the FASB. This guidance requires that changes in the fair value of derivative instruments be recognized currently in earnings unless specific hedge accounting criteria are met, in which case, changes in fair value of cash flow hedges are deferred in AOCI and reclassified into earnings when the underlying transaction affects earnings. Accordingly, changes in fair value are included in current period earnings for (i) derivatives that do not qualify for hedge accounting and (ii) the portion of cash flow hedges that are not highly effective in offsetting changes in cash flows of hedged items. See Note 6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Net Income Per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unit is determined by dividing our limited partners interest in net income by the weighted average number of limited partner units outstanding during the period.  Pursuant to guidance issued by the FASB on the application of the two-class method for master limited partnerships (MLPs), the limited partners interest in net income attributable to Plains is calculated by first reducing net income by the distribution pertaining to the current periods net income, which is to be paid in the subsequent quarter (including the incentive distribution interest in excess of the 2% general partner interest).  Then, the remaining undistributed earnings or excess distributions over earnings, if any, are allocated to the general partner and limited partners in accordance with the contractual terms of the partnership agreement.  The adoption of this guidance resulted in a change to our calculation of earnings per unit by using distributions applicable to the period rather than distributions paid in the period (applicable to the previous period).  Also, in accordance with this guidance, earnings per unit for prior periods were recast to conform to this revised calculation.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F-19</w:t>
      </w:r>
      <w:bookmarkStart w:id="183" w:name="PB_19_133655_5335"/>
      <w:bookmarkEnd w:id="18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years ended 2009, 2008, and 2007:</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520"/>
        <w:gridCol w:w="214"/>
        <w:gridCol w:w="110"/>
        <w:gridCol w:w="865"/>
        <w:gridCol w:w="215"/>
        <w:gridCol w:w="110"/>
        <w:gridCol w:w="865"/>
        <w:gridCol w:w="215"/>
        <w:gridCol w:w="110"/>
        <w:gridCol w:w="864"/>
        <w:gridCol w:w="117"/>
      </w:tblGrid>
      <w:tr>
        <w:trPr/>
        <w:tc>
          <w:tcPr>
            <w:tcW w:w="652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335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7" w:type="dxa"/>
            <w:tcBorders/>
            <w:shd w:fill="auto" w:val="clear"/>
            <w:vAlign w:val="bottom"/>
          </w:tcPr>
          <w:p>
            <w:pPr>
              <w:pStyle w:val="TableContents"/>
              <w:spacing w:before="0" w:after="0"/>
              <w:ind w:left="0" w:right="0" w:hanging="0"/>
              <w:jc w:val="center"/>
              <w:rPr/>
            </w:pPr>
            <w:r>
              <w:rPr/>
              <w:t> </w:t>
            </w:r>
          </w:p>
        </w:tc>
      </w:tr>
      <w:tr>
        <w:trPr/>
        <w:tc>
          <w:tcPr>
            <w:tcW w:w="652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9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5" w:type="dxa"/>
            <w:tcBorders/>
            <w:shd w:fill="auto" w:val="clear"/>
            <w:vAlign w:val="bottom"/>
          </w:tcPr>
          <w:p>
            <w:pPr>
              <w:pStyle w:val="TableContents"/>
              <w:spacing w:before="0" w:after="0"/>
              <w:ind w:left="0" w:right="0" w:hanging="0"/>
              <w:jc w:val="center"/>
              <w:rPr/>
            </w:pPr>
            <w:r>
              <w:rPr/>
              <w:t> </w:t>
            </w:r>
          </w:p>
        </w:tc>
        <w:tc>
          <w:tcPr>
            <w:tcW w:w="97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5" w:type="dxa"/>
            <w:tcBorders/>
            <w:shd w:fill="auto" w:val="clear"/>
            <w:vAlign w:val="bottom"/>
          </w:tcPr>
          <w:p>
            <w:pPr>
              <w:pStyle w:val="TableContents"/>
              <w:spacing w:before="0" w:after="0"/>
              <w:ind w:left="0" w:right="0" w:hanging="0"/>
              <w:jc w:val="center"/>
              <w:rPr/>
            </w:pPr>
            <w:r>
              <w:rPr/>
              <w:t> </w:t>
            </w:r>
          </w:p>
        </w:tc>
        <w:tc>
          <w:tcPr>
            <w:tcW w:w="97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7" w:type="dxa"/>
            <w:tcBorders/>
            <w:shd w:fill="auto" w:val="clear"/>
            <w:vAlign w:val="bottom"/>
          </w:tcPr>
          <w:p>
            <w:pPr>
              <w:pStyle w:val="TableContents"/>
              <w:spacing w:before="0" w:after="0"/>
              <w:ind w:left="0" w:right="0" w:hanging="0"/>
              <w:jc w:val="center"/>
              <w:rPr/>
            </w:pPr>
            <w:r>
              <w:rPr/>
              <w:t> </w:t>
            </w:r>
          </w:p>
        </w:tc>
      </w:tr>
      <w:tr>
        <w:trPr/>
        <w:tc>
          <w:tcPr>
            <w:tcW w:w="6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4"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215"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5"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4"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5"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215"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the application of the two-class method for MLPs</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1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4"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4"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7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974" w:type="dxa"/>
            <w:gridSpan w:val="2"/>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rFonts w:ascii="Times New Roman" w:hAnsi="Times New Roman"/>
                <w:sz w:val="17"/>
              </w:rPr>
              <w:t xml:space="preserve">Weighted average LTIP units </w:t>
            </w:r>
            <w:r>
              <w:rPr>
                <w:b/>
                <w:sz w:val="11"/>
              </w:rPr>
              <w:t>(2)</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auto" w:val="clear"/>
            <w:vAlign w:val="bottom"/>
          </w:tcPr>
          <w:p>
            <w:pPr>
              <w:pStyle w:val="TableContents"/>
              <w:spacing w:before="0" w:after="0"/>
              <w:ind w:left="0" w:right="0" w:hanging="0"/>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5" w:type="dxa"/>
            <w:tcBorders/>
            <w:shd w:fill="auto" w:val="clear"/>
            <w:vAlign w:val="bottom"/>
          </w:tcPr>
          <w:p>
            <w:pPr>
              <w:pStyle w:val="TableContents"/>
              <w:spacing w:before="0" w:after="0"/>
              <w:ind w:left="0" w:right="0" w:hanging="0"/>
              <w:rPr/>
            </w:pPr>
            <w:r>
              <w:rPr/>
              <w:t> </w:t>
            </w:r>
          </w:p>
        </w:tc>
        <w:tc>
          <w:tcPr>
            <w:tcW w:w="97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5" w:type="dxa"/>
            <w:tcBorders/>
            <w:shd w:fill="auto" w:val="clear"/>
            <w:vAlign w:val="bottom"/>
          </w:tcPr>
          <w:p>
            <w:pPr>
              <w:pStyle w:val="TableContents"/>
              <w:spacing w:before="0" w:after="0"/>
              <w:ind w:left="0" w:right="0" w:hanging="0"/>
              <w:rPr/>
            </w:pPr>
            <w:r>
              <w:rPr/>
              <w:t> </w:t>
            </w:r>
          </w:p>
        </w:tc>
        <w:tc>
          <w:tcPr>
            <w:tcW w:w="97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17" w:type="dxa"/>
            <w:tcBorders/>
            <w:shd w:fill="auto" w:val="clear"/>
            <w:vAlign w:val="bottom"/>
          </w:tcPr>
          <w:p>
            <w:pPr>
              <w:pStyle w:val="TableContents"/>
              <w:spacing w:before="0" w:after="0"/>
              <w:ind w:left="0" w:right="0" w:hanging="0"/>
              <w:rPr/>
            </w:pPr>
            <w:r>
              <w:rPr/>
              <w:t> </w:t>
            </w:r>
          </w:p>
        </w:tc>
      </w:tr>
      <w:tr>
        <w:trPr/>
        <w:tc>
          <w:tcPr>
            <w:tcW w:w="6520"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974" w:type="dxa"/>
            <w:gridSpan w:val="2"/>
            <w:tcBorders/>
            <w:shd w:fill="CCEEFF" w:val="clear"/>
            <w:vAlign w:val="bottom"/>
          </w:tcPr>
          <w:p>
            <w:pPr>
              <w:pStyle w:val="TableContents"/>
              <w:spacing w:before="0" w:after="0"/>
              <w:ind w:left="0" w:right="0" w:hanging="0"/>
              <w:jc w:val="right"/>
              <w:rPr/>
            </w:pPr>
            <w:r>
              <w:rPr/>
              <w:t> </w:t>
            </w:r>
          </w:p>
        </w:tc>
        <w:tc>
          <w:tcPr>
            <w:tcW w:w="117" w:type="dxa"/>
            <w:tcBorders/>
            <w:shd w:fill="CCEEFF" w:val="clear"/>
            <w:vAlign w:val="bottom"/>
          </w:tcPr>
          <w:p>
            <w:pPr>
              <w:pStyle w:val="TableContents"/>
              <w:spacing w:before="0" w:after="0"/>
              <w:ind w:left="0" w:right="0" w:hanging="0"/>
              <w:rPr/>
            </w:pPr>
            <w:r>
              <w:rPr/>
              <w:t> </w:t>
            </w:r>
          </w:p>
        </w:tc>
      </w:tr>
      <w:tr>
        <w:trPr/>
        <w:tc>
          <w:tcPr>
            <w:tcW w:w="65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LTIP awards (described in Note 10)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3Acquisitions and Dispositions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acquisitions were accounted for using the purchase method of accounting and the purchase price was allocated in accordance with such method.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2009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PNGS Acquisition.</w:t>
      </w:r>
      <w:r>
        <w:rPr>
          <w:rFonts w:ascii="Times New Roman" w:hAnsi="Times New Roman"/>
        </w:rPr>
        <w:t xml:space="preserve">  </w:t>
      </w:r>
      <w:r>
        <w:rPr>
          <w:rFonts w:ascii="Times New Roman" w:hAnsi="Times New Roman"/>
          <w:sz w:val="17"/>
        </w:rPr>
        <w:t>On September 3, 2009, we acquired the remaining 50% indirect interest in PAA Natural Gas Storage, LLC (PNGS) for an aggregate purchase price of $215 million (PNGS Acquisition). The $215 million purchase price consisted of $90 million in cash paid at closing, approximately $91 million in equivalent value of PAA common units (1,907,305 PAA common units based on a 20 business-day average closing price per unit) issued to Vulcan at closing, and up to $40 million of deferred/contingent cash consideration. The deferred/contingent consideration is payable in cash in two installments of $20 million each upon the achievement of certain performance milestones and events expected to occur over the next several years.  The fair value of this contingent consideration is approximately $34 million. As a result of the transaction, we now own 100% of PNGSs natural gas storage business and related operating entities, which are accounted for on a consolidated basis beginning in September 2009. We historically accounted for our 50% indirect interest in PNGS under the equity method. We recorded a net gain of approximately $9 million, recorded in other income, in connection with (i) adjusting our previously owned 50% investment in PNGS to fair value and (ii) terminating an agreement to supply natural gas to PNGS.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PNGS currently owns and operates two natural gas storage facilities located in Louisiana and Michigan that have an aggregate working gas storage capacity of 40 billion cubic feet (Bcf) and an aggregate peak injection and withdrawal capacity of 1.7 Bcf per day and 3.2 Bcf per day, respectively. PNGS also leases storage capacity and pipeline transportation capacity from third parties from time to time in order to increase its operational flexibility and enhance the services it offers its customers.  As of December 31, 2009, PNGS had 3 Bcf of storage capacity under lease from third parties and had secured the right to 379 MMcf per day of firm transportation service on various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F-20</w:t>
      </w:r>
      <w:bookmarkStart w:id="184" w:name="PB_20_134110_5796"/>
      <w:bookmarkEnd w:id="18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pipelines.  Substantially all of PNGSs revenues are derived from the provision of firm storage services under multi-year, fee-based contracts. The gas storage operations are reflected in our 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consisted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18"/>
        <w:gridCol w:w="210"/>
        <w:gridCol w:w="112"/>
        <w:gridCol w:w="1053"/>
        <w:gridCol w:w="112"/>
      </w:tblGrid>
      <w:tr>
        <w:trPr/>
        <w:tc>
          <w:tcPr>
            <w:tcW w:w="87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w:t>
            </w:r>
          </w:p>
        </w:tc>
        <w:tc>
          <w:tcPr>
            <w:tcW w:w="210"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12" w:type="dxa"/>
            <w:tcBorders/>
            <w:shd w:fill="CCEEFF" w:val="clear"/>
            <w:vAlign w:val="bottom"/>
          </w:tcPr>
          <w:p>
            <w:pPr>
              <w:pStyle w:val="TableContents"/>
              <w:spacing w:before="0" w:after="0"/>
              <w:ind w:left="0" w:right="0" w:hanging="0"/>
              <w:rPr/>
            </w:pPr>
            <w:r>
              <w:rPr/>
              <w:t> </w:t>
            </w:r>
          </w:p>
        </w:tc>
      </w:tr>
      <w:tr>
        <w:trPr/>
        <w:tc>
          <w:tcPr>
            <w:tcW w:w="87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PAA equity</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2" w:type="dxa"/>
            <w:tcBorders/>
            <w:shd w:fill="auto" w:val="clear"/>
            <w:vAlign w:val="bottom"/>
          </w:tcPr>
          <w:p>
            <w:pPr>
              <w:pStyle w:val="TableContents"/>
              <w:spacing w:before="0" w:after="0"/>
              <w:ind w:left="0" w:right="0" w:hanging="0"/>
              <w:rPr/>
            </w:pPr>
            <w:r>
              <w:rPr/>
              <w:t> </w:t>
            </w:r>
          </w:p>
        </w:tc>
      </w:tr>
      <w:tr>
        <w:trPr/>
        <w:tc>
          <w:tcPr>
            <w:tcW w:w="87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Paid at closing</w:t>
            </w:r>
          </w:p>
        </w:tc>
        <w:tc>
          <w:tcPr>
            <w:tcW w:w="210"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112" w:type="dxa"/>
            <w:tcBorders/>
            <w:shd w:fill="CCEEFF" w:val="clear"/>
            <w:vAlign w:val="bottom"/>
          </w:tcPr>
          <w:p>
            <w:pPr>
              <w:pStyle w:val="TableContents"/>
              <w:spacing w:before="0" w:after="0"/>
              <w:ind w:left="0" w:right="0" w:hanging="0"/>
              <w:rPr/>
            </w:pPr>
            <w:r>
              <w:rPr/>
              <w:t> </w:t>
            </w:r>
          </w:p>
        </w:tc>
      </w:tr>
      <w:tr>
        <w:trPr/>
        <w:tc>
          <w:tcPr>
            <w:tcW w:w="8718" w:type="dxa"/>
            <w:tcBorders/>
            <w:shd w:fill="auto" w:val="clear"/>
            <w:vAlign w:val="bottom"/>
          </w:tcPr>
          <w:p>
            <w:pPr>
              <w:pStyle w:val="TableContents"/>
              <w:spacing w:before="0" w:after="0"/>
              <w:ind w:left="0" w:right="0" w:hanging="0"/>
              <w:rPr/>
            </w:pPr>
            <w:r>
              <w:rPr>
                <w:rFonts w:ascii="Times New Roman" w:hAnsi="Times New Roman"/>
                <w:sz w:val="17"/>
              </w:rPr>
              <w:t xml:space="preserve">Fair value of contingent consideration </w:t>
            </w:r>
            <w:r>
              <w:rPr>
                <w:sz w:val="11"/>
              </w:rPr>
              <w:t>(1)</w:t>
            </w:r>
          </w:p>
        </w:tc>
        <w:tc>
          <w:tcPr>
            <w:tcW w:w="210"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2" w:type="dxa"/>
            <w:tcBorders/>
            <w:shd w:fill="auto" w:val="clear"/>
            <w:vAlign w:val="bottom"/>
          </w:tcPr>
          <w:p>
            <w:pPr>
              <w:pStyle w:val="TableContents"/>
              <w:spacing w:before="0" w:after="0"/>
              <w:ind w:left="0" w:right="0" w:hanging="0"/>
              <w:rPr/>
            </w:pPr>
            <w:r>
              <w:rPr/>
              <w:t> </w:t>
            </w:r>
          </w:p>
        </w:tc>
      </w:tr>
      <w:tr>
        <w:trPr/>
        <w:tc>
          <w:tcPr>
            <w:tcW w:w="87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purchase price</w:t>
            </w:r>
          </w:p>
        </w:tc>
        <w:tc>
          <w:tcPr>
            <w:tcW w:w="210"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deferred contingent cash consideration is payable in cash in two installments of $20 million each upon the achievement of certain performance milestones and events expected to occur over the next several years. The fair value of the deferred contingent cash consideration was based on a discounted cash flow model utilizing a discount rate of approximately 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allocation of fair value to the assets and liabilities acquired in the PNGS Acquisition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01"/>
        <w:gridCol w:w="212"/>
        <w:gridCol w:w="116"/>
        <w:gridCol w:w="1061"/>
        <w:gridCol w:w="115"/>
      </w:tblGrid>
      <w:tr>
        <w:trPr/>
        <w:tc>
          <w:tcPr>
            <w:tcW w:w="8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w:t>
            </w:r>
          </w:p>
        </w:tc>
        <w:tc>
          <w:tcPr>
            <w:tcW w:w="212"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791</w:t>
            </w:r>
          </w:p>
        </w:tc>
        <w:tc>
          <w:tcPr>
            <w:tcW w:w="115" w:type="dxa"/>
            <w:tcBorders/>
            <w:shd w:fill="CCEEFF" w:val="clear"/>
            <w:vAlign w:val="bottom"/>
          </w:tcPr>
          <w:p>
            <w:pPr>
              <w:pStyle w:val="TableContents"/>
              <w:spacing w:before="0" w:after="0"/>
              <w:ind w:left="0" w:right="0" w:hanging="0"/>
              <w:rPr/>
            </w:pPr>
            <w:r>
              <w:rPr/>
              <w:t> </w:t>
            </w:r>
          </w:p>
        </w:tc>
      </w:tr>
      <w:tr>
        <w:trPr/>
        <w:tc>
          <w:tcPr>
            <w:tcW w:w="87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Base gas</w:t>
            </w:r>
          </w:p>
        </w:tc>
        <w:tc>
          <w:tcPr>
            <w:tcW w:w="212"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15" w:type="dxa"/>
            <w:tcBorders/>
            <w:shd w:fill="auto" w:val="clear"/>
            <w:vAlign w:val="bottom"/>
          </w:tcPr>
          <w:p>
            <w:pPr>
              <w:pStyle w:val="TableContents"/>
              <w:spacing w:before="0" w:after="0"/>
              <w:ind w:left="0" w:right="0" w:hanging="0"/>
              <w:rPr/>
            </w:pPr>
            <w:r>
              <w:rPr/>
              <w:t> </w:t>
            </w:r>
          </w:p>
        </w:tc>
      </w:tr>
      <w:tr>
        <w:trPr/>
        <w:tc>
          <w:tcPr>
            <w:tcW w:w="8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5" w:type="dxa"/>
            <w:tcBorders/>
            <w:shd w:fill="CCEEFF" w:val="clear"/>
            <w:vAlign w:val="bottom"/>
          </w:tcPr>
          <w:p>
            <w:pPr>
              <w:pStyle w:val="TableContents"/>
              <w:spacing w:before="0" w:after="0"/>
              <w:ind w:left="0" w:right="0" w:hanging="0"/>
              <w:rPr/>
            </w:pPr>
            <w:r>
              <w:rPr/>
              <w:t> </w:t>
            </w:r>
          </w:p>
        </w:tc>
      </w:tr>
      <w:tr>
        <w:trPr/>
        <w:tc>
          <w:tcPr>
            <w:tcW w:w="87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12" w:type="dxa"/>
            <w:tcBorders/>
            <w:shd w:fill="auto" w:val="clear"/>
            <w:vAlign w:val="bottom"/>
          </w:tcPr>
          <w:p>
            <w:pPr>
              <w:pStyle w:val="TableContents"/>
              <w:spacing w:before="0" w:after="0"/>
              <w:ind w:left="0" w:right="0" w:hanging="0"/>
              <w:rPr/>
            </w:pPr>
            <w:r>
              <w:rPr/>
              <w:t> </w:t>
            </w:r>
          </w:p>
        </w:tc>
        <w:tc>
          <w:tcPr>
            <w:tcW w:w="11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5" w:type="dxa"/>
            <w:tcBorders/>
            <w:shd w:fill="auto" w:val="clear"/>
            <w:vAlign w:val="bottom"/>
          </w:tcPr>
          <w:p>
            <w:pPr>
              <w:pStyle w:val="TableContents"/>
              <w:spacing w:before="0" w:after="0"/>
              <w:ind w:left="0" w:right="0" w:hanging="0"/>
              <w:rPr/>
            </w:pPr>
            <w:r>
              <w:rPr/>
              <w:t> </w:t>
            </w:r>
          </w:p>
        </w:tc>
      </w:tr>
      <w:tr>
        <w:trPr/>
        <w:tc>
          <w:tcPr>
            <w:tcW w:w="8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Working capital and other long-term assets and liabilities</w:t>
            </w:r>
          </w:p>
        </w:tc>
        <w:tc>
          <w:tcPr>
            <w:tcW w:w="212" w:type="dxa"/>
            <w:tcBorders/>
            <w:shd w:fill="CCEEFF" w:val="clear"/>
            <w:vAlign w:val="bottom"/>
          </w:tcPr>
          <w:p>
            <w:pPr>
              <w:pStyle w:val="TableContents"/>
              <w:spacing w:before="0" w:after="0"/>
              <w:ind w:left="0" w:right="0" w:hanging="0"/>
              <w:rPr/>
            </w:pPr>
            <w:r>
              <w:rPr/>
              <w:t> </w:t>
            </w:r>
          </w:p>
        </w:tc>
        <w:tc>
          <w:tcPr>
            <w:tcW w:w="11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5" w:type="dxa"/>
            <w:tcBorders/>
            <w:shd w:fill="CCEEFF" w:val="clear"/>
            <w:vAlign w:val="bottom"/>
          </w:tcPr>
          <w:p>
            <w:pPr>
              <w:pStyle w:val="TableContents"/>
              <w:spacing w:before="0" w:after="0"/>
              <w:ind w:left="0" w:right="0" w:hanging="0"/>
              <w:rPr/>
            </w:pPr>
            <w:r>
              <w:rPr/>
              <w:t> </w:t>
            </w:r>
          </w:p>
        </w:tc>
      </w:tr>
      <w:tr>
        <w:trPr/>
        <w:tc>
          <w:tcPr>
            <w:tcW w:w="87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Debt</w:t>
            </w:r>
          </w:p>
        </w:tc>
        <w:tc>
          <w:tcPr>
            <w:tcW w:w="212" w:type="dxa"/>
            <w:tcBorders/>
            <w:shd w:fill="auto" w:val="clear"/>
            <w:vAlign w:val="bottom"/>
          </w:tcPr>
          <w:p>
            <w:pPr>
              <w:pStyle w:val="TableContents"/>
              <w:spacing w:before="0" w:after="0"/>
              <w:ind w:left="0" w:right="0" w:hanging="0"/>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2" w:type="dxa"/>
            <w:tcBorders/>
            <w:shd w:fill="CCEEFF" w:val="clear"/>
            <w:vAlign w:val="bottom"/>
          </w:tcPr>
          <w:p>
            <w:pPr>
              <w:pStyle w:val="TableContents"/>
              <w:spacing w:before="0" w:after="0"/>
              <w:ind w:left="0" w:right="0" w:hanging="0"/>
              <w:rPr/>
            </w:pPr>
            <w:r>
              <w:rPr/>
              <w:t> </w:t>
            </w:r>
          </w:p>
        </w:tc>
        <w:tc>
          <w:tcPr>
            <w:tcW w:w="1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2009 Acquisitions.  </w:t>
      </w:r>
      <w:r>
        <w:rPr>
          <w:rFonts w:ascii="Times New Roman" w:hAnsi="Times New Roman"/>
          <w:sz w:val="17"/>
        </w:rPr>
        <w:t>During 2009, we completed six additional acquisitions for an aggregate consideration of approximately $178 million.  These acquisitions included an additional 21% undivided joint interest in Capline and associated tankage, as well as various crude oil pipelines and pipeline systems that are all included within our transportation segment.  We also acquired a natural gas processing business, a refined products terminal and various crude oil storage tanks and other related assets that are all included within our facilities segment.  The goodwill associated with such acquisitions was approximately $24 million.  As of December 31, 2009, purchase price allocations have not been finalized for all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2008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w:t>
      </w:r>
      <w:r>
        <w:rPr>
          <w:rFonts w:ascii="Times New Roman" w:hAnsi="Times New Roman"/>
        </w:rPr>
        <w:t xml:space="preserve">  </w:t>
      </w:r>
      <w:r>
        <w:rPr>
          <w:rFonts w:ascii="Times New Roman" w:hAnsi="Times New Roman"/>
          <w:sz w:val="17"/>
        </w:rPr>
        <w:t>In May 2008, we completed the acquisition of Rainbow Pipe Line Company, Ltd. (Rainbow) for approximately $687 million (the Canadian dollar (CAD) to U.S. dollar (USD) foreign exchange rate at the date of closing was $0.993:1). The assets acquired include approximately (i) 480 miles of mainline crude oil pipelines, (ii) 119 miles of gathering pipelines, (iii) 570,000 barrels of tankage along the system and (iv) 1 million barrels of crude oil linefill. The system has a throughput capacity of approximately 200,000 barrels per day. The acquired operations are reflected primarily in our transportation segment. The goodwill associated with this acquisition was approximately $194 million. In anticipation of closing the Rainbow acquisition, we entered into forward currency exchange contracts, which exchanged Canadian dollars and U.S. dollars, to hedge the foreign currency exchange risk inherent in the acquisition price. Additionally, we entered into a financial option strategy, whereby we established a minimum and maximum per barrel price to hedge the commodity price risk associated with the anticipated purchase of crude oil linefill. We recognized a gain on those positions of approximately $8 million and $3 million, respectively, which is reflected in our consolidated results of operations in the Interest income and other income (expense), net 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consisted of the following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F-21</w:t>
      </w:r>
      <w:bookmarkStart w:id="185" w:name="PB_21_134255_2897"/>
      <w:bookmarkEnd w:id="18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16"/>
        <w:gridCol w:w="210"/>
        <w:gridCol w:w="112"/>
        <w:gridCol w:w="1055"/>
        <w:gridCol w:w="112"/>
      </w:tblGrid>
      <w:tr>
        <w:trPr/>
        <w:tc>
          <w:tcPr>
            <w:tcW w:w="8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payment to sellers</w:t>
            </w:r>
          </w:p>
        </w:tc>
        <w:tc>
          <w:tcPr>
            <w:tcW w:w="210"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659</w:t>
            </w:r>
          </w:p>
        </w:tc>
        <w:tc>
          <w:tcPr>
            <w:tcW w:w="112" w:type="dxa"/>
            <w:tcBorders/>
            <w:shd w:fill="CCEEFF" w:val="clear"/>
            <w:vAlign w:val="bottom"/>
          </w:tcPr>
          <w:p>
            <w:pPr>
              <w:pStyle w:val="TableContents"/>
              <w:spacing w:before="0" w:after="0"/>
              <w:ind w:left="0" w:right="0" w:hanging="0"/>
              <w:rPr/>
            </w:pPr>
            <w:r>
              <w:rPr/>
              <w:t> </w:t>
            </w:r>
          </w:p>
        </w:tc>
      </w:tr>
      <w:tr>
        <w:trPr/>
        <w:tc>
          <w:tcPr>
            <w:tcW w:w="87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Assumption of Rainbow debt (at estimated fair value)</w:t>
            </w:r>
          </w:p>
        </w:tc>
        <w:tc>
          <w:tcPr>
            <w:tcW w:w="210"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2" w:type="dxa"/>
            <w:tcBorders/>
            <w:shd w:fill="auto" w:val="clear"/>
            <w:vAlign w:val="bottom"/>
          </w:tcPr>
          <w:p>
            <w:pPr>
              <w:pStyle w:val="TableContents"/>
              <w:spacing w:before="0" w:after="0"/>
              <w:ind w:left="0" w:right="0" w:hanging="0"/>
              <w:rPr/>
            </w:pPr>
            <w:r>
              <w:rPr/>
              <w:t> </w:t>
            </w:r>
          </w:p>
        </w:tc>
      </w:tr>
      <w:tr>
        <w:trPr/>
        <w:tc>
          <w:tcPr>
            <w:tcW w:w="8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Estimated transaction costs</w:t>
            </w:r>
          </w:p>
        </w:tc>
        <w:tc>
          <w:tcPr>
            <w:tcW w:w="210" w:type="dxa"/>
            <w:tcBorders/>
            <w:shd w:fill="CCEEFF" w:val="clear"/>
            <w:vAlign w:val="bottom"/>
          </w:tcPr>
          <w:p>
            <w:pPr>
              <w:pStyle w:val="TableContents"/>
              <w:spacing w:before="0" w:after="0"/>
              <w:ind w:left="0" w:right="0" w:hanging="0"/>
              <w:rPr/>
            </w:pPr>
            <w:r>
              <w:rPr/>
              <w:t> </w:t>
            </w:r>
          </w:p>
        </w:tc>
        <w:tc>
          <w:tcPr>
            <w:tcW w:w="11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2" w:type="dxa"/>
            <w:tcBorders/>
            <w:shd w:fill="CCEEFF" w:val="clear"/>
            <w:vAlign w:val="bottom"/>
          </w:tcPr>
          <w:p>
            <w:pPr>
              <w:pStyle w:val="TableContents"/>
              <w:spacing w:before="0" w:after="0"/>
              <w:ind w:left="0" w:right="0" w:hanging="0"/>
              <w:rPr/>
            </w:pPr>
            <w:r>
              <w:rPr/>
              <w:t> </w:t>
            </w:r>
          </w:p>
        </w:tc>
      </w:tr>
      <w:tr>
        <w:trPr/>
        <w:tc>
          <w:tcPr>
            <w:tcW w:w="8716"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87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purchase price</w:t>
            </w:r>
          </w:p>
        </w:tc>
        <w:tc>
          <w:tcPr>
            <w:tcW w:w="210"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purchase price allocation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09"/>
        <w:gridCol w:w="211"/>
        <w:gridCol w:w="114"/>
        <w:gridCol w:w="1057"/>
        <w:gridCol w:w="114"/>
      </w:tblGrid>
      <w:tr>
        <w:trPr/>
        <w:tc>
          <w:tcPr>
            <w:tcW w:w="87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w:t>
            </w:r>
          </w:p>
        </w:tc>
        <w:tc>
          <w:tcPr>
            <w:tcW w:w="211"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14" w:type="dxa"/>
            <w:tcBorders/>
            <w:shd w:fill="CCEEFF" w:val="clear"/>
            <w:vAlign w:val="bottom"/>
          </w:tcPr>
          <w:p>
            <w:pPr>
              <w:pStyle w:val="TableContents"/>
              <w:spacing w:before="0" w:after="0"/>
              <w:ind w:left="0" w:right="0" w:hanging="0"/>
              <w:rPr/>
            </w:pPr>
            <w:r>
              <w:rPr/>
              <w:t> </w:t>
            </w:r>
          </w:p>
        </w:tc>
      </w:tr>
      <w:tr>
        <w:trPr/>
        <w:tc>
          <w:tcPr>
            <w:tcW w:w="87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14" w:type="dxa"/>
            <w:tcBorders/>
            <w:shd w:fill="auto" w:val="clear"/>
            <w:vAlign w:val="bottom"/>
          </w:tcPr>
          <w:p>
            <w:pPr>
              <w:pStyle w:val="TableContents"/>
              <w:spacing w:before="0" w:after="0"/>
              <w:ind w:left="0" w:right="0" w:hanging="0"/>
              <w:rPr/>
            </w:pPr>
            <w:r>
              <w:rPr/>
              <w:t> </w:t>
            </w:r>
          </w:p>
        </w:tc>
      </w:tr>
      <w:tr>
        <w:trPr/>
        <w:tc>
          <w:tcPr>
            <w:tcW w:w="87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4" w:type="dxa"/>
            <w:tcBorders/>
            <w:shd w:fill="CCEEFF" w:val="clear"/>
            <w:vAlign w:val="bottom"/>
          </w:tcPr>
          <w:p>
            <w:pPr>
              <w:pStyle w:val="TableContents"/>
              <w:spacing w:before="0" w:after="0"/>
              <w:ind w:left="0" w:right="0" w:hanging="0"/>
              <w:rPr/>
            </w:pPr>
            <w:r>
              <w:rPr/>
              <w:t> </w:t>
            </w:r>
          </w:p>
        </w:tc>
      </w:tr>
      <w:tr>
        <w:trPr/>
        <w:tc>
          <w:tcPr>
            <w:tcW w:w="87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4" w:type="dxa"/>
            <w:tcBorders/>
            <w:shd w:fill="auto" w:val="clear"/>
            <w:vAlign w:val="bottom"/>
          </w:tcPr>
          <w:p>
            <w:pPr>
              <w:pStyle w:val="TableContents"/>
              <w:spacing w:before="0" w:after="0"/>
              <w:ind w:left="0" w:right="0" w:hanging="0"/>
              <w:rPr/>
            </w:pPr>
            <w:r>
              <w:rPr/>
              <w:t> </w:t>
            </w:r>
          </w:p>
        </w:tc>
      </w:tr>
      <w:tr>
        <w:trPr/>
        <w:tc>
          <w:tcPr>
            <w:tcW w:w="87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Future income tax liability</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709" w:type="dxa"/>
            <w:tcBorders/>
            <w:shd w:fill="auto" w:val="clear"/>
            <w:vAlign w:val="bottom"/>
          </w:tcPr>
          <w:p>
            <w:pPr>
              <w:pStyle w:val="TableContents"/>
              <w:spacing w:before="0" w:after="0"/>
              <w:ind w:left="0" w:right="0" w:hanging="0"/>
              <w:rPr/>
            </w:pPr>
            <w:r>
              <w:rPr>
                <w:rFonts w:ascii="Times New Roman" w:hAnsi="Times New Roman"/>
                <w:sz w:val="17"/>
              </w:rPr>
              <w:t xml:space="preserve">Assumption of working capital and other long-term assets and liabilities, including cash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1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70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71"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87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approximately $16 million associated with environmental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2008, we completed one additional acquisition for aggregate consideration of approximately $44 million. This acquisition is reflected in our facilities segment and included the purchase of a storage facility and other assets. There was no goodwill associated with this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2007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2007, we completed four acquisitions for aggregate consideration of approximately $123 million. These acquisitions included (i) a commercial refined products supply and marketing business (reflected in our supply and logistics segment) for approximately $8 million in cash, (ii) a trucking business (reflected in our transportation segment) for approximately $9 million in cash, (iii) the Bumstead LPG storage facility located near Phoenix, Arizona (reflected in our facilities segment) for approximately $52 million in cash and (iv) the Tirzah LPG storage facility and other assets located near York County, South Carolina (reflected in our facilities segment) for approximately $54 million in cash. The goodwill associated with these acquisitions was approximately $12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2009, 2008 and 2007, we sold various property and equipment for proceeds totaling approximately $4 million, $12 million and $13 million, respectively. A loss of less than $1 million, a gain of approximately $6 million and a loss of $7 million were recognized in 2009, 2008 and 2007, respectively, related to these sales.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F-22</w:t>
      </w:r>
      <w:bookmarkStart w:id="186" w:name="PB_22_134825_3020"/>
      <w:bookmarkEnd w:id="1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4Debt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consists of the following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55"/>
        <w:gridCol w:w="210"/>
        <w:gridCol w:w="160"/>
        <w:gridCol w:w="1186"/>
        <w:gridCol w:w="218"/>
        <w:gridCol w:w="160"/>
        <w:gridCol w:w="1186"/>
        <w:gridCol w:w="130"/>
      </w:tblGrid>
      <w:tr>
        <w:trPr/>
        <w:tc>
          <w:tcPr>
            <w:tcW w:w="695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8" w:type="dxa"/>
            <w:tcBorders/>
            <w:shd w:fill="auto" w:val="clear"/>
            <w:vAlign w:val="bottom"/>
          </w:tcPr>
          <w:p>
            <w:pPr>
              <w:pStyle w:val="TableContents"/>
              <w:spacing w:before="0" w:after="0"/>
              <w:ind w:left="0" w:right="0" w:hanging="0"/>
              <w:jc w:val="center"/>
              <w:rPr/>
            </w:pPr>
            <w:r>
              <w:rPr/>
              <w:t> </w:t>
            </w:r>
          </w:p>
        </w:tc>
        <w:tc>
          <w:tcPr>
            <w:tcW w:w="134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0" w:type="dxa"/>
            <w:tcBorders/>
            <w:shd w:fill="auto" w:val="clear"/>
            <w:vAlign w:val="bottom"/>
          </w:tcPr>
          <w:p>
            <w:pPr>
              <w:pStyle w:val="TableContents"/>
              <w:spacing w:before="0" w:after="0"/>
              <w:ind w:left="0" w:right="0" w:hanging="0"/>
              <w:jc w:val="center"/>
              <w:rPr/>
            </w:pPr>
            <w:r>
              <w:rPr/>
              <w:t> </w:t>
            </w:r>
          </w:p>
        </w:tc>
      </w:tr>
      <w:tr>
        <w:trPr/>
        <w:tc>
          <w:tcPr>
            <w:tcW w:w="695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8" w:type="dxa"/>
            <w:tcBorders/>
            <w:shd w:fill="auto" w:val="clear"/>
            <w:vAlign w:val="bottom"/>
          </w:tcPr>
          <w:p>
            <w:pPr>
              <w:pStyle w:val="TableContents"/>
              <w:spacing w:before="0" w:after="0"/>
              <w:ind w:left="0" w:right="0" w:hanging="0"/>
              <w:jc w:val="center"/>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30" w:type="dxa"/>
            <w:tcBorders/>
            <w:shd w:fill="auto" w:val="clear"/>
            <w:vAlign w:val="bottom"/>
          </w:tcPr>
          <w:p>
            <w:pPr>
              <w:pStyle w:val="TableContents"/>
              <w:spacing w:before="0" w:after="0"/>
              <w:ind w:left="0" w:right="0" w:hanging="0"/>
              <w:jc w:val="center"/>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Short-term debt:</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interest at a rate of 2.5% and 2.3% at December 31, 2009 and 2008, respectively</w:t>
            </w:r>
          </w:p>
        </w:tc>
        <w:tc>
          <w:tcPr>
            <w:tcW w:w="210"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1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pPr>
            <w:r>
              <w:rPr>
                <w:rFonts w:ascii="Times New Roman" w:hAnsi="Times New Roman"/>
                <w:sz w:val="17"/>
              </w:rPr>
              <w:t xml:space="preserve">Senior unsecured revolving credit facility, bearing interest at a rate of 0.8% and 1.1% at December 31, 2009 and 2008, respectively </w:t>
            </w:r>
            <w:r>
              <w:rPr>
                <w:sz w:val="11"/>
              </w:rPr>
              <w:t>(1)</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772</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short-term debt</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1,027</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pPr>
            <w:r>
              <w:rPr/>
              <w:t> </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i/>
                <w:sz w:val="17"/>
              </w:rPr>
            </w:pPr>
            <w:r>
              <w:rPr>
                <w:rFonts w:ascii="Times New Roman" w:hAnsi="Times New Roman"/>
                <w:i/>
                <w:sz w:val="17"/>
              </w:rPr>
              <w:t>Long-term debt:</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pPr>
            <w:r>
              <w:rPr>
                <w:rFonts w:ascii="Times New Roman" w:hAnsi="Times New Roman"/>
                <w:sz w:val="17"/>
              </w:rPr>
              <w:t xml:space="preserve">4.75% senior notes due August 2009 </w:t>
            </w:r>
            <w:r>
              <w:rPr>
                <w:sz w:val="11"/>
              </w:rPr>
              <w:t>(2)</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pPr>
            <w:r>
              <w:rPr>
                <w:rFonts w:ascii="Times New Roman" w:hAnsi="Times New Roman"/>
                <w:sz w:val="17"/>
              </w:rPr>
              <w:t xml:space="preserve">4.25% senior notes due September 2012 </w:t>
            </w:r>
            <w:r>
              <w:rPr>
                <w:sz w:val="11"/>
              </w:rPr>
              <w:t>(3)</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7.75% senior notes due October 2012</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pPr>
            <w:r>
              <w:rPr>
                <w:rFonts w:ascii="Times New Roman" w:hAnsi="Times New Roman"/>
                <w:sz w:val="17"/>
              </w:rPr>
              <w:t xml:space="preserve">7.13 % senior notes due June 2014 </w:t>
            </w:r>
            <w:r>
              <w:rPr>
                <w:sz w:val="11"/>
              </w:rPr>
              <w:t>(4)</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6.25% senior notes due September 2015</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6.13% senior notes due January 2017</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6.50% senior notes due May 2018</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8.75% senior notes due May 2019</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 senior notes due January 2020</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6.65% senior notes due January 2037</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600</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Unamortized premium/(discount), net</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55" w:type="dxa"/>
            <w:tcBorders/>
            <w:shd w:fill="CCEEFF" w:val="clear"/>
            <w:vAlign w:val="bottom"/>
          </w:tcPr>
          <w:p>
            <w:pPr>
              <w:pStyle w:val="TableContents"/>
              <w:spacing w:before="0" w:after="0"/>
              <w:ind w:left="0" w:right="0" w:hanging="0"/>
              <w:rPr/>
            </w:pPr>
            <w:r>
              <w:rPr>
                <w:rFonts w:ascii="Times New Roman" w:hAnsi="Times New Roman"/>
                <w:sz w:val="17"/>
              </w:rPr>
              <w:t xml:space="preserve">Long-term debt under credit facilities and other </w:t>
            </w:r>
            <w:r>
              <w:rPr>
                <w:sz w:val="11"/>
              </w:rPr>
              <w:t>(1)</w:t>
            </w:r>
          </w:p>
        </w:tc>
        <w:tc>
          <w:tcPr>
            <w:tcW w:w="210" w:type="dxa"/>
            <w:tcBorders/>
            <w:shd w:fill="CCEEFF"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8" w:type="dxa"/>
            <w:tcBorders/>
            <w:shd w:fill="CCEEFF"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0" w:type="dxa"/>
            <w:tcBorders/>
            <w:shd w:fill="CCEEFF" w:val="clear"/>
            <w:vAlign w:val="bottom"/>
          </w:tcPr>
          <w:p>
            <w:pPr>
              <w:pStyle w:val="TableContents"/>
              <w:spacing w:before="0" w:after="0"/>
              <w:ind w:left="0" w:right="0" w:hanging="0"/>
              <w:rPr/>
            </w:pPr>
            <w:r>
              <w:rPr/>
              <w:t> </w:t>
            </w:r>
          </w:p>
        </w:tc>
      </w:tr>
      <w:tr>
        <w:trPr/>
        <w:tc>
          <w:tcPr>
            <w:tcW w:w="6955" w:type="dxa"/>
            <w:tcBorders/>
            <w:shd w:fill="auto" w:val="clear"/>
            <w:vAlign w:val="bottom"/>
          </w:tcPr>
          <w:p>
            <w:pPr>
              <w:pStyle w:val="TableContents"/>
              <w:spacing w:before="0" w:after="0"/>
              <w:ind w:left="0" w:right="0" w:hanging="0"/>
              <w:rPr/>
            </w:pPr>
            <w:r>
              <w:rPr>
                <w:rFonts w:ascii="Times New Roman" w:hAnsi="Times New Roman"/>
                <w:sz w:val="17"/>
              </w:rPr>
              <w:t xml:space="preserve">Total long-term debt </w:t>
            </w:r>
            <w:r>
              <w:rPr>
                <w:sz w:val="11"/>
              </w:rPr>
              <w:t>(1) (5)</w:t>
            </w:r>
          </w:p>
        </w:tc>
        <w:tc>
          <w:tcPr>
            <w:tcW w:w="210"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18" w:type="dxa"/>
            <w:tcBorders/>
            <w:shd w:fill="auto" w:val="clear"/>
            <w:vAlign w:val="bottom"/>
          </w:tcPr>
          <w:p>
            <w:pPr>
              <w:pStyle w:val="TableContents"/>
              <w:spacing w:before="0" w:after="0"/>
              <w:ind w:left="0" w:right="0" w:hanging="0"/>
              <w:rPr/>
            </w:pPr>
            <w:r>
              <w:rPr/>
              <w:t> </w:t>
            </w:r>
          </w:p>
        </w:tc>
        <w:tc>
          <w:tcPr>
            <w:tcW w:w="13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130" w:type="dxa"/>
            <w:tcBorders/>
            <w:shd w:fill="auto" w:val="clear"/>
            <w:vAlign w:val="bottom"/>
          </w:tcPr>
          <w:p>
            <w:pPr>
              <w:pStyle w:val="TableContents"/>
              <w:spacing w:before="0" w:after="0"/>
              <w:ind w:left="0" w:right="0" w:hanging="0"/>
              <w:rPr/>
            </w:pPr>
            <w:r>
              <w:rPr/>
              <w:t> </w:t>
            </w:r>
          </w:p>
        </w:tc>
      </w:tr>
      <w:tr>
        <w:trPr/>
        <w:tc>
          <w:tcPr>
            <w:tcW w:w="69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0"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218"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4,286</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At December 31, 2009 and 2008, we have classified $772 million and $746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IntercontinentalExchange (ICE) margin deposits.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repaid our $175 million 4.75% senior notes on August 15,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These notes were issued in July 2009 and the proceeds are being used to supplement capital available from our hedged inventory facility. At December 31, 2009, approximately $222 million had been used to fund hedged inventory and would be classified as short-term debt if funded on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On October 5, 2009 we redeemed all of our outstanding $250 million 7.13% senior notes due 2014. In conjunction with the early redemption, we recognized a loss of approximately $4 million.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Our fixed rate senior notes have a face value of approximately $4.2 billion as of December 31, 2009. We estimate the aggregate fair value of these notes as of December 31, 2009 to be approximately $4.4 billion. Our fixed-rate senior notes are traded among institutions, which trades are routinely published by a reporting service. Our determination of fair value is based on reported trading activity near year end.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F-23</w:t>
      </w:r>
      <w:bookmarkStart w:id="187" w:name="PB_23_135319_7748"/>
      <w:bookmarkEnd w:id="18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October 2009, we renewed our 364-day committed hedged inventory credit facility, which matures in October 2010. The new committed facility replaced a similar $525 million facility that was scheduled to mature on November 5, 2009. The new facility has a borrowing capacity of $500 million, which may be increased to $1.2 billion subject to obtaining additional lender commitments. Borrowings under this facility will be used to finance the purchase of hedged crude oil inventory for storage activities and foreign imports. At December 31, 2009, borrowings of approximately $300 million were outstanding under this facility. At December 31, 2008, borrowings of approximately $280 million were outstanding under our previous $525 million committed hedged inventory facility.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both December 31, 2009 and 2008, the aggregate borrowing capacity of our senior unsecured revolving credit facility was $1.6 billion (including the sub-facility for Canadian borrowings of $600 million). This credit facility has a maximum debt coverage ratio of 4.75 to 1.0 (5.5 to 1.0 during an acquisition period) and a maturity date of July 2012. Also, the senior unsecured revolving credit facility can be expanded to $2.0 billion, subject to additional lender commitments. At December 31, 2009 and 2008, amounts outstanding under this facility and together with committed letters of credit were $849 million and $836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Senior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2009, we completed the issuance of $500 million of 5.75% senior notes due January 15, 2020. The senior notes were sold at 99.523% of face value. Interest payments are due on January 15 and July 15 of each year, beginning on January 15, 2010. We used the net proceeds from this offering to repay outstanding borrowings under our credit facilities, a portion of which was used to fund the cash requirements of the PNGS Acquisition (which included repayment of all of PNGSs debt). See Note 3 for further discussion of the 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2009, we completed the issuance of $500 million of 4.25% senior notes due September 1, 2012. The senior notes were sold at 99.802% of face value. Interest payments are due on March 1 and September 1 of each year, beginning on March 1, 2010. We used the net proceeds from this offering to supplement the capital available under our existing hedged inventory facility to fund working capital needs associated with base levels of routine foreign crude oil import and for seasonal LPG inventory requirements. Concurrent with the issuance of these senior notes, we entered into interest rate swaps whereby we receive fixed payments at 4.25% and pay three-month LIBOR plus a spread on a notional principal amount of $150 million maturing in two years and an additional $150 million notional principal amount maturing in three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April 2009, we completed the issuance of $350 million of 8.75% senior notes due May 1, 2019. The senior notes were sold at 99.994% of face value. Interest payments are due on May 1 and November 1 of each year, beginning on November 1, 2009. We used the net proceeds from this offering to reduce outstanding borrowings under our 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April 2008, we completed the issuance of $600 million of 6.5% Senior Notes due May 1, 2018. The senior notes were sold at 99.424% of face value. Interest payments are due on May 1 and November 1 of each year, beginning on November 1, 2008. We used the net proceeds from the offering to repay amounts outstanding under our credit facilities. In November 2008, the outstanding senior notes were exchanged for similar notes registered under the Securities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each instance, the notes were co-issued by Plains All American Pipeline, L.P. and a 100% owned consolidated finance subsidiary (neither of which have independent assets or operations) and are fully and unconditionally guaranteed, jointly and severally, by most of our subsidiaries. See Note 13 for information regarding our guarantor and non-guarantor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Covenants and Compliance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credit agreements and the indentures governing the senior notes contain cross-default provisions. Our credit agreements prohibit distributions on, or purchases or redemptions of, units if any default or event of default is continuing. In addition, the agreements contain various covenants limiting our ability to, among other things: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incur indebtedness if certain financial ratios are not maintained;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grant liens;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engage in transactions with affiliates;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F-24</w:t>
      </w:r>
      <w:bookmarkStart w:id="188" w:name="PB_24_135406_141"/>
      <w:bookmarkEnd w:id="1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enter into sale-leaseback transactions;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sell substantially all of our assets or enter into a merger or consolidation.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senior unsecured revolving credit facility treats a change of control as an event of default and also requires us to maintain a debt-to-EBITDA coverage ratio that will not be greater than 4.75 to 1.0 on outstanding debt, and 5.5 to 1.0 on all outstanding debt during an acquisition period (generally, the period consisting of three fiscal quarters following an acquisition greater than $50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covenant compliance purposes, letters of credit and borrowings to fund hedged inventory and margin requirements are excluded when calculating the debt coverage ratio.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default under our credit facility would permit the lenders to accelerate the maturity of the outstanding debt. As long as we are in compliance with our credit agreements, our ability to make distributions of available cash is not restricted. As of December  31, 2009, we were in compliance with the covenants contained in our credit agreements and indentures.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crude oil supply and logistics activities, we provide certain suppliers with irrevocable standby letters of credit to secure our obligation for the purchase of crude oil. These letters of credit are issued under our senior unsecured revolving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2009 and 2008, we had outstanding letters of credit of approximately $76 million and $51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Maturities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weighted average life of our long-term debt outstanding at December 31, 2009 was approximately 11 years and the aggregate maturities for the next five years and thereafter are as follows (in millions):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693"/>
        <w:gridCol w:w="211"/>
        <w:gridCol w:w="115"/>
        <w:gridCol w:w="1074"/>
        <w:gridCol w:w="112"/>
      </w:tblGrid>
      <w:tr>
        <w:trPr/>
        <w:tc>
          <w:tcPr>
            <w:tcW w:w="869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Calendar Year</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118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Payment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869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5"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69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8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69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69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8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693"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8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8693"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Thereafter</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189"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3,200</w:t>
            </w:r>
          </w:p>
        </w:tc>
        <w:tc>
          <w:tcPr>
            <w:tcW w:w="112" w:type="dxa"/>
            <w:tcBorders/>
            <w:shd w:fill="auto" w:val="clear"/>
            <w:tcMar>
              <w:bottom w:w="0" w:type="dxa"/>
            </w:tcMar>
            <w:vAlign w:val="bottom"/>
          </w:tcPr>
          <w:p>
            <w:pPr>
              <w:pStyle w:val="TableContents"/>
              <w:spacing w:before="0" w:after="0"/>
              <w:ind w:left="0" w:right="0" w:hanging="0"/>
              <w:rPr/>
            </w:pPr>
            <w:r>
              <w:rPr/>
              <w:t> </w:t>
            </w:r>
          </w:p>
        </w:tc>
      </w:tr>
      <w:tr>
        <w:trPr/>
        <w:tc>
          <w:tcPr>
            <w:tcW w:w="8693" w:type="dxa"/>
            <w:tcBorders/>
            <w:shd w:fill="CCEEFF" w:val="clear"/>
            <w:tcMar>
              <w:bottom w:w="0" w:type="dxa"/>
            </w:tcMar>
            <w:vAlign w:val="bottom"/>
          </w:tcPr>
          <w:p>
            <w:pPr>
              <w:pStyle w:val="TableContents"/>
              <w:spacing w:before="0" w:after="0"/>
              <w:ind w:left="0" w:right="0" w:hanging="0"/>
              <w:rPr/>
            </w:pPr>
            <w:r>
              <w:rPr>
                <w:rFonts w:ascii="Times New Roman" w:hAnsi="Times New Roman"/>
                <w:sz w:val="17"/>
              </w:rPr>
              <w:t xml:space="preserve">Total </w:t>
            </w:r>
            <w:r>
              <w:rPr>
                <w:sz w:val="11"/>
              </w:rPr>
              <w:t>(1)</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5"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4,150</w:t>
            </w:r>
          </w:p>
        </w:tc>
        <w:tc>
          <w:tcPr>
            <w:tcW w:w="11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Excludes aggregate unamortized net discount of $14 million and an adjustment of $1 million related to a fair value hedge.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5Partners Capital and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Partners capital at December 31, 2009 consists of 136,135,988 common units outstanding, representing a 98% effective aggregate ownership interest in the Partnership and its subsidiaries after giving effect to the 2% 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 Partner Incentive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Our general partner is entitled to receive incentive distributions if the amount we distribute with respect to any quarter exceeds levels specified in our partnership agreement. Under the quarterly incentive distribution provisions,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F-25</w:t>
      </w:r>
      <w:bookmarkStart w:id="189" w:name="PB_25_135505_7608"/>
      <w:bookmarkEnd w:id="1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general partner is typically entitled, without duplication, to 15% of amounts we distribute in excess of $0.450 per unit, referred to as our minimum quarterly distributions (MQD), 25% of the amounts we distribute in excess of $0.495 per unit and 50% of amounts we distribute in excess of $0.675 per unit (referred to as incentive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Per unit cash distributions on our outstanding units and the portion of the distributions representing an excess over the MQD were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62"/>
        <w:gridCol w:w="201"/>
        <w:gridCol w:w="133"/>
        <w:gridCol w:w="1020"/>
        <w:gridCol w:w="201"/>
        <w:gridCol w:w="126"/>
        <w:gridCol w:w="894"/>
        <w:gridCol w:w="201"/>
        <w:gridCol w:w="133"/>
        <w:gridCol w:w="1020"/>
        <w:gridCol w:w="201"/>
        <w:gridCol w:w="126"/>
        <w:gridCol w:w="894"/>
        <w:gridCol w:w="201"/>
        <w:gridCol w:w="133"/>
        <w:gridCol w:w="1019"/>
        <w:gridCol w:w="201"/>
        <w:gridCol w:w="126"/>
        <w:gridCol w:w="894"/>
        <w:gridCol w:w="119"/>
      </w:tblGrid>
      <w:tr>
        <w:trPr/>
        <w:tc>
          <w:tcPr>
            <w:tcW w:w="2362"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7523"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w:t>
            </w:r>
          </w:p>
        </w:tc>
        <w:tc>
          <w:tcPr>
            <w:tcW w:w="119" w:type="dxa"/>
            <w:tcBorders/>
            <w:shd w:fill="auto" w:val="clear"/>
            <w:vAlign w:val="bottom"/>
          </w:tcPr>
          <w:p>
            <w:pPr>
              <w:pStyle w:val="TableContents"/>
              <w:spacing w:before="0" w:after="0"/>
              <w:ind w:left="0" w:right="0" w:hanging="0"/>
              <w:jc w:val="center"/>
              <w:rPr/>
            </w:pPr>
            <w:r>
              <w:rPr/>
              <w:t> </w:t>
            </w:r>
          </w:p>
        </w:tc>
      </w:tr>
      <w:tr>
        <w:trPr/>
        <w:tc>
          <w:tcPr>
            <w:tcW w:w="2362"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237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1" w:type="dxa"/>
            <w:tcBorders/>
            <w:shd w:fill="auto" w:val="clear"/>
            <w:vAlign w:val="bottom"/>
          </w:tcPr>
          <w:p>
            <w:pPr>
              <w:pStyle w:val="TableContents"/>
              <w:spacing w:before="0" w:after="0"/>
              <w:ind w:left="0" w:right="0" w:hanging="0"/>
              <w:jc w:val="center"/>
              <w:rPr/>
            </w:pPr>
            <w:r>
              <w:rPr/>
              <w:t> </w:t>
            </w:r>
          </w:p>
        </w:tc>
        <w:tc>
          <w:tcPr>
            <w:tcW w:w="237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1" w:type="dxa"/>
            <w:tcBorders/>
            <w:shd w:fill="auto" w:val="clear"/>
            <w:vAlign w:val="bottom"/>
          </w:tcPr>
          <w:p>
            <w:pPr>
              <w:pStyle w:val="TableContents"/>
              <w:spacing w:before="0" w:after="0"/>
              <w:ind w:left="0" w:right="0" w:hanging="0"/>
              <w:jc w:val="center"/>
              <w:rPr/>
            </w:pPr>
            <w:r>
              <w:rPr/>
              <w:t> </w:t>
            </w:r>
          </w:p>
        </w:tc>
        <w:tc>
          <w:tcPr>
            <w:tcW w:w="237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9" w:type="dxa"/>
            <w:tcBorders/>
            <w:shd w:fill="auto" w:val="clear"/>
            <w:vAlign w:val="bottom"/>
          </w:tcPr>
          <w:p>
            <w:pPr>
              <w:pStyle w:val="TableContents"/>
              <w:spacing w:before="0" w:after="0"/>
              <w:ind w:left="0" w:right="0" w:hanging="0"/>
              <w:jc w:val="center"/>
              <w:rPr/>
            </w:pPr>
            <w:r>
              <w:rPr/>
              <w:t> </w:t>
            </w:r>
          </w:p>
        </w:tc>
      </w:tr>
      <w:tr>
        <w:trPr/>
        <w:tc>
          <w:tcPr>
            <w:tcW w:w="2362"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153" w:type="dxa"/>
            <w:gridSpan w:val="2"/>
            <w:tcBorders/>
            <w:shd w:fill="auto" w:val="clear"/>
            <w:vAlign w:val="bottom"/>
          </w:tcPr>
          <w:p>
            <w:pPr>
              <w:pStyle w:val="TableContents"/>
              <w:spacing w:before="0" w:after="0"/>
              <w:ind w:left="0" w:right="0" w:hanging="0"/>
              <w:jc w:val="center"/>
              <w:rPr/>
            </w:pPr>
            <w:r>
              <w:rPr/>
              <w:t> </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201" w:type="dxa"/>
            <w:tcBorders/>
            <w:shd w:fill="auto" w:val="clear"/>
            <w:vAlign w:val="bottom"/>
          </w:tcPr>
          <w:p>
            <w:pPr>
              <w:pStyle w:val="TableContents"/>
              <w:spacing w:before="0" w:after="0"/>
              <w:ind w:left="0" w:right="0" w:hanging="0"/>
              <w:jc w:val="center"/>
              <w:rPr/>
            </w:pPr>
            <w:r>
              <w:rPr/>
              <w:t> </w:t>
            </w:r>
          </w:p>
        </w:tc>
        <w:tc>
          <w:tcPr>
            <w:tcW w:w="1153" w:type="dxa"/>
            <w:gridSpan w:val="2"/>
            <w:tcBorders/>
            <w:shd w:fill="auto" w:val="clear"/>
            <w:vAlign w:val="bottom"/>
          </w:tcPr>
          <w:p>
            <w:pPr>
              <w:pStyle w:val="TableContents"/>
              <w:spacing w:before="0" w:after="0"/>
              <w:ind w:left="0" w:right="0" w:hanging="0"/>
              <w:jc w:val="center"/>
              <w:rPr/>
            </w:pPr>
            <w:r>
              <w:rPr/>
              <w:t> </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201" w:type="dxa"/>
            <w:tcBorders/>
            <w:shd w:fill="auto" w:val="clear"/>
            <w:vAlign w:val="bottom"/>
          </w:tcPr>
          <w:p>
            <w:pPr>
              <w:pStyle w:val="TableContents"/>
              <w:spacing w:before="0" w:after="0"/>
              <w:ind w:left="0" w:right="0" w:hanging="0"/>
              <w:jc w:val="center"/>
              <w:rPr/>
            </w:pPr>
            <w:r>
              <w:rPr/>
              <w:t> </w:t>
            </w:r>
          </w:p>
        </w:tc>
        <w:tc>
          <w:tcPr>
            <w:tcW w:w="1152" w:type="dxa"/>
            <w:gridSpan w:val="2"/>
            <w:tcBorders/>
            <w:shd w:fill="auto" w:val="clear"/>
            <w:vAlign w:val="bottom"/>
          </w:tcPr>
          <w:p>
            <w:pPr>
              <w:pStyle w:val="TableContents"/>
              <w:spacing w:before="0" w:after="0"/>
              <w:ind w:left="0" w:right="0" w:hanging="0"/>
              <w:jc w:val="center"/>
              <w:rPr/>
            </w:pPr>
            <w:r>
              <w:rPr/>
              <w:t> </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Excess</w:t>
            </w:r>
          </w:p>
        </w:tc>
        <w:tc>
          <w:tcPr>
            <w:tcW w:w="119" w:type="dxa"/>
            <w:tcBorders/>
            <w:shd w:fill="auto" w:val="clear"/>
            <w:vAlign w:val="bottom"/>
          </w:tcPr>
          <w:p>
            <w:pPr>
              <w:pStyle w:val="TableContents"/>
              <w:spacing w:before="0" w:after="0"/>
              <w:ind w:left="0" w:right="0" w:hanging="0"/>
              <w:jc w:val="center"/>
              <w:rPr/>
            </w:pPr>
            <w:r>
              <w:rPr/>
              <w:t> </w:t>
            </w:r>
          </w:p>
        </w:tc>
      </w:tr>
      <w:tr>
        <w:trPr/>
        <w:tc>
          <w:tcPr>
            <w:tcW w:w="2362"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Distribution </w:t>
            </w:r>
            <w:r>
              <w:rPr>
                <w:b/>
                <w:sz w:val="8"/>
              </w:rPr>
              <w:t>(1)</w:t>
            </w:r>
          </w:p>
        </w:tc>
        <w:tc>
          <w:tcPr>
            <w:tcW w:w="201" w:type="dxa"/>
            <w:tcBorders/>
            <w:shd w:fill="auto" w:val="clear"/>
            <w:vAlign w:val="bottom"/>
          </w:tcPr>
          <w:p>
            <w:pPr>
              <w:pStyle w:val="TableContents"/>
              <w:spacing w:before="0" w:after="0"/>
              <w:ind w:left="0" w:right="0" w:hanging="0"/>
              <w:jc w:val="center"/>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201" w:type="dxa"/>
            <w:tcBorders/>
            <w:shd w:fill="auto" w:val="clear"/>
            <w:vAlign w:val="bottom"/>
          </w:tcPr>
          <w:p>
            <w:pPr>
              <w:pStyle w:val="TableContents"/>
              <w:spacing w:before="0" w:after="0"/>
              <w:ind w:left="0" w:right="0" w:hanging="0"/>
              <w:jc w:val="center"/>
              <w:rPr/>
            </w:pPr>
            <w:r>
              <w:rPr/>
              <w:t> </w:t>
            </w:r>
          </w:p>
        </w:tc>
        <w:tc>
          <w:tcPr>
            <w:tcW w:w="11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Distribution </w:t>
            </w:r>
            <w:r>
              <w:rPr>
                <w:b/>
                <w:sz w:val="8"/>
              </w:rPr>
              <w:t>(1)</w:t>
            </w:r>
          </w:p>
        </w:tc>
        <w:tc>
          <w:tcPr>
            <w:tcW w:w="201" w:type="dxa"/>
            <w:tcBorders/>
            <w:shd w:fill="auto" w:val="clear"/>
            <w:vAlign w:val="bottom"/>
          </w:tcPr>
          <w:p>
            <w:pPr>
              <w:pStyle w:val="TableContents"/>
              <w:spacing w:before="0" w:after="0"/>
              <w:ind w:left="0" w:right="0" w:hanging="0"/>
              <w:jc w:val="center"/>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201" w:type="dxa"/>
            <w:tcBorders/>
            <w:shd w:fill="auto" w:val="clear"/>
            <w:vAlign w:val="bottom"/>
          </w:tcPr>
          <w:p>
            <w:pPr>
              <w:pStyle w:val="TableContents"/>
              <w:spacing w:before="0" w:after="0"/>
              <w:ind w:left="0" w:right="0" w:hanging="0"/>
              <w:jc w:val="center"/>
              <w:rPr/>
            </w:pPr>
            <w:r>
              <w:rPr/>
              <w:t> </w:t>
            </w:r>
          </w:p>
        </w:tc>
        <w:tc>
          <w:tcPr>
            <w:tcW w:w="11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Distribution </w:t>
            </w:r>
            <w:r>
              <w:rPr>
                <w:b/>
                <w:sz w:val="8"/>
              </w:rPr>
              <w:t>(1)</w:t>
            </w:r>
          </w:p>
        </w:tc>
        <w:tc>
          <w:tcPr>
            <w:tcW w:w="201" w:type="dxa"/>
            <w:tcBorders/>
            <w:shd w:fill="auto" w:val="clear"/>
            <w:vAlign w:val="bottom"/>
          </w:tcPr>
          <w:p>
            <w:pPr>
              <w:pStyle w:val="TableContents"/>
              <w:spacing w:before="0" w:after="0"/>
              <w:ind w:left="0" w:right="0" w:hanging="0"/>
              <w:jc w:val="center"/>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over MQD</w:t>
            </w:r>
          </w:p>
        </w:tc>
        <w:tc>
          <w:tcPr>
            <w:tcW w:w="119" w:type="dxa"/>
            <w:tcBorders/>
            <w:shd w:fill="auto" w:val="clear"/>
            <w:vAlign w:val="bottom"/>
          </w:tcPr>
          <w:p>
            <w:pPr>
              <w:pStyle w:val="TableContents"/>
              <w:spacing w:before="0" w:after="0"/>
              <w:ind w:left="0" w:right="0" w:hanging="0"/>
              <w:jc w:val="center"/>
              <w:rPr/>
            </w:pPr>
            <w:r>
              <w:rPr/>
              <w:t> </w:t>
            </w:r>
          </w:p>
        </w:tc>
      </w:tr>
      <w:tr>
        <w:trPr/>
        <w:tc>
          <w:tcPr>
            <w:tcW w:w="23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First Quarter</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0.4425</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0.8500</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0.4000</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0.8000</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0.3500</w:t>
            </w:r>
          </w:p>
        </w:tc>
        <w:tc>
          <w:tcPr>
            <w:tcW w:w="119" w:type="dxa"/>
            <w:tcBorders/>
            <w:shd w:fill="CCEEFF" w:val="clear"/>
            <w:vAlign w:val="bottom"/>
          </w:tcPr>
          <w:p>
            <w:pPr>
              <w:pStyle w:val="TableContents"/>
              <w:spacing w:before="0" w:after="0"/>
              <w:ind w:left="0" w:right="0" w:hanging="0"/>
              <w:rPr/>
            </w:pPr>
            <w:r>
              <w:rPr/>
              <w:t> </w:t>
            </w:r>
          </w:p>
        </w:tc>
      </w:tr>
      <w:tr>
        <w:trPr/>
        <w:tc>
          <w:tcPr>
            <w:tcW w:w="23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Second Quarter</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0.4550</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0.8650</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0.4150</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0.8125</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0.3625</w:t>
            </w:r>
          </w:p>
        </w:tc>
        <w:tc>
          <w:tcPr>
            <w:tcW w:w="119" w:type="dxa"/>
            <w:tcBorders/>
            <w:shd w:fill="auto" w:val="clear"/>
            <w:vAlign w:val="bottom"/>
          </w:tcPr>
          <w:p>
            <w:pPr>
              <w:pStyle w:val="TableContents"/>
              <w:spacing w:before="0" w:after="0"/>
              <w:ind w:left="0" w:right="0" w:hanging="0"/>
              <w:rPr/>
            </w:pPr>
            <w:r>
              <w:rPr/>
              <w:t> </w:t>
            </w:r>
          </w:p>
        </w:tc>
      </w:tr>
      <w:tr>
        <w:trPr/>
        <w:tc>
          <w:tcPr>
            <w:tcW w:w="23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Third Quarter</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0.4550</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0.8875</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0.4375</w:t>
            </w:r>
          </w:p>
        </w:tc>
        <w:tc>
          <w:tcPr>
            <w:tcW w:w="20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0.8300</w:t>
            </w:r>
          </w:p>
        </w:tc>
        <w:tc>
          <w:tcPr>
            <w:tcW w:w="201" w:type="dxa"/>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0.3800</w:t>
            </w:r>
          </w:p>
        </w:tc>
        <w:tc>
          <w:tcPr>
            <w:tcW w:w="119" w:type="dxa"/>
            <w:tcBorders/>
            <w:shd w:fill="CCEEFF" w:val="clear"/>
            <w:vAlign w:val="bottom"/>
          </w:tcPr>
          <w:p>
            <w:pPr>
              <w:pStyle w:val="TableContents"/>
              <w:spacing w:before="0" w:after="0"/>
              <w:ind w:left="0" w:right="0" w:hanging="0"/>
              <w:rPr/>
            </w:pPr>
            <w:r>
              <w:rPr/>
              <w:t> </w:t>
            </w:r>
          </w:p>
        </w:tc>
      </w:tr>
      <w:tr>
        <w:trPr/>
        <w:tc>
          <w:tcPr>
            <w:tcW w:w="23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Fourth Quarter</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0.9200</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0.4700</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0.4425</w:t>
            </w:r>
          </w:p>
        </w:tc>
        <w:tc>
          <w:tcPr>
            <w:tcW w:w="201"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0.8400</w:t>
            </w:r>
          </w:p>
        </w:tc>
        <w:tc>
          <w:tcPr>
            <w:tcW w:w="201"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0.3900</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Distributions represent those declared and paid in the applicable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enhance our distribution coverage ratio and liquidity following a significant acquisition, our general partner may agree to reduce the amounts due to it as incentive distributions.  Upon closing of the Pacific acquisition in November 2006 and the Rainbow acquisition in May 2008, our general partner agreed to reduce the amounts due to it as incentive distributions. Additionally, in connection with the PNGS Acquisition, our general partner agreed to further reduce its incentive distributions by an aggregate of $8 million over the next two years$1.25 million per quarter for the first four quarters and $0.75 million per quarter for the next four quarters.  This incentive distribution reduction became effective upon payment of our November 2009 quarterly distribution of $0.9200 per limited partner unit.  The total reduction in incentive distributions related to the Pacific, Rainbow and PNGS acquisitions is $83 million as displayed on an annual basis in the following table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858"/>
        <w:gridCol w:w="214"/>
        <w:gridCol w:w="141"/>
        <w:gridCol w:w="845"/>
        <w:gridCol w:w="214"/>
        <w:gridCol w:w="141"/>
        <w:gridCol w:w="845"/>
        <w:gridCol w:w="214"/>
        <w:gridCol w:w="141"/>
        <w:gridCol w:w="845"/>
        <w:gridCol w:w="214"/>
        <w:gridCol w:w="141"/>
        <w:gridCol w:w="845"/>
        <w:gridCol w:w="214"/>
        <w:gridCol w:w="161"/>
        <w:gridCol w:w="825"/>
        <w:gridCol w:w="214"/>
        <w:gridCol w:w="146"/>
        <w:gridCol w:w="853"/>
        <w:gridCol w:w="134"/>
      </w:tblGrid>
      <w:tr>
        <w:trPr/>
        <w:tc>
          <w:tcPr>
            <w:tcW w:w="285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Acquisition</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8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4" w:type="dxa"/>
            <w:tcBorders/>
            <w:shd w:fill="auto" w:val="clear"/>
            <w:tcMar>
              <w:bottom w:w="0" w:type="dxa"/>
            </w:tcM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4" w:type="dxa"/>
            <w:tcBorders/>
            <w:shd w:fill="auto" w:val="clear"/>
            <w:tcMar>
              <w:bottom w:w="0" w:type="dxa"/>
            </w:tcMar>
            <w:vAlign w:val="bottom"/>
          </w:tcPr>
          <w:p>
            <w:pPr>
              <w:pStyle w:val="TableContents"/>
              <w:spacing w:before="0" w:after="0"/>
              <w:ind w:left="0" w:right="0" w:hanging="0"/>
              <w:jc w:val="center"/>
              <w:rPr/>
            </w:pPr>
            <w:r>
              <w:rPr/>
              <w:t> </w:t>
            </w:r>
          </w:p>
        </w:tc>
      </w:tr>
      <w:tr>
        <w:trPr/>
        <w:tc>
          <w:tcPr>
            <w:tcW w:w="28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Pacific</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6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146"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tcBorders>
              <w:top w:val="single" w:sz="8" w:space="0" w:color="000000"/>
            </w:tcBorders>
            <w:shd w:fill="CCEEFF" w:val="clear"/>
            <w:tcMar>
              <w:top w:w="28" w:type="dxa"/>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4" w:type="dxa"/>
            <w:tcBorders/>
            <w:shd w:fill="CCEEFF" w:val="clear"/>
            <w:tcMar>
              <w:bottom w:w="0" w:type="dxa"/>
            </w:tcMar>
            <w:vAlign w:val="bottom"/>
          </w:tcPr>
          <w:p>
            <w:pPr>
              <w:pStyle w:val="TableContents"/>
              <w:spacing w:before="0" w:after="0"/>
              <w:ind w:left="0" w:right="0" w:hanging="0"/>
              <w:rPr/>
            </w:pPr>
            <w:r>
              <w:rPr/>
              <w:t> </w:t>
            </w:r>
          </w:p>
        </w:tc>
      </w:tr>
      <w:tr>
        <w:trPr/>
        <w:tc>
          <w:tcPr>
            <w:tcW w:w="28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86"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99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4" w:type="dxa"/>
            <w:tcBorders/>
            <w:shd w:fill="auto" w:val="clear"/>
            <w:tcMar>
              <w:bottom w:w="0" w:type="dxa"/>
            </w:tcMar>
            <w:vAlign w:val="bottom"/>
          </w:tcPr>
          <w:p>
            <w:pPr>
              <w:pStyle w:val="TableContents"/>
              <w:spacing w:before="0" w:after="0"/>
              <w:ind w:left="0" w:right="0" w:hanging="0"/>
              <w:rPr/>
            </w:pPr>
            <w:r>
              <w:rPr/>
              <w:t> </w:t>
            </w:r>
          </w:p>
        </w:tc>
      </w:tr>
      <w:tr>
        <w:trPr/>
        <w:tc>
          <w:tcPr>
            <w:tcW w:w="2858"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PNGS</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86"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tcMar>
              <w:bottom w:w="0" w:type="dxa"/>
            </w:tcMar>
            <w:vAlign w:val="bottom"/>
          </w:tcPr>
          <w:p>
            <w:pPr>
              <w:pStyle w:val="TableContents"/>
              <w:spacing w:before="0" w:after="0"/>
              <w:ind w:left="0" w:right="0" w:hanging="0"/>
              <w:rPr/>
            </w:pPr>
            <w:r>
              <w:rPr/>
              <w:t> </w:t>
            </w:r>
          </w:p>
        </w:tc>
        <w:tc>
          <w:tcPr>
            <w:tcW w:w="99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4" w:type="dxa"/>
            <w:tcBorders/>
            <w:shd w:fill="CCEEFF" w:val="clear"/>
            <w:tcMar>
              <w:bottom w:w="0" w:type="dxa"/>
            </w:tcMar>
            <w:vAlign w:val="bottom"/>
          </w:tcPr>
          <w:p>
            <w:pPr>
              <w:pStyle w:val="TableContents"/>
              <w:spacing w:before="0" w:after="0"/>
              <w:ind w:left="0" w:right="0" w:hanging="0"/>
              <w:rPr/>
            </w:pPr>
            <w:r>
              <w:rPr/>
              <w:t> </w:t>
            </w:r>
          </w:p>
        </w:tc>
      </w:tr>
      <w:tr>
        <w:trPr/>
        <w:tc>
          <w:tcPr>
            <w:tcW w:w="2858"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61"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4" w:type="dxa"/>
            <w:tcBorders/>
            <w:shd w:fill="auto" w:val="clear"/>
            <w:tcMar>
              <w:bottom w:w="0" w:type="dxa"/>
            </w:tcMar>
            <w:vAlign w:val="bottom"/>
          </w:tcPr>
          <w:p>
            <w:pPr>
              <w:pStyle w:val="TableContents"/>
              <w:spacing w:before="0" w:after="0"/>
              <w:ind w:left="0" w:right="0" w:hanging="0"/>
              <w:rPr/>
            </w:pPr>
            <w:r>
              <w:rPr/>
              <w:t> </w:t>
            </w:r>
          </w:p>
        </w:tc>
        <w:tc>
          <w:tcPr>
            <w:tcW w:w="146"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3" w:type="dxa"/>
            <w:tcBorders>
              <w:top w:val="single" w:sz="8" w:space="0" w:color="000000"/>
              <w:bottom w:val="double" w:sz="6"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134"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Following the distribution in February 2010 (as discussed below), the aggregate remaining incentive distribution reductions will be approximately $18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cash distributions made were as follows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90"/>
        <w:gridCol w:w="214"/>
        <w:gridCol w:w="175"/>
        <w:gridCol w:w="945"/>
        <w:gridCol w:w="214"/>
        <w:gridCol w:w="180"/>
        <w:gridCol w:w="958"/>
        <w:gridCol w:w="214"/>
        <w:gridCol w:w="152"/>
        <w:gridCol w:w="833"/>
        <w:gridCol w:w="214"/>
        <w:gridCol w:w="152"/>
        <w:gridCol w:w="884"/>
        <w:gridCol w:w="213"/>
        <w:gridCol w:w="205"/>
        <w:gridCol w:w="1430"/>
        <w:gridCol w:w="132"/>
      </w:tblGrid>
      <w:tr>
        <w:trPr/>
        <w:tc>
          <w:tcPr>
            <w:tcW w:w="309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92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213" w:type="dxa"/>
            <w:tcBorders/>
            <w:shd w:fill="auto" w:val="clear"/>
            <w:vAlign w:val="bottom"/>
          </w:tcPr>
          <w:p>
            <w:pPr>
              <w:pStyle w:val="TableContents"/>
              <w:spacing w:before="0" w:after="0"/>
              <w:ind w:left="0" w:right="0" w:hanging="0"/>
              <w:jc w:val="center"/>
              <w:rPr/>
            </w:pPr>
            <w:r>
              <w:rPr/>
              <w:t> </w:t>
            </w:r>
          </w:p>
        </w:tc>
        <w:tc>
          <w:tcPr>
            <w:tcW w:w="16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per</w:t>
            </w:r>
          </w:p>
        </w:tc>
        <w:tc>
          <w:tcPr>
            <w:tcW w:w="132" w:type="dxa"/>
            <w:tcBorders/>
            <w:shd w:fill="auto" w:val="clear"/>
            <w:vAlign w:val="bottom"/>
          </w:tcPr>
          <w:p>
            <w:pPr>
              <w:pStyle w:val="TableContents"/>
              <w:spacing w:before="0" w:after="0"/>
              <w:ind w:left="0" w:right="0" w:hanging="0"/>
              <w:jc w:val="center"/>
              <w:rPr/>
            </w:pPr>
            <w:r>
              <w:rPr/>
              <w:t> </w:t>
            </w:r>
          </w:p>
        </w:tc>
      </w:tr>
      <w:tr>
        <w:trPr/>
        <w:tc>
          <w:tcPr>
            <w:tcW w:w="309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2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337"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6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limited partner </w:t>
            </w:r>
          </w:p>
        </w:tc>
        <w:tc>
          <w:tcPr>
            <w:tcW w:w="132" w:type="dxa"/>
            <w:tcBorders/>
            <w:shd w:fill="auto" w:val="clear"/>
            <w:vAlign w:val="bottom"/>
          </w:tcPr>
          <w:p>
            <w:pPr>
              <w:pStyle w:val="TableContents"/>
              <w:spacing w:before="0" w:after="0"/>
              <w:ind w:left="0" w:right="0" w:hanging="0"/>
              <w:jc w:val="center"/>
              <w:rPr/>
            </w:pPr>
            <w:r>
              <w:rPr/>
              <w:t> </w:t>
            </w:r>
          </w:p>
        </w:tc>
      </w:tr>
      <w:tr>
        <w:trPr/>
        <w:tc>
          <w:tcPr>
            <w:tcW w:w="309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14" w:type="dxa"/>
            <w:tcBorders/>
            <w:shd w:fill="auto" w:val="clear"/>
            <w:vAlign w:val="bottom"/>
          </w:tcPr>
          <w:p>
            <w:pPr>
              <w:pStyle w:val="TableContents"/>
              <w:spacing w:before="0" w:after="0"/>
              <w:ind w:left="0" w:right="0" w:hanging="0"/>
              <w:jc w:val="center"/>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14" w:type="dxa"/>
            <w:tcBorders/>
            <w:shd w:fill="auto" w:val="clear"/>
            <w:vAlign w:val="bottom"/>
          </w:tcPr>
          <w:p>
            <w:pPr>
              <w:pStyle w:val="TableContents"/>
              <w:spacing w:before="0" w:after="0"/>
              <w:ind w:left="0" w:right="0" w:hanging="0"/>
              <w:jc w:val="center"/>
              <w:rPr/>
            </w:pPr>
            <w:r>
              <w:rPr/>
              <w:t> </w:t>
            </w:r>
          </w:p>
        </w:tc>
        <w:tc>
          <w:tcPr>
            <w:tcW w:w="1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214" w:type="dxa"/>
            <w:tcBorders/>
            <w:shd w:fill="auto" w:val="clear"/>
            <w:vAlign w:val="bottom"/>
          </w:tcPr>
          <w:p>
            <w:pPr>
              <w:pStyle w:val="TableContents"/>
              <w:spacing w:before="0" w:after="0"/>
              <w:ind w:left="0" w:right="0" w:hanging="0"/>
              <w:jc w:val="center"/>
              <w:rPr/>
            </w:pPr>
            <w:r>
              <w:rPr/>
              <w:t> </w:t>
            </w:r>
          </w:p>
        </w:tc>
        <w:tc>
          <w:tcPr>
            <w:tcW w:w="10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13" w:type="dxa"/>
            <w:tcBorders/>
            <w:shd w:fill="auto" w:val="clear"/>
            <w:vAlign w:val="bottom"/>
          </w:tcPr>
          <w:p>
            <w:pPr>
              <w:pStyle w:val="TableContents"/>
              <w:spacing w:before="0" w:after="0"/>
              <w:ind w:left="0" w:right="0" w:hanging="0"/>
              <w:jc w:val="center"/>
              <w:rPr/>
            </w:pPr>
            <w:r>
              <w:rPr/>
              <w:t> </w:t>
            </w:r>
          </w:p>
        </w:tc>
        <w:tc>
          <w:tcPr>
            <w:tcW w:w="1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w:t>
            </w:r>
          </w:p>
        </w:tc>
        <w:tc>
          <w:tcPr>
            <w:tcW w:w="132" w:type="dxa"/>
            <w:tcBorders/>
            <w:shd w:fill="auto" w:val="clear"/>
            <w:vAlign w:val="bottom"/>
          </w:tcPr>
          <w:p>
            <w:pPr>
              <w:pStyle w:val="TableContents"/>
              <w:spacing w:before="0" w:after="0"/>
              <w:ind w:left="0" w:right="0" w:hanging="0"/>
              <w:jc w:val="center"/>
              <w:rPr/>
            </w:pPr>
            <w:r>
              <w:rPr/>
              <w:t> </w:t>
            </w:r>
          </w:p>
        </w:tc>
      </w:tr>
      <w:tr>
        <w:trPr/>
        <w:tc>
          <w:tcPr>
            <w:tcW w:w="3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214"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w:t>
            </w:r>
          </w:p>
        </w:tc>
        <w:tc>
          <w:tcPr>
            <w:tcW w:w="214"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213"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32" w:type="dxa"/>
            <w:tcBorders/>
            <w:shd w:fill="CCEEFF" w:val="clear"/>
            <w:vAlign w:val="bottom"/>
          </w:tcPr>
          <w:p>
            <w:pPr>
              <w:pStyle w:val="TableContents"/>
              <w:spacing w:before="0" w:after="0"/>
              <w:ind w:left="0" w:right="0" w:hanging="0"/>
              <w:rPr/>
            </w:pPr>
            <w:r>
              <w:rPr/>
              <w:t> </w:t>
            </w:r>
          </w:p>
        </w:tc>
      </w:tr>
      <w:tr>
        <w:trPr/>
        <w:tc>
          <w:tcPr>
            <w:tcW w:w="30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2008</w:t>
            </w:r>
          </w:p>
        </w:tc>
        <w:tc>
          <w:tcPr>
            <w:tcW w:w="21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214"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14"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w:t>
            </w:r>
          </w:p>
        </w:tc>
        <w:tc>
          <w:tcPr>
            <w:tcW w:w="21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32" w:type="dxa"/>
            <w:tcBorders/>
            <w:shd w:fill="auto" w:val="clear"/>
            <w:vAlign w:val="bottom"/>
          </w:tcPr>
          <w:p>
            <w:pPr>
              <w:pStyle w:val="TableContents"/>
              <w:spacing w:before="0" w:after="0"/>
              <w:ind w:left="0" w:right="0" w:hanging="0"/>
              <w:rPr/>
            </w:pPr>
            <w:r>
              <w:rPr/>
              <w:t> </w:t>
            </w:r>
          </w:p>
        </w:tc>
      </w:tr>
      <w:tr>
        <w:trPr/>
        <w:tc>
          <w:tcPr>
            <w:tcW w:w="30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2007</w:t>
            </w:r>
          </w:p>
        </w:tc>
        <w:tc>
          <w:tcPr>
            <w:tcW w:w="214" w:type="dxa"/>
            <w:tcBorders/>
            <w:shd w:fill="CCEEFF" w:val="clear"/>
            <w:vAlign w:val="bottom"/>
          </w:tcPr>
          <w:p>
            <w:pPr>
              <w:pStyle w:val="TableContents"/>
              <w:spacing w:before="0" w:after="0"/>
              <w:ind w:left="0" w:right="0" w:hanging="0"/>
              <w:rPr/>
            </w:pPr>
            <w:r>
              <w:rPr/>
              <w:t> </w:t>
            </w:r>
          </w:p>
        </w:tc>
        <w:tc>
          <w:tcPr>
            <w:tcW w:w="1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14"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21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213"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13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20, 2010, we declared a cash distribution of $0.9275 per unit on our outstanding common units. The distribution was paid on February 12, 2010 to unitholders of record on February 2, 2010, for the period October 1, 2009 through December 31, 2009. The total distribution paid was approximately $166 million, with approximately $126 million paid to our common unitholders and $3 million and $37 million paid to our general partner for its general partner and incentive distribution interests,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 in a Subsidiary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During the fourth quarter of 2008, we completed construction on a 94-mile expansion of the Salt Lake City Area system from Wahsatch, Utah to Salt Lake City. During the first quarter of 2009, this pipeline became fully operational.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F-26</w:t>
      </w:r>
      <w:bookmarkStart w:id="190" w:name="PB_26_135924_8146"/>
      <w:bookmarkEnd w:id="1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Pursuant to a master formation agreement, we contributed the pipeline with a book value of approximately $254 million to a newly formed joint venture, SLC Pipeline LLC (SLC Pipeline). Holly Energy Partners-Operating, L.P. (HEP) contributed approximately $26 million in cash for a 25% ownership in SLC Pipeline.  We own the remaining 75% interest in SLC Pipeline and control the joint venture, and therefore, have consolidated the financial results.</w:t>
      </w:r>
      <w:r>
        <w:rPr>
          <w:rFonts w:ascii="Times New Roman" w:hAnsi="Times New Roman"/>
        </w:rPr>
        <w:t xml:space="preserve">  </w:t>
      </w:r>
      <w:r>
        <w:rPr>
          <w:rFonts w:ascii="Times New Roman" w:hAnsi="Times New Roman"/>
          <w:sz w:val="17"/>
        </w:rPr>
        <w:t>We recognized a loss in partners capital of approximately $38 million related to the formation of the SLC Pipeline joint venture during 2009. This loss represents the difference between HEPs contribution of cash and the book value of its 25% interest in the net assets of SLC Pipeline.  As of December 31, 2009, the noncontrolling interest on the balance sheet consists solely of HEPs interest in the net assets of SLC Pipeline.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Offerings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years ended December 31, 2009, we completed the following equity offerings of our common units (in millions, except unit and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23"/>
        <w:gridCol w:w="172"/>
        <w:gridCol w:w="1312"/>
        <w:gridCol w:w="172"/>
        <w:gridCol w:w="153"/>
        <w:gridCol w:w="846"/>
        <w:gridCol w:w="172"/>
        <w:gridCol w:w="187"/>
        <w:gridCol w:w="822"/>
        <w:gridCol w:w="171"/>
        <w:gridCol w:w="400"/>
        <w:gridCol w:w="825"/>
        <w:gridCol w:w="172"/>
        <w:gridCol w:w="153"/>
        <w:gridCol w:w="706"/>
        <w:gridCol w:w="189"/>
        <w:gridCol w:w="187"/>
        <w:gridCol w:w="822"/>
        <w:gridCol w:w="121"/>
      </w:tblGrid>
      <w:tr>
        <w:trPr/>
        <w:tc>
          <w:tcPr>
            <w:tcW w:w="262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12"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009" w:type="dxa"/>
            <w:gridSpan w:val="2"/>
            <w:tcBorders/>
            <w:shd w:fill="auto" w:val="clear"/>
            <w:vAlign w:val="bottom"/>
          </w:tcPr>
          <w:p>
            <w:pPr>
              <w:pStyle w:val="TableContents"/>
              <w:spacing w:before="0" w:after="0"/>
              <w:ind w:left="0" w:right="0" w:hanging="0"/>
              <w:jc w:val="center"/>
              <w:rPr/>
            </w:pPr>
            <w:r>
              <w:rPr/>
              <w:t> </w:t>
            </w:r>
          </w:p>
        </w:tc>
        <w:tc>
          <w:tcPr>
            <w:tcW w:w="171" w:type="dxa"/>
            <w:tcBorders/>
            <w:shd w:fill="auto" w:val="clear"/>
            <w:vAlign w:val="bottom"/>
          </w:tcPr>
          <w:p>
            <w:pPr>
              <w:pStyle w:val="TableContents"/>
              <w:spacing w:before="0" w:after="0"/>
              <w:ind w:left="0" w:right="0" w:hanging="0"/>
              <w:jc w:val="center"/>
              <w:rPr/>
            </w:pPr>
            <w:r>
              <w:rPr/>
              <w:t> </w:t>
            </w:r>
          </w:p>
        </w:tc>
        <w:tc>
          <w:tcPr>
            <w:tcW w:w="122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72"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09" w:type="dxa"/>
            <w:gridSpan w:val="2"/>
            <w:tcBorders/>
            <w:shd w:fill="auto" w:val="clear"/>
            <w:vAlign w:val="bottom"/>
          </w:tcPr>
          <w:p>
            <w:pPr>
              <w:pStyle w:val="TableContents"/>
              <w:spacing w:before="0" w:after="0"/>
              <w:ind w:left="0" w:right="0" w:hanging="0"/>
              <w:jc w:val="center"/>
              <w:rPr/>
            </w:pPr>
            <w:r>
              <w:rPr/>
              <w:t> </w:t>
            </w:r>
          </w:p>
        </w:tc>
        <w:tc>
          <w:tcPr>
            <w:tcW w:w="121" w:type="dxa"/>
            <w:tcBorders/>
            <w:shd w:fill="auto" w:val="clear"/>
            <w:vAlign w:val="bottom"/>
          </w:tcPr>
          <w:p>
            <w:pPr>
              <w:pStyle w:val="TableContents"/>
              <w:spacing w:before="0" w:after="0"/>
              <w:ind w:left="0" w:right="0" w:hanging="0"/>
              <w:jc w:val="center"/>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12" w:type="dxa"/>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Gross</w:t>
            </w:r>
          </w:p>
        </w:tc>
        <w:tc>
          <w:tcPr>
            <w:tcW w:w="172" w:type="dxa"/>
            <w:tcBorders/>
            <w:shd w:fill="auto" w:val="clear"/>
            <w:vAlign w:val="bottom"/>
          </w:tcPr>
          <w:p>
            <w:pPr>
              <w:pStyle w:val="TableContents"/>
              <w:spacing w:before="0" w:after="0"/>
              <w:ind w:left="0" w:right="0" w:hanging="0"/>
              <w:jc w:val="center"/>
              <w:rPr/>
            </w:pPr>
            <w:r>
              <w:rPr/>
              <w:t> </w:t>
            </w:r>
          </w:p>
        </w:tc>
        <w:tc>
          <w:tcPr>
            <w:tcW w:w="10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71" w:type="dxa"/>
            <w:tcBorders/>
            <w:shd w:fill="auto" w:val="clear"/>
            <w:vAlign w:val="bottom"/>
          </w:tcPr>
          <w:p>
            <w:pPr>
              <w:pStyle w:val="TableContents"/>
              <w:spacing w:before="0" w:after="0"/>
              <w:ind w:left="0" w:right="0" w:hanging="0"/>
              <w:jc w:val="center"/>
              <w:rPr/>
            </w:pPr>
            <w:r>
              <w:rPr/>
              <w:t> </w:t>
            </w:r>
          </w:p>
        </w:tc>
        <w:tc>
          <w:tcPr>
            <w:tcW w:w="122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72"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0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Net</w:t>
            </w:r>
          </w:p>
        </w:tc>
        <w:tc>
          <w:tcPr>
            <w:tcW w:w="121" w:type="dxa"/>
            <w:tcBorders/>
            <w:shd w:fill="auto" w:val="clear"/>
            <w:vAlign w:val="bottom"/>
          </w:tcPr>
          <w:p>
            <w:pPr>
              <w:pStyle w:val="TableContents"/>
              <w:spacing w:before="0" w:after="0"/>
              <w:ind w:left="0" w:right="0" w:hanging="0"/>
              <w:jc w:val="center"/>
              <w:rPr/>
            </w:pPr>
            <w:r>
              <w:rPr/>
              <w:t> </w:t>
            </w:r>
          </w:p>
        </w:tc>
      </w:tr>
      <w:tr>
        <w:trPr/>
        <w:tc>
          <w:tcPr>
            <w:tcW w:w="262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Period</w:t>
            </w:r>
          </w:p>
        </w:tc>
        <w:tc>
          <w:tcPr>
            <w:tcW w:w="172" w:type="dxa"/>
            <w:tcBorders/>
            <w:shd w:fill="auto" w:val="clear"/>
            <w:vAlign w:val="bottom"/>
          </w:tcPr>
          <w:p>
            <w:pPr>
              <w:pStyle w:val="TableContents"/>
              <w:spacing w:before="0" w:after="0"/>
              <w:ind w:left="0" w:right="0" w:hanging="0"/>
              <w:jc w:val="center"/>
              <w:rPr/>
            </w:pPr>
            <w:r>
              <w:rPr/>
              <w:t> </w:t>
            </w:r>
          </w:p>
        </w:tc>
        <w:tc>
          <w:tcPr>
            <w:tcW w:w="131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 Issued</w:t>
            </w:r>
          </w:p>
        </w:tc>
        <w:tc>
          <w:tcPr>
            <w:tcW w:w="172"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Price</w:t>
            </w:r>
          </w:p>
        </w:tc>
        <w:tc>
          <w:tcPr>
            <w:tcW w:w="172" w:type="dxa"/>
            <w:tcBorders/>
            <w:shd w:fill="auto" w:val="clear"/>
            <w:vAlign w:val="bottom"/>
          </w:tcPr>
          <w:p>
            <w:pPr>
              <w:pStyle w:val="TableContents"/>
              <w:spacing w:before="0" w:after="0"/>
              <w:ind w:left="0" w:right="0" w:hanging="0"/>
              <w:jc w:val="center"/>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from Sale</w:t>
            </w:r>
          </w:p>
        </w:tc>
        <w:tc>
          <w:tcPr>
            <w:tcW w:w="171" w:type="dxa"/>
            <w:tcBorders/>
            <w:shd w:fill="auto" w:val="cle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Contribution</w:t>
            </w:r>
          </w:p>
        </w:tc>
        <w:tc>
          <w:tcPr>
            <w:tcW w:w="172"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Costs</w:t>
            </w:r>
          </w:p>
        </w:tc>
        <w:tc>
          <w:tcPr>
            <w:tcW w:w="189" w:type="dxa"/>
            <w:tcBorders/>
            <w:shd w:fill="auto" w:val="clear"/>
            <w:vAlign w:val="bottom"/>
          </w:tcPr>
          <w:p>
            <w:pPr>
              <w:pStyle w:val="TableContents"/>
              <w:spacing w:before="0" w:after="0"/>
              <w:ind w:left="0" w:right="0" w:hanging="0"/>
              <w:jc w:val="center"/>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Proceeds</w:t>
            </w:r>
          </w:p>
        </w:tc>
        <w:tc>
          <w:tcPr>
            <w:tcW w:w="121" w:type="dxa"/>
            <w:tcBorders/>
            <w:shd w:fill="auto" w:val="clear"/>
            <w:vAlign w:val="bottom"/>
          </w:tcPr>
          <w:p>
            <w:pPr>
              <w:pStyle w:val="TableContents"/>
              <w:spacing w:before="0" w:after="0"/>
              <w:ind w:left="0" w:right="0" w:hanging="0"/>
              <w:jc w:val="center"/>
              <w:rPr/>
            </w:pPr>
            <w:r>
              <w:rPr/>
              <w:t> </w:t>
            </w:r>
          </w:p>
        </w:tc>
      </w:tr>
      <w:tr>
        <w:trPr/>
        <w:tc>
          <w:tcPr>
            <w:tcW w:w="2623" w:type="dxa"/>
            <w:tcBorders/>
            <w:shd w:fill="CCEEFF" w:val="clear"/>
            <w:vAlign w:val="bottom"/>
          </w:tcPr>
          <w:p>
            <w:pPr>
              <w:pStyle w:val="TableContents"/>
              <w:spacing w:before="0" w:after="0"/>
              <w:ind w:left="0" w:right="0" w:hanging="0"/>
              <w:rPr/>
            </w:pPr>
            <w:r>
              <w:rPr>
                <w:rFonts w:ascii="Times New Roman" w:hAnsi="Times New Roman"/>
                <w:sz w:val="17"/>
              </w:rPr>
              <w:t xml:space="preserve">September 2009 </w:t>
            </w:r>
            <w:r>
              <w:rPr>
                <w:sz w:val="11"/>
              </w:rPr>
              <w:t>(1)</w:t>
            </w:r>
          </w:p>
        </w:tc>
        <w:tc>
          <w:tcPr>
            <w:tcW w:w="172" w:type="dxa"/>
            <w:tcBorders/>
            <w:shd w:fill="CCEEFF" w:val="clear"/>
            <w:vAlign w:val="bottom"/>
          </w:tcPr>
          <w:p>
            <w:pPr>
              <w:pStyle w:val="TableContents"/>
              <w:spacing w:before="0" w:after="0"/>
              <w:ind w:left="0" w:right="0" w:hanging="0"/>
              <w:rPr/>
            </w:pPr>
            <w:r>
              <w:rPr/>
              <w:t> </w:t>
            </w:r>
          </w:p>
        </w:tc>
        <w:tc>
          <w:tcPr>
            <w:tcW w:w="13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5,290,000</w:t>
            </w:r>
          </w:p>
        </w:tc>
        <w:tc>
          <w:tcPr>
            <w:tcW w:w="17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46.70</w:t>
            </w:r>
          </w:p>
        </w:tc>
        <w:tc>
          <w:tcPr>
            <w:tcW w:w="172"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71" w:type="dxa"/>
            <w:tcBorders/>
            <w:shd w:fill="CCEEFF" w:val="clear"/>
            <w:vAlign w:val="bottom"/>
          </w:tcPr>
          <w:p>
            <w:pPr>
              <w:pStyle w:val="TableContents"/>
              <w:spacing w:before="0" w:after="0"/>
              <w:ind w:left="0" w:right="0" w:hanging="0"/>
              <w:rPr/>
            </w:pPr>
            <w:r>
              <w:rPr/>
              <w:t> </w:t>
            </w:r>
          </w:p>
        </w:tc>
        <w:tc>
          <w:tcPr>
            <w:tcW w:w="4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21"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pPr>
            <w:r>
              <w:rPr>
                <w:rFonts w:ascii="Times New Roman" w:hAnsi="Times New Roman"/>
                <w:sz w:val="17"/>
              </w:rPr>
              <w:t xml:space="preserve">March 2009 </w:t>
            </w:r>
            <w:r>
              <w:rPr>
                <w:sz w:val="11"/>
              </w:rPr>
              <w:t>(1)</w:t>
            </w:r>
          </w:p>
        </w:tc>
        <w:tc>
          <w:tcPr>
            <w:tcW w:w="172" w:type="dxa"/>
            <w:tcBorders/>
            <w:shd w:fill="auto" w:val="clear"/>
            <w:vAlign w:val="bottom"/>
          </w:tcPr>
          <w:p>
            <w:pPr>
              <w:pStyle w:val="TableContents"/>
              <w:spacing w:before="0" w:after="0"/>
              <w:ind w:left="0" w:right="0" w:hanging="0"/>
              <w:rPr/>
            </w:pPr>
            <w:r>
              <w:rPr/>
              <w:t> </w:t>
            </w:r>
          </w:p>
        </w:tc>
        <w:tc>
          <w:tcPr>
            <w:tcW w:w="131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5,750,000</w:t>
            </w:r>
          </w:p>
        </w:tc>
        <w:tc>
          <w:tcPr>
            <w:tcW w:w="172"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36.90</w:t>
            </w:r>
          </w:p>
        </w:tc>
        <w:tc>
          <w:tcPr>
            <w:tcW w:w="172" w:type="dxa"/>
            <w:tcBorders/>
            <w:shd w:fill="auto" w:val="clear"/>
            <w:vAlign w:val="bottom"/>
          </w:tcPr>
          <w:p>
            <w:pPr>
              <w:pStyle w:val="TableContents"/>
              <w:spacing w:before="0" w:after="0"/>
              <w:ind w:left="0" w:right="0" w:hanging="0"/>
              <w:rPr/>
            </w:pPr>
            <w:r>
              <w:rPr/>
              <w:t> </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171" w:type="dxa"/>
            <w:tcBorders/>
            <w:shd w:fill="auto" w:val="clear"/>
            <w:vAlign w:val="bottom"/>
          </w:tcPr>
          <w:p>
            <w:pPr>
              <w:pStyle w:val="TableContents"/>
              <w:spacing w:before="0" w:after="0"/>
              <w:ind w:left="0" w:right="0" w:hanging="0"/>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2"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21"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2009 Total</w:t>
            </w:r>
          </w:p>
        </w:tc>
        <w:tc>
          <w:tcPr>
            <w:tcW w:w="172" w:type="dxa"/>
            <w:tcBorders/>
            <w:shd w:fill="CCEEFF" w:val="clear"/>
            <w:vAlign w:val="bottom"/>
          </w:tcPr>
          <w:p>
            <w:pPr>
              <w:pStyle w:val="TableContents"/>
              <w:spacing w:before="0" w:after="0"/>
              <w:ind w:left="0" w:right="0" w:hanging="0"/>
              <w:rPr/>
            </w:pPr>
            <w:r>
              <w:rPr/>
              <w:t> </w:t>
            </w:r>
          </w:p>
        </w:tc>
        <w:tc>
          <w:tcPr>
            <w:tcW w:w="13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11,040,000</w:t>
            </w:r>
          </w:p>
        </w:tc>
        <w:tc>
          <w:tcPr>
            <w:tcW w:w="172"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459</w:t>
            </w:r>
          </w:p>
        </w:tc>
        <w:tc>
          <w:tcPr>
            <w:tcW w:w="171" w:type="dxa"/>
            <w:tcBorders/>
            <w:shd w:fill="CCEEFF" w:val="clear"/>
            <w:vAlign w:val="bottom"/>
          </w:tcPr>
          <w:p>
            <w:pPr>
              <w:pStyle w:val="TableContents"/>
              <w:spacing w:before="0" w:after="0"/>
              <w:ind w:left="0" w:right="0" w:hanging="0"/>
              <w:rPr/>
            </w:pPr>
            <w:r>
              <w:rPr/>
              <w:t> </w:t>
            </w:r>
          </w:p>
        </w:tc>
        <w:tc>
          <w:tcPr>
            <w:tcW w:w="4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w:t>
            </w:r>
          </w:p>
        </w:tc>
        <w:tc>
          <w:tcPr>
            <w:tcW w:w="17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w:t>
            </w:r>
          </w:p>
        </w:tc>
        <w:tc>
          <w:tcPr>
            <w:tcW w:w="18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456</w:t>
            </w:r>
          </w:p>
        </w:tc>
        <w:tc>
          <w:tcPr>
            <w:tcW w:w="121"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1312" w:type="dxa"/>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pPr>
            <w:r>
              <w:rPr/>
              <w:t> </w:t>
            </w:r>
          </w:p>
        </w:tc>
        <w:tc>
          <w:tcPr>
            <w:tcW w:w="171"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00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pPr>
            <w:r>
              <w:rPr>
                <w:rFonts w:ascii="Times New Roman" w:hAnsi="Times New Roman"/>
                <w:sz w:val="17"/>
              </w:rPr>
              <w:t xml:space="preserve">May 2008 </w:t>
            </w:r>
            <w:r>
              <w:rPr>
                <w:sz w:val="11"/>
              </w:rPr>
              <w:t>(1)</w:t>
            </w:r>
          </w:p>
        </w:tc>
        <w:tc>
          <w:tcPr>
            <w:tcW w:w="172" w:type="dxa"/>
            <w:tcBorders/>
            <w:shd w:fill="CCEEFF" w:val="clear"/>
            <w:vAlign w:val="bottom"/>
          </w:tcPr>
          <w:p>
            <w:pPr>
              <w:pStyle w:val="TableContents"/>
              <w:spacing w:before="0" w:after="0"/>
              <w:ind w:left="0" w:right="0" w:hanging="0"/>
              <w:rPr/>
            </w:pPr>
            <w:r>
              <w:rPr/>
              <w:t> </w:t>
            </w:r>
          </w:p>
        </w:tc>
        <w:tc>
          <w:tcPr>
            <w:tcW w:w="131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6,900,000</w:t>
            </w:r>
          </w:p>
        </w:tc>
        <w:tc>
          <w:tcPr>
            <w:tcW w:w="172"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46.31</w:t>
            </w:r>
          </w:p>
        </w:tc>
        <w:tc>
          <w:tcPr>
            <w:tcW w:w="172" w:type="dxa"/>
            <w:tcBorders/>
            <w:shd w:fill="CCEEFF" w:val="clear"/>
            <w:vAlign w:val="bottom"/>
          </w:tcPr>
          <w:p>
            <w:pPr>
              <w:pStyle w:val="TableContents"/>
              <w:spacing w:before="0" w:after="0"/>
              <w:ind w:left="0" w:right="0" w:hanging="0"/>
              <w:rPr/>
            </w:pPr>
            <w:r>
              <w:rPr/>
              <w:t> </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71" w:type="dxa"/>
            <w:tcBorders/>
            <w:shd w:fill="CCEEFF" w:val="clear"/>
            <w:vAlign w:val="bottom"/>
          </w:tcPr>
          <w:p>
            <w:pPr>
              <w:pStyle w:val="TableContents"/>
              <w:spacing w:before="0" w:after="0"/>
              <w:ind w:left="0" w:right="0" w:hanging="0"/>
              <w:rPr/>
            </w:pPr>
            <w:r>
              <w:rPr/>
              <w:t> </w:t>
            </w:r>
          </w:p>
        </w:tc>
        <w:tc>
          <w:tcPr>
            <w:tcW w:w="40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2" w:type="dxa"/>
            <w:tcBorders/>
            <w:shd w:fill="CCEEFF" w:val="clear"/>
            <w:vAlign w:val="bottom"/>
          </w:tcPr>
          <w:p>
            <w:pPr>
              <w:pStyle w:val="TableContents"/>
              <w:spacing w:before="0" w:after="0"/>
              <w:ind w:left="0" w:right="0" w:hanging="0"/>
              <w:rPr/>
            </w:pPr>
            <w:r>
              <w:rPr/>
              <w:t> </w:t>
            </w:r>
          </w:p>
        </w:tc>
        <w:tc>
          <w:tcPr>
            <w:tcW w:w="153"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21"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2008 Total</w:t>
            </w:r>
          </w:p>
        </w:tc>
        <w:tc>
          <w:tcPr>
            <w:tcW w:w="172" w:type="dxa"/>
            <w:tcBorders/>
            <w:shd w:fill="auto" w:val="clear"/>
            <w:vAlign w:val="bottom"/>
          </w:tcPr>
          <w:p>
            <w:pPr>
              <w:pStyle w:val="TableContents"/>
              <w:spacing w:before="0" w:after="0"/>
              <w:ind w:left="0" w:right="0" w:hanging="0"/>
              <w:rPr/>
            </w:pPr>
            <w:r>
              <w:rPr/>
              <w:t> </w:t>
            </w:r>
          </w:p>
        </w:tc>
        <w:tc>
          <w:tcPr>
            <w:tcW w:w="13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6,900,000</w:t>
            </w:r>
          </w:p>
        </w:tc>
        <w:tc>
          <w:tcPr>
            <w:tcW w:w="172"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18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320</w:t>
            </w:r>
          </w:p>
        </w:tc>
        <w:tc>
          <w:tcPr>
            <w:tcW w:w="171" w:type="dxa"/>
            <w:tcBorders/>
            <w:shd w:fill="auto" w:val="clear"/>
            <w:vAlign w:val="bottom"/>
          </w:tcPr>
          <w:p>
            <w:pPr>
              <w:pStyle w:val="TableContents"/>
              <w:spacing w:before="0" w:after="0"/>
              <w:ind w:left="0" w:right="0" w:hanging="0"/>
              <w:rPr/>
            </w:pPr>
            <w:r>
              <w:rPr/>
              <w:t> </w:t>
            </w:r>
          </w:p>
        </w:tc>
        <w:tc>
          <w:tcPr>
            <w:tcW w:w="4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w:t>
            </w:r>
          </w:p>
        </w:tc>
        <w:tc>
          <w:tcPr>
            <w:tcW w:w="172"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w:t>
            </w:r>
          </w:p>
        </w:tc>
        <w:tc>
          <w:tcPr>
            <w:tcW w:w="18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315</w:t>
            </w:r>
          </w:p>
        </w:tc>
        <w:tc>
          <w:tcPr>
            <w:tcW w:w="121"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1312" w:type="dxa"/>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71"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009"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623" w:type="dxa"/>
            <w:tcBorders/>
            <w:shd w:fill="auto" w:val="clear"/>
            <w:vAlign w:val="bottom"/>
          </w:tcPr>
          <w:p>
            <w:pPr>
              <w:pStyle w:val="TableContents"/>
              <w:spacing w:before="0" w:after="0"/>
              <w:ind w:left="0" w:right="0" w:hanging="0"/>
              <w:rPr/>
            </w:pPr>
            <w:r>
              <w:rPr>
                <w:rFonts w:ascii="Times New Roman" w:hAnsi="Times New Roman"/>
                <w:sz w:val="17"/>
              </w:rPr>
              <w:t xml:space="preserve">June 2007 </w:t>
            </w:r>
            <w:r>
              <w:rPr>
                <w:sz w:val="11"/>
              </w:rPr>
              <w:t>(2)</w:t>
            </w:r>
          </w:p>
        </w:tc>
        <w:tc>
          <w:tcPr>
            <w:tcW w:w="172" w:type="dxa"/>
            <w:tcBorders/>
            <w:shd w:fill="auto" w:val="clear"/>
            <w:vAlign w:val="bottom"/>
          </w:tcPr>
          <w:p>
            <w:pPr>
              <w:pStyle w:val="TableContents"/>
              <w:spacing w:before="0" w:after="0"/>
              <w:ind w:left="0" w:right="0" w:hanging="0"/>
              <w:rPr/>
            </w:pPr>
            <w:r>
              <w:rPr/>
              <w:t> </w:t>
            </w:r>
          </w:p>
        </w:tc>
        <w:tc>
          <w:tcPr>
            <w:tcW w:w="131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6,296,172</w:t>
            </w:r>
          </w:p>
        </w:tc>
        <w:tc>
          <w:tcPr>
            <w:tcW w:w="172"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59.56</w:t>
            </w:r>
          </w:p>
        </w:tc>
        <w:tc>
          <w:tcPr>
            <w:tcW w:w="172" w:type="dxa"/>
            <w:tcBorders/>
            <w:shd w:fill="auto" w:val="clear"/>
            <w:vAlign w:val="bottom"/>
          </w:tcPr>
          <w:p>
            <w:pPr>
              <w:pStyle w:val="TableContents"/>
              <w:spacing w:before="0" w:after="0"/>
              <w:ind w:left="0" w:right="0" w:hanging="0"/>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171" w:type="dxa"/>
            <w:tcBorders/>
            <w:shd w:fill="auto" w:val="clear"/>
            <w:vAlign w:val="bottom"/>
          </w:tcPr>
          <w:p>
            <w:pPr>
              <w:pStyle w:val="TableContents"/>
              <w:spacing w:before="0" w:after="0"/>
              <w:ind w:left="0" w:right="0" w:hanging="0"/>
              <w:rPr/>
            </w:pPr>
            <w:r>
              <w:rPr/>
              <w:t> </w:t>
            </w:r>
          </w:p>
        </w:tc>
        <w:tc>
          <w:tcPr>
            <w:tcW w:w="40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2" w:type="dxa"/>
            <w:tcBorders/>
            <w:shd w:fill="auto" w:val="clear"/>
            <w:vAlign w:val="bottom"/>
          </w:tcPr>
          <w:p>
            <w:pPr>
              <w:pStyle w:val="TableContents"/>
              <w:spacing w:before="0" w:after="0"/>
              <w:ind w:left="0" w:right="0" w:hanging="0"/>
              <w:rPr/>
            </w:pPr>
            <w:r>
              <w:rPr/>
              <w:t> </w:t>
            </w:r>
          </w:p>
        </w:tc>
        <w:tc>
          <w:tcPr>
            <w:tcW w:w="15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6"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87"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21" w:type="dxa"/>
            <w:tcBorders/>
            <w:shd w:fill="auto" w:val="clear"/>
            <w:vAlign w:val="bottom"/>
          </w:tcPr>
          <w:p>
            <w:pPr>
              <w:pStyle w:val="TableContents"/>
              <w:spacing w:before="0" w:after="0"/>
              <w:ind w:left="0" w:right="0" w:hanging="0"/>
              <w:rPr/>
            </w:pPr>
            <w:r>
              <w:rPr/>
              <w:t> </w:t>
            </w:r>
          </w:p>
        </w:tc>
      </w:tr>
      <w:tr>
        <w:trPr/>
        <w:tc>
          <w:tcPr>
            <w:tcW w:w="262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2007 Total</w:t>
            </w:r>
          </w:p>
        </w:tc>
        <w:tc>
          <w:tcPr>
            <w:tcW w:w="172" w:type="dxa"/>
            <w:tcBorders/>
            <w:shd w:fill="CCEEFF" w:val="clear"/>
            <w:vAlign w:val="bottom"/>
          </w:tcPr>
          <w:p>
            <w:pPr>
              <w:pStyle w:val="TableContents"/>
              <w:spacing w:before="0" w:after="0"/>
              <w:ind w:left="0" w:right="0" w:hanging="0"/>
              <w:rPr/>
            </w:pPr>
            <w:r>
              <w:rPr/>
              <w:t> </w:t>
            </w:r>
          </w:p>
        </w:tc>
        <w:tc>
          <w:tcPr>
            <w:tcW w:w="131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6,296,172</w:t>
            </w:r>
          </w:p>
        </w:tc>
        <w:tc>
          <w:tcPr>
            <w:tcW w:w="172"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375</w:t>
            </w:r>
          </w:p>
        </w:tc>
        <w:tc>
          <w:tcPr>
            <w:tcW w:w="171" w:type="dxa"/>
            <w:tcBorders/>
            <w:shd w:fill="CCEEFF" w:val="clear"/>
            <w:vAlign w:val="bottom"/>
          </w:tcPr>
          <w:p>
            <w:pPr>
              <w:pStyle w:val="TableContents"/>
              <w:spacing w:before="0" w:after="0"/>
              <w:ind w:left="0" w:right="0" w:hanging="0"/>
              <w:rPr/>
            </w:pPr>
            <w:r>
              <w:rPr/>
              <w:t> </w:t>
            </w:r>
          </w:p>
        </w:tc>
        <w:tc>
          <w:tcPr>
            <w:tcW w:w="40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w:t>
            </w:r>
          </w:p>
        </w:tc>
        <w:tc>
          <w:tcPr>
            <w:tcW w:w="172" w:type="dxa"/>
            <w:tcBorders/>
            <w:shd w:fill="CCEEFF" w:val="clear"/>
            <w:vAlign w:val="bottom"/>
          </w:tcPr>
          <w:p>
            <w:pPr>
              <w:pStyle w:val="TableContents"/>
              <w:spacing w:before="0" w:after="0"/>
              <w:ind w:left="0" w:right="0" w:hanging="0"/>
              <w:rPr/>
            </w:pPr>
            <w:r>
              <w:rPr/>
              <w:t> </w:t>
            </w:r>
          </w:p>
        </w:tc>
        <w:tc>
          <w:tcPr>
            <w:tcW w:w="15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89" w:type="dxa"/>
            <w:tcBorders/>
            <w:shd w:fill="CCEEFF" w:val="clear"/>
            <w:vAlign w:val="bottom"/>
          </w:tcPr>
          <w:p>
            <w:pPr>
              <w:pStyle w:val="TableContents"/>
              <w:spacing w:before="0" w:after="0"/>
              <w:ind w:left="0" w:right="0" w:hanging="0"/>
              <w:rPr/>
            </w:pPr>
            <w:r>
              <w:rPr/>
              <w:t> </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383</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These offerings of common units were underwritten transactions that required us to pay a gross spread. The net proceeds from these offerings were used to reduce outstanding borrowings under our credit facilities and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This offering was a direct placement of common units, did not involve underwriters and did not require a gross spread. However, the gross unit price includes the discount to market required to execute this transaction. The net proceeds of this offering were used (i) to fund expansion capital programs; (ii) to fund the acquisition of the Bumstead LPG storage business, which we acquired in 2007 for approximately $52 million; (iii) to repay indebtedness under our senior unsecured credit facility; and (iv) for general partnership purposes.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PNGS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2009, we issued 1,907,305 common units valued at approximately $91 million in order to satisfy a portion of the PNGS Acquisition purchase price. In conjunction with the issuance, we received a contribution from our general partner of approximately $2 million.  See Note 3 for further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2007, the owners of Plains AAP, L.P. authorized the board of directors of Plains All American GP LLC to issue grants of Class B units of Plains AAP, L.P. (Class B units). At December 31, 2009, grants of approximately 165,500 Class B units were outstanding, of which 38,500 were earned. A total of 34,500 Class B units are reserved for future issuances. See Note 10 for further discussion of Class B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F-27</w:t>
      </w:r>
      <w:bookmarkStart w:id="191" w:name="PB_27_140147_7091"/>
      <w:bookmarkEnd w:id="191"/>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Canadian Withholding Tax</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federal income tax purposes, we are treated as a partnership.  Our unitholders are required to report their share of our income, gains, losses and deductions on their federal income tax return.  In certain cases, we are subject to, and have paid, Canadian income and withholding taxes.  The withholding tax payments are considered to be paid on behalf of our unitholders and thus are treated as distributions for financial reporting purposes.  During 2009, we paid approximately $6 million of Canadian withholding taxes.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6Derivatives and Hedging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utilize risk management strategies to mitigate those risks when we determine that there is value in doing so. We use various derivative instruments to (i) manage our exposure to commodity price risk as well as to optimize our profits, (ii) manage our exposure to interest rate risk and (iii) manage our exposure to currency exchange-rate risk. Our policy is to use derivative instruments only for risk management purposes.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foreign currency risk management policies and procedures are designed to monitor our positions and ensure that those positions are consistent with our objectives and approved strategies.  Our policy is to formally document all relationships between hedging instruments and hedged items, as well as our risk management objectives and strategies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  A discussion of our derivative activities by risk category follows.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(i) to purchase only product for which we have a market, (ii) to structure our sales contracts so that price fluctuations do not materially affect the segment profit we earn, and (iii) not to acquire and hold physical inventory, futures contracts or other derivative products for the purpose of speculating on outright commodity price changes.  Although we seek to maintain a position that is substantially balanced within our supply and logistics activities, we purchase crude oil, refined products and LPG from thousands of locations and may experience net unbalanced positions as a result of production, transportation and delivery variances, as well as logistical issues associated with inclement weather conditions and other uncontrollable events that occur within each month. In connection with our efforts to maintain a balanced position, specifically authorized personnel can purchase or sell an aggregate limit of up to 810,000 barrels of crude oil, refined products and LPG relative to the volumes originally scheduled for such month, based on interim information.  The purpose of these purchases and sales is to manage risk as opposed to establishing a risk position. When unscheduled physical inventory builds or draws do occur, they are monitored constantly and managed to a balanced position over a reasonable period of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material commodity related risks inherent in our business activities can be summarized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supply and logistics operations, we purchase and sell crude oil, LPG, and refined products.  We use derivatives to manage the associated risks and to optimize profits.  As of December 31, 2009, material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173,900 barrel per day net long position (total of 5.2 million barrels) associated with our crude oil activities, which was unwound ratably during January 2010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17,500 barrel per day (total of 13.1 million barrels) net short spread position which hedge a portion of our anticipated crude oil lease gathering purchases through January 2012.  These derivatives protect our margin on future floating price crude oil purchase commitments.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8,300 barrels per day (total of 6 million barrels) of calendar spread call options for the period February 2010 through January 2012.  These derivatives in the aggregate do not result in exposure to outright price movements.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An average of approximately 4,200 barrels per day (total of 1.1 million barrels) of butane/West Texas Intermediate (WTI) spread positions, which hedge specific butane sales contracts that are priced as a fixed percentage of WTI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F-28</w:t>
      </w:r>
      <w:bookmarkStart w:id="192" w:name="PB_28_130613_3020"/>
      <w:bookmarkEnd w:id="19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continue through September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Approximately 18,500 barrels per day on average (total of 6.7 million barrels) of crude oil basis differential hedges through December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approximate 5,600 barrels per day (total of 0.5 million barrels) of propane swaps to hedge committed sales of propane inventory through March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Storage Capacity Utilization</w:t>
      </w:r>
      <w:r>
        <w:rPr>
          <w:rFonts w:ascii="Times New Roman" w:hAnsi="Times New Roman"/>
        </w:rPr>
        <w:t xml:space="preserve"> </w:t>
      </w:r>
      <w:r>
        <w:rPr>
          <w:rFonts w:ascii="Times New Roman" w:hAnsi="Times New Roman"/>
          <w:sz w:val="17"/>
        </w:rPr>
        <w:t> We own approximately 57 million barrels of crude oil, LPG and refined products storage capacity that is not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if the market structure is backwardated. As of December 31, 2009, we used derivatives to manage the risk of not utilizing approximately 3 million barrels per month of storage capacity through 2011.  These positions are a combination of calendar spread options and NYMEX futures contracts.  These positions involve no outright price exposure, but instead represent potential offsetting purchases and sales between time periods (first month versus second month for example).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Inventory Storage </w:t>
      </w:r>
      <w:r>
        <w:rPr>
          <w:rFonts w:ascii="Times New Roman" w:hAnsi="Times New Roman"/>
        </w:rPr>
        <w:t xml:space="preserve"> </w:t>
      </w:r>
      <w:r>
        <w:rPr>
          <w:rFonts w:ascii="Times New Roman" w:hAnsi="Times New Roman"/>
          <w:sz w:val="17"/>
        </w:rPr>
        <w:t>At times, we elect to purchase and store crude oil, LPG and refined products inventory in conjunction with our supply and logistics activities.  These activities primarily relate to the seasonal storage of LPG inventories and contango market storage activities.  When we purchase and store barrels, we enter into physical sales contracts or use derivatives to mitigate price risk associated with the inventory.  As of December 31, 2009, we had approximately 8.2 million barrels of inventory hedged with derivatives.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also purchase foreign cargoes of crude oil and may enter into derivatives to mitigate various price risks associated with the purchase and ultimate sale of foreign crude inventory.   As of December 31, 2009, we had approximately 2.6 million barrels of crude oil derivatives hedging the anticipated sale of foreign crude inventory and 2.2 million barrels of crude oil spread positions hedging the anticipated purchase of foreign crude inventory.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among other things, offset losses due to evaporation, measurement and other losses in transit.  We utilize derivative instruments to hedge a portion of the anticipated sales of the allowance oil that is to be collected under our tariffs.  As of December 31, 2009, we had entered into a net short position consisting of crude oil futures and swaps to manage the risk associated with the anticipated sale of an average of approximately 2,300 barrels per day (total of 2.4 million barrels) from January 2010 through December 2012.  In addition, we had a long put option position of approximately 1 million barrels through December 2012 and a net long call option position of approximately 2 million barrels through December 2011, which provide upside price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Diluent Purchases</w:t>
      </w:r>
      <w:r>
        <w:rPr>
          <w:rFonts w:ascii="Times New Roman" w:hAnsi="Times New Roman"/>
        </w:rPr>
        <w:t xml:space="preserve"> </w:t>
      </w:r>
      <w:r>
        <w:rPr>
          <w:rFonts w:ascii="Times New Roman" w:hAnsi="Times New Roman"/>
          <w:sz w:val="17"/>
        </w:rPr>
        <w:t> We use diluent in our Canadian crude oil pipeline operations and have used derivative instruments to hedge the anticipated forward purchases of diluent and diluent inventory.  As of December 31, 2009, we had an average of 2,400 barrels per day of natural gasoline/WTI spread positions (approximately 1.3 million barrels) that run through mid-2011 and an average of 3,300 barrels per day of short crude oil futures (approximately 0.6 million barrels) to hedge condensate through the second quarter of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Purchases</w:t>
      </w:r>
      <w:r>
        <w:rPr>
          <w:rFonts w:ascii="Times New Roman" w:hAnsi="Times New Roman"/>
        </w:rPr>
        <w:t xml:space="preserve"> </w:t>
      </w:r>
      <w:r>
        <w:rPr>
          <w:rFonts w:ascii="Times New Roman" w:hAnsi="Times New Roman"/>
          <w:sz w:val="17"/>
        </w:rPr>
        <w:t>  Our gas storage facilities require minimum levels of natural gas (base gas) to operate.  For our natural gas storage facilities that are under construction, we anticipate purchasing base gas in future periods as construction is completed.  We use derivatives to hedge anticipated purchases of natural gas.  As of December 31, 2009, we have a net long position of approximately 3 Bcf consisting of natural gas futures contracts through August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derivative instruments we use to manage our commodity price risk consist primarily of futures, options and swaps traded on the NYMEX and ICE and in over-the-counter transactions.  Over-the-counter transactions include commodity swap and option contracts.  All of our commodity derivatives that qualify for hedge accounting are designated as cash flow hedges. Therefore, the corresponding changes in fair value for the effective portion of the hedges are deferred into AOCI and recognized in revenues or purchases and related costs in the periods during which the underlying physical transactions occur. We have determined that substantially all of our physical purchase and sale agreements qualify for the normal purchase and normal sale (NPNS) exclusion and thus are not subject to the accounting treatment for derivative instruments and hedging activities as set forth in FASB guidance. Physical commodity contracts that meet the definition of a derivative but are ineligible, or not designated, for the NPNS scope exception are recorded on the balance sheet as assets or liabilities at their fair value, with the changes in fair value recorded net in revenues.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F-29</w:t>
      </w:r>
      <w:bookmarkStart w:id="193" w:name="PB_29_130613_7748"/>
      <w:bookmarkEnd w:id="19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in certain cases, outstanding debt instruments.  The derivative instruments we use to manage this risk consist primarily of interest rate swaps and treasury locks. As of December 31, 2009, AOCI includes deferred losses of $8 million that relate to terminated interest rate swaps and treasury locks that were designated for hedge accounting. These terminated interest rate derivatives were cash settled in connection with the issuance and refinancing of debt agreements. The deferred loss related to these instruments is being amortized to interest expense over the original terms of the forecasted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we had four outstanding interest rate swaps by which we receive fixed interest payments and pay floating-rate interest payments based on three-month LIBOR plus an average spread of 2.42% on a semi-annual basis.  The swaps have an aggregate notional amount of $300 million with fixed rates of 4.25%.  Two of the swaps terminate in 2011 and two of the swaps terminate in 2012.</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foreign currency derivatives to hedge foreign currency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primarily include forward exchange contracts and foreign currency forwards and options.  As of December 31, 2009, AOCI includes net deferred gains of $15 million that relate to open and settled forward exchange contracts that were designated for hedge accounting.  These forward exchange contracts hedge the cash flow variability associated with CAD-denominated interest payments on a CAD-denominated intercompany note as a result of changes in the foreign exchange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our outstanding foreign currency derivatives also include derivatives used to hedge CAD-denominated crude oil purchases and sales.  We may from time to time hedge the commodity price risk associated with a CAD-denominated commodity transaction with a USD-denominated commodity derivative.  In conjunction with entering into the commodity derivative we enter into a foreign currency derivative to hedge the resulting foreign currency risk.  These foreign currency derivatives are generally short-term in nature and are not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our open foreign exchange derivatives included forward exchange contracts that exchange CAD for USD on a net basis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38"/>
        <w:gridCol w:w="214"/>
        <w:gridCol w:w="114"/>
        <w:gridCol w:w="1064"/>
        <w:gridCol w:w="214"/>
        <w:gridCol w:w="114"/>
        <w:gridCol w:w="1064"/>
        <w:gridCol w:w="214"/>
        <w:gridCol w:w="2355"/>
        <w:gridCol w:w="114"/>
      </w:tblGrid>
      <w:tr>
        <w:trPr/>
        <w:tc>
          <w:tcPr>
            <w:tcW w:w="4738"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4" w:type="dxa"/>
            <w:tcBorders/>
            <w:shd w:fill="auto" w:val="clear"/>
            <w:vAlign w:val="bottom"/>
          </w:tcPr>
          <w:p>
            <w:pPr>
              <w:pStyle w:val="TableContents"/>
              <w:spacing w:before="0" w:after="0"/>
              <w:ind w:left="0" w:right="0" w:hanging="0"/>
              <w:jc w:val="center"/>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4" w:type="dxa"/>
            <w:tcBorders/>
            <w:shd w:fill="auto" w:val="clear"/>
            <w:vAlign w:val="bottom"/>
          </w:tcPr>
          <w:p>
            <w:pPr>
              <w:pStyle w:val="TableContents"/>
              <w:spacing w:before="0" w:after="0"/>
              <w:ind w:left="0" w:right="0" w:hanging="0"/>
              <w:jc w:val="center"/>
              <w:rPr/>
            </w:pPr>
            <w:r>
              <w:rPr/>
              <w:t> </w:t>
            </w:r>
          </w:p>
        </w:tc>
        <w:tc>
          <w:tcPr>
            <w:tcW w:w="235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w:t>
            </w:r>
          </w:p>
        </w:tc>
        <w:tc>
          <w:tcPr>
            <w:tcW w:w="114" w:type="dxa"/>
            <w:tcBorders/>
            <w:shd w:fill="auto" w:val="clear"/>
            <w:vAlign w:val="bottom"/>
          </w:tcPr>
          <w:p>
            <w:pPr>
              <w:pStyle w:val="TableContents"/>
              <w:spacing w:before="0" w:after="0"/>
              <w:ind w:left="0" w:right="0" w:hanging="0"/>
              <w:jc w:val="center"/>
              <w:rPr/>
            </w:pPr>
            <w:r>
              <w:rPr/>
              <w:t> </w:t>
            </w:r>
          </w:p>
        </w:tc>
      </w:tr>
      <w:tr>
        <w:trPr/>
        <w:tc>
          <w:tcPr>
            <w:tcW w:w="47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4" w:type="dxa"/>
            <w:tcBorders/>
            <w:shd w:fill="CCEEFF" w:val="clear"/>
            <w:vAlign w:val="bottom"/>
          </w:tcPr>
          <w:p>
            <w:pPr>
              <w:pStyle w:val="TableContents"/>
              <w:spacing w:before="0" w:after="0"/>
              <w:ind w:left="0" w:right="0" w:hanging="0"/>
              <w:rPr/>
            </w:pPr>
            <w:r>
              <w:rPr/>
              <w:t> </w:t>
            </w:r>
          </w:p>
        </w:tc>
        <w:tc>
          <w:tcPr>
            <w:tcW w:w="2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$1.14 to USD $1.00</w:t>
            </w:r>
          </w:p>
        </w:tc>
        <w:tc>
          <w:tcPr>
            <w:tcW w:w="114" w:type="dxa"/>
            <w:tcBorders/>
            <w:shd w:fill="CCEEFF" w:val="clear"/>
            <w:vAlign w:val="bottom"/>
          </w:tcPr>
          <w:p>
            <w:pPr>
              <w:pStyle w:val="TableContents"/>
              <w:spacing w:before="0" w:after="0"/>
              <w:ind w:left="0" w:right="0" w:hanging="0"/>
              <w:rPr/>
            </w:pPr>
            <w:r>
              <w:rPr/>
              <w:t> </w:t>
            </w:r>
          </w:p>
        </w:tc>
      </w:tr>
      <w:tr>
        <w:trPr/>
        <w:tc>
          <w:tcPr>
            <w:tcW w:w="47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auto" w:val="clear"/>
            <w:vAlign w:val="bottom"/>
          </w:tcPr>
          <w:p>
            <w:pPr>
              <w:pStyle w:val="TableContents"/>
              <w:spacing w:before="0" w:after="0"/>
              <w:ind w:left="0" w:right="0" w:hanging="0"/>
              <w:rPr/>
            </w:pPr>
            <w:r>
              <w:rPr/>
              <w:t> </w:t>
            </w:r>
          </w:p>
        </w:tc>
        <w:tc>
          <w:tcPr>
            <w:tcW w:w="2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$1.01 to USD $1.00</w:t>
            </w:r>
          </w:p>
        </w:tc>
        <w:tc>
          <w:tcPr>
            <w:tcW w:w="114" w:type="dxa"/>
            <w:tcBorders/>
            <w:shd w:fill="auto" w:val="clear"/>
            <w:vAlign w:val="bottom"/>
          </w:tcPr>
          <w:p>
            <w:pPr>
              <w:pStyle w:val="TableContents"/>
              <w:spacing w:before="0" w:after="0"/>
              <w:ind w:left="0" w:right="0" w:hanging="0"/>
              <w:rPr/>
            </w:pPr>
            <w:r>
              <w:rPr/>
              <w:t> </w:t>
            </w:r>
          </w:p>
        </w:tc>
      </w:tr>
      <w:tr>
        <w:trPr/>
        <w:tc>
          <w:tcPr>
            <w:tcW w:w="47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4" w:type="dxa"/>
            <w:tcBorders/>
            <w:shd w:fill="CCEEFF" w:val="clear"/>
            <w:vAlign w:val="bottom"/>
          </w:tcPr>
          <w:p>
            <w:pPr>
              <w:pStyle w:val="TableContents"/>
              <w:spacing w:before="0" w:after="0"/>
              <w:ind w:left="0" w:right="0" w:hanging="0"/>
              <w:rPr/>
            </w:pPr>
            <w:r>
              <w:rPr/>
              <w:t> </w:t>
            </w:r>
          </w:p>
        </w:tc>
        <w:tc>
          <w:tcPr>
            <w:tcW w:w="23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$1.01 to USD $1.00</w:t>
            </w:r>
          </w:p>
        </w:tc>
        <w:tc>
          <w:tcPr>
            <w:tcW w:w="114" w:type="dxa"/>
            <w:tcBorders/>
            <w:shd w:fill="CCEEFF" w:val="clear"/>
            <w:vAlign w:val="bottom"/>
          </w:tcPr>
          <w:p>
            <w:pPr>
              <w:pStyle w:val="TableContents"/>
              <w:spacing w:before="0" w:after="0"/>
              <w:ind w:left="0" w:right="0" w:hanging="0"/>
              <w:rPr/>
            </w:pPr>
            <w:r>
              <w:rPr/>
              <w:t> </w:t>
            </w:r>
          </w:p>
        </w:tc>
      </w:tr>
      <w:tr>
        <w:trPr/>
        <w:tc>
          <w:tcPr>
            <w:tcW w:w="47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4" w:type="dxa"/>
            <w:tcBorders/>
            <w:shd w:fill="auto" w:val="clear"/>
            <w:vAlign w:val="bottom"/>
          </w:tcPr>
          <w:p>
            <w:pPr>
              <w:pStyle w:val="TableContents"/>
              <w:spacing w:before="0" w:after="0"/>
              <w:ind w:left="0" w:right="0" w:hanging="0"/>
              <w:rPr/>
            </w:pPr>
            <w:r>
              <w:rPr/>
              <w:t> </w:t>
            </w:r>
          </w:p>
        </w:tc>
        <w:tc>
          <w:tcPr>
            <w:tcW w:w="23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CAD $1.00 to USD $1.00</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financial instruments are placed with large, highly rated financial institutions.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derivative activity is related to our commodity price risk hedging activities. All of our commodity derivatives that qualify for hedge accounting are designated as cash flow hedges. Therefore, the corresponding changes in fair value for the effective portion of the hedges are deferred to AOCI and recognized in earnings in the periods during which the underlying physical transactions impact earnings. Derivatives that do not qualify for hedge accounting and the portion of cash flow hedges that is not highly effective in offsetting changes in cash flows of the hedged items, are recognized in earnings each period. Cash settlements associated with our derivative activities are reflected as operating cash flows in our consolidated statements of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twelve months ended December 31, 2009 is as follows (in millions, losses designated in parentheses):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F-30</w:t>
      </w:r>
      <w:bookmarkStart w:id="194" w:name="PB_30_130613_141"/>
      <w:bookmarkEnd w:id="19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Year Ended December 31, 2009</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54"/>
        <w:gridCol w:w="193"/>
        <w:gridCol w:w="2393"/>
        <w:gridCol w:w="117"/>
        <w:gridCol w:w="234"/>
        <w:gridCol w:w="786"/>
        <w:gridCol w:w="207"/>
        <w:gridCol w:w="255"/>
        <w:gridCol w:w="881"/>
        <w:gridCol w:w="207"/>
        <w:gridCol w:w="213"/>
        <w:gridCol w:w="1117"/>
        <w:gridCol w:w="207"/>
        <w:gridCol w:w="152"/>
        <w:gridCol w:w="850"/>
        <w:gridCol w:w="139"/>
      </w:tblGrid>
      <w:tr>
        <w:trPr/>
        <w:tc>
          <w:tcPr>
            <w:tcW w:w="2254"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393" w:type="dxa"/>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c>
          <w:tcPr>
            <w:tcW w:w="236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Cash Flow</w:t>
            </w:r>
          </w:p>
        </w:tc>
        <w:tc>
          <w:tcPr>
            <w:tcW w:w="207" w:type="dxa"/>
            <w:tcBorders/>
            <w:shd w:fill="auto" w:val="clear"/>
            <w:vAlign w:val="bottom"/>
          </w:tcPr>
          <w:p>
            <w:pPr>
              <w:pStyle w:val="TableContents"/>
              <w:spacing w:before="0" w:after="0"/>
              <w:ind w:left="0" w:right="0" w:hanging="0"/>
              <w:jc w:val="center"/>
              <w:rPr/>
            </w:pPr>
            <w:r>
              <w:rPr/>
              <w:t> </w:t>
            </w:r>
          </w:p>
        </w:tc>
        <w:tc>
          <w:tcPr>
            <w:tcW w:w="1330" w:type="dxa"/>
            <w:gridSpan w:val="2"/>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002"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2254"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393" w:type="dxa"/>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c>
          <w:tcPr>
            <w:tcW w:w="236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Hedging Relationships</w:t>
            </w:r>
          </w:p>
        </w:tc>
        <w:tc>
          <w:tcPr>
            <w:tcW w:w="207" w:type="dxa"/>
            <w:tcBorders/>
            <w:shd w:fill="auto" w:val="clear"/>
            <w:vAlign w:val="bottom"/>
          </w:tcPr>
          <w:p>
            <w:pPr>
              <w:pStyle w:val="TableContents"/>
              <w:spacing w:before="0" w:after="0"/>
              <w:ind w:left="0" w:right="0" w:hanging="0"/>
              <w:jc w:val="center"/>
              <w:rPr/>
            </w:pPr>
            <w:r>
              <w:rPr/>
              <w:t> </w:t>
            </w:r>
          </w:p>
        </w:tc>
        <w:tc>
          <w:tcPr>
            <w:tcW w:w="13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Not</w:t>
            </w:r>
          </w:p>
        </w:tc>
        <w:tc>
          <w:tcPr>
            <w:tcW w:w="207" w:type="dxa"/>
            <w:tcBorders/>
            <w:shd w:fill="auto" w:val="clear"/>
            <w:vAlign w:val="bottom"/>
          </w:tcPr>
          <w:p>
            <w:pPr>
              <w:pStyle w:val="TableContents"/>
              <w:spacing w:before="0" w:after="0"/>
              <w:ind w:left="0" w:right="0" w:hanging="0"/>
              <w:jc w:val="center"/>
              <w:rPr/>
            </w:pPr>
            <w:r>
              <w:rPr/>
              <w:t> </w:t>
            </w:r>
          </w:p>
        </w:tc>
        <w:tc>
          <w:tcPr>
            <w:tcW w:w="1002"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2254"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393" w:type="dxa"/>
            <w:tcBorders/>
            <w:shd w:fill="auto" w:val="clear"/>
            <w:vAlign w:val="bottom"/>
          </w:tcPr>
          <w:p>
            <w:pPr>
              <w:pStyle w:val="TableContents"/>
              <w:spacing w:before="0" w:after="0"/>
              <w:ind w:left="0" w:right="0" w:hanging="0"/>
              <w:jc w:val="center"/>
              <w:rPr/>
            </w:pPr>
            <w:r>
              <w:rPr/>
              <w:t> </w:t>
            </w:r>
          </w:p>
        </w:tc>
        <w:tc>
          <w:tcPr>
            <w:tcW w:w="117" w:type="dxa"/>
            <w:tcBorders/>
            <w:shd w:fill="auto" w:val="clear"/>
            <w:vAlign w:val="bottom"/>
          </w:tcPr>
          <w:p>
            <w:pPr>
              <w:pStyle w:val="TableContents"/>
              <w:spacing w:before="0" w:after="0"/>
              <w:ind w:left="0" w:right="0" w:hanging="0"/>
              <w:jc w:val="center"/>
              <w:rPr/>
            </w:pPr>
            <w:r>
              <w:rPr/>
              <w:t> </w:t>
            </w:r>
          </w:p>
        </w:tc>
        <w:tc>
          <w:tcPr>
            <w:tcW w:w="102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AOCI</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Ineffective</w:t>
            </w:r>
          </w:p>
        </w:tc>
        <w:tc>
          <w:tcPr>
            <w:tcW w:w="207" w:type="dxa"/>
            <w:tcBorders/>
            <w:shd w:fill="auto" w:val="clear"/>
            <w:vAlign w:val="bottom"/>
          </w:tcPr>
          <w:p>
            <w:pPr>
              <w:pStyle w:val="TableContents"/>
              <w:spacing w:before="0" w:after="0"/>
              <w:ind w:left="0" w:right="0" w:hanging="0"/>
              <w:jc w:val="center"/>
              <w:rPr/>
            </w:pPr>
            <w:r>
              <w:rPr/>
              <w:t> </w:t>
            </w:r>
          </w:p>
        </w:tc>
        <w:tc>
          <w:tcPr>
            <w:tcW w:w="133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Designated</w:t>
            </w:r>
          </w:p>
        </w:tc>
        <w:tc>
          <w:tcPr>
            <w:tcW w:w="207" w:type="dxa"/>
            <w:tcBorders/>
            <w:shd w:fill="auto" w:val="clear"/>
            <w:vAlign w:val="bottom"/>
          </w:tcPr>
          <w:p>
            <w:pPr>
              <w:pStyle w:val="TableContents"/>
              <w:spacing w:before="0" w:after="0"/>
              <w:ind w:left="0" w:right="0" w:hanging="0"/>
              <w:jc w:val="center"/>
              <w:rPr/>
            </w:pPr>
            <w:r>
              <w:rPr/>
              <w:t> </w:t>
            </w:r>
          </w:p>
        </w:tc>
        <w:tc>
          <w:tcPr>
            <w:tcW w:w="1002"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2254"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239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 of gain/(loss)</w:t>
            </w:r>
          </w:p>
        </w:tc>
        <w:tc>
          <w:tcPr>
            <w:tcW w:w="117" w:type="dxa"/>
            <w:tcBorders/>
            <w:shd w:fill="auto" w:val="clear"/>
            <w:vAlign w:val="bottom"/>
          </w:tcPr>
          <w:p>
            <w:pPr>
              <w:pStyle w:val="TableContents"/>
              <w:spacing w:before="0" w:after="0"/>
              <w:ind w:left="0" w:right="0" w:hanging="0"/>
              <w:jc w:val="center"/>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Reclass </w:t>
            </w:r>
            <w:r>
              <w:rPr>
                <w:b/>
                <w:sz w:val="8"/>
              </w:rPr>
              <w:t>(1)</w:t>
            </w:r>
          </w:p>
        </w:tc>
        <w:tc>
          <w:tcPr>
            <w:tcW w:w="207" w:type="dxa"/>
            <w:tcBorders/>
            <w:shd w:fill="auto" w:val="clear"/>
            <w:vAlign w:val="bottom"/>
          </w:tcPr>
          <w:p>
            <w:pPr>
              <w:pStyle w:val="TableContents"/>
              <w:spacing w:before="0" w:after="0"/>
              <w:ind w:left="0" w:right="0" w:hanging="0"/>
              <w:jc w:val="center"/>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Portion </w:t>
            </w:r>
            <w:r>
              <w:rPr>
                <w:b/>
                <w:sz w:val="8"/>
              </w:rPr>
              <w:t>(2)</w:t>
            </w:r>
          </w:p>
        </w:tc>
        <w:tc>
          <w:tcPr>
            <w:tcW w:w="207" w:type="dxa"/>
            <w:tcBorders/>
            <w:shd w:fill="auto" w:val="clear"/>
            <w:vAlign w:val="bottom"/>
          </w:tcPr>
          <w:p>
            <w:pPr>
              <w:pStyle w:val="TableContents"/>
              <w:spacing w:before="0" w:after="0"/>
              <w:ind w:left="0" w:right="0" w:hanging="0"/>
              <w:jc w:val="center"/>
              <w:rPr/>
            </w:pPr>
            <w:r>
              <w:rPr/>
              <w:t> </w:t>
            </w:r>
          </w:p>
        </w:tc>
        <w:tc>
          <w:tcPr>
            <w:tcW w:w="13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as a Hedge </w:t>
            </w:r>
            <w:r>
              <w:rPr>
                <w:b/>
                <w:sz w:val="8"/>
              </w:rPr>
              <w:t>(3)</w:t>
            </w:r>
          </w:p>
        </w:tc>
        <w:tc>
          <w:tcPr>
            <w:tcW w:w="207" w:type="dxa"/>
            <w:tcBorders/>
            <w:shd w:fill="auto" w:val="clear"/>
            <w:vAlign w:val="bottom"/>
          </w:tcPr>
          <w:p>
            <w:pPr>
              <w:pStyle w:val="TableContents"/>
              <w:spacing w:before="0" w:after="0"/>
              <w:ind w:left="0" w:right="0" w:hanging="0"/>
              <w:jc w:val="center"/>
              <w:rPr/>
            </w:pPr>
            <w:r>
              <w:rPr/>
              <w:t> </w:t>
            </w:r>
          </w:p>
        </w:tc>
        <w:tc>
          <w:tcPr>
            <w:tcW w:w="10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9" w:type="dxa"/>
            <w:tcBorders/>
            <w:shd w:fill="auto" w:val="clear"/>
            <w:vAlign w:val="bottom"/>
          </w:tcPr>
          <w:p>
            <w:pPr>
              <w:pStyle w:val="TableContents"/>
              <w:spacing w:before="0" w:after="0"/>
              <w:ind w:left="0" w:right="0" w:hanging="0"/>
              <w:jc w:val="center"/>
              <w:rPr/>
            </w:pPr>
            <w:r>
              <w:rPr/>
              <w:t> </w:t>
            </w:r>
          </w:p>
        </w:tc>
      </w:tr>
      <w:tr>
        <w:trPr/>
        <w:tc>
          <w:tcPr>
            <w:tcW w:w="22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Commodity contracts</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7" w:type="dxa"/>
            <w:tcBorders/>
            <w:shd w:fill="CCEEFF" w:val="clear"/>
            <w:vAlign w:val="bottom"/>
          </w:tcPr>
          <w:p>
            <w:pPr>
              <w:pStyle w:val="TableContents"/>
              <w:spacing w:before="0" w:after="0"/>
              <w:ind w:left="0" w:right="0" w:hanging="0"/>
              <w:rPr/>
            </w:pPr>
            <w:r>
              <w:rPr/>
              <w:t> </w:t>
            </w:r>
          </w:p>
        </w:tc>
        <w:tc>
          <w:tcPr>
            <w:tcW w:w="2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Rate Contracts</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Foreign Exchange Contracts</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7" w:type="dxa"/>
            <w:tcBorders/>
            <w:shd w:fill="CCEEFF" w:val="clear"/>
            <w:vAlign w:val="bottom"/>
          </w:tcPr>
          <w:p>
            <w:pPr>
              <w:pStyle w:val="TableContents"/>
              <w:spacing w:before="0" w:after="0"/>
              <w:ind w:left="0" w:right="0" w:hanging="0"/>
              <w:rPr/>
            </w:pPr>
            <w:r>
              <w:rPr/>
              <w:t> </w:t>
            </w:r>
          </w:p>
        </w:tc>
        <w:tc>
          <w:tcPr>
            <w:tcW w:w="10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2254" w:type="dxa"/>
            <w:tcBorders/>
            <w:shd w:fill="CCEEFF" w:val="clear"/>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23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7" w:type="dxa"/>
            <w:tcBorders/>
            <w:shd w:fill="CCEEFF" w:val="clear"/>
            <w:vAlign w:val="bottom"/>
          </w:tcPr>
          <w:p>
            <w:pPr>
              <w:pStyle w:val="TableContents"/>
              <w:spacing w:before="0" w:after="0"/>
              <w:ind w:left="0" w:right="0" w:hanging="0"/>
              <w:rPr/>
            </w:pPr>
            <w:r>
              <w:rPr/>
              <w:t> </w:t>
            </w:r>
          </w:p>
        </w:tc>
        <w:tc>
          <w:tcPr>
            <w:tcW w:w="10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7" w:type="dxa"/>
            <w:tcBorders/>
            <w:shd w:fill="CCEEFF"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3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9" w:type="dxa"/>
            <w:tcBorders/>
            <w:shd w:fill="CCEEFF" w:val="clear"/>
            <w:vAlign w:val="bottom"/>
          </w:tcPr>
          <w:p>
            <w:pPr>
              <w:pStyle w:val="TableContents"/>
              <w:spacing w:before="0" w:after="0"/>
              <w:ind w:left="0" w:right="0" w:hanging="0"/>
              <w:rPr/>
            </w:pPr>
            <w:r>
              <w:rPr/>
              <w:t> </w:t>
            </w:r>
          </w:p>
        </w:tc>
      </w:tr>
      <w:tr>
        <w:trPr/>
        <w:tc>
          <w:tcPr>
            <w:tcW w:w="2254"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rPr/>
            </w:pPr>
            <w:r>
              <w:rPr/>
              <w:t> </w:t>
            </w:r>
          </w:p>
        </w:tc>
        <w:tc>
          <w:tcPr>
            <w:tcW w:w="2393" w:type="dxa"/>
            <w:tcBorders/>
            <w:shd w:fill="auto" w:val="clear"/>
            <w:vAlign w:val="bottom"/>
          </w:tcPr>
          <w:p>
            <w:pPr>
              <w:pStyle w:val="TableContents"/>
              <w:spacing w:before="0" w:after="0"/>
              <w:ind w:left="0" w:right="0" w:hanging="0"/>
              <w:jc w:val="right"/>
              <w:rPr/>
            </w:pPr>
            <w:r>
              <w:rPr/>
              <w:t> </w:t>
            </w:r>
          </w:p>
        </w:tc>
        <w:tc>
          <w:tcPr>
            <w:tcW w:w="117" w:type="dxa"/>
            <w:tcBorders/>
            <w:shd w:fill="auto" w:val="clear"/>
            <w:vAlign w:val="bottom"/>
          </w:tcPr>
          <w:p>
            <w:pPr>
              <w:pStyle w:val="TableContents"/>
              <w:spacing w:before="0" w:after="0"/>
              <w:ind w:left="0" w:right="0" w:hanging="0"/>
              <w:rPr/>
            </w:pPr>
            <w:r>
              <w:rPr/>
              <w:t> </w:t>
            </w:r>
          </w:p>
        </w:tc>
        <w:tc>
          <w:tcPr>
            <w:tcW w:w="102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330"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0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4840" w:type="dxa"/>
            <w:gridSpan w:val="3"/>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Total Gain/(Loss) on Derivatives Recognized in Income </w:t>
            </w:r>
          </w:p>
        </w:tc>
        <w:tc>
          <w:tcPr>
            <w:tcW w:w="117" w:type="dxa"/>
            <w:tcBorders/>
            <w:shd w:fill="CCEEFF" w:val="clear"/>
            <w:vAlign w:val="bottom"/>
          </w:tcPr>
          <w:p>
            <w:pPr>
              <w:pStyle w:val="TableContents"/>
              <w:spacing w:before="0" w:after="0"/>
              <w:ind w:left="0" w:right="0" w:hanging="0"/>
              <w:rPr/>
            </w:pPr>
            <w:r>
              <w:rPr/>
              <w:t> </w:t>
            </w:r>
          </w:p>
        </w:tc>
        <w:tc>
          <w:tcPr>
            <w:tcW w:w="2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w:t>
            </w:r>
          </w:p>
        </w:tc>
        <w:tc>
          <w:tcPr>
            <w:tcW w:w="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w:t>
            </w:r>
          </w:p>
        </w:tc>
        <w:tc>
          <w:tcPr>
            <w:tcW w:w="20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1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117</w:t>
            </w:r>
          </w:p>
        </w:tc>
        <w:tc>
          <w:tcPr>
            <w:tcW w:w="207"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8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101</w:t>
            </w:r>
          </w:p>
        </w:tc>
        <w:tc>
          <w:tcPr>
            <w:tcW w:w="13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represent derivative gains and losses that were reclassed from AOCI to earnings during the period to coincide with earnings impact of the respective hedged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represent the ineffective portion of the fair value of our cash flow hedges that were recognized in earnings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realized and unrealized gains or losses for derivatives that are not designated for hedge accounting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consolidated balance sheet as of December 31, 2009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F-31</w:t>
      </w:r>
      <w:bookmarkStart w:id="195" w:name="PB_31_131306_7608"/>
      <w:bookmarkEnd w:id="19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280"/>
        <w:gridCol w:w="211"/>
        <w:gridCol w:w="1915"/>
        <w:gridCol w:w="211"/>
        <w:gridCol w:w="110"/>
        <w:gridCol w:w="745"/>
        <w:gridCol w:w="211"/>
        <w:gridCol w:w="211"/>
        <w:gridCol w:w="2124"/>
        <w:gridCol w:w="211"/>
        <w:gridCol w:w="110"/>
        <w:gridCol w:w="748"/>
        <w:gridCol w:w="118"/>
      </w:tblGrid>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98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11"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319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18" w:type="dxa"/>
            <w:tcBorders/>
            <w:shd w:fill="auto" w:val="clear"/>
            <w:vAlign w:val="bottom"/>
          </w:tcPr>
          <w:p>
            <w:pPr>
              <w:pStyle w:val="TableContents"/>
              <w:spacing w:before="0" w:after="0"/>
              <w:ind w:left="0" w:right="0" w:hanging="0"/>
              <w:jc w:val="center"/>
              <w:rPr/>
            </w:pPr>
            <w:r>
              <w:rPr/>
              <w:t> </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15"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11" w:type="dxa"/>
            <w:tcBorders/>
            <w:shd w:fill="auto" w:val="clear"/>
            <w:vAlign w:val="bottom"/>
          </w:tcPr>
          <w:p>
            <w:pPr>
              <w:pStyle w:val="TableContents"/>
              <w:spacing w:before="0" w:after="0"/>
              <w:ind w:left="0" w:right="0" w:hanging="0"/>
              <w:jc w:val="center"/>
              <w:rPr/>
            </w:pPr>
            <w:r>
              <w:rPr/>
              <w:t> </w:t>
            </w:r>
          </w:p>
        </w:tc>
        <w:tc>
          <w:tcPr>
            <w:tcW w:w="855" w:type="dxa"/>
            <w:gridSpan w:val="2"/>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24"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11" w:type="dxa"/>
            <w:tcBorders/>
            <w:shd w:fill="auto" w:val="clear"/>
            <w:vAlign w:val="bottom"/>
          </w:tcPr>
          <w:p>
            <w:pPr>
              <w:pStyle w:val="TableContents"/>
              <w:spacing w:before="0" w:after="0"/>
              <w:ind w:left="0" w:right="0" w:hanging="0"/>
              <w:jc w:val="center"/>
              <w:rPr/>
            </w:pPr>
            <w:r>
              <w:rPr/>
              <w:t> </w:t>
            </w:r>
          </w:p>
        </w:tc>
        <w:tc>
          <w:tcPr>
            <w:tcW w:w="8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11"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2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211"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18" w:type="dxa"/>
            <w:tcBorders/>
            <w:shd w:fill="auto" w:val="clear"/>
            <w:vAlign w:val="bottom"/>
          </w:tcPr>
          <w:p>
            <w:pPr>
              <w:pStyle w:val="TableContents"/>
              <w:spacing w:before="0" w:after="0"/>
              <w:ind w:left="0" w:right="0" w:hanging="0"/>
              <w:jc w:val="center"/>
              <w:rPr/>
            </w:pPr>
            <w:r>
              <w:rPr/>
              <w:t> </w:t>
            </w:r>
          </w:p>
        </w:tc>
      </w:tr>
      <w:tr>
        <w:trPr/>
        <w:tc>
          <w:tcPr>
            <w:tcW w:w="32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pPr>
            <w:r>
              <w:rPr/>
              <w:t> </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contracts</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contracts</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32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contracts</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32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derivatives designated as hedging instruments </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pPr>
            <w:r>
              <w:rPr/>
              <w:t> </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328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pPr>
            <w:r>
              <w:rPr/>
              <w:t> </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contracts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contracts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CCEEFF" w:val="clear"/>
            <w:vAlign w:val="bottom"/>
          </w:tcPr>
          <w:p>
            <w:pPr>
              <w:pStyle w:val="TableContents"/>
              <w:spacing w:before="0" w:after="0"/>
              <w:ind w:left="0" w:right="0" w:hanging="0"/>
              <w:rPr/>
            </w:pPr>
            <w:r>
              <w:rPr/>
              <w:t> </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contracts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11" w:type="dxa"/>
            <w:tcBorders/>
            <w:shd w:fill="CCEEFF" w:val="clear"/>
            <w:vAlign w:val="bottom"/>
          </w:tcPr>
          <w:p>
            <w:pPr>
              <w:pStyle w:val="TableContents"/>
              <w:spacing w:before="0" w:after="0"/>
              <w:ind w:left="0" w:right="0" w:hanging="0"/>
              <w:rPr/>
            </w:pPr>
            <w:r>
              <w:rPr/>
              <w:t> </w:t>
            </w:r>
          </w:p>
        </w:tc>
        <w:tc>
          <w:tcPr>
            <w:tcW w:w="8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11"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8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915" w:type="dxa"/>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55" w:type="dxa"/>
            <w:gridSpan w:val="2"/>
            <w:tcBorders/>
            <w:shd w:fill="auto" w:val="clear"/>
            <w:vAlign w:val="bottom"/>
          </w:tcPr>
          <w:p>
            <w:pPr>
              <w:pStyle w:val="TableContents"/>
              <w:spacing w:before="0" w:after="0"/>
              <w:ind w:left="0" w:right="0" w:hanging="0"/>
              <w:jc w:val="right"/>
              <w:rPr/>
            </w:pPr>
            <w:r>
              <w:rPr/>
              <w:t> </w:t>
            </w:r>
          </w:p>
        </w:tc>
        <w:tc>
          <w:tcPr>
            <w:tcW w:w="211"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212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211" w:type="dxa"/>
            <w:tcBorders/>
            <w:shd w:fill="CCEEFF" w:val="clear"/>
            <w:vAlign w:val="bottom"/>
          </w:tcPr>
          <w:p>
            <w:pPr>
              <w:pStyle w:val="TableContents"/>
              <w:spacing w:before="0" w:after="0"/>
              <w:ind w:left="0" w:right="0" w:hanging="0"/>
              <w:rPr/>
            </w:pPr>
            <w:r>
              <w:rPr/>
              <w:t> </w:t>
            </w:r>
          </w:p>
        </w:tc>
        <w:tc>
          <w:tcPr>
            <w:tcW w:w="1915"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211"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212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there was a net gain of $18 million deferred in AOCI.  The total amount of deferred net gain recorded in AOCI is expected to be reclassified to future earnings contemporaneously with (i) the earnings recognition of the underlying hedged physical transaction, (ii) interest expense accruals associated with underlying debt instruments or (iii) the recognition of a foreign currency gain or loss upon the remeasurement of certain CAD-denominated intercompany interest receivables. Of the total net gain deferred in AOCI at December 31, 2009, a net loss of approximately $25 million is expected to be reclassified to earnings in the next twelve months. Of the remaining deferred gain in AOCI, approximately 96% is expected to be reclassified to earnings prior to 2013 with the remaining deferred gain being reclassified to earnings through 2019. These amounts are predominately based on market prices at the current period end,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year ended December 31, 2009, we reclassed a deferred gain of approximately $5 million from AOCI to other income as a result of anticipated hedge transactions that are no longer considered to be probable of occurring.  During the year ended December 31, 2008, no amounts were reclassed from AOCI as a result of anticipated hedge transactions that were no longer considered to be probable of occurring.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Amounts of loss recognized in AOCI on derivatives (effective portion) during the year ended December 31, 2009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915"/>
        <w:gridCol w:w="220"/>
        <w:gridCol w:w="194"/>
        <w:gridCol w:w="1737"/>
        <w:gridCol w:w="139"/>
      </w:tblGrid>
      <w:tr>
        <w:trPr/>
        <w:tc>
          <w:tcPr>
            <w:tcW w:w="7915"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9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For the Year Ended</w:t>
            </w:r>
            <w:r>
              <w:rPr>
                <w:b/>
                <w:sz w:val="13"/>
              </w:rPr>
              <w:br/>
              <w:t>December 31, 2009</w:t>
            </w:r>
          </w:p>
        </w:tc>
        <w:tc>
          <w:tcPr>
            <w:tcW w:w="139" w:type="dxa"/>
            <w:tcBorders/>
            <w:shd w:fill="auto" w:val="clear"/>
            <w:vAlign w:val="bottom"/>
          </w:tcPr>
          <w:p>
            <w:pPr>
              <w:pStyle w:val="TableContents"/>
              <w:spacing w:before="0" w:after="0"/>
              <w:ind w:left="0" w:right="0" w:hanging="0"/>
              <w:jc w:val="center"/>
              <w:rPr/>
            </w:pPr>
            <w:r>
              <w:rPr/>
              <w:t> </w:t>
            </w:r>
          </w:p>
        </w:tc>
      </w:tr>
      <w:tr>
        <w:trPr/>
        <w:tc>
          <w:tcPr>
            <w:tcW w:w="7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contracts</w:t>
            </w:r>
          </w:p>
        </w:tc>
        <w:tc>
          <w:tcPr>
            <w:tcW w:w="220" w:type="dxa"/>
            <w:tcBorders/>
            <w:shd w:fill="CCEEFF" w:val="clear"/>
            <w:vAlign w:val="bottom"/>
          </w:tcPr>
          <w:p>
            <w:pPr>
              <w:pStyle w:val="TableContents"/>
              <w:spacing w:before="0" w:after="0"/>
              <w:ind w:left="0" w:right="0" w:hanging="0"/>
              <w:rPr/>
            </w:pPr>
            <w:r>
              <w:rPr/>
              <w:t> </w:t>
            </w:r>
          </w:p>
        </w:tc>
        <w:tc>
          <w:tcPr>
            <w:tcW w:w="1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3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exchange contracts</w:t>
            </w:r>
          </w:p>
        </w:tc>
        <w:tc>
          <w:tcPr>
            <w:tcW w:w="220" w:type="dxa"/>
            <w:tcBorders/>
            <w:shd w:fill="auto" w:val="clear"/>
            <w:vAlign w:val="bottom"/>
          </w:tcPr>
          <w:p>
            <w:pPr>
              <w:pStyle w:val="TableContents"/>
              <w:spacing w:before="0" w:after="0"/>
              <w:ind w:left="0" w:right="0" w:hanging="0"/>
              <w:rPr/>
            </w:pPr>
            <w:r>
              <w:rPr/>
              <w:t> </w:t>
            </w:r>
          </w:p>
        </w:tc>
        <w:tc>
          <w:tcPr>
            <w:tcW w:w="19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9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contracts</w:t>
            </w:r>
          </w:p>
        </w:tc>
        <w:tc>
          <w:tcPr>
            <w:tcW w:w="220" w:type="dxa"/>
            <w:tcBorders/>
            <w:shd w:fill="CCEEFF" w:val="clear"/>
            <w:vAlign w:val="bottom"/>
          </w:tcPr>
          <w:p>
            <w:pPr>
              <w:pStyle w:val="TableContents"/>
              <w:spacing w:before="0" w:after="0"/>
              <w:ind w:left="0" w:right="0" w:hanging="0"/>
              <w:rPr/>
            </w:pPr>
            <w:r>
              <w:rPr/>
              <w:t> </w:t>
            </w:r>
          </w:p>
        </w:tc>
        <w:tc>
          <w:tcPr>
            <w:tcW w:w="19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9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20" w:type="dxa"/>
            <w:tcBorders/>
            <w:shd w:fill="auto" w:val="clear"/>
            <w:vAlign w:val="bottom"/>
          </w:tcPr>
          <w:p>
            <w:pPr>
              <w:pStyle w:val="TableContents"/>
              <w:spacing w:before="0" w:after="0"/>
              <w:ind w:left="0" w:right="0" w:hanging="0"/>
              <w:rPr/>
            </w:pPr>
            <w:r>
              <w:rPr/>
              <w:t> </w:t>
            </w:r>
          </w:p>
        </w:tc>
        <w:tc>
          <w:tcPr>
            <w:tcW w:w="19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3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do not enter into master netting agreements with our over-the-counter derivative counterparties, nor do we offset the assets and liabilities associated with the fair value of our derivatives with amounts we have recognized related to our right to receive or our obligation to pay cash collateral. When we deposit cash collateral with our brokers, we recognize a broker receivable, which is a component of our accounts receivable. The account equity in our brokerage accounts is a combination of our cash balance and the fair value of our open derivatives within our brokerage account.  When our account equity is less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F-32</w:t>
      </w:r>
      <w:bookmarkStart w:id="196" w:name="PB_32_132452_8146"/>
      <w:bookmarkEnd w:id="19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than our initial margin requirement we are required to post margin. Our broker receivable was approximately $53 million and $81 million as of December 31, 2009 and 2008, respectively. At December 31, 2009 and December 31, 2008, none of our outstanding derivatives contained credit-risk related contingent features that would result in a material adverse impact to us upon any change in our credit ratings.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December 31, 2009. Financial assets and liabilities are classified in their entirety based on the lowest level of input that is significant to the fair value measurement. Our assessment of the significance of a particular input to the fair value measurement requires judgment which does affect the placement of assets and liabilities within the fair value hierarchy levels.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80"/>
        <w:gridCol w:w="186"/>
        <w:gridCol w:w="129"/>
        <w:gridCol w:w="559"/>
        <w:gridCol w:w="195"/>
        <w:gridCol w:w="146"/>
        <w:gridCol w:w="492"/>
        <w:gridCol w:w="186"/>
        <w:gridCol w:w="129"/>
        <w:gridCol w:w="517"/>
        <w:gridCol w:w="195"/>
        <w:gridCol w:w="129"/>
        <w:gridCol w:w="559"/>
        <w:gridCol w:w="195"/>
        <w:gridCol w:w="105"/>
        <w:gridCol w:w="129"/>
        <w:gridCol w:w="559"/>
        <w:gridCol w:w="195"/>
        <w:gridCol w:w="146"/>
        <w:gridCol w:w="492"/>
        <w:gridCol w:w="186"/>
        <w:gridCol w:w="129"/>
        <w:gridCol w:w="531"/>
        <w:gridCol w:w="195"/>
        <w:gridCol w:w="129"/>
        <w:gridCol w:w="559"/>
        <w:gridCol w:w="853"/>
      </w:tblGrid>
      <w:tr>
        <w:trPr/>
        <w:tc>
          <w:tcPr>
            <w:tcW w:w="238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jc w:val="center"/>
              <w:rPr/>
            </w:pPr>
            <w:r>
              <w:rPr/>
              <w:t> </w:t>
            </w:r>
          </w:p>
        </w:tc>
        <w:tc>
          <w:tcPr>
            <w:tcW w:w="3236"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December 31, 2009</w:t>
            </w:r>
            <w:r>
              <w:rPr>
                <w:b/>
                <w:sz w:val="13"/>
              </w:rPr>
              <w:br/>
              <w:t>(in millions)</w:t>
            </w:r>
          </w:p>
        </w:tc>
        <w:tc>
          <w:tcPr>
            <w:tcW w:w="19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25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Fair Value as of December 31, 2008</w:t>
            </w:r>
            <w:r>
              <w:rPr>
                <w:b/>
                <w:sz w:val="13"/>
              </w:rPr>
              <w:br/>
              <w:t>(in millions)</w:t>
            </w:r>
          </w:p>
        </w:tc>
        <w:tc>
          <w:tcPr>
            <w:tcW w:w="853" w:type="dxa"/>
            <w:tcBorders/>
            <w:shd w:fill="auto" w:val="clear"/>
            <w:vAlign w:val="bottom"/>
          </w:tcPr>
          <w:p>
            <w:pPr>
              <w:pStyle w:val="TableContents"/>
              <w:spacing w:before="0" w:after="0"/>
              <w:ind w:left="0" w:right="0" w:hanging="0"/>
              <w:jc w:val="center"/>
              <w:rPr/>
            </w:pPr>
            <w:r>
              <w:rPr/>
              <w:t> </w:t>
            </w:r>
          </w:p>
        </w:tc>
      </w:tr>
      <w:tr>
        <w:trPr/>
        <w:tc>
          <w:tcPr>
            <w:tcW w:w="238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Recurring Fair Value Measures</w:t>
            </w:r>
          </w:p>
        </w:tc>
        <w:tc>
          <w:tcPr>
            <w:tcW w:w="186" w:type="dxa"/>
            <w:tcBorders/>
            <w:shd w:fill="auto" w:val="clear"/>
            <w:vAlign w:val="bottom"/>
          </w:tcPr>
          <w:p>
            <w:pPr>
              <w:pStyle w:val="TableContents"/>
              <w:spacing w:before="0" w:after="0"/>
              <w:ind w:left="0" w:right="0" w:hanging="0"/>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95" w:type="dxa"/>
            <w:tcBorders/>
            <w:shd w:fill="auto" w:val="clear"/>
            <w:vAlign w:val="bottom"/>
          </w:tcPr>
          <w:p>
            <w:pPr>
              <w:pStyle w:val="TableContents"/>
              <w:spacing w:before="0" w:after="0"/>
              <w:ind w:left="0" w:right="0" w:hanging="0"/>
              <w:jc w:val="center"/>
              <w:rPr/>
            </w:pPr>
            <w:r>
              <w:rPr/>
              <w:t> </w:t>
            </w:r>
          </w:p>
        </w:tc>
        <w:tc>
          <w:tcPr>
            <w:tcW w:w="6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6" w:type="dxa"/>
            <w:tcBorders/>
            <w:shd w:fill="auto" w:val="clear"/>
            <w:vAlign w:val="bottom"/>
          </w:tcPr>
          <w:p>
            <w:pPr>
              <w:pStyle w:val="TableContents"/>
              <w:spacing w:before="0" w:after="0"/>
              <w:ind w:left="0" w:right="0" w:hanging="0"/>
              <w:jc w:val="center"/>
              <w:rPr/>
            </w:pPr>
            <w:r>
              <w:rPr/>
              <w:t> </w:t>
            </w:r>
          </w:p>
        </w:tc>
        <w:tc>
          <w:tcPr>
            <w:tcW w:w="64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95" w:type="dxa"/>
            <w:tcBorders/>
            <w:shd w:fill="auto" w:val="clear"/>
            <w:vAlign w:val="bottom"/>
          </w:tcPr>
          <w:p>
            <w:pPr>
              <w:pStyle w:val="TableContents"/>
              <w:spacing w:before="0" w:after="0"/>
              <w:ind w:left="0" w:right="0" w:hanging="0"/>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9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3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9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853" w:type="dxa"/>
            <w:tcBorders/>
            <w:shd w:fill="auto" w:val="clear"/>
            <w:vAlign w:val="bottom"/>
          </w:tcPr>
          <w:p>
            <w:pPr>
              <w:pStyle w:val="TableContents"/>
              <w:spacing w:before="0" w:after="0"/>
              <w:ind w:left="0" w:right="0" w:hanging="0"/>
              <w:jc w:val="center"/>
              <w:rPr/>
            </w:pPr>
            <w:r>
              <w:rPr/>
              <w:t> </w:t>
            </w:r>
          </w:p>
        </w:tc>
      </w:tr>
      <w:tr>
        <w:trPr/>
        <w:tc>
          <w:tcPr>
            <w:tcW w:w="2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Assets:</w:t>
            </w:r>
          </w:p>
        </w:tc>
        <w:tc>
          <w:tcPr>
            <w:tcW w:w="186"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46"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6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r>
        <w:trPr/>
        <w:tc>
          <w:tcPr>
            <w:tcW w:w="2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95"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5"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95"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95"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853" w:type="dxa"/>
            <w:tcBorders/>
            <w:shd w:fill="auto" w:val="clear"/>
            <w:vAlign w:val="bottom"/>
          </w:tcPr>
          <w:p>
            <w:pPr>
              <w:pStyle w:val="TableContents"/>
              <w:spacing w:before="0" w:after="0"/>
              <w:ind w:left="0" w:right="0" w:hanging="0"/>
              <w:rPr/>
            </w:pPr>
            <w:r>
              <w:rPr/>
              <w:t> </w:t>
            </w:r>
          </w:p>
        </w:tc>
      </w:tr>
      <w:tr>
        <w:trPr/>
        <w:tc>
          <w:tcPr>
            <w:tcW w:w="2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6"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6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6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853" w:type="dxa"/>
            <w:tcBorders/>
            <w:shd w:fill="CCEEFF" w:val="clear"/>
            <w:vAlign w:val="bottom"/>
          </w:tcPr>
          <w:p>
            <w:pPr>
              <w:pStyle w:val="TableContents"/>
              <w:spacing w:before="0" w:after="0"/>
              <w:ind w:left="0" w:right="0" w:hanging="0"/>
              <w:rPr/>
            </w:pPr>
            <w:r>
              <w:rPr/>
              <w:t> </w:t>
            </w:r>
          </w:p>
        </w:tc>
      </w:tr>
      <w:tr>
        <w:trPr/>
        <w:tc>
          <w:tcPr>
            <w:tcW w:w="2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86" w:type="dxa"/>
            <w:tcBorders/>
            <w:shd w:fill="auto"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64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shd w:fill="auto"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auto" w:val="clear"/>
            <w:vAlign w:val="bottom"/>
          </w:tcPr>
          <w:p>
            <w:pPr>
              <w:pStyle w:val="TableContents"/>
              <w:spacing w:before="0" w:after="0"/>
              <w:ind w:left="0" w:right="0" w:hanging="0"/>
              <w:rPr/>
            </w:pPr>
            <w:r>
              <w:rPr/>
              <w:t> </w:t>
            </w:r>
          </w:p>
        </w:tc>
        <w:tc>
          <w:tcPr>
            <w:tcW w:w="63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6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95" w:type="dxa"/>
            <w:tcBorders/>
            <w:shd w:fill="auto"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853" w:type="dxa"/>
            <w:tcBorders/>
            <w:shd w:fill="auto" w:val="clear"/>
            <w:vAlign w:val="bottom"/>
          </w:tcPr>
          <w:p>
            <w:pPr>
              <w:pStyle w:val="TableContents"/>
              <w:spacing w:before="0" w:after="0"/>
              <w:ind w:left="0" w:right="0" w:hanging="0"/>
              <w:rPr/>
            </w:pPr>
            <w:r>
              <w:rPr/>
              <w:t> </w:t>
            </w:r>
          </w:p>
        </w:tc>
      </w:tr>
      <w:tr>
        <w:trPr/>
        <w:tc>
          <w:tcPr>
            <w:tcW w:w="2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 at fair value</w:t>
            </w:r>
          </w:p>
        </w:tc>
        <w:tc>
          <w:tcPr>
            <w:tcW w:w="18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95"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5"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95"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5"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853" w:type="dxa"/>
            <w:tcBorders/>
            <w:shd w:fill="CCEEFF" w:val="clear"/>
            <w:vAlign w:val="bottom"/>
          </w:tcPr>
          <w:p>
            <w:pPr>
              <w:pStyle w:val="TableContents"/>
              <w:spacing w:before="0" w:after="0"/>
              <w:ind w:left="0" w:right="0" w:hanging="0"/>
              <w:rPr/>
            </w:pPr>
            <w:r>
              <w:rPr/>
              <w:t> </w:t>
            </w:r>
          </w:p>
        </w:tc>
      </w:tr>
      <w:tr>
        <w:trPr/>
        <w:tc>
          <w:tcPr>
            <w:tcW w:w="2380" w:type="dxa"/>
            <w:tcBorders/>
            <w:shd w:fill="auto" w:val="clear"/>
            <w:vAlign w:val="bottom"/>
          </w:tcPr>
          <w:p>
            <w:pPr>
              <w:pStyle w:val="TableContents"/>
              <w:spacing w:before="0" w:after="0"/>
              <w:ind w:left="0" w:right="0" w:hanging="0"/>
              <w:rPr/>
            </w:pPr>
            <w:r>
              <w:rPr/>
              <w:t> </w:t>
            </w:r>
          </w:p>
        </w:tc>
        <w:tc>
          <w:tcPr>
            <w:tcW w:w="186"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63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646"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638"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660" w:type="dxa"/>
            <w:gridSpan w:val="2"/>
            <w:tcBorders/>
            <w:shd w:fill="auto" w:val="clear"/>
            <w:vAlign w:val="bottom"/>
          </w:tcPr>
          <w:p>
            <w:pPr>
              <w:pStyle w:val="TableContents"/>
              <w:spacing w:before="0" w:after="0"/>
              <w:ind w:left="0" w:right="0" w:hanging="0"/>
              <w:jc w:val="right"/>
              <w:rPr/>
            </w:pPr>
            <w:r>
              <w:rPr/>
              <w:t> </w:t>
            </w:r>
          </w:p>
        </w:tc>
        <w:tc>
          <w:tcPr>
            <w:tcW w:w="195" w:type="dxa"/>
            <w:tcBorders/>
            <w:shd w:fill="auto" w:val="clear"/>
            <w:vAlign w:val="bottom"/>
          </w:tcPr>
          <w:p>
            <w:pPr>
              <w:pStyle w:val="TableContents"/>
              <w:spacing w:before="0" w:after="0"/>
              <w:ind w:left="0" w:right="0" w:hanging="0"/>
              <w:rPr/>
            </w:pPr>
            <w:r>
              <w:rPr/>
              <w:t> </w:t>
            </w:r>
          </w:p>
        </w:tc>
        <w:tc>
          <w:tcPr>
            <w:tcW w:w="688" w:type="dxa"/>
            <w:gridSpan w:val="2"/>
            <w:tcBorders/>
            <w:shd w:fill="auto" w:val="clear"/>
            <w:vAlign w:val="bottom"/>
          </w:tcPr>
          <w:p>
            <w:pPr>
              <w:pStyle w:val="TableContents"/>
              <w:spacing w:before="0" w:after="0"/>
              <w:ind w:left="0" w:right="0" w:hanging="0"/>
              <w:jc w:val="right"/>
              <w:rPr/>
            </w:pPr>
            <w:r>
              <w:rPr/>
              <w:t> </w:t>
            </w:r>
          </w:p>
        </w:tc>
        <w:tc>
          <w:tcPr>
            <w:tcW w:w="853" w:type="dxa"/>
            <w:tcBorders/>
            <w:shd w:fill="auto" w:val="clear"/>
            <w:vAlign w:val="bottom"/>
          </w:tcPr>
          <w:p>
            <w:pPr>
              <w:pStyle w:val="TableContents"/>
              <w:spacing w:before="0" w:after="0"/>
              <w:ind w:left="0" w:right="0" w:hanging="0"/>
              <w:rPr/>
            </w:pPr>
            <w:r>
              <w:rPr/>
              <w:t> </w:t>
            </w:r>
          </w:p>
        </w:tc>
      </w:tr>
      <w:tr>
        <w:trPr/>
        <w:tc>
          <w:tcPr>
            <w:tcW w:w="2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Liabilities:</w:t>
            </w:r>
          </w:p>
        </w:tc>
        <w:tc>
          <w:tcPr>
            <w:tcW w:w="186"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46"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6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r>
        <w:trPr/>
        <w:tc>
          <w:tcPr>
            <w:tcW w:w="2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86" w:type="dxa"/>
            <w:tcBorders/>
            <w:shd w:fill="CCEEFF"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6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CCEEFF" w:val="clear"/>
            <w:vAlign w:val="bottom"/>
          </w:tcPr>
          <w:p>
            <w:pPr>
              <w:pStyle w:val="TableContents"/>
              <w:spacing w:before="0" w:after="0"/>
              <w:ind w:left="0" w:right="0" w:hanging="0"/>
              <w:rPr/>
            </w:pPr>
            <w:r>
              <w:rPr/>
              <w:t> </w:t>
            </w:r>
          </w:p>
        </w:tc>
        <w:tc>
          <w:tcPr>
            <w:tcW w:w="6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6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at fair value</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w:t>
            </w:r>
          </w:p>
        </w:tc>
        <w:tc>
          <w:tcPr>
            <w:tcW w:w="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380"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46"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38"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660" w:type="dxa"/>
            <w:gridSpan w:val="2"/>
            <w:tcBorders/>
            <w:shd w:fill="CCEEFF" w:val="clear"/>
            <w:vAlign w:val="bottom"/>
          </w:tcPr>
          <w:p>
            <w:pPr>
              <w:pStyle w:val="TableContents"/>
              <w:spacing w:before="0" w:after="0"/>
              <w:ind w:left="0" w:right="0" w:hanging="0"/>
              <w:jc w:val="right"/>
              <w:rPr/>
            </w:pPr>
            <w:r>
              <w:rPr/>
              <w:t> </w:t>
            </w:r>
          </w:p>
        </w:tc>
        <w:tc>
          <w:tcPr>
            <w:tcW w:w="195" w:type="dxa"/>
            <w:tcBorders/>
            <w:shd w:fill="CCEEFF" w:val="clear"/>
            <w:vAlign w:val="bottom"/>
          </w:tcPr>
          <w:p>
            <w:pPr>
              <w:pStyle w:val="TableContents"/>
              <w:spacing w:before="0" w:after="0"/>
              <w:ind w:left="0" w:right="0" w:hanging="0"/>
              <w:rPr/>
            </w:pPr>
            <w:r>
              <w:rPr/>
              <w:t> </w:t>
            </w:r>
          </w:p>
        </w:tc>
        <w:tc>
          <w:tcPr>
            <w:tcW w:w="688" w:type="dxa"/>
            <w:gridSpan w:val="2"/>
            <w:tcBorders/>
            <w:shd w:fill="CCEEFF" w:val="clear"/>
            <w:vAlign w:val="bottom"/>
          </w:tcPr>
          <w:p>
            <w:pPr>
              <w:pStyle w:val="TableContents"/>
              <w:spacing w:before="0" w:after="0"/>
              <w:ind w:left="0" w:right="0" w:hanging="0"/>
              <w:jc w:val="right"/>
              <w:rPr/>
            </w:pPr>
            <w:r>
              <w:rPr/>
              <w:t> </w:t>
            </w:r>
          </w:p>
        </w:tc>
        <w:tc>
          <w:tcPr>
            <w:tcW w:w="853" w:type="dxa"/>
            <w:tcBorders/>
            <w:shd w:fill="CCEEFF" w:val="clear"/>
            <w:vAlign w:val="bottom"/>
          </w:tcPr>
          <w:p>
            <w:pPr>
              <w:pStyle w:val="TableContents"/>
              <w:spacing w:before="0" w:after="0"/>
              <w:ind w:left="0" w:right="0" w:hanging="0"/>
              <w:rPr/>
            </w:pPr>
            <w:r>
              <w:rPr/>
              <w:t> </w:t>
            </w:r>
          </w:p>
        </w:tc>
      </w:tr>
      <w:tr>
        <w:trPr/>
        <w:tc>
          <w:tcPr>
            <w:tcW w:w="2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asset/(liability) at fair value</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95"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5" w:type="dxa"/>
            <w:tcBorders>
              <w:right w:val="double" w:sz="6"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8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95"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values above include not only the credit standing of the counterparties involved and the impact of credit enhancements (such as cash deposits and letters of credit) but also the impact of our nonperformance risk on our liabilities. The fair value of our commodity derivatives, interest-rate derivatives and foreign currency derivatives includes adjustments for credit risk. We measure credit risk by deriving a probability of default from market observed credit default swap spreads as of the measurement date. The probability of default is applied to the net credit exposure of each of our counterparties and includes a recovery rate adjustment. The recovery rate is an estimate of what would ultimately be recovered through a bankruptcy proceeding in the event of default. There were no changes to any of our valuation techniques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1 of the fair value hierarchy are exchange-traded commodity derivatives such as futures, options and swaps. The fair value of exchange-traded commodity derivatives is based on unadjusted quoted prices in active markets and is therefore classified within level 1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2 of the fair value hierarchy as of December 31, 2008 is a physical commodity supply contract that meets the definition of a derivative but does not qualify for the NPNS scope exception as set forth in FASB guidance. The fair value of this commodity derivative is measured with level 1 inputs for similar but not identical instruments and therefore must be included 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within level 3 of the fair value hierarchy are the following derivatives: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Commodity Derivatives: Level 3 commodity derivatives include over-the-counter commodity derivatives such as forwards, swaps and options and certain physical commodity contracts. The fair value of our level 3 commodity derivatives is based on either an indicative broker or dealer price quotation or a valuation model.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F-33</w:t>
      </w:r>
      <w:bookmarkStart w:id="197" w:name="PB_33_133036_7091"/>
      <w:bookmarkEnd w:id="19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valuation models utilize inputs such as price, volatility and correlation and do not involve significant management judgments.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 curves and forward Treasury yields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majority of our level 3 derivatives are classified as such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34"/>
        <w:gridCol w:w="211"/>
        <w:gridCol w:w="111"/>
        <w:gridCol w:w="1056"/>
        <w:gridCol w:w="213"/>
        <w:gridCol w:w="111"/>
        <w:gridCol w:w="1056"/>
        <w:gridCol w:w="113"/>
      </w:tblGrid>
      <w:tr>
        <w:trPr/>
        <w:tc>
          <w:tcPr>
            <w:tcW w:w="733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4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3" w:type="dxa"/>
            <w:tcBorders/>
            <w:shd w:fill="auto" w:val="clear"/>
            <w:vAlign w:val="bottom"/>
          </w:tcPr>
          <w:p>
            <w:pPr>
              <w:pStyle w:val="TableContents"/>
              <w:spacing w:before="0" w:after="0"/>
              <w:ind w:left="0" w:right="0" w:hanging="0"/>
              <w:jc w:val="center"/>
              <w:rPr/>
            </w:pPr>
            <w:r>
              <w:rPr/>
              <w:t> </w:t>
            </w:r>
          </w:p>
        </w:tc>
      </w:tr>
      <w:tr>
        <w:trPr/>
        <w:tc>
          <w:tcPr>
            <w:tcW w:w="7334"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3" w:type="dxa"/>
            <w:tcBorders/>
            <w:shd w:fill="auto" w:val="clear"/>
            <w:vAlign w:val="bottom"/>
          </w:tcPr>
          <w:p>
            <w:pPr>
              <w:pStyle w:val="TableContents"/>
              <w:spacing w:before="0" w:after="0"/>
              <w:ind w:left="0" w:right="0" w:hanging="0"/>
              <w:jc w:val="center"/>
              <w:rPr/>
            </w:pPr>
            <w:r>
              <w:rPr/>
              <w:t> </w:t>
            </w:r>
          </w:p>
        </w:tc>
      </w:tr>
      <w:tr>
        <w:trPr/>
        <w:tc>
          <w:tcPr>
            <w:tcW w:w="73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Unrealized gains/(losses):</w:t>
            </w:r>
          </w:p>
        </w:tc>
        <w:tc>
          <w:tcPr>
            <w:tcW w:w="211"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7334"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13"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3" w:type="dxa"/>
            <w:tcBorders/>
            <w:shd w:fill="CCEEFF" w:val="clear"/>
            <w:vAlign w:val="bottom"/>
          </w:tcPr>
          <w:p>
            <w:pPr>
              <w:pStyle w:val="TableContents"/>
              <w:spacing w:before="0" w:after="0"/>
              <w:ind w:left="0" w:right="0" w:hanging="0"/>
              <w:rPr/>
            </w:pPr>
            <w:r>
              <w:rPr/>
              <w:t> </w:t>
            </w:r>
          </w:p>
        </w:tc>
      </w:tr>
      <w:tr>
        <w:trPr/>
        <w:tc>
          <w:tcPr>
            <w:tcW w:w="73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11"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3" w:type="dxa"/>
            <w:tcBorders/>
            <w:shd w:fill="auto" w:val="clear"/>
            <w:vAlign w:val="bottom"/>
          </w:tcPr>
          <w:p>
            <w:pPr>
              <w:pStyle w:val="TableContents"/>
              <w:spacing w:before="0" w:after="0"/>
              <w:ind w:left="0" w:right="0" w:hanging="0"/>
              <w:rPr/>
            </w:pPr>
            <w:r>
              <w:rPr/>
              <w:t> </w:t>
            </w:r>
          </w:p>
        </w:tc>
      </w:tr>
      <w:tr>
        <w:trPr/>
        <w:tc>
          <w:tcPr>
            <w:tcW w:w="73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Settlements and derivatives entered into during the period</w:t>
            </w:r>
          </w:p>
        </w:tc>
        <w:tc>
          <w:tcPr>
            <w:tcW w:w="211" w:type="dxa"/>
            <w:tcBorders/>
            <w:shd w:fill="CCEEFF" w:val="clear"/>
            <w:vAlign w:val="bottom"/>
          </w:tcPr>
          <w:p>
            <w:pPr>
              <w:pStyle w:val="TableContents"/>
              <w:spacing w:before="0" w:after="0"/>
              <w:ind w:left="0" w:right="0" w:hanging="0"/>
              <w:rPr/>
            </w:pPr>
            <w:r>
              <w:rPr/>
              <w:t> </w:t>
            </w:r>
          </w:p>
        </w:tc>
        <w:tc>
          <w:tcPr>
            <w:tcW w:w="11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13" w:type="dxa"/>
            <w:tcBorders/>
            <w:shd w:fill="auto" w:val="clear"/>
            <w:vAlign w:val="bottom"/>
          </w:tcPr>
          <w:p>
            <w:pPr>
              <w:pStyle w:val="TableContents"/>
              <w:spacing w:before="0" w:after="0"/>
              <w:ind w:left="0" w:right="0" w:hanging="0"/>
              <w:rPr/>
            </w:pPr>
            <w:r>
              <w:rPr/>
              <w:t> </w:t>
            </w:r>
          </w:p>
        </w:tc>
      </w:tr>
      <w:tr>
        <w:trPr/>
        <w:tc>
          <w:tcPr>
            <w:tcW w:w="7334"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73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Unrealized gains and losses associated with level 3 commodity derivatives are reported in our consolidated statements of operations as supply and logistics segment revenues. Gains and losses associated with interest rate derivatives are reported in our consolidated statements of operations as either other income, net or interest expense. Gains and losses associated with foreign currency derivatives are reported in our consolidated statements of operations as either supply and logistics segment revenues, purchases and related costs, or other income, net.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are therefore offset by the underlying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7Income Taxes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U.S. Federal and State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master limited partnership, we are not subject to U.S. federal income taxes; rather the tax effect of our operations is passed through to our unitholders. Although, we are subject to state income taxes in some states, the impact to the years ended December 31, 2009, 2008 and 2007 was immaterial.</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Canadian Federal and Provincial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Certain of our Canadian subsidiaries are corporations for Canadian tax purposes, thus their operations are subject to Canadian federal and provincial income taxes. The remainder of our Canadian operations is conducted through an operating limited partnership, which has historically been treated as a flow-through entity for tax purposes. This entity is subject to Canadian legislation passed in June 2007 that imposes entity-level taxes on certain types of flow-through entities. This legislation includes safe harbor guidelines that grandfather certain existing entities (which, we believe, would include us) and delays the effective date of such legislation until 2011.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F-34</w:t>
      </w:r>
      <w:bookmarkStart w:id="198" w:name="PB_34_133328_455"/>
      <w:bookmarkEnd w:id="19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in December 2008, the Fifth Protocol to the U.S./Canada Tax Treaty was ratified and contained language that increases the withholding tax on dividends and intercompany interest effective in 2010. As a result of these collective changes, we are in the process of reviewing our Canadian structure.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Tax Components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Components of income tax expense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70"/>
        <w:gridCol w:w="220"/>
        <w:gridCol w:w="140"/>
        <w:gridCol w:w="1071"/>
        <w:gridCol w:w="227"/>
        <w:gridCol w:w="150"/>
        <w:gridCol w:w="1061"/>
        <w:gridCol w:w="227"/>
        <w:gridCol w:w="140"/>
        <w:gridCol w:w="1071"/>
        <w:gridCol w:w="128"/>
      </w:tblGrid>
      <w:tr>
        <w:trPr/>
        <w:tc>
          <w:tcPr>
            <w:tcW w:w="5770"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408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8" w:type="dxa"/>
            <w:tcBorders/>
            <w:shd w:fill="auto" w:val="clear"/>
            <w:vAlign w:val="bottom"/>
          </w:tcPr>
          <w:p>
            <w:pPr>
              <w:pStyle w:val="TableContents"/>
              <w:spacing w:before="0" w:after="0"/>
              <w:ind w:left="0" w:right="0" w:hanging="0"/>
              <w:jc w:val="center"/>
              <w:rPr/>
            </w:pPr>
            <w:r>
              <w:rPr/>
              <w:t> </w:t>
            </w:r>
          </w:p>
        </w:tc>
      </w:tr>
      <w:tr>
        <w:trPr/>
        <w:tc>
          <w:tcPr>
            <w:tcW w:w="5770"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7" w:type="dxa"/>
            <w:tcBorders/>
            <w:shd w:fill="auto" w:val="clear"/>
            <w:vAlign w:val="bottom"/>
          </w:tcPr>
          <w:p>
            <w:pPr>
              <w:pStyle w:val="TableContents"/>
              <w:spacing w:before="0" w:after="0"/>
              <w:ind w:left="0" w:right="0" w:hanging="0"/>
              <w:jc w:val="center"/>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7" w:type="dxa"/>
            <w:tcBorders/>
            <w:shd w:fill="auto" w:val="clear"/>
            <w:vAlign w:val="bottom"/>
          </w:tcPr>
          <w:p>
            <w:pPr>
              <w:pStyle w:val="TableContents"/>
              <w:spacing w:before="0" w:after="0"/>
              <w:ind w:left="0" w:right="0" w:hanging="0"/>
              <w:jc w:val="center"/>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28" w:type="dxa"/>
            <w:tcBorders/>
            <w:shd w:fill="auto" w:val="clear"/>
            <w:vAlign w:val="bottom"/>
          </w:tcPr>
          <w:p>
            <w:pPr>
              <w:pStyle w:val="TableContents"/>
              <w:spacing w:before="0" w:after="0"/>
              <w:ind w:left="0" w:right="0" w:hanging="0"/>
              <w:jc w:val="center"/>
              <w:rPr/>
            </w:pPr>
            <w:r>
              <w:rPr/>
              <w:t> </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tax expense:</w:t>
            </w:r>
          </w:p>
        </w:tc>
        <w:tc>
          <w:tcPr>
            <w:tcW w:w="22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State income tax</w:t>
            </w:r>
          </w:p>
        </w:tc>
        <w:tc>
          <w:tcPr>
            <w:tcW w:w="220"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7"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auto" w:val="clear"/>
            <w:vAlign w:val="bottom"/>
          </w:tcPr>
          <w:p>
            <w:pPr>
              <w:pStyle w:val="TableContents"/>
              <w:spacing w:before="0" w:after="0"/>
              <w:ind w:left="0" w:right="0" w:hanging="0"/>
              <w:rPr/>
            </w:pPr>
            <w:r>
              <w:rPr/>
              <w:t> </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income tax</w:t>
            </w:r>
          </w:p>
        </w:tc>
        <w:tc>
          <w:tcPr>
            <w:tcW w:w="220" w:type="dxa"/>
            <w:tcBorders/>
            <w:shd w:fill="CCEEFF"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8"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tax expense</w:t>
            </w:r>
          </w:p>
        </w:tc>
        <w:tc>
          <w:tcPr>
            <w:tcW w:w="220" w:type="dxa"/>
            <w:tcBorders/>
            <w:shd w:fill="auto" w:val="clear"/>
            <w:vAlign w:val="bottom"/>
          </w:tcPr>
          <w:p>
            <w:pPr>
              <w:pStyle w:val="TableContents"/>
              <w:spacing w:before="0" w:after="0"/>
              <w:ind w:left="0" w:right="0" w:hanging="0"/>
              <w:rPr/>
            </w:pPr>
            <w:r>
              <w:rPr/>
              <w:t> </w:t>
            </w:r>
          </w:p>
        </w:tc>
        <w:tc>
          <w:tcPr>
            <w:tcW w:w="1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27" w:type="dxa"/>
            <w:tcBorders/>
            <w:shd w:fill="auto" w:val="clear"/>
            <w:vAlign w:val="bottom"/>
          </w:tcPr>
          <w:p>
            <w:pPr>
              <w:pStyle w:val="TableContents"/>
              <w:spacing w:before="0" w:after="0"/>
              <w:ind w:left="0" w:right="0" w:hanging="0"/>
              <w:rPr/>
            </w:pPr>
            <w:r>
              <w:rPr/>
              <w:t> </w:t>
            </w:r>
          </w:p>
        </w:tc>
        <w:tc>
          <w:tcPr>
            <w:tcW w:w="15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pPr>
            <w:r>
              <w:rPr/>
              <w:t> </w:t>
            </w:r>
          </w:p>
        </w:tc>
        <w:tc>
          <w:tcPr>
            <w:tcW w:w="14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auto" w:val="clear"/>
            <w:vAlign w:val="bottom"/>
          </w:tcPr>
          <w:p>
            <w:pPr>
              <w:pStyle w:val="TableContents"/>
              <w:spacing w:before="0" w:after="0"/>
              <w:ind w:left="0" w:right="0" w:hanging="0"/>
              <w:rPr/>
            </w:pPr>
            <w:r>
              <w:rPr/>
              <w:t> </w:t>
            </w:r>
          </w:p>
        </w:tc>
      </w:tr>
      <w:tr>
        <w:trPr/>
        <w:tc>
          <w:tcPr>
            <w:tcW w:w="5770"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227" w:type="dxa"/>
            <w:tcBorders/>
            <w:shd w:fill="CCEEFF" w:val="clear"/>
            <w:vAlign w:val="bottom"/>
          </w:tcPr>
          <w:p>
            <w:pPr>
              <w:pStyle w:val="TableContents"/>
              <w:spacing w:before="0" w:after="0"/>
              <w:ind w:left="0" w:right="0" w:hanging="0"/>
              <w:rPr/>
            </w:pPr>
            <w:r>
              <w:rPr/>
              <w:t> </w:t>
            </w:r>
          </w:p>
        </w:tc>
        <w:tc>
          <w:tcPr>
            <w:tcW w:w="1211"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(benefit)/expense:</w:t>
            </w:r>
          </w:p>
        </w:tc>
        <w:tc>
          <w:tcPr>
            <w:tcW w:w="220"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227" w:type="dxa"/>
            <w:tcBorders/>
            <w:shd w:fill="auto" w:val="clear"/>
            <w:vAlign w:val="bottom"/>
          </w:tcPr>
          <w:p>
            <w:pPr>
              <w:pStyle w:val="TableContents"/>
              <w:spacing w:before="0" w:after="0"/>
              <w:ind w:left="0" w:right="0" w:hanging="0"/>
              <w:rPr/>
            </w:pPr>
            <w:r>
              <w:rPr/>
              <w:t> </w:t>
            </w:r>
          </w:p>
        </w:tc>
        <w:tc>
          <w:tcPr>
            <w:tcW w:w="1211"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State income tax</w:t>
            </w:r>
          </w:p>
        </w:tc>
        <w:tc>
          <w:tcPr>
            <w:tcW w:w="220"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7"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8"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income tax</w:t>
            </w:r>
          </w:p>
        </w:tc>
        <w:tc>
          <w:tcPr>
            <w:tcW w:w="220" w:type="dxa"/>
            <w:tcBorders/>
            <w:shd w:fill="auto" w:val="clear"/>
            <w:vAlign w:val="bottom"/>
          </w:tcPr>
          <w:p>
            <w:pPr>
              <w:pStyle w:val="TableContents"/>
              <w:spacing w:before="0" w:after="0"/>
              <w:ind w:left="0" w:right="0" w:hanging="0"/>
              <w:rPr/>
            </w:pPr>
            <w:r>
              <w:rPr/>
              <w:t> </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8" w:type="dxa"/>
            <w:tcBorders/>
            <w:shd w:fill="auto" w:val="clear"/>
            <w:vAlign w:val="bottom"/>
          </w:tcPr>
          <w:p>
            <w:pPr>
              <w:pStyle w:val="TableContents"/>
              <w:spacing w:before="0" w:after="0"/>
              <w:ind w:left="0" w:right="0" w:hanging="0"/>
              <w:rPr/>
            </w:pPr>
            <w:r>
              <w:rPr/>
              <w:t> </w:t>
            </w:r>
          </w:p>
        </w:tc>
      </w:tr>
      <w:tr>
        <w:trPr/>
        <w:tc>
          <w:tcPr>
            <w:tcW w:w="5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deferred tax (benefit)/expense</w:t>
            </w:r>
          </w:p>
        </w:tc>
        <w:tc>
          <w:tcPr>
            <w:tcW w:w="220" w:type="dxa"/>
            <w:tcBorders/>
            <w:shd w:fill="CCEEFF" w:val="clear"/>
            <w:vAlign w:val="bottom"/>
          </w:tcPr>
          <w:p>
            <w:pPr>
              <w:pStyle w:val="TableContents"/>
              <w:spacing w:before="0" w:after="0"/>
              <w:ind w:left="0" w:right="0" w:hanging="0"/>
              <w:rPr/>
            </w:pPr>
            <w:r>
              <w:rPr/>
              <w:t> </w:t>
            </w:r>
          </w:p>
        </w:tc>
        <w:tc>
          <w:tcPr>
            <w:tcW w:w="1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bottom w:val="single" w:sz="8"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8" w:type="dxa"/>
            <w:tcBorders/>
            <w:shd w:fill="CCEEFF" w:val="clear"/>
            <w:vAlign w:val="bottom"/>
          </w:tcPr>
          <w:p>
            <w:pPr>
              <w:pStyle w:val="TableContents"/>
              <w:spacing w:before="0" w:after="0"/>
              <w:ind w:left="0" w:right="0" w:hanging="0"/>
              <w:rPr/>
            </w:pPr>
            <w:r>
              <w:rPr/>
              <w:t> </w:t>
            </w:r>
          </w:p>
        </w:tc>
      </w:tr>
      <w:tr>
        <w:trPr/>
        <w:tc>
          <w:tcPr>
            <w:tcW w:w="5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income tax expense</w:t>
            </w:r>
          </w:p>
        </w:tc>
        <w:tc>
          <w:tcPr>
            <w:tcW w:w="220"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7"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7"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difference between tax expense based on the statutory federal income tax rate and our effective tax expense is summarized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677"/>
        <w:gridCol w:w="215"/>
        <w:gridCol w:w="138"/>
        <w:gridCol w:w="1077"/>
        <w:gridCol w:w="252"/>
        <w:gridCol w:w="138"/>
        <w:gridCol w:w="1077"/>
        <w:gridCol w:w="252"/>
        <w:gridCol w:w="138"/>
        <w:gridCol w:w="1077"/>
        <w:gridCol w:w="164"/>
      </w:tblGrid>
      <w:tr>
        <w:trPr/>
        <w:tc>
          <w:tcPr>
            <w:tcW w:w="56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414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64" w:type="dxa"/>
            <w:tcBorders/>
            <w:shd w:fill="auto" w:val="clear"/>
            <w:vAlign w:val="bottom"/>
          </w:tcPr>
          <w:p>
            <w:pPr>
              <w:pStyle w:val="TableContents"/>
              <w:spacing w:before="0" w:after="0"/>
              <w:ind w:left="0" w:right="0" w:hanging="0"/>
              <w:jc w:val="center"/>
              <w:rPr/>
            </w:pPr>
            <w:r>
              <w:rPr/>
              <w:t> </w:t>
            </w:r>
          </w:p>
        </w:tc>
      </w:tr>
      <w:tr>
        <w:trPr/>
        <w:tc>
          <w:tcPr>
            <w:tcW w:w="56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52"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52" w:type="dxa"/>
            <w:tcBorders/>
            <w:shd w:fill="auto" w:val="clear"/>
            <w:vAlign w:val="bottom"/>
          </w:tcPr>
          <w:p>
            <w:pPr>
              <w:pStyle w:val="TableContents"/>
              <w:spacing w:before="0" w:after="0"/>
              <w:ind w:left="0" w:right="0" w:hanging="0"/>
              <w:jc w:val="center"/>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64" w:type="dxa"/>
            <w:tcBorders/>
            <w:shd w:fill="auto" w:val="clear"/>
            <w:vAlign w:val="bottom"/>
          </w:tcPr>
          <w:p>
            <w:pPr>
              <w:pStyle w:val="TableContents"/>
              <w:spacing w:before="0" w:after="0"/>
              <w:ind w:left="0" w:right="0" w:hanging="0"/>
              <w:jc w:val="center"/>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before tax</w:t>
            </w:r>
          </w:p>
        </w:tc>
        <w:tc>
          <w:tcPr>
            <w:tcW w:w="21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Partnership earnings not subject to current Canadian tax</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77"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federal and provincial corporate tax rate</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at statutory rate</w:t>
            </w:r>
          </w:p>
        </w:tc>
        <w:tc>
          <w:tcPr>
            <w:tcW w:w="21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5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tax expense:</w:t>
            </w:r>
          </w:p>
        </w:tc>
        <w:tc>
          <w:tcPr>
            <w:tcW w:w="21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period tax as a result of book versus tax differences</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permanent differences between book and tax</w:t>
            </w:r>
          </w:p>
        </w:tc>
        <w:tc>
          <w:tcPr>
            <w:tcW w:w="21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5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State income tax</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auto" w:val="clear"/>
            <w:vAlign w:val="bottom"/>
          </w:tcPr>
          <w:p>
            <w:pPr>
              <w:pStyle w:val="TableContents"/>
              <w:spacing w:before="0" w:after="0"/>
              <w:ind w:left="0" w:right="0" w:hanging="0"/>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5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5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pPr>
            <w:r>
              <w:rPr/>
              <w:t> </w:t>
            </w:r>
          </w:p>
        </w:tc>
        <w:tc>
          <w:tcPr>
            <w:tcW w:w="164" w:type="dxa"/>
            <w:tcBorders/>
            <w:shd w:fill="auto" w:val="clear"/>
            <w:vAlign w:val="bottom"/>
          </w:tcPr>
          <w:p>
            <w:pPr>
              <w:pStyle w:val="TableContents"/>
              <w:spacing w:before="0" w:after="0"/>
              <w:ind w:left="0" w:right="0" w:hanging="0"/>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expense:</w:t>
            </w:r>
          </w:p>
        </w:tc>
        <w:tc>
          <w:tcPr>
            <w:tcW w:w="21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State deferred income tax</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64" w:type="dxa"/>
            <w:tcBorders/>
            <w:shd w:fill="auto" w:val="clear"/>
            <w:vAlign w:val="bottom"/>
          </w:tcPr>
          <w:p>
            <w:pPr>
              <w:pStyle w:val="TableContents"/>
              <w:spacing w:before="0" w:after="0"/>
              <w:ind w:left="0" w:right="0" w:hanging="0"/>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deferred tax (benefit)/expense as a result of book versus tax differences</w:t>
            </w:r>
          </w:p>
        </w:tc>
        <w:tc>
          <w:tcPr>
            <w:tcW w:w="215" w:type="dxa"/>
            <w:tcBorders/>
            <w:shd w:fill="CCEEFF" w:val="clear"/>
            <w:vAlign w:val="bottom"/>
          </w:tcPr>
          <w:p>
            <w:pPr>
              <w:pStyle w:val="TableContents"/>
              <w:spacing w:before="0" w:after="0"/>
              <w:ind w:left="0" w:right="0" w:hanging="0"/>
              <w:rPr/>
            </w:pPr>
            <w:r>
              <w:rPr/>
              <w:t> </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flow-through entities deferred tax (benefit)/expense as a result of book versus tax differences</w:t>
            </w:r>
          </w:p>
        </w:tc>
        <w:tc>
          <w:tcPr>
            <w:tcW w:w="215"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2" w:type="dxa"/>
            <w:tcBorders/>
            <w:shd w:fill="auto" w:val="clear"/>
            <w:vAlign w:val="bottom"/>
          </w:tcPr>
          <w:p>
            <w:pPr>
              <w:pStyle w:val="TableContents"/>
              <w:spacing w:before="0" w:after="0"/>
              <w:ind w:left="0" w:right="0" w:hanging="0"/>
              <w:rPr/>
            </w:pPr>
            <w:r>
              <w:rPr/>
              <w:t> </w:t>
            </w:r>
          </w:p>
        </w:tc>
        <w:tc>
          <w:tcPr>
            <w:tcW w:w="12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64" w:type="dxa"/>
            <w:tcBorders/>
            <w:shd w:fill="auto" w:val="clear"/>
            <w:vAlign w:val="bottom"/>
          </w:tcPr>
          <w:p>
            <w:pPr>
              <w:pStyle w:val="TableContents"/>
              <w:spacing w:before="0" w:after="0"/>
              <w:ind w:left="0" w:right="0" w:hanging="0"/>
              <w:rPr/>
            </w:pPr>
            <w:r>
              <w:rPr/>
              <w:t> </w:t>
            </w:r>
          </w:p>
        </w:tc>
      </w:tr>
      <w:tr>
        <w:trPr/>
        <w:tc>
          <w:tcPr>
            <w:tcW w:w="56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4" w:type="dxa"/>
            <w:tcBorders/>
            <w:shd w:fill="CCEEFF" w:val="clear"/>
            <w:vAlign w:val="bottom"/>
          </w:tcPr>
          <w:p>
            <w:pPr>
              <w:pStyle w:val="TableContents"/>
              <w:spacing w:before="0" w:after="0"/>
              <w:ind w:left="0" w:right="0" w:hanging="0"/>
              <w:rPr/>
            </w:pPr>
            <w:r>
              <w:rPr/>
              <w:t> </w:t>
            </w:r>
          </w:p>
        </w:tc>
      </w:tr>
      <w:tr>
        <w:trPr/>
        <w:tc>
          <w:tcPr>
            <w:tcW w:w="56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income tax expense</w:t>
            </w:r>
          </w:p>
        </w:tc>
        <w:tc>
          <w:tcPr>
            <w:tcW w:w="215"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52"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52"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6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Deferred tax assets and liabilities, which are included net within other long-term liabilities and deferred credits in our consolidated balance sheet, result from the following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F-35</w:t>
      </w:r>
      <w:bookmarkStart w:id="199" w:name="PB_35_133724_4141"/>
      <w:bookmarkEnd w:id="19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18"/>
        <w:gridCol w:w="211"/>
        <w:gridCol w:w="111"/>
        <w:gridCol w:w="1063"/>
        <w:gridCol w:w="212"/>
        <w:gridCol w:w="111"/>
        <w:gridCol w:w="1063"/>
        <w:gridCol w:w="116"/>
      </w:tblGrid>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56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6" w:type="dxa"/>
            <w:tcBorders/>
            <w:shd w:fill="auto" w:val="clear"/>
            <w:vAlign w:val="bottom"/>
          </w:tcPr>
          <w:p>
            <w:pPr>
              <w:pStyle w:val="TableContents"/>
              <w:spacing w:before="0" w:after="0"/>
              <w:ind w:left="0" w:right="0" w:hanging="0"/>
              <w:jc w:val="center"/>
              <w:rPr/>
            </w:pPr>
            <w:r>
              <w:rPr/>
              <w:t> </w:t>
            </w:r>
          </w:p>
        </w:tc>
      </w:tr>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6" w:type="dxa"/>
            <w:tcBorders/>
            <w:shd w:fill="auto" w:val="clear"/>
            <w:vAlign w:val="bottom"/>
          </w:tcPr>
          <w:p>
            <w:pPr>
              <w:pStyle w:val="TableContents"/>
              <w:spacing w:before="0" w:after="0"/>
              <w:ind w:left="0" w:right="0" w:hanging="0"/>
              <w:jc w:val="center"/>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assets: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Book accruals in excess of current tax deductions</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2" w:type="dxa"/>
            <w:tcBorders/>
            <w:shd w:fill="auto" w:val="clear"/>
            <w:vAlign w:val="bottom"/>
          </w:tcPr>
          <w:p>
            <w:pPr>
              <w:pStyle w:val="TableContents"/>
              <w:spacing w:before="0" w:after="0"/>
              <w:ind w:left="0" w:right="0" w:hanging="0"/>
              <w:rPr/>
            </w:pPr>
            <w:r>
              <w:rPr/>
              <w:t> </w:t>
            </w:r>
          </w:p>
        </w:tc>
        <w:tc>
          <w:tcPr>
            <w:tcW w:w="11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6"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deferred tax assets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2"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6"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174"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tax liabilities: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174" w:type="dxa"/>
            <w:gridSpan w:val="2"/>
            <w:tcBorders/>
            <w:shd w:fill="CCEEFF" w:val="clear"/>
            <w:vAlign w:val="bottom"/>
          </w:tcPr>
          <w:p>
            <w:pPr>
              <w:pStyle w:val="TableContents"/>
              <w:spacing w:before="0" w:after="0"/>
              <w:ind w:left="0" w:right="0" w:hanging="0"/>
              <w:jc w:val="right"/>
              <w:rPr/>
            </w:pPr>
            <w:r>
              <w:rPr/>
              <w:t> </w:t>
            </w:r>
          </w:p>
        </w:tc>
        <w:tc>
          <w:tcPr>
            <w:tcW w:w="116" w:type="dxa"/>
            <w:tcBorders/>
            <w:shd w:fill="CCEEFF" w:val="clear"/>
            <w:vAlign w:val="bottom"/>
          </w:tcPr>
          <w:p>
            <w:pPr>
              <w:pStyle w:val="TableContents"/>
              <w:spacing w:before="0" w:after="0"/>
              <w:ind w:left="0" w:right="0" w:hanging="0"/>
              <w:rPr/>
            </w:pPr>
            <w:r>
              <w:rPr/>
              <w:t> </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in excess of tax values</w:t>
            </w:r>
          </w:p>
        </w:tc>
        <w:tc>
          <w:tcPr>
            <w:tcW w:w="211" w:type="dxa"/>
            <w:tcBorders/>
            <w:shd w:fill="auto"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deferred tax liabilities</w:t>
            </w:r>
          </w:p>
        </w:tc>
        <w:tc>
          <w:tcPr>
            <w:tcW w:w="211" w:type="dxa"/>
            <w:tcBorders/>
            <w:shd w:fill="CCEEFF" w:val="clear"/>
            <w:vAlign w:val="bottom"/>
          </w:tcPr>
          <w:p>
            <w:pPr>
              <w:pStyle w:val="TableContents"/>
              <w:spacing w:before="0" w:after="0"/>
              <w:ind w:left="0" w:right="0" w:hanging="0"/>
              <w:rPr/>
            </w:pPr>
            <w:r>
              <w:rPr/>
              <w:t> </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tax liabilities</w:t>
            </w:r>
          </w:p>
        </w:tc>
        <w:tc>
          <w:tcPr>
            <w:tcW w:w="211"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tax returns for our Canadian entities are open to audit from 2005 through 2009.  Our U.S. and state tax years are open to examination from 2006 to 2009.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 xml:space="preserve">Note 8Major Customers and Concentration of Credit Risk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Marathon Petroleum Company, LLC accounted for 14%, 14% and 19% of our revenues for each of the three years ended December 31, 2009, 2008 and 2007, respectively. Valero Marketing &amp; Supply Company accounted for 10% of our revenues for the year ended December 31, 2007. ConocoPhillips Company accounted for 12%, 12% and 11% of our revenues for the years ended December 31, 2009, 2008 and 2007, respectively. No other customers accounted for 10% or more of our revenues during any of the three years ended December 31, 2009. The majority of revenues from these customers pertain to our supply and logistics operations. We believe that the loss of these customers would have only a short-term impact on our operating results. There is risk, however, that we would not be able to identify and access a replacement market at comparable margins.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2 for additional discussion of our accounts receivable and our review of credit exposure.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F-36</w:t>
      </w:r>
      <w:bookmarkStart w:id="200" w:name="PB_36_133928_8627"/>
      <w:bookmarkEnd w:id="20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Reimbursement of Expenses of Our General Partner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(other than expenses related to grants of Class B units).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Total costs reimbursed by us to our general partner for the years ended December 31, 2009, 2008 and 2007 were $328 million, $289 million and $287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Vulcan Energy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December 31, 2009, Vulcan Energy Corporation (Vulcan Energy) and its affiliates owned approximately 50% of our general partner interest, as well as approximately 9% of our outstanding limited partner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Voting Agreement.</w:t>
      </w:r>
      <w:r>
        <w:rPr>
          <w:rFonts w:ascii="Times New Roman" w:hAnsi="Times New Roman"/>
        </w:rPr>
        <w:t xml:space="preserve">  </w:t>
      </w:r>
      <w:r>
        <w:rPr>
          <w:rFonts w:ascii="Times New Roman" w:hAnsi="Times New Roman"/>
          <w:sz w:val="17"/>
        </w:rPr>
        <w:t>In August 2005, Vulcan Energys ownership interest in our general partner increased from 44% to over 50%.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material impact on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Another owner of Plains All American GP LLC, Lynx Holdings I, LLC, agreed to restrict certain of its voting rights with respect to its approximate 1.4% membership interest in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Administrative Services Agreement.</w:t>
      </w:r>
      <w:r>
        <w:rPr>
          <w:rFonts w:ascii="Times New Roman" w:hAnsi="Times New Roman"/>
        </w:rPr>
        <w:t xml:space="preserve">  </w:t>
      </w:r>
      <w:r>
        <w:rPr>
          <w:rFonts w:ascii="Times New Roman" w:hAnsi="Times New Roman"/>
          <w:sz w:val="17"/>
        </w:rPr>
        <w:t>On October 14, 2005, Plains All American GP LLC (GP LLC) and Vulcan Energy entered into an Administrative Services Agreement, effective as of September 1, 2005 (the Services Agreement). Pursuant to the Services Agreement, GP LLC provides administrative services to Vulcan Energy for consideration of an annual fee, plus certain expenses. Effective October 1, 2006, the annual fee for providing these services was increased to $1 million. Beginning in October 2008, the Services Agreement automatically renews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or its affiliates then GP LLC is entitled to suspend the provision of that service and such a suspension will not constitute a breach of the Services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Omnibus Agreement.</w:t>
      </w:r>
      <w:r>
        <w:rPr>
          <w:rFonts w:ascii="Times New Roman" w:hAnsi="Times New Roman"/>
        </w:rPr>
        <w:t xml:space="preserve">  </w:t>
      </w:r>
      <w:r>
        <w:rPr>
          <w:rFonts w:ascii="Times New Roman" w:hAnsi="Times New Roman"/>
          <w:sz w:val="17"/>
        </w:rPr>
        <w:t>PAA, GP LLC, certain affiliated entities and Vulcan Energy are parties to an amended and restated omnibus agreement dated as of July 23, 2004. Pursuant to this agreement, Vulcan Energy has agreed, so long as Vulcan Energy or any of its affiliates owns an interest, directly or indirectly, in GP LLC, not to engage in or acquire any business engaged in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crude oil storage, terminalling and gathering activities in any state in the United States (except for Hawaii), the Outer Continental Shelf of the United States or any province or territory in Canada, for any person other than entities affiliated with Vulcan Energy and its affiliates (collectively, the Vulcan entities) or GP LLC, PAA, its operating partnerships and any controlled affiliates (collectively, the Plains entities);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F-37</w:t>
      </w:r>
      <w:bookmarkStart w:id="201" w:name="PB_37_133946_7906"/>
      <w:bookmarkEnd w:id="20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crude oil marketing activities;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transportation of crude oil by pipeline in any state in the United States (except for Hawaii), the Outer Continental Shelf of the United States or any province or territory in Canada, for any person other than the Plains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restrictions are subject to specified permitted exceptions and may be terminated by Vulcan Energy upon certain change of control events involving Vulcan Energy. The omnibus agreement further permits, except as otherwise restricted by the omnibus agreement or any other agreement, each Vulcan entity to engage in any business activity, including those that may be in direct competition with the Plains entities. Further, any owner of equity interests in Vulcan Energy may make passive investments in PAAs competitors so long as such owner does not directly or indirectly use any knowledge or confidential information it received through the ownership by a Plains entity to compete, or to engage in or become interested financially in any person that competes, in the restricted activities described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Crude Oil Purchases.</w:t>
      </w:r>
      <w:r>
        <w:rPr>
          <w:rFonts w:ascii="Times New Roman" w:hAnsi="Times New Roman"/>
        </w:rPr>
        <w:t xml:space="preserve">  </w:t>
      </w:r>
      <w:r>
        <w:rPr>
          <w:rFonts w:ascii="Times New Roman" w:hAnsi="Times New Roman"/>
          <w:sz w:val="17"/>
        </w:rPr>
        <w:t>From August 2005 to May 2007, Calumet Florida L.L.C (Calumet) was owned by Vulcan Resources Florida, Inc., the majority of which is owned by Paul G. Allen. In May 2007, Calumet was sold and ceased to be related to Vulcan Energy. In 2007, until the date that Calumet ceased to be related to Vulcan Energy, we purchased crude oil from Calumet for approximately $17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Investment in PAA/Vulcan Gas Storage,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September 2005, we and Vulcan Gas Storage LLC, a subsidiary of Vulcan LLC, an investment arm of Paul G. Allen, formed PAA/Vulcan Gas Storage, LLC to acquire ECI (now known as PAA Natural Gas Storage, LLC or PNGS), an indirect subsidiary of Sempra Energy, for approximately $250 million. We and Vulcan Gas Storage each made an initial cash investment of approximately $113 million and Bluewater Natural Gas Storage, LLC, a subsidiary of PAA/Vulcan, entered into a $90 million credit facility contemporaneously with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From September 2005 until September 3, 2009, we owned 50% of PAA/Vulcan and Vulcan Gas Storage LLC owned the other 50%.  Giving effect to all contributions and distributions made during the period from January 1, 2007 through September 3, 2009, we and Vulcan Gas Storage each made a net contribution of $39 million.  Such contributions and distributions did not result in an increase or decrease to our ownership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3, 2009, one of our subsidiaries acquired the remaining 50% interest in PAA/Vulcan from Vulcan Gas Storage LLC, which resulted in our ownership of a 100% interest in PNGS.  See Note 3 for further discussion of the PNGS Acquisition.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F-38</w:t>
      </w:r>
      <w:bookmarkStart w:id="202" w:name="PB_38_135823_3736"/>
      <w:bookmarkEnd w:id="20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 Term Incentive Tracking Unit Plan (the 2006 Plan) for non-officer employees.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earning criteria, a DER entitles the grantee to a cash payment equal to the cash distribution paid on an outstanding common unit. The 2006 Plan authorizes the grant of approximately 1.6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FASB guidance regarding share-based payments, the fair value of our LTIP awards, which are subject to liability classification, is calculated based on the closing market price of our units at each balance sheet date adjusted for (i) the present value of any distributions that are estimated to occur on the underlying units over the vesting period that will not be received by the award recipients and (ii) an estimated forfeiture rate when appropriate. This fair value is recognized as compensation expense over the period the awards are earned. Our LTIP awards typically contain performance conditions based on attainment of certain annualized distribution levels and vest upon the later of a certain date or the attainment of such levels. For awards with performance conditions, we recognize compensation expense only if the achievement of the performance condition is considered probable and we amortize that expense over the service period. When awards with performance conditions that were previously considered improbable of occurring become probable of occurring, we incur additional LTIP compensation expense necessary to adjust the life-to-date accrued liability associated with these awards. Our DER awards typically contain performance conditions based on the attainment of certain annualized distribution levels and become earned upon the attainment of such levels. The DERs terminate with the vesting or forfeiture of the underlying LTIP award. We recognize compensation expense for DER payments in the period the payment is earned.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 the following LTIP awards were outstanding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563"/>
        <w:gridCol w:w="416"/>
        <w:gridCol w:w="1459"/>
        <w:gridCol w:w="207"/>
        <w:gridCol w:w="1459"/>
        <w:gridCol w:w="207"/>
        <w:gridCol w:w="1459"/>
        <w:gridCol w:w="207"/>
        <w:gridCol w:w="1459"/>
        <w:gridCol w:w="207"/>
        <w:gridCol w:w="1459"/>
        <w:gridCol w:w="103"/>
      </w:tblGrid>
      <w:tr>
        <w:trPr/>
        <w:tc>
          <w:tcPr>
            <w:tcW w:w="1563" w:type="dxa"/>
            <w:tcBorders/>
            <w:shd w:fill="auto" w:val="clear"/>
            <w:vAlign w:val="bottom"/>
          </w:tcPr>
          <w:p>
            <w:pPr>
              <w:pStyle w:val="TableContents"/>
              <w:spacing w:before="0" w:after="0"/>
              <w:ind w:left="0" w:right="0" w:hanging="0"/>
              <w:rPr/>
            </w:pPr>
            <w:r>
              <w:rPr/>
              <w:t> </w:t>
            </w:r>
          </w:p>
        </w:tc>
        <w:tc>
          <w:tcPr>
            <w:tcW w:w="416"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Vesting</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r>
      <w:tr>
        <w:trPr/>
        <w:tc>
          <w:tcPr>
            <w:tcW w:w="156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LTIP Units</w:t>
            </w:r>
          </w:p>
        </w:tc>
        <w:tc>
          <w:tcPr>
            <w:tcW w:w="416" w:type="dxa"/>
            <w:tcBorders/>
            <w:shd w:fill="auto" w:val="clear"/>
            <w:vAlign w:val="bottom"/>
          </w:tcPr>
          <w:p>
            <w:pPr>
              <w:pStyle w:val="TableContents"/>
              <w:spacing w:before="0" w:after="0"/>
              <w:ind w:left="0" w:right="0" w:hanging="0"/>
              <w:jc w:val="center"/>
              <w:rPr/>
            </w:pPr>
            <w:r>
              <w:rPr/>
              <w:t> </w:t>
            </w:r>
          </w:p>
        </w:tc>
        <w:tc>
          <w:tcPr>
            <w:tcW w:w="1459"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w:t>
            </w:r>
          </w:p>
        </w:tc>
        <w:tc>
          <w:tcPr>
            <w:tcW w:w="207" w:type="dxa"/>
            <w:tcBorders/>
            <w:shd w:fill="auto" w:val="clear"/>
            <w:vAlign w:val="bottom"/>
          </w:tcPr>
          <w:p>
            <w:pPr>
              <w:pStyle w:val="TableContents"/>
              <w:spacing w:before="0" w:after="0"/>
              <w:ind w:left="0" w:right="0" w:hanging="0"/>
              <w:jc w:val="center"/>
              <w:rPr/>
            </w:pPr>
            <w:r>
              <w:rPr/>
              <w:t> </w:t>
            </w:r>
          </w:p>
        </w:tc>
        <w:tc>
          <w:tcPr>
            <w:tcW w:w="6457"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Estimated Unit Vesting Date</w:t>
            </w:r>
          </w:p>
        </w:tc>
        <w:tc>
          <w:tcPr>
            <w:tcW w:w="103" w:type="dxa"/>
            <w:tcBorders/>
            <w:shd w:fill="auto" w:val="clear"/>
            <w:vAlign w:val="bottom"/>
          </w:tcPr>
          <w:p>
            <w:pPr>
              <w:pStyle w:val="TableContents"/>
              <w:spacing w:before="0" w:after="0"/>
              <w:ind w:left="0" w:right="0" w:hanging="0"/>
              <w:jc w:val="center"/>
              <w:rPr/>
            </w:pPr>
            <w:r>
              <w:rPr/>
              <w:t> </w:t>
            </w:r>
          </w:p>
        </w:tc>
      </w:tr>
      <w:tr>
        <w:trPr/>
        <w:tc>
          <w:tcPr>
            <w:tcW w:w="156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416" w:type="dxa"/>
            <w:tcBorders/>
            <w:shd w:fill="auto" w:val="clear"/>
            <w:vAlign w:val="bottom"/>
          </w:tcPr>
          <w:p>
            <w:pPr>
              <w:pStyle w:val="TableContents"/>
              <w:spacing w:before="0" w:after="0"/>
              <w:ind w:left="0" w:right="0" w:hanging="0"/>
              <w:jc w:val="center"/>
              <w:rPr/>
            </w:pPr>
            <w:r>
              <w:rPr/>
              <w:t> </w:t>
            </w:r>
          </w:p>
        </w:tc>
        <w:tc>
          <w:tcPr>
            <w:tcW w:w="14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auto" w:val="clear"/>
            <w:vAlign w:val="bottom"/>
          </w:tcPr>
          <w:p>
            <w:pPr>
              <w:pStyle w:val="TableContents"/>
              <w:spacing w:before="0" w:after="0"/>
              <w:ind w:left="0" w:right="0" w:hanging="0"/>
              <w:jc w:val="center"/>
              <w:rPr/>
            </w:pPr>
            <w:r>
              <w:rPr/>
              <w:t> </w:t>
            </w:r>
          </w:p>
        </w:tc>
        <w:tc>
          <w:tcPr>
            <w:tcW w:w="14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3" w:type="dxa"/>
            <w:tcBorders/>
            <w:shd w:fill="auto" w:val="clear"/>
            <w:vAlign w:val="bottom"/>
          </w:tcPr>
          <w:p>
            <w:pPr>
              <w:pStyle w:val="TableContents"/>
              <w:spacing w:before="0" w:after="0"/>
              <w:ind w:left="0" w:right="0" w:hanging="0"/>
              <w:jc w:val="center"/>
              <w:rPr/>
            </w:pPr>
            <w:r>
              <w:rPr/>
              <w:t> </w:t>
            </w:r>
          </w:p>
        </w:tc>
      </w:tr>
      <w:tr>
        <w:trPr/>
        <w:tc>
          <w:tcPr>
            <w:tcW w:w="15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416" w:type="dxa"/>
            <w:tcBorders/>
            <w:shd w:fill="CCEEFF"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(1)</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07" w:type="dxa"/>
            <w:tcBorders/>
            <w:shd w:fill="CCEEFF" w:val="clear"/>
            <w:vAlign w:val="bottom"/>
          </w:tcPr>
          <w:p>
            <w:pPr>
              <w:pStyle w:val="TableContents"/>
              <w:spacing w:before="0" w:after="0"/>
              <w:ind w:left="0" w:right="0" w:hanging="0"/>
              <w:rPr/>
            </w:pPr>
            <w:r>
              <w:rPr/>
              <w:t> </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7" w:type="dxa"/>
            <w:tcBorders/>
            <w:shd w:fill="CCEEFF" w:val="clear"/>
            <w:vAlign w:val="bottom"/>
          </w:tcPr>
          <w:p>
            <w:pPr>
              <w:pStyle w:val="TableContents"/>
              <w:spacing w:before="0" w:after="0"/>
              <w:ind w:left="0" w:right="0" w:hanging="0"/>
              <w:rPr/>
            </w:pPr>
            <w:r>
              <w:rPr/>
              <w:t> </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r>
      <w:tr>
        <w:trPr/>
        <w:tc>
          <w:tcPr>
            <w:tcW w:w="1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416" w:type="dxa"/>
            <w:tcBorders/>
            <w:shd w:fill="auto"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(2)</w:t>
            </w:r>
          </w:p>
        </w:tc>
        <w:tc>
          <w:tcPr>
            <w:tcW w:w="14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$3.50 - $4.50</w:t>
            </w:r>
          </w:p>
        </w:tc>
        <w:tc>
          <w:tcPr>
            <w:tcW w:w="207" w:type="dxa"/>
            <w:tcBorders/>
            <w:shd w:fill="auto" w:val="clear"/>
            <w:vAlign w:val="bottom"/>
          </w:tcPr>
          <w:p>
            <w:pPr>
              <w:pStyle w:val="TableContents"/>
              <w:spacing w:before="0" w:after="0"/>
              <w:ind w:left="0" w:right="0" w:hanging="0"/>
              <w:rPr/>
            </w:pPr>
            <w:r>
              <w:rPr/>
              <w:t> </w:t>
            </w:r>
          </w:p>
        </w:tc>
        <w:tc>
          <w:tcPr>
            <w:tcW w:w="14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4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7" w:type="dxa"/>
            <w:tcBorders/>
            <w:shd w:fill="auto" w:val="clear"/>
            <w:vAlign w:val="bottom"/>
          </w:tcPr>
          <w:p>
            <w:pPr>
              <w:pStyle w:val="TableContents"/>
              <w:spacing w:before="0" w:after="0"/>
              <w:ind w:left="0" w:right="0" w:hanging="0"/>
              <w:rPr/>
            </w:pPr>
            <w:r>
              <w:rPr/>
              <w:t> </w:t>
            </w:r>
          </w:p>
        </w:tc>
        <w:tc>
          <w:tcPr>
            <w:tcW w:w="14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7" w:type="dxa"/>
            <w:tcBorders/>
            <w:shd w:fill="auto" w:val="clear"/>
            <w:vAlign w:val="bottom"/>
          </w:tcPr>
          <w:p>
            <w:pPr>
              <w:pStyle w:val="TableContents"/>
              <w:spacing w:before="0" w:after="0"/>
              <w:ind w:left="0" w:right="0" w:hanging="0"/>
              <w:rPr/>
            </w:pPr>
            <w:r>
              <w:rPr/>
              <w:t> </w:t>
            </w:r>
          </w:p>
        </w:tc>
        <w:tc>
          <w:tcPr>
            <w:tcW w:w="14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103" w:type="dxa"/>
            <w:tcBorders/>
            <w:shd w:fill="auto" w:val="clear"/>
            <w:vAlign w:val="bottom"/>
          </w:tcPr>
          <w:p>
            <w:pPr>
              <w:pStyle w:val="TableContents"/>
              <w:spacing w:before="0" w:after="0"/>
              <w:ind w:left="0" w:right="0" w:hanging="0"/>
              <w:rPr/>
            </w:pPr>
            <w:r>
              <w:rPr/>
              <w:t> </w:t>
            </w:r>
          </w:p>
        </w:tc>
      </w:tr>
      <w:tr>
        <w:trPr/>
        <w:tc>
          <w:tcPr>
            <w:tcW w:w="156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416" w:type="dxa"/>
            <w:tcBorders/>
            <w:shd w:fill="CCEEFF"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(3)</w:t>
            </w:r>
          </w:p>
        </w:tc>
        <w:tc>
          <w:tcPr>
            <w:tcW w:w="14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$3.50 - $4.25</w:t>
            </w:r>
          </w:p>
        </w:tc>
        <w:tc>
          <w:tcPr>
            <w:tcW w:w="207" w:type="dxa"/>
            <w:tcBorders/>
            <w:shd w:fill="CCEEFF" w:val="clear"/>
            <w:vAlign w:val="bottom"/>
          </w:tcPr>
          <w:p>
            <w:pPr>
              <w:pStyle w:val="TableContents"/>
              <w:spacing w:before="0" w:after="0"/>
              <w:ind w:left="0" w:right="0" w:hanging="0"/>
              <w:rPr/>
            </w:pPr>
            <w:r>
              <w:rPr/>
              <w:t> </w:t>
            </w:r>
          </w:p>
        </w:tc>
        <w:tc>
          <w:tcPr>
            <w:tcW w:w="14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7" w:type="dxa"/>
            <w:tcBorders/>
            <w:shd w:fill="CCEEFF" w:val="clear"/>
            <w:vAlign w:val="bottom"/>
          </w:tcPr>
          <w:p>
            <w:pPr>
              <w:pStyle w:val="TableContents"/>
              <w:spacing w:before="0" w:after="0"/>
              <w:ind w:left="0" w:right="0" w:hanging="0"/>
              <w:rPr/>
            </w:pPr>
            <w:r>
              <w:rPr/>
              <w:t> </w:t>
            </w:r>
          </w:p>
        </w:tc>
        <w:tc>
          <w:tcPr>
            <w:tcW w:w="14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7" w:type="dxa"/>
            <w:tcBorders/>
            <w:shd w:fill="CCEEFF" w:val="clear"/>
            <w:vAlign w:val="bottom"/>
          </w:tcPr>
          <w:p>
            <w:pPr>
              <w:pStyle w:val="TableContents"/>
              <w:spacing w:before="0" w:after="0"/>
              <w:ind w:left="0" w:right="0" w:hanging="0"/>
              <w:rPr/>
            </w:pPr>
            <w:r>
              <w:rPr/>
              <w:t> </w:t>
            </w:r>
          </w:p>
        </w:tc>
        <w:tc>
          <w:tcPr>
            <w:tcW w:w="14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7" w:type="dxa"/>
            <w:tcBorders/>
            <w:shd w:fill="CCEEFF" w:val="clear"/>
            <w:vAlign w:val="bottom"/>
          </w:tcPr>
          <w:p>
            <w:pPr>
              <w:pStyle w:val="TableContents"/>
              <w:spacing w:before="0" w:after="0"/>
              <w:ind w:left="0" w:right="0" w:hanging="0"/>
              <w:rPr/>
            </w:pPr>
            <w:r>
              <w:rPr/>
              <w:t> </w:t>
            </w:r>
          </w:p>
        </w:tc>
        <w:tc>
          <w:tcPr>
            <w:tcW w:w="14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103" w:type="dxa"/>
            <w:tcBorders/>
            <w:shd w:fill="CCEEFF" w:val="clear"/>
            <w:vAlign w:val="bottom"/>
          </w:tcPr>
          <w:p>
            <w:pPr>
              <w:pStyle w:val="TableContents"/>
              <w:spacing w:before="0" w:after="0"/>
              <w:ind w:left="0" w:right="0" w:hanging="0"/>
              <w:rPr/>
            </w:pPr>
            <w:r>
              <w:rPr/>
              <w:t> </w:t>
            </w:r>
          </w:p>
        </w:tc>
      </w:tr>
      <w:tr>
        <w:trPr/>
        <w:tc>
          <w:tcPr>
            <w:tcW w:w="15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416" w:type="dxa"/>
            <w:tcBorders/>
            <w:shd w:fill="auto" w:val="clear"/>
            <w:vAlign w:val="bottom"/>
          </w:tcPr>
          <w:p>
            <w:pPr>
              <w:pStyle w:val="TableContents"/>
              <w:spacing w:before="0" w:after="0"/>
              <w:ind w:left="0" w:right="0" w:hanging="0"/>
              <w:rPr>
                <w:rFonts w:ascii="Times New Roman" w:hAnsi="Times New Roman"/>
                <w:b/>
                <w:sz w:val="11"/>
              </w:rPr>
            </w:pPr>
            <w:r>
              <w:rPr>
                <w:rFonts w:ascii="Times New Roman" w:hAnsi="Times New Roman"/>
                <w:b/>
                <w:sz w:val="11"/>
              </w:rPr>
              <w:t>(4) (5)</w:t>
            </w:r>
          </w:p>
        </w:tc>
        <w:tc>
          <w:tcPr>
            <w:tcW w:w="1459"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4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7" w:type="dxa"/>
            <w:tcBorders/>
            <w:shd w:fill="auto" w:val="clear"/>
            <w:vAlign w:val="bottom"/>
          </w:tcPr>
          <w:p>
            <w:pPr>
              <w:pStyle w:val="TableContents"/>
              <w:spacing w:before="0" w:after="0"/>
              <w:ind w:left="0" w:right="0" w:hanging="0"/>
              <w:rPr/>
            </w:pPr>
            <w:r>
              <w:rPr/>
              <w:t> </w:t>
            </w:r>
          </w:p>
        </w:tc>
        <w:tc>
          <w:tcPr>
            <w:tcW w:w="14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207" w:type="dxa"/>
            <w:tcBorders/>
            <w:shd w:fill="auto" w:val="clear"/>
            <w:vAlign w:val="bottom"/>
          </w:tcPr>
          <w:p>
            <w:pPr>
              <w:pStyle w:val="TableContents"/>
              <w:spacing w:before="0" w:after="0"/>
              <w:ind w:left="0" w:right="0" w:hanging="0"/>
              <w:rPr/>
            </w:pPr>
            <w:r>
              <w:rPr/>
              <w:t> </w:t>
            </w:r>
          </w:p>
        </w:tc>
        <w:tc>
          <w:tcPr>
            <w:tcW w:w="14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7" w:type="dxa"/>
            <w:tcBorders/>
            <w:shd w:fill="auto" w:val="clear"/>
            <w:vAlign w:val="bottom"/>
          </w:tcPr>
          <w:p>
            <w:pPr>
              <w:pStyle w:val="TableContents"/>
              <w:spacing w:before="0" w:after="0"/>
              <w:ind w:left="0" w:right="0" w:hanging="0"/>
              <w:rPr/>
            </w:pPr>
            <w:r>
              <w:rPr/>
              <w:t> </w:t>
            </w:r>
          </w:p>
        </w:tc>
        <w:tc>
          <w:tcPr>
            <w:tcW w:w="14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0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Upon our February 2007 annualized distribution of $3.20, these LTIP awards satisfied all distribution requirements and will vest upon completion of the respective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These LTIP awards have performance conditions requiring the attainment of an annualized distribution of between $3.50 and $4.50 and vest upon the later of a certain date or the attainment of such levels. If the performance conditions are not attained while the grantee remains employed by us, or the grantee does not meet employment requirements, these awards will be forfeited. For purposes of this disclosure, the awards are presented above based on an estimate of future distribution levels and assuming that all grantees remain employed by us through the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These LTIP awards have performance conditions requiring the attainment of an annualized distribution of between $3.50 and $4.25.  For a majority of these LTIP awards, fifty percent will vest at specified dates regardless of whether the performance conditions are attained. For purposes of this disclosure, the awards are presented above based on an estimate of future distribution levels and assuming that all grantees remain employed by us through the vesting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F-39</w:t>
      </w:r>
      <w:bookmarkStart w:id="203" w:name="PB_39_140224_9621"/>
      <w:bookmarkEnd w:id="20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Approximately 2.0 million of our approximately 3.9 million outstanding LTIP awards also include DERs, of which 1.0 million are currently earned.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LTIP units outstanding do not include Class B units described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LTIP activity is summarized in the following table (in millions, except weighted average grant date fair values per unit):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02"/>
        <w:gridCol w:w="205"/>
        <w:gridCol w:w="744"/>
        <w:gridCol w:w="209"/>
        <w:gridCol w:w="121"/>
        <w:gridCol w:w="1351"/>
        <w:gridCol w:w="205"/>
        <w:gridCol w:w="744"/>
        <w:gridCol w:w="209"/>
        <w:gridCol w:w="121"/>
        <w:gridCol w:w="1351"/>
        <w:gridCol w:w="205"/>
        <w:gridCol w:w="743"/>
        <w:gridCol w:w="209"/>
        <w:gridCol w:w="121"/>
        <w:gridCol w:w="1351"/>
        <w:gridCol w:w="114"/>
      </w:tblGrid>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684"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42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5" w:type="dxa"/>
            <w:tcBorders/>
            <w:shd w:fill="auto" w:val="clear"/>
            <w:vAlign w:val="bottom"/>
          </w:tcPr>
          <w:p>
            <w:pPr>
              <w:pStyle w:val="TableContents"/>
              <w:spacing w:before="0" w:after="0"/>
              <w:ind w:left="0" w:right="0" w:hanging="0"/>
              <w:jc w:val="center"/>
              <w:rPr/>
            </w:pPr>
            <w:r>
              <w:rPr/>
              <w:t> </w:t>
            </w:r>
          </w:p>
        </w:tc>
        <w:tc>
          <w:tcPr>
            <w:tcW w:w="242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5" w:type="dxa"/>
            <w:tcBorders/>
            <w:shd w:fill="auto" w:val="clear"/>
            <w:vAlign w:val="bottom"/>
          </w:tcPr>
          <w:p>
            <w:pPr>
              <w:pStyle w:val="TableContents"/>
              <w:spacing w:before="0" w:after="0"/>
              <w:ind w:left="0" w:right="0" w:hanging="0"/>
              <w:jc w:val="center"/>
              <w:rPr/>
            </w:pPr>
            <w:r>
              <w:rPr/>
              <w:t> </w:t>
            </w:r>
          </w:p>
        </w:tc>
        <w:tc>
          <w:tcPr>
            <w:tcW w:w="242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205" w:type="dxa"/>
            <w:tcBorders/>
            <w:shd w:fill="auto" w:val="clear"/>
            <w:vAlign w:val="bottom"/>
          </w:tcPr>
          <w:p>
            <w:pPr>
              <w:pStyle w:val="TableContents"/>
              <w:spacing w:before="0" w:after="0"/>
              <w:ind w:left="0" w:right="0" w:hanging="0"/>
              <w:jc w:val="center"/>
              <w:rPr/>
            </w:pPr>
            <w:r>
              <w:rPr/>
              <w:t> </w:t>
            </w:r>
          </w:p>
        </w:tc>
        <w:tc>
          <w:tcPr>
            <w:tcW w:w="743" w:type="dxa"/>
            <w:tcBorders/>
            <w:shd w:fill="auto" w:val="clear"/>
            <w:vAlign w:val="bottom"/>
          </w:tcPr>
          <w:p>
            <w:pPr>
              <w:pStyle w:val="TableContents"/>
              <w:spacing w:before="0" w:after="0"/>
              <w:ind w:left="0" w:right="0" w:hanging="0"/>
              <w:jc w:val="center"/>
              <w:rPr/>
            </w:pPr>
            <w:r>
              <w:rPr/>
              <w:t> </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7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205" w:type="dxa"/>
            <w:tcBorders/>
            <w:shd w:fill="auto" w:val="clear"/>
            <w:vAlign w:val="bottom"/>
          </w:tcPr>
          <w:p>
            <w:pPr>
              <w:pStyle w:val="TableContents"/>
              <w:spacing w:before="0" w:after="0"/>
              <w:ind w:left="0" w:right="0" w:hanging="0"/>
              <w:jc w:val="center"/>
              <w:rPr/>
            </w:pPr>
            <w:r>
              <w:rPr/>
              <w:t> </w:t>
            </w:r>
          </w:p>
        </w:tc>
        <w:tc>
          <w:tcPr>
            <w:tcW w:w="743"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205" w:type="dxa"/>
            <w:tcBorders/>
            <w:shd w:fill="auto" w:val="clear"/>
            <w:vAlign w:val="bottom"/>
          </w:tcPr>
          <w:p>
            <w:pPr>
              <w:pStyle w:val="TableContents"/>
              <w:spacing w:before="0" w:after="0"/>
              <w:ind w:left="0" w:right="0" w:hanging="0"/>
              <w:jc w:val="center"/>
              <w:rPr/>
            </w:pPr>
            <w:r>
              <w:rPr/>
              <w:t> </w:t>
            </w:r>
          </w:p>
        </w:tc>
        <w:tc>
          <w:tcPr>
            <w:tcW w:w="743" w:type="dxa"/>
            <w:tcBorders/>
            <w:shd w:fill="auto" w:val="clear"/>
            <w:vAlign w:val="bottom"/>
          </w:tcPr>
          <w:p>
            <w:pPr>
              <w:pStyle w:val="TableContents"/>
              <w:spacing w:before="0" w:after="0"/>
              <w:ind w:left="0" w:right="0" w:hanging="0"/>
              <w:jc w:val="center"/>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205" w:type="dxa"/>
            <w:tcBorders/>
            <w:shd w:fill="auto" w:val="clear"/>
            <w:vAlign w:val="bottom"/>
          </w:tcPr>
          <w:p>
            <w:pPr>
              <w:pStyle w:val="TableContents"/>
              <w:spacing w:before="0" w:after="0"/>
              <w:ind w:left="0" w:right="0" w:hanging="0"/>
              <w:jc w:val="center"/>
              <w:rPr/>
            </w:pPr>
            <w:r>
              <w:rPr/>
              <w:t> </w:t>
            </w:r>
          </w:p>
        </w:tc>
        <w:tc>
          <w:tcPr>
            <w:tcW w:w="74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205" w:type="dxa"/>
            <w:tcBorders/>
            <w:shd w:fill="auto" w:val="clear"/>
            <w:vAlign w:val="bottom"/>
          </w:tcPr>
          <w:p>
            <w:pPr>
              <w:pStyle w:val="TableContents"/>
              <w:spacing w:before="0" w:after="0"/>
              <w:ind w:left="0" w:right="0" w:hanging="0"/>
              <w:jc w:val="center"/>
              <w:rPr/>
            </w:pPr>
            <w:r>
              <w:rPr/>
              <w:t> </w:t>
            </w:r>
          </w:p>
        </w:tc>
        <w:tc>
          <w:tcPr>
            <w:tcW w:w="74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9" w:type="dxa"/>
            <w:tcBorders/>
            <w:shd w:fill="auto" w:val="clear"/>
            <w:vAlign w:val="bottom"/>
          </w:tcPr>
          <w:p>
            <w:pPr>
              <w:pStyle w:val="TableContents"/>
              <w:spacing w:before="0" w:after="0"/>
              <w:ind w:left="0" w:right="0" w:hanging="0"/>
              <w:jc w:val="center"/>
              <w:rPr/>
            </w:pPr>
            <w:r>
              <w:rPr/>
              <w:t> </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per Unit</w:t>
            </w:r>
          </w:p>
        </w:tc>
        <w:tc>
          <w:tcPr>
            <w:tcW w:w="114" w:type="dxa"/>
            <w:tcBorders/>
            <w:shd w:fill="auto" w:val="clear"/>
            <w:vAlign w:val="bottom"/>
          </w:tcPr>
          <w:p>
            <w:pPr>
              <w:pStyle w:val="TableContents"/>
              <w:spacing w:before="0" w:after="0"/>
              <w:ind w:left="0" w:right="0" w:hanging="0"/>
              <w:jc w:val="center"/>
              <w:rPr/>
            </w:pPr>
            <w:r>
              <w:rPr/>
              <w:t> </w:t>
            </w:r>
          </w:p>
        </w:tc>
      </w:tr>
      <w:tr>
        <w:trPr/>
        <w:tc>
          <w:tcPr>
            <w:tcW w:w="2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beginning of period</w:t>
            </w:r>
          </w:p>
        </w:tc>
        <w:tc>
          <w:tcPr>
            <w:tcW w:w="205"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9"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36.44</w:t>
            </w:r>
          </w:p>
        </w:tc>
        <w:tc>
          <w:tcPr>
            <w:tcW w:w="205"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9"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37.75</w:t>
            </w:r>
          </w:p>
        </w:tc>
        <w:tc>
          <w:tcPr>
            <w:tcW w:w="205" w:type="dxa"/>
            <w:tcBorders/>
            <w:shd w:fill="CCEEFF" w:val="clear"/>
            <w:vAlign w:val="bottom"/>
          </w:tcPr>
          <w:p>
            <w:pPr>
              <w:pStyle w:val="TableContents"/>
              <w:spacing w:before="0" w:after="0"/>
              <w:ind w:left="0" w:right="0" w:hanging="0"/>
              <w:rPr/>
            </w:pPr>
            <w:r>
              <w:rPr/>
              <w:t> </w:t>
            </w:r>
          </w:p>
        </w:tc>
        <w:tc>
          <w:tcPr>
            <w:tcW w:w="7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9"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31.94</w:t>
            </w:r>
          </w:p>
        </w:tc>
        <w:tc>
          <w:tcPr>
            <w:tcW w:w="114"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205"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9"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32.20</w:t>
            </w:r>
          </w:p>
        </w:tc>
        <w:tc>
          <w:tcPr>
            <w:tcW w:w="205"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09"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31.79</w:t>
            </w:r>
          </w:p>
        </w:tc>
        <w:tc>
          <w:tcPr>
            <w:tcW w:w="205" w:type="dxa"/>
            <w:tcBorders/>
            <w:shd w:fill="auto" w:val="clear"/>
            <w:vAlign w:val="bottom"/>
          </w:tcPr>
          <w:p>
            <w:pPr>
              <w:pStyle w:val="TableContents"/>
              <w:spacing w:before="0" w:after="0"/>
              <w:ind w:left="0" w:right="0" w:hanging="0"/>
              <w:rPr/>
            </w:pPr>
            <w:r>
              <w:rPr/>
              <w:t> </w:t>
            </w:r>
          </w:p>
        </w:tc>
        <w:tc>
          <w:tcPr>
            <w:tcW w:w="7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9"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47.25</w:t>
            </w:r>
          </w:p>
        </w:tc>
        <w:tc>
          <w:tcPr>
            <w:tcW w:w="114"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205"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34.55</w:t>
            </w:r>
          </w:p>
        </w:tc>
        <w:tc>
          <w:tcPr>
            <w:tcW w:w="205" w:type="dxa"/>
            <w:tcBorders/>
            <w:shd w:fill="CCEEFF" w:val="clear"/>
            <w:vAlign w:val="bottom"/>
          </w:tcPr>
          <w:p>
            <w:pPr>
              <w:pStyle w:val="TableContents"/>
              <w:spacing w:before="0" w:after="0"/>
              <w:ind w:left="0" w:right="0" w:hanging="0"/>
              <w:rPr/>
            </w:pPr>
            <w:r>
              <w:rPr/>
              <w:t> </w:t>
            </w:r>
          </w:p>
        </w:tc>
        <w:tc>
          <w:tcPr>
            <w:tcW w:w="74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32.44</w:t>
            </w:r>
          </w:p>
        </w:tc>
        <w:tc>
          <w:tcPr>
            <w:tcW w:w="205" w:type="dxa"/>
            <w:tcBorders/>
            <w:shd w:fill="CCEEFF" w:val="clear"/>
            <w:vAlign w:val="bottom"/>
          </w:tcPr>
          <w:p>
            <w:pPr>
              <w:pStyle w:val="TableContents"/>
              <w:spacing w:before="0" w:after="0"/>
              <w:ind w:left="0" w:right="0" w:hanging="0"/>
              <w:rPr/>
            </w:pPr>
            <w:r>
              <w:rPr/>
              <w:t> </w:t>
            </w:r>
          </w:p>
        </w:tc>
        <w:tc>
          <w:tcPr>
            <w:tcW w:w="7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34.86</w:t>
            </w:r>
          </w:p>
        </w:tc>
        <w:tc>
          <w:tcPr>
            <w:tcW w:w="114"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205"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205" w:type="dxa"/>
            <w:tcBorders/>
            <w:shd w:fill="auto" w:val="clear"/>
            <w:vAlign w:val="bottom"/>
          </w:tcPr>
          <w:p>
            <w:pPr>
              <w:pStyle w:val="TableContents"/>
              <w:spacing w:before="0" w:after="0"/>
              <w:ind w:left="0" w:right="0" w:hanging="0"/>
              <w:rPr/>
            </w:pPr>
            <w:r>
              <w:rPr/>
              <w:t> </w:t>
            </w:r>
          </w:p>
        </w:tc>
        <w:tc>
          <w:tcPr>
            <w:tcW w:w="74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36.14</w:t>
            </w:r>
          </w:p>
        </w:tc>
        <w:tc>
          <w:tcPr>
            <w:tcW w:w="205" w:type="dxa"/>
            <w:tcBorders/>
            <w:shd w:fill="auto" w:val="clear"/>
            <w:vAlign w:val="bottom"/>
          </w:tcPr>
          <w:p>
            <w:pPr>
              <w:pStyle w:val="TableContents"/>
              <w:spacing w:before="0" w:after="0"/>
              <w:ind w:left="0" w:right="0" w:hanging="0"/>
              <w:rPr/>
            </w:pPr>
            <w:r>
              <w:rPr/>
              <w:t> </w:t>
            </w:r>
          </w:p>
        </w:tc>
        <w:tc>
          <w:tcPr>
            <w:tcW w:w="7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36.00</w:t>
            </w:r>
          </w:p>
        </w:tc>
        <w:tc>
          <w:tcPr>
            <w:tcW w:w="114" w:type="dxa"/>
            <w:tcBorders/>
            <w:shd w:fill="auto" w:val="clear"/>
            <w:vAlign w:val="bottom"/>
          </w:tcPr>
          <w:p>
            <w:pPr>
              <w:pStyle w:val="TableContents"/>
              <w:spacing w:before="0" w:after="0"/>
              <w:ind w:left="0" w:right="0" w:hanging="0"/>
              <w:rPr/>
            </w:pPr>
            <w:r>
              <w:rPr/>
              <w:t> </w:t>
            </w:r>
          </w:p>
        </w:tc>
      </w:tr>
      <w:tr>
        <w:trPr/>
        <w:tc>
          <w:tcPr>
            <w:tcW w:w="2202" w:type="dxa"/>
            <w:tcBorders/>
            <w:shd w:fill="CCEEFF" w:val="clear"/>
            <w:vAlign w:val="bottom"/>
          </w:tcPr>
          <w:p>
            <w:pPr>
              <w:pStyle w:val="TableContents"/>
              <w:spacing w:before="0" w:after="0"/>
              <w:ind w:left="0" w:right="0" w:hanging="0"/>
              <w:rPr/>
            </w:pPr>
            <w:r>
              <w:rPr>
                <w:rFonts w:ascii="Times New Roman" w:hAnsi="Times New Roman"/>
                <w:sz w:val="17"/>
              </w:rPr>
              <w:t xml:space="preserve">Acquired </w:t>
            </w:r>
            <w:r>
              <w:rPr>
                <w:sz w:val="11"/>
              </w:rPr>
              <w:t>(1)</w:t>
            </w:r>
          </w:p>
        </w:tc>
        <w:tc>
          <w:tcPr>
            <w:tcW w:w="205" w:type="dxa"/>
            <w:tcBorders/>
            <w:shd w:fill="CCEEFF" w:val="clear"/>
            <w:vAlign w:val="bottom"/>
          </w:tcPr>
          <w:p>
            <w:pPr>
              <w:pStyle w:val="TableContents"/>
              <w:spacing w:before="0" w:after="0"/>
              <w:ind w:left="0" w:right="0" w:hanging="0"/>
              <w:rPr/>
            </w:pPr>
            <w:r>
              <w:rPr/>
              <w:t> </w:t>
            </w:r>
          </w:p>
        </w:tc>
        <w:tc>
          <w:tcPr>
            <w:tcW w:w="74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09" w:type="dxa"/>
            <w:tcBorders/>
            <w:shd w:fill="CCEEFF" w:val="clear"/>
            <w:vAlign w:val="bottom"/>
          </w:tcPr>
          <w:p>
            <w:pPr>
              <w:pStyle w:val="TableContents"/>
              <w:spacing w:before="0" w:after="0"/>
              <w:ind w:left="0" w:right="0" w:hanging="0"/>
              <w:rPr/>
            </w:pPr>
            <w:r>
              <w:rPr/>
              <w:t> </w:t>
            </w:r>
          </w:p>
        </w:tc>
        <w:tc>
          <w:tcPr>
            <w:tcW w:w="14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26.24</w:t>
            </w:r>
          </w:p>
        </w:tc>
        <w:tc>
          <w:tcPr>
            <w:tcW w:w="205" w:type="dxa"/>
            <w:tcBorders/>
            <w:shd w:fill="CCEEFF" w:val="clear"/>
            <w:vAlign w:val="bottom"/>
          </w:tcPr>
          <w:p>
            <w:pPr>
              <w:pStyle w:val="TableContents"/>
              <w:spacing w:before="0" w:after="0"/>
              <w:ind w:left="0" w:right="0" w:hanging="0"/>
              <w:rPr/>
            </w:pPr>
            <w:r>
              <w:rPr/>
              <w:t> </w:t>
            </w:r>
          </w:p>
        </w:tc>
        <w:tc>
          <w:tcPr>
            <w:tcW w:w="74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4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5" w:type="dxa"/>
            <w:tcBorders/>
            <w:shd w:fill="CCEEFF" w:val="clear"/>
            <w:vAlign w:val="bottom"/>
          </w:tcPr>
          <w:p>
            <w:pPr>
              <w:pStyle w:val="TableContents"/>
              <w:spacing w:before="0" w:after="0"/>
              <w:ind w:left="0" w:right="0" w:hanging="0"/>
              <w:rPr/>
            </w:pPr>
            <w:r>
              <w:rPr/>
              <w:t> </w:t>
            </w:r>
          </w:p>
        </w:tc>
        <w:tc>
          <w:tcPr>
            <w:tcW w:w="74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4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2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Outstanding at end of period</w:t>
            </w:r>
          </w:p>
        </w:tc>
        <w:tc>
          <w:tcPr>
            <w:tcW w:w="205" w:type="dxa"/>
            <w:tcBorders/>
            <w:shd w:fill="auto" w:val="clear"/>
            <w:vAlign w:val="bottom"/>
          </w:tcPr>
          <w:p>
            <w:pPr>
              <w:pStyle w:val="TableContents"/>
              <w:spacing w:before="0" w:after="0"/>
              <w:ind w:left="0" w:right="0" w:hanging="0"/>
              <w:rPr/>
            </w:pPr>
            <w:r>
              <w:rPr/>
              <w:t> </w:t>
            </w:r>
          </w:p>
        </w:tc>
        <w:tc>
          <w:tcPr>
            <w:tcW w:w="7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9"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36.40</w:t>
            </w:r>
          </w:p>
        </w:tc>
        <w:tc>
          <w:tcPr>
            <w:tcW w:w="205" w:type="dxa"/>
            <w:tcBorders/>
            <w:shd w:fill="auto" w:val="clear"/>
            <w:vAlign w:val="bottom"/>
          </w:tcPr>
          <w:p>
            <w:pPr>
              <w:pStyle w:val="TableContents"/>
              <w:spacing w:before="0" w:after="0"/>
              <w:ind w:left="0" w:right="0" w:hanging="0"/>
              <w:rPr/>
            </w:pPr>
            <w:r>
              <w:rPr/>
              <w:t> </w:t>
            </w:r>
          </w:p>
        </w:tc>
        <w:tc>
          <w:tcPr>
            <w:tcW w:w="74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9"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36.44</w:t>
            </w:r>
          </w:p>
        </w:tc>
        <w:tc>
          <w:tcPr>
            <w:tcW w:w="205" w:type="dxa"/>
            <w:tcBorders/>
            <w:shd w:fill="auto" w:val="clear"/>
            <w:vAlign w:val="bottom"/>
          </w:tcPr>
          <w:p>
            <w:pPr>
              <w:pStyle w:val="TableContents"/>
              <w:spacing w:before="0" w:after="0"/>
              <w:ind w:left="0" w:right="0" w:hanging="0"/>
              <w:rPr/>
            </w:pPr>
            <w:r>
              <w:rPr/>
              <w:t> </w:t>
            </w:r>
          </w:p>
        </w:tc>
        <w:tc>
          <w:tcPr>
            <w:tcW w:w="74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9"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37.75</w:t>
            </w:r>
          </w:p>
        </w:tc>
        <w:tc>
          <w:tcPr>
            <w:tcW w:w="11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 a result of the PNGS Acquisition, LTIP awards that were granted to PNGS employees in prior years are now included in our consolidated outstanding LTIP awards.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accrued liability at December 31, 2009 related to all outstanding LTIP awards and DERs is approximately $87 million, which includes an accrual associated with our assessment that an annualized distribution of $3.90 is probable of occurring. We have not deemed a distribution of more than $3.90 to be probable.  At December 31, 2008, the accrued liability was approximately $55 million.</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Class B Units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2007, the owners of Plains AAP, L.P. authorized the issuance of up to 200,000 Class B units of Plains AAP, L.P.  Class B units become earned in various increments upon us achieving annualized distribution levels of $3.50, $3.75, $4.00 and $4.50 (or in some cases, within six months thereof). When earned, the Class B unit awards are entitled to participate in distributions paid by Plains AAP, L.P. in excess of $11 million (as adjusted for debt service costs and excluding special distributions funded by debt) per quarter. Assuming all 200,000 Class B units were granted and earned, the maximum participation would be 8% of Plains AAP, L.P.s distribution in excess of $11 million (as adjusted) each quarter.  The following table contains a summary of Class B unit awards that were (i) reserved for future grants, (ii) outstanding and (iii) earned for the years ended December 31, 2009 and 2008:</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20"/>
        <w:gridCol w:w="167"/>
        <w:gridCol w:w="1612"/>
        <w:gridCol w:w="184"/>
        <w:gridCol w:w="1419"/>
        <w:gridCol w:w="167"/>
        <w:gridCol w:w="1834"/>
        <w:gridCol w:w="109"/>
        <w:gridCol w:w="109"/>
        <w:gridCol w:w="443"/>
        <w:gridCol w:w="1624"/>
        <w:gridCol w:w="117"/>
      </w:tblGrid>
      <w:tr>
        <w:trPr/>
        <w:tc>
          <w:tcPr>
            <w:tcW w:w="2420"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61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w:t>
              <w:br/>
              <w:t>Future Grants</w:t>
            </w:r>
          </w:p>
        </w:tc>
        <w:tc>
          <w:tcPr>
            <w:tcW w:w="184" w:type="dxa"/>
            <w:tcBorders/>
            <w:shd w:fill="auto" w:val="clear"/>
            <w:vAlign w:val="bottom"/>
          </w:tcPr>
          <w:p>
            <w:pPr>
              <w:pStyle w:val="TableContents"/>
              <w:spacing w:before="0" w:after="0"/>
              <w:ind w:left="0" w:right="0" w:hanging="0"/>
              <w:jc w:val="center"/>
              <w:rPr/>
            </w:pPr>
            <w:r>
              <w:rPr/>
              <w:t> </w:t>
            </w:r>
          </w:p>
        </w:tc>
        <w:tc>
          <w:tcPr>
            <w:tcW w:w="141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w:t>
            </w:r>
          </w:p>
        </w:tc>
        <w:tc>
          <w:tcPr>
            <w:tcW w:w="167" w:type="dxa"/>
            <w:tcBorders/>
            <w:shd w:fill="auto" w:val="clear"/>
            <w:vAlign w:val="bottom"/>
          </w:tcPr>
          <w:p>
            <w:pPr>
              <w:pStyle w:val="TableContents"/>
              <w:spacing w:before="0" w:after="0"/>
              <w:ind w:left="0" w:right="0" w:hanging="0"/>
              <w:jc w:val="center"/>
              <w:rPr/>
            </w:pPr>
            <w:r>
              <w:rPr/>
              <w:t> </w:t>
            </w:r>
          </w:p>
        </w:tc>
        <w:tc>
          <w:tcPr>
            <w:tcW w:w="183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br/>
              <w:t>Earned</w:t>
            </w:r>
          </w:p>
        </w:tc>
        <w:tc>
          <w:tcPr>
            <w:tcW w:w="218" w:type="dxa"/>
            <w:gridSpan w:val="2"/>
            <w:tcBorders/>
            <w:shd w:fill="auto" w:val="clear"/>
            <w:vAlign w:val="bottom"/>
          </w:tcPr>
          <w:p>
            <w:pPr>
              <w:pStyle w:val="TableContents"/>
              <w:spacing w:before="0" w:after="0"/>
              <w:ind w:left="0" w:right="0" w:hanging="0"/>
              <w:jc w:val="center"/>
              <w:rPr/>
            </w:pPr>
            <w:r>
              <w:rPr/>
              <w:t> </w:t>
            </w:r>
          </w:p>
        </w:tc>
        <w:tc>
          <w:tcPr>
            <w:tcW w:w="20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 Date</w:t>
            </w:r>
            <w:r>
              <w:rPr>
                <w:b/>
                <w:sz w:val="13"/>
              </w:rPr>
              <w:br/>
              <w:t>Fair Value Of</w:t>
              <w:br/>
              <w:t>Outstanding Class B</w:t>
              <w:br/>
              <w:t>Units </w:t>
            </w:r>
            <w:r>
              <w:rPr>
                <w:b/>
                <w:sz w:val="8"/>
              </w:rPr>
              <w:t>(1)</w:t>
            </w:r>
          </w:p>
        </w:tc>
        <w:tc>
          <w:tcPr>
            <w:tcW w:w="117" w:type="dxa"/>
            <w:tcBorders/>
            <w:shd w:fill="auto" w:val="clear"/>
            <w:vAlign w:val="bottom"/>
          </w:tcPr>
          <w:p>
            <w:pPr>
              <w:pStyle w:val="TableContents"/>
              <w:spacing w:before="0" w:after="0"/>
              <w:ind w:left="0" w:right="0" w:hanging="0"/>
              <w:jc w:val="center"/>
              <w:rPr/>
            </w:pPr>
            <w:r>
              <w:rPr/>
              <w:t> </w:t>
            </w:r>
          </w:p>
        </w:tc>
      </w:tr>
      <w:tr>
        <w:trPr/>
        <w:tc>
          <w:tcPr>
            <w:tcW w:w="2420"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612"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419" w:type="dxa"/>
            <w:tcBorders/>
            <w:shd w:fill="auto" w:val="clear"/>
            <w:vAlign w:val="bottom"/>
          </w:tcPr>
          <w:p>
            <w:pPr>
              <w:pStyle w:val="TableContents"/>
              <w:spacing w:before="0" w:after="0"/>
              <w:ind w:left="0" w:right="0" w:hanging="0"/>
              <w:jc w:val="center"/>
              <w:rPr/>
            </w:pPr>
            <w:r>
              <w:rPr/>
              <w:t> </w:t>
            </w:r>
          </w:p>
        </w:tc>
        <w:tc>
          <w:tcPr>
            <w:tcW w:w="167" w:type="dxa"/>
            <w:tcBorders/>
            <w:shd w:fill="auto" w:val="clear"/>
            <w:vAlign w:val="bottom"/>
          </w:tcPr>
          <w:p>
            <w:pPr>
              <w:pStyle w:val="TableContents"/>
              <w:spacing w:before="0" w:after="0"/>
              <w:ind w:left="0" w:right="0" w:hanging="0"/>
              <w:jc w:val="center"/>
              <w:rPr/>
            </w:pPr>
            <w:r>
              <w:rPr/>
              <w:t> </w:t>
            </w:r>
          </w:p>
        </w:tc>
        <w:tc>
          <w:tcPr>
            <w:tcW w:w="1834" w:type="dxa"/>
            <w:tcBorders/>
            <w:shd w:fill="auto" w:val="clear"/>
            <w:vAlign w:val="bottom"/>
          </w:tcPr>
          <w:p>
            <w:pPr>
              <w:pStyle w:val="TableContents"/>
              <w:spacing w:before="0" w:after="0"/>
              <w:ind w:left="0" w:right="0" w:hanging="0"/>
              <w:jc w:val="center"/>
              <w:rPr/>
            </w:pPr>
            <w:r>
              <w:rPr/>
              <w:t> </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jc w:val="center"/>
              <w:rPr/>
            </w:pPr>
            <w:r>
              <w:rPr/>
              <w:t> </w:t>
            </w:r>
          </w:p>
        </w:tc>
        <w:tc>
          <w:tcPr>
            <w:tcW w:w="109" w:type="dxa"/>
            <w:tcBorders/>
            <w:shd w:fill="auto" w:val="clear"/>
            <w:vAlign w:val="bottom"/>
          </w:tcPr>
          <w:p>
            <w:pPr>
              <w:pStyle w:val="TableContents"/>
              <w:spacing w:before="0" w:after="0"/>
              <w:ind w:left="0" w:right="0" w:hanging="0"/>
              <w:jc w:val="center"/>
              <w:rPr/>
            </w:pPr>
            <w:r>
              <w:rPr/>
              <w:t> </w:t>
            </w:r>
          </w:p>
        </w:tc>
        <w:tc>
          <w:tcPr>
            <w:tcW w:w="206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7" w:type="dxa"/>
            <w:tcBorders/>
            <w:shd w:fill="auto" w:val="clear"/>
            <w:vAlign w:val="bottom"/>
          </w:tcPr>
          <w:p>
            <w:pPr>
              <w:pStyle w:val="TableContents"/>
              <w:spacing w:before="0" w:after="0"/>
              <w:ind w:left="0" w:right="0" w:hanging="0"/>
              <w:jc w:val="center"/>
              <w:rPr/>
            </w:pPr>
            <w:r>
              <w:rPr/>
              <w:t> </w:t>
            </w:r>
          </w:p>
        </w:tc>
      </w:tr>
      <w:tr>
        <w:trPr/>
        <w:tc>
          <w:tcPr>
            <w:tcW w:w="24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2008</w:t>
            </w:r>
          </w:p>
        </w:tc>
        <w:tc>
          <w:tcPr>
            <w:tcW w:w="167" w:type="dxa"/>
            <w:tcBorders/>
            <w:shd w:fill="CCEEFF" w:val="clear"/>
            <w:vAlign w:val="bottom"/>
          </w:tcPr>
          <w:p>
            <w:pPr>
              <w:pStyle w:val="TableContents"/>
              <w:spacing w:before="0" w:after="0"/>
              <w:ind w:left="0" w:right="0" w:hanging="0"/>
              <w:rPr/>
            </w:pPr>
            <w:r>
              <w:rPr/>
              <w:t> </w:t>
            </w:r>
          </w:p>
        </w:tc>
        <w:tc>
          <w:tcPr>
            <w:tcW w:w="16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46,000</w:t>
            </w:r>
          </w:p>
        </w:tc>
        <w:tc>
          <w:tcPr>
            <w:tcW w:w="184" w:type="dxa"/>
            <w:tcBorders/>
            <w:shd w:fill="CCEEFF" w:val="clear"/>
            <w:vAlign w:val="bottom"/>
          </w:tcPr>
          <w:p>
            <w:pPr>
              <w:pStyle w:val="TableContents"/>
              <w:spacing w:before="0" w:after="0"/>
              <w:ind w:left="0" w:right="0" w:hanging="0"/>
              <w:rPr/>
            </w:pPr>
            <w:r>
              <w:rPr/>
              <w:t> </w:t>
            </w:r>
          </w:p>
        </w:tc>
        <w:tc>
          <w:tcPr>
            <w:tcW w:w="141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154,000</w:t>
            </w:r>
          </w:p>
        </w:tc>
        <w:tc>
          <w:tcPr>
            <w:tcW w:w="167" w:type="dxa"/>
            <w:tcBorders/>
            <w:shd w:fill="CCEEFF" w:val="clear"/>
            <w:vAlign w:val="bottom"/>
          </w:tcPr>
          <w:p>
            <w:pPr>
              <w:pStyle w:val="TableContents"/>
              <w:spacing w:before="0" w:after="0"/>
              <w:ind w:left="0" w:right="0" w:hanging="0"/>
              <w:rPr/>
            </w:pPr>
            <w:r>
              <w:rPr/>
              <w:t> </w:t>
            </w:r>
          </w:p>
        </w:tc>
        <w:tc>
          <w:tcPr>
            <w:tcW w:w="1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21,000</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pPr>
            <w:r>
              <w:rPr/>
              <w:t> </w:t>
            </w:r>
          </w:p>
        </w:tc>
        <w:tc>
          <w:tcPr>
            <w:tcW w:w="4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7" w:type="dxa"/>
            <w:tcBorders/>
            <w:shd w:fill="CCEEFF" w:val="clear"/>
            <w:vAlign w:val="bottom"/>
          </w:tcPr>
          <w:p>
            <w:pPr>
              <w:pStyle w:val="TableContents"/>
              <w:spacing w:before="0" w:after="0"/>
              <w:ind w:left="0" w:right="0" w:hanging="0"/>
              <w:rPr/>
            </w:pPr>
            <w:r>
              <w:rPr/>
              <w:t> </w:t>
            </w:r>
          </w:p>
        </w:tc>
      </w:tr>
      <w:tr>
        <w:trPr/>
        <w:tc>
          <w:tcPr>
            <w:tcW w:w="24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 issuance</w:t>
            </w:r>
          </w:p>
        </w:tc>
        <w:tc>
          <w:tcPr>
            <w:tcW w:w="167" w:type="dxa"/>
            <w:tcBorders/>
            <w:shd w:fill="auto" w:val="clear"/>
            <w:vAlign w:val="bottom"/>
          </w:tcPr>
          <w:p>
            <w:pPr>
              <w:pStyle w:val="TableContents"/>
              <w:spacing w:before="0" w:after="0"/>
              <w:ind w:left="0" w:right="0" w:hanging="0"/>
              <w:rPr/>
            </w:pPr>
            <w:r>
              <w:rPr/>
              <w:t> </w:t>
            </w:r>
          </w:p>
        </w:tc>
        <w:tc>
          <w:tcPr>
            <w:tcW w:w="16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(11,500</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11,500</w:t>
            </w:r>
          </w:p>
        </w:tc>
        <w:tc>
          <w:tcPr>
            <w:tcW w:w="167" w:type="dxa"/>
            <w:tcBorders/>
            <w:shd w:fill="auto" w:val="clear"/>
            <w:vAlign w:val="bottom"/>
          </w:tcPr>
          <w:p>
            <w:pPr>
              <w:pStyle w:val="TableContents"/>
              <w:spacing w:before="0" w:after="0"/>
              <w:ind w:left="0" w:right="0" w:hanging="0"/>
              <w:rPr/>
            </w:pPr>
            <w:r>
              <w:rPr/>
              <w:t> </w:t>
            </w:r>
          </w:p>
        </w:tc>
        <w:tc>
          <w:tcPr>
            <w:tcW w:w="1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20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7" w:type="dxa"/>
            <w:tcBorders/>
            <w:shd w:fill="auto" w:val="clear"/>
            <w:vAlign w:val="bottom"/>
          </w:tcPr>
          <w:p>
            <w:pPr>
              <w:pStyle w:val="TableContents"/>
              <w:spacing w:before="0" w:after="0"/>
              <w:ind w:left="0" w:right="0" w:hanging="0"/>
              <w:rPr/>
            </w:pPr>
            <w:r>
              <w:rPr/>
              <w:t> </w:t>
            </w:r>
          </w:p>
        </w:tc>
      </w:tr>
      <w:tr>
        <w:trPr/>
        <w:tc>
          <w:tcPr>
            <w:tcW w:w="24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Class B units earned</w:t>
            </w:r>
          </w:p>
        </w:tc>
        <w:tc>
          <w:tcPr>
            <w:tcW w:w="167" w:type="dxa"/>
            <w:tcBorders/>
            <w:shd w:fill="CCEEFF" w:val="clear"/>
            <w:vAlign w:val="bottom"/>
          </w:tcPr>
          <w:p>
            <w:pPr>
              <w:pStyle w:val="TableContents"/>
              <w:spacing w:before="0" w:after="0"/>
              <w:ind w:left="0" w:right="0" w:hanging="0"/>
              <w:rPr/>
            </w:pPr>
            <w:r>
              <w:rPr/>
              <w:t> </w:t>
            </w:r>
          </w:p>
        </w:tc>
        <w:tc>
          <w:tcPr>
            <w:tcW w:w="161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41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183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17,500</w:t>
            </w:r>
          </w:p>
        </w:tc>
        <w:tc>
          <w:tcPr>
            <w:tcW w:w="10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pPr>
            <w:r>
              <w:rPr/>
              <w:t> </w:t>
            </w:r>
          </w:p>
        </w:tc>
        <w:tc>
          <w:tcPr>
            <w:tcW w:w="20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7" w:type="dxa"/>
            <w:tcBorders/>
            <w:shd w:fill="CCEEFF" w:val="clear"/>
            <w:vAlign w:val="bottom"/>
          </w:tcPr>
          <w:p>
            <w:pPr>
              <w:pStyle w:val="TableContents"/>
              <w:spacing w:before="0" w:after="0"/>
              <w:ind w:left="0" w:right="0" w:hanging="0"/>
              <w:rPr/>
            </w:pPr>
            <w:r>
              <w:rPr/>
              <w:t> </w:t>
            </w:r>
          </w:p>
        </w:tc>
      </w:tr>
      <w:tr>
        <w:trPr/>
        <w:tc>
          <w:tcPr>
            <w:tcW w:w="24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as of December 31, 2009</w:t>
            </w:r>
          </w:p>
        </w:tc>
        <w:tc>
          <w:tcPr>
            <w:tcW w:w="167" w:type="dxa"/>
            <w:tcBorders/>
            <w:shd w:fill="auto" w:val="clear"/>
            <w:vAlign w:val="bottom"/>
          </w:tcPr>
          <w:p>
            <w:pPr>
              <w:pStyle w:val="TableContents"/>
              <w:spacing w:before="0" w:after="0"/>
              <w:ind w:left="0" w:right="0" w:hanging="0"/>
              <w:rPr/>
            </w:pPr>
            <w:r>
              <w:rPr/>
              <w:t> </w:t>
            </w:r>
          </w:p>
        </w:tc>
        <w:tc>
          <w:tcPr>
            <w:tcW w:w="161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34,500</w:t>
            </w:r>
          </w:p>
        </w:tc>
        <w:tc>
          <w:tcPr>
            <w:tcW w:w="184" w:type="dxa"/>
            <w:tcBorders/>
            <w:shd w:fill="auto" w:val="clear"/>
            <w:vAlign w:val="bottom"/>
          </w:tcPr>
          <w:p>
            <w:pPr>
              <w:pStyle w:val="TableContents"/>
              <w:spacing w:before="0" w:after="0"/>
              <w:ind w:left="0" w:right="0" w:hanging="0"/>
              <w:rPr/>
            </w:pPr>
            <w:r>
              <w:rPr/>
              <w:t> </w:t>
            </w:r>
          </w:p>
        </w:tc>
        <w:tc>
          <w:tcPr>
            <w:tcW w:w="141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165,500</w:t>
            </w:r>
          </w:p>
        </w:tc>
        <w:tc>
          <w:tcPr>
            <w:tcW w:w="167" w:type="dxa"/>
            <w:tcBorders/>
            <w:shd w:fill="auto" w:val="clear"/>
            <w:vAlign w:val="bottom"/>
          </w:tcPr>
          <w:p>
            <w:pPr>
              <w:pStyle w:val="TableContents"/>
              <w:spacing w:before="0" w:after="0"/>
              <w:ind w:left="0" w:right="0" w:hanging="0"/>
              <w:rPr/>
            </w:pPr>
            <w:r>
              <w:rPr/>
              <w:t> </w:t>
            </w:r>
          </w:p>
        </w:tc>
        <w:tc>
          <w:tcPr>
            <w:tcW w:w="183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38,500</w:t>
            </w:r>
          </w:p>
        </w:tc>
        <w:tc>
          <w:tcPr>
            <w:tcW w:w="10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4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Of the grant date fair value, approximately $5 million and $12 million was recognized as expense during the years ended December 31,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Although the entire economic burden of the Class B units which are equity classified, is borne solely by Plains AAP, L.P. and does not impact our cash or units outstanding, the intent of the Class B units is to provide a performance incentive and encourage retention for certain members of our senior management. Therefore, we recognize the grant date fair value of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F-40</w:t>
      </w:r>
      <w:bookmarkStart w:id="204" w:name="PB_40_141220_8715"/>
      <w:bookmarkEnd w:id="20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Class B units as compensation expense over the service period. The expense is also reflected as a capital contribution and thus, results in a corresponding credit to Partners Capital in our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Other Consolidated Equity Compensation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refer to our LTIP Plans and the Class B units collectively as Equity compensation plans. The table below summarizes the expense recognized and the value of vesting (settled both in units and cash) related to our equity compensation plans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68"/>
        <w:gridCol w:w="216"/>
        <w:gridCol w:w="120"/>
        <w:gridCol w:w="1070"/>
        <w:gridCol w:w="216"/>
        <w:gridCol w:w="120"/>
        <w:gridCol w:w="1070"/>
        <w:gridCol w:w="216"/>
        <w:gridCol w:w="120"/>
        <w:gridCol w:w="1070"/>
        <w:gridCol w:w="119"/>
      </w:tblGrid>
      <w:tr>
        <w:trPr/>
        <w:tc>
          <w:tcPr>
            <w:tcW w:w="586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400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5868"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9" w:type="dxa"/>
            <w:tcBorders/>
            <w:shd w:fill="auto" w:val="clear"/>
            <w:vAlign w:val="bottom"/>
          </w:tcPr>
          <w:p>
            <w:pPr>
              <w:pStyle w:val="TableContents"/>
              <w:spacing w:before="0" w:after="0"/>
              <w:ind w:left="0" w:right="0" w:hanging="0"/>
              <w:jc w:val="center"/>
              <w:rPr/>
            </w:pPr>
            <w:r>
              <w:rPr/>
              <w:t> </w:t>
            </w:r>
          </w:p>
        </w:tc>
      </w:tr>
      <w:tr>
        <w:trPr/>
        <w:tc>
          <w:tcPr>
            <w:tcW w:w="5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9" w:type="dxa"/>
            <w:tcBorders/>
            <w:shd w:fill="CCEEFF" w:val="clear"/>
            <w:vAlign w:val="bottom"/>
          </w:tcPr>
          <w:p>
            <w:pPr>
              <w:pStyle w:val="TableContents"/>
              <w:spacing w:before="0" w:after="0"/>
              <w:ind w:left="0" w:right="0" w:hanging="0"/>
              <w:rPr/>
            </w:pPr>
            <w:r>
              <w:rPr/>
              <w:t> </w:t>
            </w:r>
          </w:p>
        </w:tc>
      </w:tr>
      <w:tr>
        <w:trPr/>
        <w:tc>
          <w:tcPr>
            <w:tcW w:w="5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unit vestings</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9" w:type="dxa"/>
            <w:tcBorders/>
            <w:shd w:fill="auto" w:val="clear"/>
            <w:vAlign w:val="bottom"/>
          </w:tcPr>
          <w:p>
            <w:pPr>
              <w:pStyle w:val="TableContents"/>
              <w:spacing w:before="0" w:after="0"/>
              <w:ind w:left="0" w:right="0" w:hanging="0"/>
              <w:rPr/>
            </w:pPr>
            <w:r>
              <w:rPr/>
              <w:t> </w:t>
            </w:r>
          </w:p>
        </w:tc>
      </w:tr>
      <w:tr>
        <w:trPr/>
        <w:tc>
          <w:tcPr>
            <w:tcW w:w="58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 settled vestings</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9" w:type="dxa"/>
            <w:tcBorders/>
            <w:shd w:fill="CCEEFF" w:val="clear"/>
            <w:vAlign w:val="bottom"/>
          </w:tcPr>
          <w:p>
            <w:pPr>
              <w:pStyle w:val="TableContents"/>
              <w:spacing w:before="0" w:after="0"/>
              <w:ind w:left="0" w:right="0" w:hanging="0"/>
              <w:rPr/>
            </w:pPr>
            <w:r>
              <w:rPr/>
              <w:t> </w:t>
            </w:r>
          </w:p>
        </w:tc>
      </w:tr>
      <w:tr>
        <w:trPr/>
        <w:tc>
          <w:tcPr>
            <w:tcW w:w="58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Approximately 0.5 million and 0.3 million units were issued in 2009 and 2007, respectively, in connection with the settlement of vested awards. The remaining 0.1 million, 0.1 million and 0.4 million of awards that vested during 2009, 2008 and 2007, respectively, were settled in cash. Based on the December 31, 2009 fair value measurement and probability assessment regarding future distributions, we expect to recognize approximately $52 million of additional expense over the life of our outstanding awards related to the remaining unrecognized fair value. This estimate is based on the closing market price of our units of $52.85 at December 31, 2009. Actual amounts may differ materially as a result of a change in the market price of our units and/or probability assessment regarding future distributions. We estimate that the remaining fair value will be recognized in expense as shown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696"/>
        <w:gridCol w:w="231"/>
        <w:gridCol w:w="319"/>
        <w:gridCol w:w="1819"/>
        <w:gridCol w:w="140"/>
      </w:tblGrid>
      <w:tr>
        <w:trPr/>
        <w:tc>
          <w:tcPr>
            <w:tcW w:w="7696"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1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Equity Compensation</w:t>
            </w:r>
          </w:p>
        </w:tc>
        <w:tc>
          <w:tcPr>
            <w:tcW w:w="140" w:type="dxa"/>
            <w:tcBorders/>
            <w:shd w:fill="auto" w:val="clear"/>
            <w:vAlign w:val="bottom"/>
          </w:tcPr>
          <w:p>
            <w:pPr>
              <w:pStyle w:val="TableContents"/>
              <w:spacing w:before="0" w:after="0"/>
              <w:ind w:left="0" w:right="0" w:hanging="0"/>
              <w:jc w:val="center"/>
              <w:rPr/>
            </w:pPr>
            <w:r>
              <w:rPr/>
              <w:t> </w:t>
            </w:r>
          </w:p>
        </w:tc>
      </w:tr>
      <w:tr>
        <w:trPr/>
        <w:tc>
          <w:tcPr>
            <w:tcW w:w="7696"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1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Plan Fair Value</w:t>
            </w:r>
          </w:p>
        </w:tc>
        <w:tc>
          <w:tcPr>
            <w:tcW w:w="140" w:type="dxa"/>
            <w:tcBorders/>
            <w:shd w:fill="auto" w:val="clear"/>
            <w:vAlign w:val="bottom"/>
          </w:tcPr>
          <w:p>
            <w:pPr>
              <w:pStyle w:val="TableContents"/>
              <w:spacing w:before="0" w:after="0"/>
              <w:ind w:left="0" w:right="0" w:hanging="0"/>
              <w:jc w:val="center"/>
              <w:rPr/>
            </w:pPr>
            <w:r>
              <w:rPr/>
              <w:t> </w:t>
            </w:r>
          </w:p>
        </w:tc>
      </w:tr>
      <w:tr>
        <w:trPr/>
        <w:tc>
          <w:tcPr>
            <w:tcW w:w="769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Year</w:t>
            </w:r>
          </w:p>
        </w:tc>
        <w:tc>
          <w:tcPr>
            <w:tcW w:w="231" w:type="dxa"/>
            <w:tcBorders/>
            <w:shd w:fill="auto" w:val="clear"/>
            <w:vAlign w:val="bottom"/>
          </w:tcPr>
          <w:p>
            <w:pPr>
              <w:pStyle w:val="TableContents"/>
              <w:spacing w:before="0" w:after="0"/>
              <w:ind w:left="0" w:right="0" w:hanging="0"/>
              <w:jc w:val="center"/>
              <w:rPr/>
            </w:pPr>
            <w:r>
              <w:rPr/>
              <w:t> </w:t>
            </w:r>
          </w:p>
        </w:tc>
        <w:tc>
          <w:tcPr>
            <w:tcW w:w="21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Amortization </w:t>
            </w:r>
            <w:r>
              <w:rPr>
                <w:b/>
                <w:sz w:val="8"/>
              </w:rPr>
              <w:t>(1) (2)</w:t>
            </w:r>
          </w:p>
        </w:tc>
        <w:tc>
          <w:tcPr>
            <w:tcW w:w="140" w:type="dxa"/>
            <w:tcBorders/>
            <w:shd w:fill="auto" w:val="clear"/>
            <w:vAlign w:val="bottom"/>
          </w:tcPr>
          <w:p>
            <w:pPr>
              <w:pStyle w:val="TableContents"/>
              <w:spacing w:before="0" w:after="0"/>
              <w:ind w:left="0" w:right="0" w:hanging="0"/>
              <w:jc w:val="center"/>
              <w:rPr/>
            </w:pPr>
            <w:r>
              <w:rPr/>
              <w:t> </w:t>
            </w:r>
          </w:p>
        </w:tc>
      </w:tr>
      <w:tr>
        <w:trPr/>
        <w:tc>
          <w:tcPr>
            <w:tcW w:w="76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31" w:type="dxa"/>
            <w:tcBorders/>
            <w:shd w:fill="CCEEFF" w:val="clear"/>
            <w:vAlign w:val="bottom"/>
          </w:tcPr>
          <w:p>
            <w:pPr>
              <w:pStyle w:val="TableContents"/>
              <w:spacing w:before="0" w:after="0"/>
              <w:ind w:left="0" w:right="0" w:hanging="0"/>
              <w:rPr/>
            </w:pPr>
            <w:r>
              <w:rPr/>
              <w:t> </w:t>
            </w:r>
          </w:p>
        </w:tc>
        <w:tc>
          <w:tcPr>
            <w:tcW w:w="3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40" w:type="dxa"/>
            <w:tcBorders/>
            <w:shd w:fill="CCEEFF" w:val="clear"/>
            <w:vAlign w:val="bottom"/>
          </w:tcPr>
          <w:p>
            <w:pPr>
              <w:pStyle w:val="TableContents"/>
              <w:spacing w:before="0" w:after="0"/>
              <w:ind w:left="0" w:right="0" w:hanging="0"/>
              <w:rPr/>
            </w:pPr>
            <w:r>
              <w:rPr/>
              <w:t> </w:t>
            </w:r>
          </w:p>
        </w:tc>
      </w:tr>
      <w:tr>
        <w:trPr/>
        <w:tc>
          <w:tcPr>
            <w:tcW w:w="76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31" w:type="dxa"/>
            <w:tcBorders/>
            <w:shd w:fill="auto" w:val="clear"/>
            <w:vAlign w:val="bottom"/>
          </w:tcPr>
          <w:p>
            <w:pPr>
              <w:pStyle w:val="TableContents"/>
              <w:spacing w:before="0" w:after="0"/>
              <w:ind w:left="0" w:right="0" w:hanging="0"/>
              <w:rPr/>
            </w:pPr>
            <w:r>
              <w:rPr/>
              <w:t> </w:t>
            </w:r>
          </w:p>
        </w:tc>
        <w:tc>
          <w:tcPr>
            <w:tcW w:w="21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40" w:type="dxa"/>
            <w:tcBorders/>
            <w:shd w:fill="auto" w:val="clear"/>
            <w:vAlign w:val="bottom"/>
          </w:tcPr>
          <w:p>
            <w:pPr>
              <w:pStyle w:val="TableContents"/>
              <w:spacing w:before="0" w:after="0"/>
              <w:ind w:left="0" w:right="0" w:hanging="0"/>
              <w:rPr/>
            </w:pPr>
            <w:r>
              <w:rPr/>
              <w:t> </w:t>
            </w:r>
          </w:p>
        </w:tc>
      </w:tr>
      <w:tr>
        <w:trPr/>
        <w:tc>
          <w:tcPr>
            <w:tcW w:w="76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31" w:type="dxa"/>
            <w:tcBorders/>
            <w:shd w:fill="CCEEFF" w:val="clear"/>
            <w:vAlign w:val="bottom"/>
          </w:tcPr>
          <w:p>
            <w:pPr>
              <w:pStyle w:val="TableContents"/>
              <w:spacing w:before="0" w:after="0"/>
              <w:ind w:left="0" w:right="0" w:hanging="0"/>
              <w:rPr/>
            </w:pPr>
            <w:r>
              <w:rPr/>
              <w:t> </w:t>
            </w:r>
          </w:p>
        </w:tc>
        <w:tc>
          <w:tcPr>
            <w:tcW w:w="213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0" w:type="dxa"/>
            <w:tcBorders/>
            <w:shd w:fill="CCEEFF" w:val="clear"/>
            <w:vAlign w:val="bottom"/>
          </w:tcPr>
          <w:p>
            <w:pPr>
              <w:pStyle w:val="TableContents"/>
              <w:spacing w:before="0" w:after="0"/>
              <w:ind w:left="0" w:right="0" w:hanging="0"/>
              <w:rPr/>
            </w:pPr>
            <w:r>
              <w:rPr/>
              <w:t> </w:t>
            </w:r>
          </w:p>
        </w:tc>
      </w:tr>
      <w:tr>
        <w:trPr/>
        <w:tc>
          <w:tcPr>
            <w:tcW w:w="76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31" w:type="dxa"/>
            <w:tcBorders/>
            <w:shd w:fill="auto" w:val="clear"/>
            <w:vAlign w:val="bottom"/>
          </w:tcPr>
          <w:p>
            <w:pPr>
              <w:pStyle w:val="TableContents"/>
              <w:spacing w:before="0" w:after="0"/>
              <w:ind w:left="0" w:right="0" w:hanging="0"/>
              <w:rPr/>
            </w:pPr>
            <w:r>
              <w:rPr/>
              <w:t> </w:t>
            </w:r>
          </w:p>
        </w:tc>
        <w:tc>
          <w:tcPr>
            <w:tcW w:w="213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0" w:type="dxa"/>
            <w:tcBorders/>
            <w:shd w:fill="auto" w:val="clear"/>
            <w:vAlign w:val="bottom"/>
          </w:tcPr>
          <w:p>
            <w:pPr>
              <w:pStyle w:val="TableContents"/>
              <w:spacing w:before="0" w:after="0"/>
              <w:ind w:left="0" w:right="0" w:hanging="0"/>
              <w:rPr/>
            </w:pPr>
            <w:r>
              <w:rPr/>
              <w:t> </w:t>
            </w:r>
          </w:p>
        </w:tc>
      </w:tr>
      <w:tr>
        <w:trPr/>
        <w:tc>
          <w:tcPr>
            <w:tcW w:w="76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31" w:type="dxa"/>
            <w:tcBorders/>
            <w:shd w:fill="CCEEFF" w:val="clear"/>
            <w:vAlign w:val="bottom"/>
          </w:tcPr>
          <w:p>
            <w:pPr>
              <w:pStyle w:val="TableContents"/>
              <w:spacing w:before="0" w:after="0"/>
              <w:ind w:left="0" w:right="0" w:hanging="0"/>
              <w:rPr/>
            </w:pPr>
            <w:r>
              <w:rPr/>
              <w:t> </w:t>
            </w:r>
          </w:p>
        </w:tc>
        <w:tc>
          <w:tcPr>
            <w:tcW w:w="213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40" w:type="dxa"/>
            <w:tcBorders/>
            <w:shd w:fill="CCEEFF" w:val="clear"/>
            <w:vAlign w:val="bottom"/>
          </w:tcPr>
          <w:p>
            <w:pPr>
              <w:pStyle w:val="TableContents"/>
              <w:spacing w:before="0" w:after="0"/>
              <w:ind w:left="0" w:right="0" w:hanging="0"/>
              <w:rPr/>
            </w:pPr>
            <w:r>
              <w:rPr/>
              <w:t> </w:t>
            </w:r>
          </w:p>
        </w:tc>
      </w:tr>
      <w:tr>
        <w:trPr/>
        <w:tc>
          <w:tcPr>
            <w:tcW w:w="76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31" w:type="dxa"/>
            <w:tcBorders/>
            <w:shd w:fill="auto" w:val="clear"/>
            <w:vAlign w:val="bottom"/>
          </w:tcPr>
          <w:p>
            <w:pPr>
              <w:pStyle w:val="TableContents"/>
              <w:spacing w:before="0" w:after="0"/>
              <w:ind w:left="0" w:right="0" w:hanging="0"/>
              <w:rPr/>
            </w:pPr>
            <w:r>
              <w:rPr/>
              <w:t> </w:t>
            </w:r>
          </w:p>
        </w:tc>
        <w:tc>
          <w:tcPr>
            <w:tcW w:w="31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4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fair value associated with awards containing performance conditions that are not considered to be probable of occurring at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unamortized fair value associated with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11Commitments and 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non-cancelable commitments related to these items at December 31, 2009, are summarized below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F-41</w:t>
      </w:r>
      <w:bookmarkStart w:id="205" w:name="PB_41_141417_563"/>
      <w:bookmarkEnd w:id="20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712"/>
        <w:gridCol w:w="211"/>
        <w:gridCol w:w="113"/>
        <w:gridCol w:w="1057"/>
        <w:gridCol w:w="112"/>
      </w:tblGrid>
      <w:tr>
        <w:trPr/>
        <w:tc>
          <w:tcPr>
            <w:tcW w:w="8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11"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12" w:type="dxa"/>
            <w:tcBorders/>
            <w:shd w:fill="CCEEFF" w:val="clear"/>
            <w:vAlign w:val="bottom"/>
          </w:tcPr>
          <w:p>
            <w:pPr>
              <w:pStyle w:val="TableContents"/>
              <w:spacing w:before="0" w:after="0"/>
              <w:ind w:left="0" w:right="0" w:hanging="0"/>
              <w:rPr/>
            </w:pPr>
            <w:r>
              <w:rPr/>
              <w:t> </w:t>
            </w:r>
          </w:p>
        </w:tc>
      </w:tr>
      <w:tr>
        <w:trPr/>
        <w:tc>
          <w:tcPr>
            <w:tcW w:w="8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2011</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12" w:type="dxa"/>
            <w:tcBorders/>
            <w:shd w:fill="auto" w:val="clear"/>
            <w:vAlign w:val="bottom"/>
          </w:tcPr>
          <w:p>
            <w:pPr>
              <w:pStyle w:val="TableContents"/>
              <w:spacing w:before="0" w:after="0"/>
              <w:ind w:left="0" w:right="0" w:hanging="0"/>
              <w:rPr/>
            </w:pPr>
            <w:r>
              <w:rPr/>
              <w:t> </w:t>
            </w:r>
          </w:p>
        </w:tc>
      </w:tr>
      <w:tr>
        <w:trPr/>
        <w:tc>
          <w:tcPr>
            <w:tcW w:w="8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2012</w:t>
            </w:r>
          </w:p>
        </w:tc>
        <w:tc>
          <w:tcPr>
            <w:tcW w:w="211"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2" w:type="dxa"/>
            <w:tcBorders/>
            <w:shd w:fill="CCEEFF" w:val="clear"/>
            <w:vAlign w:val="bottom"/>
          </w:tcPr>
          <w:p>
            <w:pPr>
              <w:pStyle w:val="TableContents"/>
              <w:spacing w:before="0" w:after="0"/>
              <w:ind w:left="0" w:right="0" w:hanging="0"/>
              <w:rPr/>
            </w:pPr>
            <w:r>
              <w:rPr/>
              <w:t> </w:t>
            </w:r>
          </w:p>
        </w:tc>
      </w:tr>
      <w:tr>
        <w:trPr/>
        <w:tc>
          <w:tcPr>
            <w:tcW w:w="8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12" w:type="dxa"/>
            <w:tcBorders/>
            <w:shd w:fill="auto" w:val="clear"/>
            <w:vAlign w:val="bottom"/>
          </w:tcPr>
          <w:p>
            <w:pPr>
              <w:pStyle w:val="TableContents"/>
              <w:spacing w:before="0" w:after="0"/>
              <w:ind w:left="0" w:right="0" w:hanging="0"/>
              <w:rPr/>
            </w:pPr>
            <w:r>
              <w:rPr/>
              <w:t> </w:t>
            </w:r>
          </w:p>
        </w:tc>
      </w:tr>
      <w:tr>
        <w:trPr/>
        <w:tc>
          <w:tcPr>
            <w:tcW w:w="8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2014</w:t>
            </w:r>
          </w:p>
        </w:tc>
        <w:tc>
          <w:tcPr>
            <w:tcW w:w="211"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2" w:type="dxa"/>
            <w:tcBorders/>
            <w:shd w:fill="CCEEFF" w:val="clear"/>
            <w:vAlign w:val="bottom"/>
          </w:tcPr>
          <w:p>
            <w:pPr>
              <w:pStyle w:val="TableContents"/>
              <w:spacing w:before="0" w:after="0"/>
              <w:ind w:left="0" w:right="0" w:hanging="0"/>
              <w:rPr/>
            </w:pPr>
            <w:r>
              <w:rPr/>
              <w:t> </w:t>
            </w:r>
          </w:p>
        </w:tc>
      </w:tr>
      <w:tr>
        <w:trPr/>
        <w:tc>
          <w:tcPr>
            <w:tcW w:w="87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Thereafter</w:t>
            </w:r>
          </w:p>
        </w:tc>
        <w:tc>
          <w:tcPr>
            <w:tcW w:w="211"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112" w:type="dxa"/>
            <w:tcBorders/>
            <w:shd w:fill="auto" w:val="clear"/>
            <w:vAlign w:val="bottom"/>
          </w:tcPr>
          <w:p>
            <w:pPr>
              <w:pStyle w:val="TableContents"/>
              <w:spacing w:before="0" w:after="0"/>
              <w:ind w:left="0" w:right="0" w:hanging="0"/>
              <w:rPr/>
            </w:pPr>
            <w:r>
              <w:rPr/>
              <w:t> </w:t>
            </w:r>
          </w:p>
        </w:tc>
      </w:tr>
      <w:tr>
        <w:trPr/>
        <w:tc>
          <w:tcPr>
            <w:tcW w:w="87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vAlign w:val="bottom"/>
          </w:tcPr>
          <w:p>
            <w:pPr>
              <w:pStyle w:val="TableContents"/>
              <w:spacing w:before="0" w:after="0"/>
              <w:ind w:left="0" w:right="0" w:hanging="0"/>
              <w:rPr/>
            </w:pPr>
            <w:r>
              <w:rPr/>
              <w:t> </w:t>
            </w:r>
          </w:p>
        </w:tc>
        <w:tc>
          <w:tcPr>
            <w:tcW w:w="1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Expenditures related to leases for 2009, 2008 and 2007 were $90 million, $82 million and $51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Releases.</w:t>
      </w:r>
      <w:r>
        <w:rPr>
          <w:rFonts w:ascii="Times New Roman" w:hAnsi="Times New Roman"/>
        </w:rPr>
        <w:t xml:space="preserve">  </w:t>
      </w:r>
      <w:r>
        <w:rPr>
          <w:rFonts w:ascii="Times New Roman" w:hAnsi="Times New Roman"/>
          <w:sz w:val="17"/>
        </w:rPr>
        <w:t>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$5 million to $6 million. In cooperation with the appropriate state and federal environmental authorities, we have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civil penalty enforcement action under the Federal Clean Water Act. We have cooperated in the investigation and are currently involved in settlement discussions with DOJ and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EPA could assess with respect to the subject releases under relevant statutes would be approximately $6.8 million. Such statutes contemplate the potential for substantial reduction in penalties based on mitigating circumstances and factors. We believe that several of such circumstances and factors exist, and thus have been a primary focus in our discussions with the DOJ and EPA with respect to these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SemCrude L.P., et al  Debtors (U.S. Bankruptcy</w:t>
      </w:r>
      <w:r>
        <w:rPr>
          <w:rFonts w:ascii="Times New Roman" w:hAnsi="Times New Roman"/>
        </w:rPr>
        <w:t xml:space="preserve"> </w:t>
      </w:r>
      <w:r>
        <w:rPr>
          <w:rFonts w:ascii="Times New Roman" w:hAnsi="Times New Roman"/>
          <w:i/>
          <w:sz w:val="17"/>
        </w:rPr>
        <w:t>Court  Delaware).</w:t>
      </w:r>
      <w:r>
        <w:rPr>
          <w:rFonts w:ascii="Times New Roman" w:hAnsi="Times New Roman"/>
        </w:rPr>
        <w:t xml:space="preserve">  </w:t>
      </w:r>
      <w:r>
        <w:rPr>
          <w:rFonts w:ascii="Times New Roman" w:hAnsi="Times New Roman"/>
          <w:sz w:val="17"/>
        </w:rPr>
        <w:t>We will from time to time have claims relating to insolvent suppliers, customers or counterparties, such as the bankruptcy proceedings of SemCrude, which commenced in July 2008. As a result of our statutory protections and contractual rights of setoff, substantially all of our pre-petition claims against SemCrude should be satisfied. Certain creditors of SemCrude and its affiliates have challenged our contractual and statutory rights to setoff certain of our payables to the debtor against our receivables from the debtor. The aggregate amount subject to challenge is approximately $23 million. Certain SemCrude creditors have also filed state court actions alleging a producers lien on crude oil sold to SemCrude, and the continuation of such lien when SemCrude sold the oil to subsequent purchasers such as us.  These suits may be consolidated and heard in the U.S. Bankruptcy Court in Delaware. We intend to vigorously defend our contractual and statutory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15, 2006, we completed the Pacific merger. The following is a summary of the more significant matters that relate to Pacific, its assets or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United States of America v. Pacific Pipeline System, LLC (PPS).  </w:t>
      </w:r>
      <w:r>
        <w:rPr>
          <w:rFonts w:ascii="Times New Roman" w:hAnsi="Times New Roman"/>
          <w:sz w:val="17"/>
        </w:rPr>
        <w:t xml:space="preserve">In March 2005, a release of approximately 3,400 barrels of crude oil occurred on Line 63, subsequently acquired by us in the Pacific merger. The release occurred when the pipeline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 In September 2008, the EPA filed a civil complaint against PPS, a subsidiary acquired in the Pacific merger, in connection with the Pyramid Lake release. The complaint, which was filed in the Federal District Court for the Central District of California, Civil Action No. CV085768DSF(SSX), seeks the maximum permissible penalty under the relevant statutes of approximately $3.7 million. In January 2010, the DOJ, EPA and PPS entered into a proposed consent decree, which will be published in the Federal Register and then be subject to a 30-day public comment period.  If there are no objections prior to the end of the public comment period, the Court is expected to sign the consent decree.  After the consent decree becomes effective, PPS will pay a civil penalty of $1.3 million and comply with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F-42</w:t>
      </w:r>
      <w:bookmarkStart w:id="206" w:name="PB_42_141509_9497"/>
      <w:bookmarkEnd w:id="20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 requirements set forth in the consent decree, which include performance of additional remediation and restoration tasks. Total projected costs associated with this additional work are estimated at less than $6 million. PPS is also prohibited from transferring ownership of Line 63 to an unaffiliated entity unless the transferee agrees in writing to be bound by any provisions of the consent decree that have not been previously satisfied.  This prohibition on transfer will not apply if PPS retains a portion of ownership and continues as operator of the line.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ExxonMobil Corp. v. GATX Corp. (Superior Court of New Jersey  Gloucester County).</w:t>
      </w:r>
      <w:r>
        <w:rPr>
          <w:rFonts w:ascii="Times New Roman" w:hAnsi="Times New Roman"/>
        </w:rPr>
        <w:t xml:space="preserve">  </w:t>
      </w:r>
      <w:r>
        <w:rPr>
          <w:rFonts w:ascii="Times New Roman" w:hAnsi="Times New Roman"/>
          <w:sz w:val="17"/>
        </w:rPr>
        <w:t>This Pacific legacy matter was filed by ExxonMobil in April 2003 and involves the allocation of responsibility for remediation of MTBE and other petroleum product contamination at the Pacific Atlantic Terminals LLC (PAT) facility at Paulsboro, New Jersey. We estimate that the maximum potential cost to effectively remediate ranges up to $10 million although the New Jersey Department of Environmental Protection (NJDEP) is asserting a much larger expenditure. Both ExxonMobil and GATX were prior owners of the terminal. We contend that ExxonMobil and GATX are primarily responsible for the majority of the remediation costs. We are in dispute with Kinder Morgan (as successor in interest to GATX) regarding the indemnity by GATX in favor of Pacific in connection with Pacifics purchase of the facility.  We are vigorously defending against any claim that PAT is directly or indirectly liable for damages or costs associated with the MTBE contamination.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New Jersey Dept of Environmental Protection v. ExxonMobil Corp. et al.  </w:t>
      </w:r>
      <w:r>
        <w:rPr>
          <w:rFonts w:ascii="Times New Roman" w:hAnsi="Times New Roman"/>
          <w:sz w:val="17"/>
        </w:rPr>
        <w:t>In a matter related to ExxonMobil v. GATX, in June 2007, the NJDEP brought suit against GATX and Exxon to recover natural resources damages associated with, and to require remediation of, the contamination. ExxonMobil and GATX have filed third-party demands against PAT, seeking indemnity and contribution.  NJDEP environmental consultants have asserted a significant clean-up expense as indicated. Discussions with the NJDEP have commenced.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EPA v. Rocky Mountain Pipeline System.</w:t>
      </w:r>
      <w:r>
        <w:rPr>
          <w:rFonts w:ascii="Times New Roman" w:hAnsi="Times New Roman"/>
        </w:rPr>
        <w:t xml:space="preserve">  </w:t>
      </w:r>
      <w:r>
        <w:rPr>
          <w:rFonts w:ascii="Times New Roman" w:hAnsi="Times New Roman"/>
          <w:sz w:val="17"/>
        </w:rPr>
        <w:t>In February 2009, we received a request for information from EPA regarding aspects of the fuel handling activities of Rocky Mountain Pipeline System (RMPS), a subsidiary acquired in the Pacific merger, at two truck terminals in Colorado.  These activities, performed at the request of customers, included the mixture of certain blendstocks with gasoline. We provided the information requested, and cooperated in EPAs investigation of such activities.  In January 2010, we received a notice of violations from EPA, alleging failure of RMPS to comply with provisions of the Clean Air Act (CAA) related to registration, sampling, recording and reporting in connection with such activities.  EPA further alleges that the violations occurred on an ongoing basis from October 2006 through February 2009.  We plan to engage in discussion with EPA, and to emphasize factors intended to mitigate the severity of any penalties imposed. In December 2009, RMPS self-reported late filing of certain reports required under Clean Air Act Diesel Fuel Regulations. All reports have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Other Pacific-Legacy Matters.</w:t>
      </w:r>
      <w:r>
        <w:rPr>
          <w:rFonts w:ascii="Times New Roman" w:hAnsi="Times New Roman"/>
        </w:rPr>
        <w:t xml:space="preserve">  </w:t>
      </w:r>
      <w:r>
        <w:rPr>
          <w:rFonts w:ascii="Times New Roman" w:hAnsi="Times New Roman"/>
          <w:sz w:val="17"/>
        </w:rPr>
        <w:t>At the time of its merger with Plains, Pacific had completed a number of acquisitions that had not been fully integrated into its operations. Accordingly, we have and may become aware of various instances in which some of these operations may not have been fully compliant with applicable environmental and safety regulations. Although we have been working to bring all of these operations into compliance with applicable requirements, any past noncompliance could result in the imposition of fines, penalties or corrective action requirements by governmental entities. Although we believe that our operations are presently in material compliance with applicable requirements, it is possible that EPA or other governmental entities may seek to impose fines, penalties or performance obligations on us, or on a portion of our operations, as a result of any past noncompliance that may have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F-43</w:t>
      </w:r>
      <w:bookmarkStart w:id="207" w:name="PB_43_141533_3641"/>
      <w:bookmarkEnd w:id="20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help prevent releases, damages and liabilities incurred due to any such releases from our assets may substantially affect our business. As we expand our pipeline assets through acquisitions, we typically improve on (reduce) the releases from such assets (in terms of frequency or volume) as we implement our procedures, remove selected assets from service and spend capital to upgrade the assets.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 See Pipeline Releases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December 31, 2009, our reserve for environmental liabilities totaled approximately $62 million, of which approximately $10 million is classified as short-term and $52 million is classified as long-term. At December 31, 2009, we have recorded receivables totaling approximately $3 million for amounts that are probable of recovery under insurance and from third parties under indemnification 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known facts and believed to be relevant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Insurance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pipeline, terminal or other facility may experience damage as a result of an accident, natural disaster or terrorist activity.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insurance industry appears to be a contraction in the breadth and depth of available coverage, while costs, deductibles and retention levels have increased.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Absent a material favorable change in the insurance markets, this trend is expected to continue as we continue to grow and expand. As a result, we anticipate that we will elect to self-insure more of our environmental and wind damage exposures, incorporate higher retention in our insurance arrangements, pay higher premiums or some combination of such actions.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12Environmental Remediation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We currently own or lease, and in the past have owned and leased, properties where hazardous liquids, including hydrocarbons, are or have been handled. These properties and the hazardous liquids or associated wastes disposed thereon may be subject to CERCLA, RCRA and state and Canadian federal and provincial laws and regulations. Under such laws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F-44</w:t>
      </w:r>
      <w:bookmarkStart w:id="208" w:name="PB_44_141550_5250"/>
      <w:bookmarkEnd w:id="20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regulations, we could be required to remove or remediate hazardous liquids or associated wastes (including wastes disposed of or released by prior owners or operators) and to clean up contaminated property (including contaminated groundwater).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our acquisitions, we typically make an assessment of potential environmental exposure and determine whether to negotiate an indemnity, what the terms of any indemnity should be and whether to obtain environmental risk insurance, if available. These contractual indemnifications typically are subject to specific monetary requirements that must be satisfied before indemnification will apply, and have term and total dollar limits. For instance, in connection with the purchase of former Texas New Mexico (TNM) pipeline assets from Link in 2004, we identified a number of environmental liabilities for which we received a purchase price reduction from Link and recorded a total environmental reserve of $20 million, of which we agreed in an arrangement with TNM to bear the first $11 million in costs of pre-May 1999 environmental issues. TNM also agreed to pay all costs in excess of $20 million (excluding certain deductibles). TNMs obligations are guaranteed by Shell Oil Products (SOP). As of December 31, 2009, we had incurred approximately $16 million of remediation costs associated with these sites, while SOPs share has been approximately $6 million. In another example, as a result of our merger with Pacific, we assumed liability for a number of ongoing remediation sites associated with releases from pipeline or storage operations. We have evaluated each of the sites requiring remediation and developed reserve estimates for the Pacific sites, which total approximately $18 million at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assets we have acquired or will acquire in the future may have environmental remediation liabilities for which we are not indemnified.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in the past experienced and in the future likely will experience releases of crude oil into the environment from our pipeline and storage operations. We also may discover environmental impacts from past releases that were previously unidentified. See Note 11 for further environmental discussion.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13Supplemental Condensed Consolidating Financial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 are referred to as Parent;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Guarantor Subsidiaries are all subsidiaries other than the Non-Guarantor subsidiaries defined below;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 xml:space="preserve">The Non-Guarantor Subsidiaries as of December 31, 2009 include two California Public Utilities Commission regulated entities, our natural gas storage subsidiaries and other minor subsidiaries.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F-45</w:t>
      </w:r>
      <w:bookmarkStart w:id="209" w:name="PB_45_141608_7672"/>
      <w:bookmarkEnd w:id="20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(in millions):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Balance Sheet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80"/>
        <w:gridCol w:w="187"/>
        <w:gridCol w:w="137"/>
        <w:gridCol w:w="852"/>
        <w:gridCol w:w="187"/>
        <w:gridCol w:w="145"/>
        <w:gridCol w:w="974"/>
        <w:gridCol w:w="187"/>
        <w:gridCol w:w="169"/>
        <w:gridCol w:w="1203"/>
        <w:gridCol w:w="186"/>
        <w:gridCol w:w="147"/>
        <w:gridCol w:w="988"/>
        <w:gridCol w:w="198"/>
        <w:gridCol w:w="148"/>
        <w:gridCol w:w="995"/>
        <w:gridCol w:w="122"/>
      </w:tblGrid>
      <w:tr>
        <w:trPr/>
        <w:tc>
          <w:tcPr>
            <w:tcW w:w="338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516"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13"/>
              </w:rPr>
              <w:t>As of December 31, 2009</w:t>
            </w:r>
          </w:p>
        </w:tc>
        <w:tc>
          <w:tcPr>
            <w:tcW w:w="122" w:type="dxa"/>
            <w:tcBorders/>
            <w:shd w:fill="auto" w:val="clear"/>
            <w:vAlign w:val="bottom"/>
          </w:tcPr>
          <w:p>
            <w:pPr>
              <w:pStyle w:val="TableContents"/>
              <w:spacing w:before="0" w:after="0"/>
              <w:ind w:left="0" w:right="0" w:hanging="0"/>
              <w:jc w:val="center"/>
              <w:rPr/>
            </w:pPr>
            <w:r>
              <w:rPr/>
              <w:t> </w:t>
            </w:r>
          </w:p>
        </w:tc>
      </w:tr>
      <w:tr>
        <w:trPr/>
        <w:tc>
          <w:tcPr>
            <w:tcW w:w="338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989"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7"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6" w:type="dxa"/>
            <w:tcBorders/>
            <w:shd w:fill="auto" w:val="clear"/>
            <w:vAlign w:val="bottom"/>
          </w:tcPr>
          <w:p>
            <w:pPr>
              <w:pStyle w:val="TableContents"/>
              <w:spacing w:before="0" w:after="0"/>
              <w:ind w:left="0" w:right="0" w:hanging="0"/>
              <w:jc w:val="center"/>
              <w:rPr/>
            </w:pPr>
            <w:r>
              <w:rPr/>
              <w:t> </w:t>
            </w:r>
          </w:p>
        </w:tc>
        <w:tc>
          <w:tcPr>
            <w:tcW w:w="1135" w:type="dxa"/>
            <w:gridSpan w:val="2"/>
            <w:tcBorders/>
            <w:shd w:fill="auto" w:val="clear"/>
            <w:vAlign w:val="bottom"/>
          </w:tcPr>
          <w:p>
            <w:pPr>
              <w:pStyle w:val="TableContents"/>
              <w:spacing w:before="0" w:after="0"/>
              <w:ind w:left="0" w:right="0" w:hanging="0"/>
              <w:jc w:val="center"/>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143"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338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989"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7" w:type="dxa"/>
            <w:tcBorders/>
            <w:shd w:fill="auto" w:val="clear"/>
            <w:vAlign w:val="bottom"/>
          </w:tcPr>
          <w:p>
            <w:pPr>
              <w:pStyle w:val="TableContents"/>
              <w:spacing w:before="0" w:after="0"/>
              <w:ind w:left="0" w:right="0" w:hanging="0"/>
              <w:jc w:val="center"/>
              <w:rPr/>
            </w:pPr>
            <w:r>
              <w:rPr/>
              <w:t> </w:t>
            </w:r>
          </w:p>
        </w:tc>
        <w:tc>
          <w:tcPr>
            <w:tcW w:w="13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6" w:type="dxa"/>
            <w:tcBorders/>
            <w:shd w:fill="auto" w:val="clear"/>
            <w:vAlign w:val="bottom"/>
          </w:tcPr>
          <w:p>
            <w:pPr>
              <w:pStyle w:val="TableContents"/>
              <w:spacing w:before="0" w:after="0"/>
              <w:ind w:left="0" w:right="0" w:hanging="0"/>
              <w:jc w:val="center"/>
              <w:rPr/>
            </w:pPr>
            <w:r>
              <w:rPr/>
              <w:t> </w:t>
            </w:r>
          </w:p>
        </w:tc>
        <w:tc>
          <w:tcPr>
            <w:tcW w:w="1135" w:type="dxa"/>
            <w:gridSpan w:val="2"/>
            <w:tcBorders/>
            <w:shd w:fill="auto" w:val="clear"/>
            <w:vAlign w:val="bottom"/>
          </w:tcPr>
          <w:p>
            <w:pPr>
              <w:pStyle w:val="TableContents"/>
              <w:spacing w:before="0" w:after="0"/>
              <w:ind w:left="0" w:right="0" w:hanging="0"/>
              <w:jc w:val="center"/>
              <w:rPr/>
            </w:pPr>
            <w:r>
              <w:rPr/>
              <w:t> </w:t>
            </w:r>
          </w:p>
        </w:tc>
        <w:tc>
          <w:tcPr>
            <w:tcW w:w="198" w:type="dxa"/>
            <w:tcBorders/>
            <w:shd w:fill="auto" w:val="clear"/>
            <w:vAlign w:val="bottom"/>
          </w:tcPr>
          <w:p>
            <w:pPr>
              <w:pStyle w:val="TableContents"/>
              <w:spacing w:before="0" w:after="0"/>
              <w:ind w:left="0" w:right="0" w:hanging="0"/>
              <w:jc w:val="center"/>
              <w:rPr/>
            </w:pPr>
            <w:r>
              <w:rPr/>
              <w:t> </w:t>
            </w:r>
          </w:p>
        </w:tc>
        <w:tc>
          <w:tcPr>
            <w:tcW w:w="1143" w:type="dxa"/>
            <w:gridSpan w:val="2"/>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0"/>
              <w:ind w:left="0" w:right="0" w:hanging="0"/>
              <w:jc w:val="center"/>
              <w:rPr/>
            </w:pPr>
            <w:r>
              <w:rPr/>
              <w:t> </w:t>
            </w:r>
          </w:p>
        </w:tc>
      </w:tr>
      <w:tr>
        <w:trPr/>
        <w:tc>
          <w:tcPr>
            <w:tcW w:w="338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98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7" w:type="dxa"/>
            <w:tcBorders/>
            <w:shd w:fill="auto" w:val="clear"/>
            <w:vAlign w:val="bottom"/>
          </w:tcPr>
          <w:p>
            <w:pPr>
              <w:pStyle w:val="TableContents"/>
              <w:spacing w:before="0" w:after="0"/>
              <w:ind w:left="0" w:right="0" w:hanging="0"/>
              <w:jc w:val="center"/>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7" w:type="dxa"/>
            <w:tcBorders/>
            <w:shd w:fill="auto" w:val="clear"/>
            <w:vAlign w:val="bottom"/>
          </w:tcPr>
          <w:p>
            <w:pPr>
              <w:pStyle w:val="TableContents"/>
              <w:spacing w:before="0" w:after="0"/>
              <w:ind w:left="0" w:right="0" w:hanging="0"/>
              <w:jc w:val="center"/>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6" w:type="dxa"/>
            <w:tcBorders/>
            <w:shd w:fill="auto" w:val="clear"/>
            <w:vAlign w:val="bottom"/>
          </w:tcPr>
          <w:p>
            <w:pPr>
              <w:pStyle w:val="TableContents"/>
              <w:spacing w:before="0" w:after="0"/>
              <w:ind w:left="0" w:right="0" w:hanging="0"/>
              <w:jc w:val="center"/>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8" w:type="dxa"/>
            <w:tcBorders/>
            <w:shd w:fill="auto" w:val="clear"/>
            <w:vAlign w:val="bottom"/>
          </w:tcPr>
          <w:p>
            <w:pPr>
              <w:pStyle w:val="TableContents"/>
              <w:spacing w:before="0" w:after="0"/>
              <w:ind w:left="0" w:right="0" w:hanging="0"/>
              <w:jc w:val="center"/>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22" w:type="dxa"/>
            <w:tcBorders/>
            <w:shd w:fill="auto" w:val="clear"/>
            <w:vAlign w:val="bottom"/>
          </w:tcPr>
          <w:p>
            <w:pPr>
              <w:pStyle w:val="TableContents"/>
              <w:spacing w:before="0" w:after="0"/>
              <w:ind w:left="0" w:right="0" w:hanging="0"/>
              <w:jc w:val="center"/>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current assets </w:t>
            </w:r>
          </w:p>
        </w:tc>
        <w:tc>
          <w:tcPr>
            <w:tcW w:w="187"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3,428</w:t>
            </w:r>
          </w:p>
        </w:tc>
        <w:tc>
          <w:tcPr>
            <w:tcW w:w="18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3,831</w:t>
            </w:r>
          </w:p>
        </w:tc>
        <w:tc>
          <w:tcPr>
            <w:tcW w:w="187"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209</w:t>
            </w:r>
          </w:p>
        </w:tc>
        <w:tc>
          <w:tcPr>
            <w:tcW w:w="186"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auto" w:val="clear"/>
            <w:vAlign w:val="bottom"/>
          </w:tcPr>
          <w:p>
            <w:pPr>
              <w:pStyle w:val="TableContents"/>
              <w:spacing w:before="0" w:after="0"/>
              <w:ind w:left="0" w:right="0" w:hanging="0"/>
              <w:jc w:val="right"/>
              <w:rPr/>
            </w:pPr>
            <w:r>
              <w:rPr/>
              <w:t> </w:t>
            </w:r>
            <w:r>
              <w:rPr>
                <w:rFonts w:ascii="Times New Roman" w:hAnsi="Times New Roman"/>
                <w:sz w:val="17"/>
              </w:rPr>
              <w:t>(3,810</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auto" w:val="clear"/>
            <w:vAlign w:val="bottom"/>
          </w:tcPr>
          <w:p>
            <w:pPr>
              <w:pStyle w:val="TableContents"/>
              <w:spacing w:before="0" w:after="0"/>
              <w:ind w:left="0" w:right="0" w:hanging="0"/>
              <w:jc w:val="right"/>
              <w:rPr/>
            </w:pPr>
            <w:r>
              <w:rPr/>
              <w:t xml:space="preserve">   </w:t>
            </w:r>
            <w:r>
              <w:rPr>
                <w:rFonts w:ascii="Times New Roman" w:hAnsi="Times New Roman"/>
                <w:sz w:val="17"/>
              </w:rPr>
              <w:t>3,658</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Property, plant and equipment, net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4,606</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1,734</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Investment in unconsolidated entities </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5,295</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1,652</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assets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2,342</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2,278</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assets </w:t>
            </w:r>
          </w:p>
        </w:tc>
        <w:tc>
          <w:tcPr>
            <w:tcW w:w="187"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8,752</w:t>
            </w:r>
          </w:p>
        </w:tc>
        <w:tc>
          <w:tcPr>
            <w:tcW w:w="18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12,431</w:t>
            </w:r>
          </w:p>
        </w:tc>
        <w:tc>
          <w:tcPr>
            <w:tcW w:w="187"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2,310</w:t>
            </w:r>
          </w:p>
        </w:tc>
        <w:tc>
          <w:tcPr>
            <w:tcW w:w="186"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pPr>
            <w:r>
              <w:rPr/>
              <w:t> </w:t>
            </w:r>
            <w:r>
              <w:rPr>
                <w:rFonts w:ascii="Times New Roman" w:hAnsi="Times New Roman"/>
                <w:sz w:val="17"/>
              </w:rPr>
              <w:t>12,358</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pPr>
            <w:r>
              <w:rPr/>
              <w:t> </w:t>
            </w:r>
          </w:p>
        </w:tc>
        <w:tc>
          <w:tcPr>
            <w:tcW w:w="198" w:type="dxa"/>
            <w:tcBorders/>
            <w:shd w:fill="auto" w:val="clear"/>
            <w:vAlign w:val="bottom"/>
          </w:tcPr>
          <w:p>
            <w:pPr>
              <w:pStyle w:val="TableContents"/>
              <w:spacing w:before="0" w:after="0"/>
              <w:ind w:left="0" w:right="0" w:hanging="0"/>
              <w:rPr/>
            </w:pPr>
            <w:r>
              <w:rPr/>
              <w:t> </w:t>
            </w:r>
          </w:p>
        </w:tc>
        <w:tc>
          <w:tcPr>
            <w:tcW w:w="1143"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current liabilities </w:t>
            </w:r>
          </w:p>
        </w:tc>
        <w:tc>
          <w:tcPr>
            <w:tcW w:w="187" w:type="dxa"/>
            <w:tcBorders/>
            <w:shd w:fill="CCEEFF" w:val="clear"/>
            <w:vAlign w:val="bottom"/>
          </w:tcPr>
          <w:p>
            <w:pPr>
              <w:pStyle w:val="TableContents"/>
              <w:spacing w:before="0" w:after="0"/>
              <w:ind w:left="0" w:right="0" w:hanging="0"/>
              <w:rPr/>
            </w:pPr>
            <w:r>
              <w:rPr/>
              <w:t> </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87"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6,849</w:t>
            </w:r>
          </w:p>
        </w:tc>
        <w:tc>
          <w:tcPr>
            <w:tcW w:w="187"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86"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(3,810</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Long-term debt </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4,137</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long-term liabilities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liabilities  </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4,593</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7,135</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741</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(4,270</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Partners capital excluding noncontrolling interest </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5,233</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(6,802</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Noncontrolling interest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187" w:type="dxa"/>
            <w:tcBorders/>
            <w:shd w:fill="auto" w:val="clear"/>
            <w:vAlign w:val="bottom"/>
          </w:tcPr>
          <w:p>
            <w:pPr>
              <w:pStyle w:val="TableContents"/>
              <w:spacing w:before="0" w:after="0"/>
              <w:ind w:left="0" w:right="0" w:hanging="0"/>
              <w:rPr/>
            </w:pPr>
            <w:r>
              <w:rPr/>
              <w:t> </w:t>
            </w:r>
          </w:p>
        </w:tc>
        <w:tc>
          <w:tcPr>
            <w:tcW w:w="98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87"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5,296</w:t>
            </w:r>
          </w:p>
        </w:tc>
        <w:tc>
          <w:tcPr>
            <w:tcW w:w="187" w:type="dxa"/>
            <w:tcBorders/>
            <w:shd w:fill="auto" w:val="clear"/>
            <w:vAlign w:val="bottom"/>
          </w:tcPr>
          <w:p>
            <w:pPr>
              <w:pStyle w:val="TableContents"/>
              <w:spacing w:before="0" w:after="0"/>
              <w:ind w:left="0" w:right="0" w:hanging="0"/>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1,569</w:t>
            </w:r>
          </w:p>
        </w:tc>
        <w:tc>
          <w:tcPr>
            <w:tcW w:w="186" w:type="dxa"/>
            <w:tcBorders/>
            <w:shd w:fill="auto" w:val="clear"/>
            <w:vAlign w:val="bottom"/>
          </w:tcPr>
          <w:p>
            <w:pPr>
              <w:pStyle w:val="TableContents"/>
              <w:spacing w:before="0" w:after="0"/>
              <w:ind w:left="0" w:right="0" w:hanging="0"/>
              <w:rPr/>
            </w:pPr>
            <w:r>
              <w:rPr/>
              <w:t> </w:t>
            </w:r>
          </w:p>
        </w:tc>
        <w:tc>
          <w:tcPr>
            <w:tcW w:w="11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(6,865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122" w:type="dxa"/>
            <w:tcBorders/>
            <w:shd w:fill="auto" w:val="clear"/>
            <w:vAlign w:val="bottom"/>
          </w:tcPr>
          <w:p>
            <w:pPr>
              <w:pStyle w:val="TableContents"/>
              <w:spacing w:before="0" w:after="0"/>
              <w:ind w:left="0" w:right="0" w:hanging="0"/>
              <w:rPr/>
            </w:pPr>
            <w:r>
              <w:rPr/>
              <w:t> </w:t>
            </w:r>
          </w:p>
        </w:tc>
      </w:tr>
      <w:tr>
        <w:trPr/>
        <w:tc>
          <w:tcPr>
            <w:tcW w:w="338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98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372"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35" w:type="dxa"/>
            <w:gridSpan w:val="2"/>
            <w:tcBorders/>
            <w:shd w:fill="CCEEFF" w:val="clear"/>
            <w:vAlign w:val="bottom"/>
          </w:tcPr>
          <w:p>
            <w:pPr>
              <w:pStyle w:val="TableContents"/>
              <w:spacing w:before="0" w:after="0"/>
              <w:ind w:left="0" w:right="0" w:hanging="0"/>
              <w:jc w:val="right"/>
              <w:rPr/>
            </w:pPr>
            <w:r>
              <w:rPr/>
              <w:t> </w:t>
            </w:r>
          </w:p>
        </w:tc>
        <w:tc>
          <w:tcPr>
            <w:tcW w:w="198" w:type="dxa"/>
            <w:tcBorders/>
            <w:shd w:fill="CCEEFF" w:val="clear"/>
            <w:vAlign w:val="bottom"/>
          </w:tcPr>
          <w:p>
            <w:pPr>
              <w:pStyle w:val="TableContents"/>
              <w:spacing w:before="0" w:after="0"/>
              <w:ind w:left="0" w:right="0" w:hanging="0"/>
              <w:rPr/>
            </w:pPr>
            <w:r>
              <w:rPr/>
              <w:t> </w:t>
            </w:r>
          </w:p>
        </w:tc>
        <w:tc>
          <w:tcPr>
            <w:tcW w:w="1143"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33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liabilities and partners capital </w:t>
            </w:r>
          </w:p>
        </w:tc>
        <w:tc>
          <w:tcPr>
            <w:tcW w:w="187"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8,752</w:t>
            </w:r>
          </w:p>
        </w:tc>
        <w:tc>
          <w:tcPr>
            <w:tcW w:w="18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4"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12,431</w:t>
            </w:r>
          </w:p>
        </w:tc>
        <w:tc>
          <w:tcPr>
            <w:tcW w:w="187"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3"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xml:space="preserve">  </w:t>
            </w:r>
            <w:r>
              <w:rPr>
                <w:rFonts w:ascii="Times New Roman" w:hAnsi="Times New Roman"/>
                <w:sz w:val="17"/>
              </w:rPr>
              <w:t>2,310</w:t>
            </w:r>
          </w:p>
        </w:tc>
        <w:tc>
          <w:tcPr>
            <w:tcW w:w="186"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(11,135</w:t>
            </w:r>
          </w:p>
        </w:tc>
        <w:tc>
          <w:tcPr>
            <w:tcW w:w="1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pPr>
            <w:r>
              <w:rPr/>
              <w:t> </w:t>
            </w:r>
            <w:r>
              <w:rPr>
                <w:rFonts w:ascii="Times New Roman" w:hAnsi="Times New Roman"/>
                <w:sz w:val="17"/>
              </w:rPr>
              <w:t>12,358</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71"/>
        <w:gridCol w:w="187"/>
        <w:gridCol w:w="143"/>
        <w:gridCol w:w="863"/>
        <w:gridCol w:w="187"/>
        <w:gridCol w:w="172"/>
        <w:gridCol w:w="979"/>
        <w:gridCol w:w="187"/>
        <w:gridCol w:w="195"/>
        <w:gridCol w:w="1068"/>
        <w:gridCol w:w="186"/>
        <w:gridCol w:w="165"/>
        <w:gridCol w:w="1004"/>
        <w:gridCol w:w="199"/>
        <w:gridCol w:w="163"/>
        <w:gridCol w:w="1016"/>
        <w:gridCol w:w="120"/>
      </w:tblGrid>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6527"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December 31, 2008</w:t>
            </w:r>
          </w:p>
        </w:tc>
        <w:tc>
          <w:tcPr>
            <w:tcW w:w="120"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7" w:type="dxa"/>
            <w:tcBorders/>
            <w:shd w:fill="auto" w:val="clear"/>
            <w:vAlign w:val="bottom"/>
          </w:tcPr>
          <w:p>
            <w:pPr>
              <w:pStyle w:val="TableContents"/>
              <w:spacing w:before="0" w:after="0"/>
              <w:ind w:left="0" w:right="0" w:hanging="0"/>
              <w:jc w:val="center"/>
              <w:rPr/>
            </w:pPr>
            <w:r>
              <w:rPr/>
              <w:t> </w:t>
            </w:r>
          </w:p>
        </w:tc>
        <w:tc>
          <w:tcPr>
            <w:tcW w:w="12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6"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shd w:fill="auto" w:val="clear"/>
            <w:vAlign w:val="bottom"/>
          </w:tcPr>
          <w:p>
            <w:pPr>
              <w:pStyle w:val="TableContents"/>
              <w:spacing w:before="0" w:after="0"/>
              <w:ind w:left="0" w:right="0" w:hanging="0"/>
              <w:jc w:val="center"/>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7" w:type="dxa"/>
            <w:tcBorders/>
            <w:shd w:fill="auto" w:val="clear"/>
            <w:vAlign w:val="bottom"/>
          </w:tcPr>
          <w:p>
            <w:pPr>
              <w:pStyle w:val="TableContents"/>
              <w:spacing w:before="0" w:after="0"/>
              <w:ind w:left="0" w:right="0" w:hanging="0"/>
              <w:jc w:val="center"/>
              <w:rPr/>
            </w:pPr>
            <w:r>
              <w:rPr/>
              <w:t> </w:t>
            </w:r>
          </w:p>
        </w:tc>
        <w:tc>
          <w:tcPr>
            <w:tcW w:w="12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6" w:type="dxa"/>
            <w:tcBorders/>
            <w:shd w:fill="auto" w:val="clear"/>
            <w:vAlign w:val="bottom"/>
          </w:tcPr>
          <w:p>
            <w:pPr>
              <w:pStyle w:val="TableContents"/>
              <w:spacing w:before="0" w:after="0"/>
              <w:ind w:left="0" w:right="0" w:hanging="0"/>
              <w:jc w:val="center"/>
              <w:rPr/>
            </w:pPr>
            <w:r>
              <w:rPr/>
              <w:t> </w:t>
            </w:r>
          </w:p>
        </w:tc>
        <w:tc>
          <w:tcPr>
            <w:tcW w:w="1169" w:type="dxa"/>
            <w:gridSpan w:val="2"/>
            <w:tcBorders/>
            <w:shd w:fill="auto" w:val="clear"/>
            <w:vAlign w:val="bottom"/>
          </w:tcPr>
          <w:p>
            <w:pPr>
              <w:pStyle w:val="TableContents"/>
              <w:spacing w:before="0" w:after="0"/>
              <w:ind w:left="0" w:right="0" w:hanging="0"/>
              <w:jc w:val="center"/>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jc w:val="center"/>
              <w:rPr/>
            </w:pPr>
            <w:r>
              <w:rPr/>
              <w:t> </w:t>
            </w:r>
          </w:p>
        </w:tc>
      </w:tr>
      <w:tr>
        <w:trPr/>
        <w:tc>
          <w:tcPr>
            <w:tcW w:w="3371"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7" w:type="dxa"/>
            <w:tcBorders/>
            <w:shd w:fill="auto" w:val="clear"/>
            <w:vAlign w:val="bottom"/>
          </w:tcPr>
          <w:p>
            <w:pPr>
              <w:pStyle w:val="TableContents"/>
              <w:spacing w:before="0" w:after="0"/>
              <w:ind w:left="0" w:right="0" w:hanging="0"/>
              <w:jc w:val="center"/>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7" w:type="dxa"/>
            <w:tcBorders/>
            <w:shd w:fill="auto" w:val="clear"/>
            <w:vAlign w:val="bottom"/>
          </w:tcPr>
          <w:p>
            <w:pPr>
              <w:pStyle w:val="TableContents"/>
              <w:spacing w:before="0" w:after="0"/>
              <w:ind w:left="0" w:right="0" w:hanging="0"/>
              <w:jc w:val="center"/>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6" w:type="dxa"/>
            <w:tcBorders/>
            <w:shd w:fill="auto" w:val="clear"/>
            <w:vAlign w:val="bottom"/>
          </w:tcPr>
          <w:p>
            <w:pPr>
              <w:pStyle w:val="TableContents"/>
              <w:spacing w:before="0" w:after="0"/>
              <w:ind w:left="0" w:right="0" w:hanging="0"/>
              <w:jc w:val="center"/>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9" w:type="dxa"/>
            <w:tcBorders/>
            <w:shd w:fill="auto" w:val="clear"/>
            <w:vAlign w:val="bottom"/>
          </w:tcPr>
          <w:p>
            <w:pPr>
              <w:pStyle w:val="TableContents"/>
              <w:spacing w:before="0" w:after="0"/>
              <w:ind w:left="0" w:right="0" w:hanging="0"/>
              <w:jc w:val="center"/>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20" w:type="dxa"/>
            <w:tcBorders/>
            <w:shd w:fill="auto" w:val="clear"/>
            <w:vAlign w:val="bottom"/>
          </w:tcPr>
          <w:p>
            <w:pPr>
              <w:pStyle w:val="TableContents"/>
              <w:spacing w:before="0" w:after="0"/>
              <w:ind w:left="0" w:right="0" w:hanging="0"/>
              <w:jc w:val="center"/>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2,698</w:t>
            </w:r>
          </w:p>
        </w:tc>
        <w:tc>
          <w:tcPr>
            <w:tcW w:w="1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2,789</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2,596</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net</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4,410</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649</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4,388</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895</w:t>
            </w:r>
          </w:p>
        </w:tc>
        <w:tc>
          <w:tcPr>
            <w:tcW w:w="187"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(5,026</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1,777</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2,120</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87"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7,113</w:t>
            </w:r>
          </w:p>
        </w:tc>
        <w:tc>
          <w:tcPr>
            <w:tcW w:w="187"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9,871</w:t>
            </w:r>
          </w:p>
        </w:tc>
        <w:tc>
          <w:tcPr>
            <w:tcW w:w="18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1,075</w:t>
            </w:r>
          </w:p>
        </w:tc>
        <w:tc>
          <w:tcPr>
            <w:tcW w:w="186" w:type="dxa"/>
            <w:tcBorders/>
            <w:shd w:fill="auto" w:val="clear"/>
            <w:vAlign w:val="bottom"/>
          </w:tcPr>
          <w:p>
            <w:pPr>
              <w:pStyle w:val="TableContents"/>
              <w:spacing w:before="0" w:after="0"/>
              <w:ind w:left="0" w:right="0" w:hanging="0"/>
              <w:rPr/>
            </w:pPr>
            <w:r>
              <w:rPr/>
              <w:t> </w:t>
            </w:r>
          </w:p>
        </w:tc>
        <w:tc>
          <w:tcPr>
            <w:tcW w:w="16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(8,027</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87"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87"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5,411</w:t>
            </w:r>
          </w:p>
        </w:tc>
        <w:tc>
          <w:tcPr>
            <w:tcW w:w="18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86"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(3,001</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3,257</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7"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1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3,259</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3,561</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5,673</w:t>
            </w:r>
          </w:p>
        </w:tc>
        <w:tc>
          <w:tcPr>
            <w:tcW w:w="187" w:type="dxa"/>
            <w:tcBorders/>
            <w:shd w:fill="auto"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186"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(3,001</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6,480</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187"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pPr>
            <w:r>
              <w:rPr/>
              <w:t> </w:t>
            </w:r>
          </w:p>
        </w:tc>
        <w:tc>
          <w:tcPr>
            <w:tcW w:w="8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9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4,198</w:t>
            </w:r>
          </w:p>
        </w:tc>
        <w:tc>
          <w:tcPr>
            <w:tcW w:w="18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0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828</w:t>
            </w:r>
          </w:p>
        </w:tc>
        <w:tc>
          <w:tcPr>
            <w:tcW w:w="186"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rPr/>
            </w:pPr>
            <w:r>
              <w:rPr/>
              <w:t> </w:t>
            </w:r>
          </w:p>
        </w:tc>
        <w:tc>
          <w:tcPr>
            <w:tcW w:w="10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(5,026</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auto" w:val="clear"/>
            <w:vAlign w:val="bottom"/>
          </w:tcPr>
          <w:p>
            <w:pPr>
              <w:pStyle w:val="TableContents"/>
              <w:spacing w:before="0" w:after="0"/>
              <w:ind w:left="0" w:right="0" w:hanging="0"/>
              <w:rPr/>
            </w:pPr>
            <w:r>
              <w:rPr/>
              <w:t> </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187" w:type="dxa"/>
            <w:tcBorders/>
            <w:shd w:fill="auto" w:val="clear"/>
            <w:vAlign w:val="bottom"/>
          </w:tcPr>
          <w:p>
            <w:pPr>
              <w:pStyle w:val="TableContents"/>
              <w:spacing w:before="0" w:after="0"/>
              <w:ind w:left="0" w:right="0" w:hanging="0"/>
              <w:rPr/>
            </w:pPr>
            <w:r>
              <w:rPr/>
              <w:t> </w:t>
            </w:r>
          </w:p>
        </w:tc>
        <w:tc>
          <w:tcPr>
            <w:tcW w:w="10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87" w:type="dxa"/>
            <w:tcBorders/>
            <w:shd w:fill="auto" w:val="clear"/>
            <w:vAlign w:val="bottom"/>
          </w:tcPr>
          <w:p>
            <w:pPr>
              <w:pStyle w:val="TableContents"/>
              <w:spacing w:before="0" w:after="0"/>
              <w:ind w:left="0" w:right="0" w:hanging="0"/>
              <w:rPr/>
            </w:pPr>
            <w:r>
              <w:rPr/>
              <w:t> </w:t>
            </w:r>
          </w:p>
        </w:tc>
        <w:tc>
          <w:tcPr>
            <w:tcW w:w="11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4,198</w:t>
            </w:r>
          </w:p>
        </w:tc>
        <w:tc>
          <w:tcPr>
            <w:tcW w:w="187" w:type="dxa"/>
            <w:tcBorders/>
            <w:shd w:fill="auto" w:val="clear"/>
            <w:vAlign w:val="bottom"/>
          </w:tcPr>
          <w:p>
            <w:pPr>
              <w:pStyle w:val="TableContents"/>
              <w:spacing w:before="0" w:after="0"/>
              <w:ind w:left="0" w:right="0" w:hanging="0"/>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828</w:t>
            </w:r>
          </w:p>
        </w:tc>
        <w:tc>
          <w:tcPr>
            <w:tcW w:w="186"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(5,026</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120" w:type="dxa"/>
            <w:tcBorders/>
            <w:shd w:fill="auto" w:val="clear"/>
            <w:vAlign w:val="bottom"/>
          </w:tcPr>
          <w:p>
            <w:pPr>
              <w:pStyle w:val="TableContents"/>
              <w:spacing w:before="0" w:after="0"/>
              <w:ind w:left="0" w:right="0" w:hanging="0"/>
              <w:rPr/>
            </w:pPr>
            <w:r>
              <w:rPr/>
              <w:t> </w:t>
            </w:r>
          </w:p>
        </w:tc>
      </w:tr>
      <w:tr>
        <w:trPr/>
        <w:tc>
          <w:tcPr>
            <w:tcW w:w="3371"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06"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151"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263"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7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3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187"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7,113</w:t>
            </w:r>
          </w:p>
        </w:tc>
        <w:tc>
          <w:tcPr>
            <w:tcW w:w="187"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9,871</w:t>
            </w:r>
          </w:p>
        </w:tc>
        <w:tc>
          <w:tcPr>
            <w:tcW w:w="18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1,075</w:t>
            </w:r>
          </w:p>
        </w:tc>
        <w:tc>
          <w:tcPr>
            <w:tcW w:w="186" w:type="dxa"/>
            <w:tcBorders/>
            <w:shd w:fill="auto" w:val="clear"/>
            <w:vAlign w:val="bottom"/>
          </w:tcPr>
          <w:p>
            <w:pPr>
              <w:pStyle w:val="TableContents"/>
              <w:spacing w:before="0" w:after="0"/>
              <w:ind w:left="0" w:right="0" w:hanging="0"/>
              <w:rPr/>
            </w:pPr>
            <w:r>
              <w:rPr/>
              <w:t> </w:t>
            </w:r>
          </w:p>
        </w:tc>
        <w:tc>
          <w:tcPr>
            <w:tcW w:w="16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(8,027</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F-46</w:t>
      </w:r>
      <w:bookmarkStart w:id="210" w:name="PB_46_132843_7056"/>
      <w:bookmarkEnd w:id="2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Operations</w:t>
      </w:r>
    </w:p>
    <w:p>
      <w:pPr>
        <w:pStyle w:val="TextBody"/>
        <w:spacing w:before="0" w:after="0"/>
        <w:ind w:left="0" w:right="0" w:hanging="0"/>
        <w:rPr/>
      </w:pPr>
      <w:r>
        <w:rPr/>
        <w:t> </w:t>
      </w:r>
    </w:p>
    <w:tbl>
      <w:tblPr>
        <w:tblW w:w="4950" w:type="pct"/>
        <w:jc w:val="left"/>
        <w:tblInd w:w="0" w:type="dxa"/>
        <w:tblCellMar>
          <w:top w:w="0" w:type="dxa"/>
          <w:left w:w="0" w:type="dxa"/>
          <w:bottom w:w="0" w:type="dxa"/>
          <w:right w:w="0" w:type="dxa"/>
        </w:tblCellMar>
      </w:tblPr>
      <w:tblGrid>
        <w:gridCol w:w="2997"/>
        <w:gridCol w:w="166"/>
        <w:gridCol w:w="146"/>
        <w:gridCol w:w="712"/>
        <w:gridCol w:w="182"/>
        <w:gridCol w:w="181"/>
        <w:gridCol w:w="955"/>
        <w:gridCol w:w="182"/>
        <w:gridCol w:w="260"/>
        <w:gridCol w:w="1135"/>
        <w:gridCol w:w="182"/>
        <w:gridCol w:w="206"/>
        <w:gridCol w:w="952"/>
        <w:gridCol w:w="182"/>
        <w:gridCol w:w="188"/>
        <w:gridCol w:w="982"/>
        <w:gridCol w:w="494"/>
      </w:tblGrid>
      <w:tr>
        <w:trPr/>
        <w:tc>
          <w:tcPr>
            <w:tcW w:w="29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6445"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 December 31, 2009</w:t>
            </w:r>
          </w:p>
        </w:tc>
        <w:tc>
          <w:tcPr>
            <w:tcW w:w="494" w:type="dxa"/>
            <w:tcBorders/>
            <w:shd w:fill="auto" w:val="clear"/>
            <w:vAlign w:val="bottom"/>
          </w:tcPr>
          <w:p>
            <w:pPr>
              <w:pStyle w:val="TableContents"/>
              <w:spacing w:before="0" w:after="0"/>
              <w:ind w:left="0" w:right="0" w:hanging="0"/>
              <w:jc w:val="center"/>
              <w:rPr/>
            </w:pPr>
            <w:r>
              <w:rPr/>
              <w:t> </w:t>
            </w:r>
          </w:p>
        </w:tc>
      </w:tr>
      <w:tr>
        <w:trPr/>
        <w:tc>
          <w:tcPr>
            <w:tcW w:w="29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58"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2" w:type="dxa"/>
            <w:tcBorders/>
            <w:shd w:fill="auto" w:val="clear"/>
            <w:vAlign w:val="bottom"/>
          </w:tcPr>
          <w:p>
            <w:pPr>
              <w:pStyle w:val="TableContents"/>
              <w:spacing w:before="0" w:after="0"/>
              <w:ind w:left="0" w:right="0" w:hanging="0"/>
              <w:jc w:val="center"/>
              <w:rPr/>
            </w:pPr>
            <w:r>
              <w:rPr/>
              <w:t> </w:t>
            </w:r>
          </w:p>
        </w:tc>
        <w:tc>
          <w:tcPr>
            <w:tcW w:w="13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82" w:type="dxa"/>
            <w:tcBorders/>
            <w:shd w:fill="auto" w:val="clear"/>
            <w:vAlign w:val="bottom"/>
          </w:tcPr>
          <w:p>
            <w:pPr>
              <w:pStyle w:val="TableContents"/>
              <w:spacing w:before="0" w:after="0"/>
              <w:ind w:left="0" w:right="0" w:hanging="0"/>
              <w:jc w:val="center"/>
              <w:rPr/>
            </w:pPr>
            <w:r>
              <w:rPr/>
              <w:t> </w:t>
            </w:r>
          </w:p>
        </w:tc>
        <w:tc>
          <w:tcPr>
            <w:tcW w:w="1158"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494" w:type="dxa"/>
            <w:tcBorders/>
            <w:shd w:fill="auto" w:val="clear"/>
            <w:vAlign w:val="bottom"/>
          </w:tcPr>
          <w:p>
            <w:pPr>
              <w:pStyle w:val="TableContents"/>
              <w:spacing w:before="0" w:after="0"/>
              <w:ind w:left="0" w:right="0" w:hanging="0"/>
              <w:jc w:val="center"/>
              <w:rPr/>
            </w:pPr>
            <w:r>
              <w:rPr/>
              <w:t> </w:t>
            </w:r>
          </w:p>
        </w:tc>
      </w:tr>
      <w:tr>
        <w:trPr/>
        <w:tc>
          <w:tcPr>
            <w:tcW w:w="29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58"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1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82" w:type="dxa"/>
            <w:tcBorders/>
            <w:shd w:fill="auto" w:val="clear"/>
            <w:vAlign w:val="bottom"/>
          </w:tcPr>
          <w:p>
            <w:pPr>
              <w:pStyle w:val="TableContents"/>
              <w:spacing w:before="0" w:after="0"/>
              <w:ind w:left="0" w:right="0" w:hanging="0"/>
              <w:jc w:val="center"/>
              <w:rPr/>
            </w:pPr>
            <w:r>
              <w:rPr/>
              <w:t> </w:t>
            </w:r>
          </w:p>
        </w:tc>
        <w:tc>
          <w:tcPr>
            <w:tcW w:w="13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82" w:type="dxa"/>
            <w:tcBorders/>
            <w:shd w:fill="auto" w:val="clear"/>
            <w:vAlign w:val="bottom"/>
          </w:tcPr>
          <w:p>
            <w:pPr>
              <w:pStyle w:val="TableContents"/>
              <w:spacing w:before="0" w:after="0"/>
              <w:ind w:left="0" w:right="0" w:hanging="0"/>
              <w:jc w:val="center"/>
              <w:rPr/>
            </w:pPr>
            <w:r>
              <w:rPr/>
              <w:t> </w:t>
            </w:r>
          </w:p>
        </w:tc>
        <w:tc>
          <w:tcPr>
            <w:tcW w:w="1158" w:type="dxa"/>
            <w:gridSpan w:val="2"/>
            <w:tcBorders/>
            <w:shd w:fill="auto" w:val="clear"/>
            <w:vAlign w:val="bottom"/>
          </w:tcPr>
          <w:p>
            <w:pPr>
              <w:pStyle w:val="TableContents"/>
              <w:spacing w:before="0" w:after="0"/>
              <w:ind w:left="0" w:right="0" w:hanging="0"/>
              <w:jc w:val="center"/>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170" w:type="dxa"/>
            <w:gridSpan w:val="2"/>
            <w:tcBorders/>
            <w:shd w:fill="auto" w:val="clear"/>
            <w:vAlign w:val="bottom"/>
          </w:tcPr>
          <w:p>
            <w:pPr>
              <w:pStyle w:val="TableContents"/>
              <w:spacing w:before="0" w:after="0"/>
              <w:ind w:left="0" w:right="0" w:hanging="0"/>
              <w:jc w:val="center"/>
              <w:rPr/>
            </w:pPr>
            <w:r>
              <w:rPr/>
              <w:t> </w:t>
            </w:r>
          </w:p>
        </w:tc>
        <w:tc>
          <w:tcPr>
            <w:tcW w:w="494" w:type="dxa"/>
            <w:tcBorders/>
            <w:shd w:fill="auto" w:val="clear"/>
            <w:vAlign w:val="bottom"/>
          </w:tcPr>
          <w:p>
            <w:pPr>
              <w:pStyle w:val="TableContents"/>
              <w:spacing w:before="0" w:after="0"/>
              <w:ind w:left="0" w:right="0" w:hanging="0"/>
              <w:jc w:val="center"/>
              <w:rPr/>
            </w:pPr>
            <w:r>
              <w:rPr/>
              <w:t> </w:t>
            </w:r>
          </w:p>
        </w:tc>
      </w:tr>
      <w:tr>
        <w:trPr/>
        <w:tc>
          <w:tcPr>
            <w:tcW w:w="29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82" w:type="dxa"/>
            <w:tcBorders/>
            <w:shd w:fill="auto" w:val="clear"/>
            <w:vAlign w:val="bottom"/>
          </w:tcPr>
          <w:p>
            <w:pPr>
              <w:pStyle w:val="TableContents"/>
              <w:spacing w:before="0" w:after="0"/>
              <w:ind w:left="0" w:right="0" w:hanging="0"/>
              <w:jc w:val="center"/>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2" w:type="dxa"/>
            <w:tcBorders/>
            <w:shd w:fill="auto" w:val="clear"/>
            <w:vAlign w:val="bottom"/>
          </w:tcPr>
          <w:p>
            <w:pPr>
              <w:pStyle w:val="TableContents"/>
              <w:spacing w:before="0" w:after="0"/>
              <w:ind w:left="0" w:right="0" w:hanging="0"/>
              <w:jc w:val="center"/>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82" w:type="dxa"/>
            <w:tcBorders/>
            <w:shd w:fill="auto" w:val="clear"/>
            <w:vAlign w:val="bottom"/>
          </w:tcPr>
          <w:p>
            <w:pPr>
              <w:pStyle w:val="TableContents"/>
              <w:spacing w:before="0" w:after="0"/>
              <w:ind w:left="0" w:right="0" w:hanging="0"/>
              <w:jc w:val="center"/>
              <w:rPr/>
            </w:pPr>
            <w:r>
              <w:rPr/>
              <w:t> </w:t>
            </w:r>
          </w:p>
        </w:tc>
        <w:tc>
          <w:tcPr>
            <w:tcW w:w="11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82" w:type="dxa"/>
            <w:tcBorders/>
            <w:shd w:fill="auto" w:val="clear"/>
            <w:vAlign w:val="bottom"/>
          </w:tcPr>
          <w:p>
            <w:pPr>
              <w:pStyle w:val="TableContents"/>
              <w:spacing w:before="0" w:after="0"/>
              <w:ind w:left="0" w:right="0" w:hanging="0"/>
              <w:jc w:val="center"/>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494" w:type="dxa"/>
            <w:tcBorders/>
            <w:shd w:fill="auto" w:val="clear"/>
            <w:vAlign w:val="bottom"/>
          </w:tcPr>
          <w:p>
            <w:pPr>
              <w:pStyle w:val="TableContents"/>
              <w:spacing w:before="0" w:after="0"/>
              <w:ind w:left="0" w:right="0" w:hanging="0"/>
              <w:jc w:val="center"/>
              <w:rPr/>
            </w:pPr>
            <w:r>
              <w:rPr/>
              <w:t> </w:t>
            </w:r>
          </w:p>
        </w:tc>
      </w:tr>
      <w:tr>
        <w:trPr/>
        <w:tc>
          <w:tcPr>
            <w:tcW w:w="29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58"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pPr>
            <w:r>
              <w:rPr/>
              <w:t> </w:t>
            </w:r>
          </w:p>
        </w:tc>
        <w:tc>
          <w:tcPr>
            <w:tcW w:w="494" w:type="dxa"/>
            <w:tcBorders/>
            <w:shd w:fill="auto" w:val="clear"/>
            <w:vAlign w:val="bottom"/>
          </w:tcPr>
          <w:p>
            <w:pPr>
              <w:pStyle w:val="TableContents"/>
              <w:spacing w:before="0" w:after="0"/>
              <w:ind w:left="0" w:right="0" w:hanging="0"/>
              <w:rPr/>
            </w:pPr>
            <w:r>
              <w:rPr/>
              <w:t> </w:t>
            </w:r>
          </w:p>
        </w:tc>
      </w:tr>
      <w:tr>
        <w:trPr/>
        <w:tc>
          <w:tcPr>
            <w:tcW w:w="2997" w:type="dxa"/>
            <w:tcBorders/>
            <w:shd w:fill="CCEEFF" w:val="clear"/>
            <w:vAlign w:val="bottom"/>
          </w:tcPr>
          <w:p>
            <w:pPr>
              <w:pStyle w:val="TableContents"/>
              <w:spacing w:before="0" w:after="0"/>
              <w:ind w:left="0" w:right="0" w:hanging="0"/>
              <w:rPr/>
            </w:pPr>
            <w:r>
              <w:rPr>
                <w:rFonts w:ascii="Times New Roman" w:hAnsi="Times New Roman"/>
                <w:sz w:val="17"/>
              </w:rPr>
              <w:t>Net operating revenues</w:t>
            </w:r>
            <w:r>
              <w:rPr>
                <w:sz w:val="11"/>
              </w:rPr>
              <w:t>(1)</w:t>
            </w:r>
          </w:p>
        </w:tc>
        <w:tc>
          <w:tcPr>
            <w:tcW w:w="166"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1,707</w:t>
            </w:r>
          </w:p>
        </w:tc>
        <w:tc>
          <w:tcPr>
            <w:tcW w:w="182"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82"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1,864</w:t>
            </w:r>
          </w:p>
        </w:tc>
        <w:tc>
          <w:tcPr>
            <w:tcW w:w="494" w:type="dxa"/>
            <w:tcBorders/>
            <w:shd w:fill="CCEEFF" w:val="clear"/>
            <w:vAlign w:val="bottom"/>
          </w:tcPr>
          <w:p>
            <w:pPr>
              <w:pStyle w:val="TableContents"/>
              <w:spacing w:before="0" w:after="0"/>
              <w:ind w:left="0" w:right="0" w:hanging="0"/>
              <w:rPr/>
            </w:pPr>
            <w:r>
              <w:rPr/>
              <w:t> </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4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4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4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5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494" w:type="dxa"/>
            <w:tcBorders/>
            <w:shd w:fill="CCEEFF" w:val="clear"/>
            <w:vAlign w:val="bottom"/>
          </w:tcPr>
          <w:p>
            <w:pPr>
              <w:pStyle w:val="TableContents"/>
              <w:spacing w:before="0" w:after="0"/>
              <w:ind w:left="0" w:right="0" w:hanging="0"/>
              <w:rPr/>
            </w:pPr>
            <w:r>
              <w:rPr/>
              <w:t> </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income/(loss)</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182" w:type="dxa"/>
            <w:tcBorders/>
            <w:shd w:fill="auto" w:val="clear"/>
            <w:vAlign w:val="bottom"/>
          </w:tcPr>
          <w:p>
            <w:pPr>
              <w:pStyle w:val="TableContents"/>
              <w:spacing w:before="0" w:after="0"/>
              <w:ind w:left="0" w:right="0" w:hanging="0"/>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2" w:type="dxa"/>
            <w:tcBorders/>
            <w:shd w:fill="auto" w:val="clear"/>
            <w:vAlign w:val="bottom"/>
          </w:tcPr>
          <w:p>
            <w:pPr>
              <w:pStyle w:val="TableContents"/>
              <w:spacing w:before="0" w:after="0"/>
              <w:ind w:left="0" w:right="0" w:hanging="0"/>
              <w:rPr/>
            </w:pPr>
            <w:r>
              <w:rPr/>
              <w:t> </w:t>
            </w:r>
          </w:p>
        </w:tc>
        <w:tc>
          <w:tcPr>
            <w:tcW w:w="11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494" w:type="dxa"/>
            <w:tcBorders/>
            <w:shd w:fill="auto" w:val="clear"/>
            <w:vAlign w:val="bottom"/>
          </w:tcPr>
          <w:p>
            <w:pPr>
              <w:pStyle w:val="TableContents"/>
              <w:spacing w:before="0" w:after="0"/>
              <w:ind w:left="0" w:right="0" w:hanging="0"/>
              <w:rPr/>
            </w:pPr>
            <w:r>
              <w:rPr/>
              <w:t> </w:t>
            </w:r>
          </w:p>
        </w:tc>
      </w:tr>
      <w:tr>
        <w:trPr/>
        <w:tc>
          <w:tcPr>
            <w:tcW w:w="29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36"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58"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pPr>
            <w:r>
              <w:rPr/>
              <w:t> </w:t>
            </w:r>
          </w:p>
        </w:tc>
        <w:tc>
          <w:tcPr>
            <w:tcW w:w="494" w:type="dxa"/>
            <w:tcBorders/>
            <w:shd w:fill="CCEEFF" w:val="clear"/>
            <w:vAlign w:val="bottom"/>
          </w:tcPr>
          <w:p>
            <w:pPr>
              <w:pStyle w:val="TableContents"/>
              <w:spacing w:before="0" w:after="0"/>
              <w:ind w:left="0" w:right="0" w:hanging="0"/>
              <w:rPr/>
            </w:pPr>
            <w:r>
              <w:rPr/>
              <w:t> </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822</w:t>
            </w:r>
          </w:p>
        </w:tc>
        <w:tc>
          <w:tcPr>
            <w:tcW w:w="18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82"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494" w:type="dxa"/>
            <w:tcBorders/>
            <w:shd w:fill="auto" w:val="clear"/>
            <w:vAlign w:val="bottom"/>
          </w:tcPr>
          <w:p>
            <w:pPr>
              <w:pStyle w:val="TableContents"/>
              <w:spacing w:before="0" w:after="0"/>
              <w:ind w:left="0" w:right="0" w:hanging="0"/>
              <w:rPr/>
            </w:pPr>
            <w:r>
              <w:rPr/>
              <w:t> </w:t>
            </w:r>
          </w:p>
        </w:tc>
      </w:tr>
      <w:tr>
        <w:trPr/>
        <w:tc>
          <w:tcPr>
            <w:tcW w:w="29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income (expense)</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82" w:type="dxa"/>
            <w:tcBorders/>
            <w:shd w:fill="CCEEFF" w:val="clear"/>
            <w:vAlign w:val="bottom"/>
          </w:tcPr>
          <w:p>
            <w:pPr>
              <w:pStyle w:val="TableContents"/>
              <w:spacing w:before="0" w:after="0"/>
              <w:ind w:left="0" w:right="0" w:hanging="0"/>
              <w:rPr/>
            </w:pPr>
            <w:r>
              <w:rPr/>
              <w:t> </w:t>
            </w:r>
          </w:p>
        </w:tc>
        <w:tc>
          <w:tcPr>
            <w:tcW w:w="13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4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82"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494" w:type="dxa"/>
            <w:tcBorders/>
            <w:shd w:fill="auto" w:val="clear"/>
            <w:vAlign w:val="bottom"/>
          </w:tcPr>
          <w:p>
            <w:pPr>
              <w:pStyle w:val="TableContents"/>
              <w:spacing w:before="0" w:after="0"/>
              <w:ind w:left="0" w:right="0" w:hanging="0"/>
              <w:rPr/>
            </w:pPr>
            <w:r>
              <w:rPr/>
              <w:t> </w:t>
            </w:r>
          </w:p>
        </w:tc>
      </w:tr>
      <w:tr>
        <w:trPr/>
        <w:tc>
          <w:tcPr>
            <w:tcW w:w="29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6"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8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182" w:type="dxa"/>
            <w:tcBorders/>
            <w:shd w:fill="auto" w:val="clear"/>
            <w:vAlign w:val="bottom"/>
          </w:tcPr>
          <w:p>
            <w:pPr>
              <w:pStyle w:val="TableContents"/>
              <w:spacing w:before="0" w:after="0"/>
              <w:ind w:left="0" w:right="0" w:hanging="0"/>
              <w:rPr/>
            </w:pPr>
            <w:r>
              <w:rPr/>
              <w:t> </w:t>
            </w:r>
          </w:p>
        </w:tc>
        <w:tc>
          <w:tcPr>
            <w:tcW w:w="13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auto" w:val="clear"/>
            <w:vAlign w:val="bottom"/>
          </w:tcPr>
          <w:p>
            <w:pPr>
              <w:pStyle w:val="TableContents"/>
              <w:spacing w:before="0" w:after="0"/>
              <w:ind w:left="0" w:right="0" w:hanging="0"/>
              <w:rPr/>
            </w:pPr>
            <w:r>
              <w:rPr/>
              <w:t> </w:t>
            </w:r>
          </w:p>
        </w:tc>
        <w:tc>
          <w:tcPr>
            <w:tcW w:w="11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494" w:type="dxa"/>
            <w:tcBorders/>
            <w:shd w:fill="auto" w:val="clear"/>
            <w:vAlign w:val="bottom"/>
          </w:tcPr>
          <w:p>
            <w:pPr>
              <w:pStyle w:val="TableContents"/>
              <w:spacing w:before="0" w:after="0"/>
              <w:ind w:left="0" w:right="0" w:hanging="0"/>
              <w:rPr/>
            </w:pPr>
            <w:r>
              <w:rPr/>
              <w:t> </w:t>
            </w:r>
          </w:p>
        </w:tc>
      </w:tr>
      <w:tr>
        <w:trPr/>
        <w:tc>
          <w:tcPr>
            <w:tcW w:w="29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w:t>
            </w:r>
          </w:p>
        </w:tc>
        <w:tc>
          <w:tcPr>
            <w:tcW w:w="166"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11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11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66"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82"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813</w:t>
            </w:r>
          </w:p>
        </w:tc>
        <w:tc>
          <w:tcPr>
            <w:tcW w:w="182"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82"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49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57"/>
        <w:gridCol w:w="181"/>
        <w:gridCol w:w="151"/>
        <w:gridCol w:w="768"/>
        <w:gridCol w:w="196"/>
        <w:gridCol w:w="184"/>
        <w:gridCol w:w="1001"/>
        <w:gridCol w:w="196"/>
        <w:gridCol w:w="260"/>
        <w:gridCol w:w="1058"/>
        <w:gridCol w:w="196"/>
        <w:gridCol w:w="208"/>
        <w:gridCol w:w="998"/>
        <w:gridCol w:w="196"/>
        <w:gridCol w:w="191"/>
        <w:gridCol w:w="1027"/>
        <w:gridCol w:w="137"/>
      </w:tblGrid>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630"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2008</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CCEEFF" w:val="clear"/>
            <w:vAlign w:val="bottom"/>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1,469</w:t>
            </w:r>
          </w:p>
        </w:tc>
        <w:tc>
          <w:tcPr>
            <w:tcW w:w="196"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1,582</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1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income/(loss)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1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629</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96" w:type="dxa"/>
            <w:tcBorders/>
            <w:shd w:fill="CCEEFF" w:val="clear"/>
            <w:vAlign w:val="bottom"/>
          </w:tcPr>
          <w:p>
            <w:pPr>
              <w:pStyle w:val="TableContents"/>
              <w:spacing w:before="0" w:after="0"/>
              <w:ind w:left="0" w:right="0" w:hanging="0"/>
              <w:rPr/>
            </w:pPr>
            <w:r>
              <w:rPr/>
              <w:t> </w:t>
            </w:r>
          </w:p>
        </w:tc>
        <w:tc>
          <w:tcPr>
            <w:tcW w:w="18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196" w:type="dxa"/>
            <w:tcBorders/>
            <w:shd w:fill="CCEEFF" w:val="clear"/>
            <w:vAlign w:val="bottom"/>
          </w:tcPr>
          <w:p>
            <w:pPr>
              <w:pStyle w:val="TableContents"/>
              <w:spacing w:before="0" w:after="0"/>
              <w:ind w:left="0" w:right="0" w:hanging="0"/>
              <w:rPr/>
            </w:pPr>
            <w:r>
              <w:rPr/>
              <w:t> </w:t>
            </w:r>
          </w:p>
        </w:tc>
        <w:tc>
          <w:tcPr>
            <w:tcW w:w="2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6"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3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F-47</w:t>
      </w:r>
      <w:bookmarkStart w:id="211" w:name="PB_47_133045_5335"/>
      <w:bookmarkEnd w:id="21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57"/>
        <w:gridCol w:w="181"/>
        <w:gridCol w:w="151"/>
        <w:gridCol w:w="768"/>
        <w:gridCol w:w="196"/>
        <w:gridCol w:w="184"/>
        <w:gridCol w:w="1001"/>
        <w:gridCol w:w="196"/>
        <w:gridCol w:w="260"/>
        <w:gridCol w:w="1058"/>
        <w:gridCol w:w="196"/>
        <w:gridCol w:w="208"/>
        <w:gridCol w:w="998"/>
        <w:gridCol w:w="196"/>
        <w:gridCol w:w="191"/>
        <w:gridCol w:w="1027"/>
        <w:gridCol w:w="137"/>
      </w:tblGrid>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6630"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2007</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shd w:fill="auto" w:val="clear"/>
            <w:vAlign w:val="bottom"/>
          </w:tcPr>
          <w:p>
            <w:pPr>
              <w:pStyle w:val="TableContents"/>
              <w:spacing w:before="0" w:after="0"/>
              <w:ind w:left="0" w:right="0" w:hanging="0"/>
              <w:jc w:val="center"/>
              <w:rPr/>
            </w:pPr>
            <w:r>
              <w:rPr/>
              <w:t> </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6"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6" w:type="dxa"/>
            <w:tcBorders/>
            <w:shd w:fill="auto" w:val="clear"/>
            <w:vAlign w:val="bottom"/>
          </w:tcPr>
          <w:p>
            <w:pPr>
              <w:pStyle w:val="TableContents"/>
              <w:spacing w:before="0" w:after="0"/>
              <w:ind w:left="0" w:right="0" w:hanging="0"/>
              <w:jc w:val="center"/>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7" w:type="dxa"/>
            <w:tcBorders/>
            <w:shd w:fill="auto" w:val="clear"/>
            <w:vAlign w:val="bottom"/>
          </w:tcPr>
          <w:p>
            <w:pPr>
              <w:pStyle w:val="TableContents"/>
              <w:spacing w:before="0" w:after="0"/>
              <w:ind w:left="0" w:right="0" w:hanging="0"/>
              <w:jc w:val="center"/>
              <w:rPr/>
            </w:pPr>
            <w:r>
              <w:rPr/>
              <w:t> </w:t>
            </w:r>
          </w:p>
        </w:tc>
      </w:tr>
      <w:tr>
        <w:trPr/>
        <w:tc>
          <w:tcPr>
            <w:tcW w:w="3257" w:type="dxa"/>
            <w:tcBorders/>
            <w:shd w:fill="CCEEFF" w:val="clear"/>
            <w:vAlign w:val="bottom"/>
          </w:tcPr>
          <w:p>
            <w:pPr>
              <w:pStyle w:val="TableContents"/>
              <w:spacing w:before="0" w:after="0"/>
              <w:ind w:left="0" w:right="0" w:hanging="0"/>
              <w:rPr/>
            </w:pPr>
            <w:r>
              <w:rPr>
                <w:rFonts w:ascii="Times New Roman" w:hAnsi="Times New Roman"/>
                <w:sz w:val="17"/>
              </w:rPr>
              <w:t xml:space="preserve">Net operating revenues </w:t>
            </w:r>
            <w:r>
              <w:rPr>
                <w:sz w:val="11"/>
              </w:rPr>
              <w:t>(1)</w:t>
            </w:r>
          </w:p>
        </w:tc>
        <w:tc>
          <w:tcPr>
            <w:tcW w:w="18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1,271</w:t>
            </w:r>
          </w:p>
        </w:tc>
        <w:tc>
          <w:tcPr>
            <w:tcW w:w="196"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96"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1,393</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(531</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1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income/(loss)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318"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pPr>
            <w:r>
              <w:rPr/>
              <w:t> </w:t>
            </w:r>
          </w:p>
        </w:tc>
        <w:tc>
          <w:tcPr>
            <w:tcW w:w="137" w:type="dxa"/>
            <w:tcBorders/>
            <w:shd w:fill="CCEEFF" w:val="clear"/>
            <w:vAlign w:val="bottom"/>
          </w:tcPr>
          <w:p>
            <w:pPr>
              <w:pStyle w:val="TableContents"/>
              <w:spacing w:before="0" w:after="0"/>
              <w:ind w:left="0" w:right="0" w:hanging="0"/>
              <w:rPr/>
            </w:pPr>
            <w:r>
              <w:rPr/>
              <w:t> </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1" w:type="dxa"/>
            <w:tcBorders/>
            <w:shd w:fill="CCEEFF" w:val="clear"/>
            <w:vAlign w:val="bottom"/>
          </w:tcPr>
          <w:p>
            <w:pPr>
              <w:pStyle w:val="TableContents"/>
              <w:spacing w:before="0" w:after="0"/>
              <w:ind w:left="0" w:right="0" w:hanging="0"/>
              <w:rPr/>
            </w:pPr>
            <w:r>
              <w:rPr/>
              <w:t> </w:t>
            </w:r>
          </w:p>
        </w:tc>
        <w:tc>
          <w:tcPr>
            <w:tcW w:w="9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6" w:type="dxa"/>
            <w:tcBorders/>
            <w:shd w:fill="CCEEFF" w:val="clear"/>
            <w:vAlign w:val="bottom"/>
          </w:tcPr>
          <w:p>
            <w:pPr>
              <w:pStyle w:val="TableContents"/>
              <w:spacing w:before="0" w:after="0"/>
              <w:ind w:left="0" w:right="0" w:hanging="0"/>
              <w:rPr/>
            </w:pPr>
            <w:r>
              <w:rPr/>
              <w:t> </w:t>
            </w:r>
          </w:p>
        </w:tc>
        <w:tc>
          <w:tcPr>
            <w:tcW w:w="12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257"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rPr/>
            </w:pPr>
            <w:r>
              <w:rPr/>
              <w:t> </w:t>
            </w:r>
          </w:p>
        </w:tc>
        <w:tc>
          <w:tcPr>
            <w:tcW w:w="919"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318"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1218" w:type="dxa"/>
            <w:gridSpan w:val="2"/>
            <w:tcBorders/>
            <w:shd w:fill="auto" w:val="clear"/>
            <w:vAlign w:val="bottom"/>
          </w:tcPr>
          <w:p>
            <w:pPr>
              <w:pStyle w:val="TableContents"/>
              <w:spacing w:before="0" w:after="0"/>
              <w:ind w:left="0" w:right="0" w:hanging="0"/>
              <w:jc w:val="right"/>
              <w:rPr/>
            </w:pPr>
            <w:r>
              <w:rPr/>
              <w:t> </w:t>
            </w:r>
          </w:p>
        </w:tc>
        <w:tc>
          <w:tcPr>
            <w:tcW w:w="137" w:type="dxa"/>
            <w:tcBorders/>
            <w:shd w:fill="auto" w:val="clear"/>
            <w:vAlign w:val="bottom"/>
          </w:tcPr>
          <w:p>
            <w:pPr>
              <w:pStyle w:val="TableContents"/>
              <w:spacing w:before="0" w:after="0"/>
              <w:ind w:left="0" w:right="0" w:hanging="0"/>
              <w:rPr/>
            </w:pPr>
            <w:r>
              <w:rPr/>
              <w:t> </w:t>
            </w:r>
          </w:p>
        </w:tc>
      </w:tr>
      <w:tr>
        <w:trPr/>
        <w:tc>
          <w:tcPr>
            <w:tcW w:w="3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96" w:type="dxa"/>
            <w:tcBorders/>
            <w:shd w:fill="CCEEFF" w:val="clear"/>
            <w:vAlign w:val="bottom"/>
          </w:tcPr>
          <w:p>
            <w:pPr>
              <w:pStyle w:val="TableContents"/>
              <w:spacing w:before="0" w:after="0"/>
              <w:ind w:left="0" w:right="0" w:hanging="0"/>
              <w:rPr/>
            </w:pPr>
            <w:r>
              <w:rPr/>
              <w:t> </w:t>
            </w:r>
          </w:p>
        </w:tc>
        <w:tc>
          <w:tcPr>
            <w:tcW w:w="18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96" w:type="dxa"/>
            <w:tcBorders/>
            <w:shd w:fill="CCEEFF" w:val="clear"/>
            <w:vAlign w:val="bottom"/>
          </w:tcPr>
          <w:p>
            <w:pPr>
              <w:pStyle w:val="TableContents"/>
              <w:spacing w:before="0" w:after="0"/>
              <w:ind w:left="0" w:right="0" w:hanging="0"/>
              <w:rPr/>
            </w:pPr>
            <w:r>
              <w:rPr/>
              <w:t> </w:t>
            </w:r>
          </w:p>
        </w:tc>
        <w:tc>
          <w:tcPr>
            <w:tcW w:w="2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6"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3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Net operating revenues are calculated as Total revenues less Purchases and related costs.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3"/>
        <w:gridCol w:w="176"/>
        <w:gridCol w:w="158"/>
        <w:gridCol w:w="763"/>
        <w:gridCol w:w="193"/>
        <w:gridCol w:w="235"/>
        <w:gridCol w:w="969"/>
        <w:gridCol w:w="193"/>
        <w:gridCol w:w="339"/>
        <w:gridCol w:w="1012"/>
        <w:gridCol w:w="193"/>
        <w:gridCol w:w="219"/>
        <w:gridCol w:w="1009"/>
        <w:gridCol w:w="193"/>
        <w:gridCol w:w="247"/>
        <w:gridCol w:w="994"/>
        <w:gridCol w:w="139"/>
      </w:tblGrid>
      <w:tr>
        <w:trPr/>
        <w:tc>
          <w:tcPr>
            <w:tcW w:w="317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6717"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2009</w:t>
            </w:r>
          </w:p>
        </w:tc>
        <w:tc>
          <w:tcPr>
            <w:tcW w:w="139" w:type="dxa"/>
            <w:tcBorders/>
            <w:shd w:fill="auto" w:val="clear"/>
            <w:vAlign w:val="bottom"/>
          </w:tcPr>
          <w:p>
            <w:pPr>
              <w:pStyle w:val="TableContents"/>
              <w:spacing w:before="0" w:after="0"/>
              <w:ind w:left="0" w:right="0" w:hanging="0"/>
              <w:jc w:val="center"/>
              <w:rPr/>
            </w:pPr>
            <w:r>
              <w:rPr/>
              <w:t> </w:t>
            </w:r>
          </w:p>
        </w:tc>
      </w:tr>
      <w:tr>
        <w:trPr/>
        <w:tc>
          <w:tcPr>
            <w:tcW w:w="317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2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3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228"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17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2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28"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jc w:val="center"/>
              <w:rPr/>
            </w:pPr>
            <w:r>
              <w:rPr/>
              <w:t> </w:t>
            </w:r>
          </w:p>
        </w:tc>
      </w:tr>
      <w:tr>
        <w:trPr/>
        <w:tc>
          <w:tcPr>
            <w:tcW w:w="317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9" w:type="dxa"/>
            <w:tcBorders/>
            <w:shd w:fill="auto" w:val="clear"/>
            <w:vAlign w:val="bottom"/>
          </w:tcPr>
          <w:p>
            <w:pPr>
              <w:pStyle w:val="TableContents"/>
              <w:spacing w:before="0" w:after="0"/>
              <w:ind w:left="0" w:right="0" w:hanging="0"/>
              <w:jc w:val="center"/>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OPERATING ACTIVITIES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93"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814</w:t>
            </w:r>
          </w:p>
        </w:tc>
        <w:tc>
          <w:tcPr>
            <w:tcW w:w="193" w:type="dxa"/>
            <w:tcBorders/>
            <w:shd w:fill="auto" w:val="clear"/>
            <w:vAlign w:val="bottom"/>
          </w:tcPr>
          <w:p>
            <w:pPr>
              <w:pStyle w:val="TableContents"/>
              <w:spacing w:before="0" w:after="0"/>
              <w:ind w:left="0" w:right="0" w:hanging="0"/>
              <w:rPr/>
            </w:pPr>
            <w:r>
              <w:rPr/>
              <w:t> </w:t>
            </w:r>
          </w:p>
        </w:tc>
        <w:tc>
          <w:tcPr>
            <w:tcW w:w="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3"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(818</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871</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(616</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operating activities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1,135</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INVESTING ACTIVITIES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and equipment</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(387</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 of noncontrolling interest in a subsidiary</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linefill in assets owned</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 and other</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FINANCING ACTIVITIES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revolving credit facility</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short-term letter of credit and hedged inventory facility</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 of PNGS debt</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issuance of senior notes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(605</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853</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pPr>
            <w:r>
              <w:rPr/>
              <w:t> </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4"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176" w:type="dxa"/>
            <w:tcBorders/>
            <w:shd w:fill="CCEEFF" w:val="clear"/>
            <w:vAlign w:val="bottom"/>
          </w:tcPr>
          <w:p>
            <w:pPr>
              <w:pStyle w:val="TableContents"/>
              <w:spacing w:before="0" w:after="0"/>
              <w:ind w:left="0" w:right="0" w:hanging="0"/>
              <w:rPr/>
            </w:pPr>
            <w:r>
              <w:rPr/>
              <w:t> </w:t>
            </w:r>
          </w:p>
        </w:tc>
        <w:tc>
          <w:tcPr>
            <w:tcW w:w="9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3"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CCEEFF" w:val="clear"/>
            <w:vAlign w:val="bottom"/>
          </w:tcPr>
          <w:p>
            <w:pPr>
              <w:pStyle w:val="TableContents"/>
              <w:spacing w:before="0" w:after="0"/>
              <w:ind w:left="0" w:right="0" w:hanging="0"/>
              <w:rPr/>
            </w:pPr>
            <w:r>
              <w:rPr/>
              <w:t> </w:t>
            </w:r>
          </w:p>
        </w:tc>
        <w:tc>
          <w:tcPr>
            <w:tcW w:w="12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9" w:type="dxa"/>
            <w:tcBorders/>
            <w:shd w:fill="CCEEFF" w:val="clear"/>
            <w:vAlign w:val="bottom"/>
          </w:tcPr>
          <w:p>
            <w:pPr>
              <w:pStyle w:val="TableContents"/>
              <w:spacing w:before="0" w:after="0"/>
              <w:ind w:left="0" w:right="0" w:hanging="0"/>
              <w:rPr/>
            </w:pPr>
            <w:r>
              <w:rPr/>
              <w:t> </w:t>
            </w:r>
          </w:p>
        </w:tc>
      </w:tr>
      <w:tr>
        <w:trPr/>
        <w:tc>
          <w:tcPr>
            <w:tcW w:w="3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6" w:type="dxa"/>
            <w:tcBorders/>
            <w:shd w:fill="auto" w:val="clear"/>
            <w:vAlign w:val="bottom"/>
          </w:tcPr>
          <w:p>
            <w:pPr>
              <w:pStyle w:val="TableContents"/>
              <w:spacing w:before="0" w:after="0"/>
              <w:ind w:left="0" w:right="0" w:hanging="0"/>
              <w:rPr/>
            </w:pPr>
            <w:r>
              <w:rPr/>
              <w:t> </w:t>
            </w:r>
          </w:p>
        </w:tc>
        <w:tc>
          <w:tcPr>
            <w:tcW w:w="92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pPr>
            <w:r>
              <w:rPr/>
              <w:t> </w:t>
            </w:r>
          </w:p>
        </w:tc>
        <w:tc>
          <w:tcPr>
            <w:tcW w:w="12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9" w:type="dxa"/>
            <w:tcBorders/>
            <w:shd w:fill="auto" w:val="clear"/>
            <w:vAlign w:val="bottom"/>
          </w:tcPr>
          <w:p>
            <w:pPr>
              <w:pStyle w:val="TableContents"/>
              <w:spacing w:before="0" w:after="0"/>
              <w:ind w:left="0" w:right="0" w:hanging="0"/>
              <w:rPr/>
            </w:pPr>
            <w:r>
              <w:rPr/>
              <w:t> </w:t>
            </w:r>
          </w:p>
        </w:tc>
      </w:tr>
      <w:tr>
        <w:trPr/>
        <w:tc>
          <w:tcPr>
            <w:tcW w:w="3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6" w:type="dxa"/>
            <w:tcBorders/>
            <w:shd w:fill="CCEEFF" w:val="clear"/>
            <w:vAlign w:val="bottom"/>
          </w:tcPr>
          <w:p>
            <w:pPr>
              <w:pStyle w:val="TableContents"/>
              <w:spacing w:before="0" w:after="0"/>
              <w:ind w:left="0" w:right="0" w:hanging="0"/>
              <w:rPr/>
            </w:pPr>
            <w:r>
              <w:rPr/>
              <w:t> </w:t>
            </w:r>
          </w:p>
        </w:tc>
        <w:tc>
          <w:tcPr>
            <w:tcW w:w="15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3" w:type="dxa"/>
            <w:tcBorders/>
            <w:shd w:fill="CCEEFF" w:val="clear"/>
            <w:vAlign w:val="bottom"/>
          </w:tcPr>
          <w:p>
            <w:pPr>
              <w:pStyle w:val="TableContents"/>
              <w:spacing w:before="0" w:after="0"/>
              <w:ind w:left="0" w:right="0" w:hanging="0"/>
              <w:rPr/>
            </w:pPr>
            <w:r>
              <w:rPr/>
              <w:t> </w:t>
            </w:r>
          </w:p>
        </w:tc>
        <w:tc>
          <w:tcPr>
            <w:tcW w:w="3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CCEEFF" w:val="clear"/>
            <w:vAlign w:val="bottom"/>
          </w:tcPr>
          <w:p>
            <w:pPr>
              <w:pStyle w:val="TableContents"/>
              <w:spacing w:before="0" w:after="0"/>
              <w:ind w:left="0" w:right="0" w:hanging="0"/>
              <w:rPr/>
            </w:pPr>
            <w:r>
              <w:rPr/>
              <w:t> </w:t>
            </w:r>
          </w:p>
        </w:tc>
        <w:tc>
          <w:tcPr>
            <w:tcW w:w="21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9"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F-48</w:t>
      </w:r>
      <w:bookmarkStart w:id="212" w:name="PB_48_133230_5796"/>
      <w:bookmarkEnd w:id="2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Condensed Consolidating Statements of Cash Flows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79"/>
        <w:gridCol w:w="177"/>
        <w:gridCol w:w="155"/>
        <w:gridCol w:w="756"/>
        <w:gridCol w:w="193"/>
        <w:gridCol w:w="235"/>
        <w:gridCol w:w="970"/>
        <w:gridCol w:w="193"/>
        <w:gridCol w:w="339"/>
        <w:gridCol w:w="1013"/>
        <w:gridCol w:w="193"/>
        <w:gridCol w:w="220"/>
        <w:gridCol w:w="1010"/>
        <w:gridCol w:w="193"/>
        <w:gridCol w:w="247"/>
        <w:gridCol w:w="994"/>
        <w:gridCol w:w="138"/>
      </w:tblGrid>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2008</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93"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620</w:t>
            </w:r>
          </w:p>
        </w:tc>
        <w:tc>
          <w:tcPr>
            <w:tcW w:w="193" w:type="dxa"/>
            <w:tcBorders/>
            <w:shd w:fill="auto" w:val="clear"/>
            <w:vAlign w:val="bottom"/>
          </w:tcPr>
          <w:p>
            <w:pPr>
              <w:pStyle w:val="TableContents"/>
              <w:spacing w:before="0" w:after="0"/>
              <w:ind w:left="0" w:right="0" w:hanging="0"/>
              <w:rPr/>
            </w:pPr>
            <w:r>
              <w:rPr/>
              <w:t> </w:t>
            </w:r>
          </w:p>
        </w:tc>
        <w:tc>
          <w:tcPr>
            <w:tcW w:w="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3"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foreign currency revaluation</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rFonts w:ascii="Times New Roman" w:hAnsi="Times New Roman"/>
                <w:sz w:val="17"/>
              </w:rPr>
              <w:t>Equity earnings in unconsolidated entities, net</w:t>
            </w:r>
            <w:r>
              <w:rPr/>
              <w:t xml:space="preserve"> </w:t>
            </w:r>
            <w:r>
              <w:rPr>
                <w:sz w:val="17"/>
              </w:rPr>
              <w:t>of distributions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660</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1,352</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INVESTING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(709</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and equipment</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(589</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paid for linefill in assets owned</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 and other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(1,257</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(1,339</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FINANCING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revolving credit facility</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286</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rFonts w:ascii="Times New Roman" w:hAnsi="Times New Roman"/>
                <w:sz w:val="17"/>
              </w:rPr>
              <w:t>Net repayments on short-term letter of credit</w:t>
            </w:r>
            <w:r>
              <w:rPr/>
              <w:t xml:space="preserve"> </w:t>
            </w:r>
            <w:r>
              <w:rPr>
                <w:sz w:val="17"/>
              </w:rPr>
              <w:t>and hedged inventory facility</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issuance of senior notes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rFonts w:ascii="Times New Roman" w:hAnsi="Times New Roman"/>
                <w:sz w:val="17"/>
              </w:rPr>
              <w:t>Net proceeds from the issuance of common</w:t>
            </w:r>
            <w:r>
              <w:rPr/>
              <w:t xml:space="preserve"> </w:t>
            </w:r>
            <w:r>
              <w:rPr>
                <w:sz w:val="17"/>
              </w:rPr>
              <w:t>units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(532</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by/(used in) financing activities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578</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t> </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pPr>
            <w:r>
              <w:rPr>
                <w:rFonts w:ascii="Times New Roman" w:hAnsi="Times New Roman"/>
                <w:sz w:val="17"/>
              </w:rPr>
              <w:t>Net increase/(decrease) in cash and cash</w:t>
            </w:r>
            <w:r>
              <w:rPr/>
              <w:t xml:space="preserve"> </w:t>
            </w:r>
            <w:r>
              <w:rPr>
                <w:sz w:val="17"/>
              </w:rPr>
              <w:t>equivalents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7" w:type="dxa"/>
            <w:tcBorders/>
            <w:shd w:fill="CCEEFF" w:val="clear"/>
            <w:vAlign w:val="bottom"/>
          </w:tcPr>
          <w:p>
            <w:pPr>
              <w:pStyle w:val="TableContents"/>
              <w:spacing w:before="0" w:after="0"/>
              <w:ind w:left="0" w:right="0" w:hanging="0"/>
              <w:rPr/>
            </w:pPr>
            <w:r>
              <w:rPr/>
              <w:t> </w:t>
            </w:r>
          </w:p>
        </w:tc>
        <w:tc>
          <w:tcPr>
            <w:tcW w:w="1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pPr>
            <w:r>
              <w:rPr/>
              <w:t> </w:t>
            </w:r>
          </w:p>
        </w:tc>
        <w:tc>
          <w:tcPr>
            <w:tcW w:w="3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2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F-49</w:t>
      </w:r>
      <w:bookmarkStart w:id="213" w:name="PB_49_134054_2897"/>
      <w:bookmarkEnd w:id="21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179"/>
        <w:gridCol w:w="177"/>
        <w:gridCol w:w="162"/>
        <w:gridCol w:w="749"/>
        <w:gridCol w:w="193"/>
        <w:gridCol w:w="235"/>
        <w:gridCol w:w="970"/>
        <w:gridCol w:w="193"/>
        <w:gridCol w:w="339"/>
        <w:gridCol w:w="1013"/>
        <w:gridCol w:w="193"/>
        <w:gridCol w:w="220"/>
        <w:gridCol w:w="1010"/>
        <w:gridCol w:w="193"/>
        <w:gridCol w:w="247"/>
        <w:gridCol w:w="994"/>
        <w:gridCol w:w="138"/>
      </w:tblGrid>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Condensed Consolidating Statements of Cash Flows</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6711"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 2007</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Combined</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Guarantor</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Non-Guarantor</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shd w:fill="auto" w:val="clear"/>
            <w:vAlign w:val="bottom"/>
          </w:tcPr>
          <w:p>
            <w:pPr>
              <w:pStyle w:val="TableContents"/>
              <w:spacing w:before="0" w:after="0"/>
              <w:ind w:left="0" w:right="0" w:hanging="0"/>
              <w:jc w:val="center"/>
              <w:rPr/>
            </w:pPr>
            <w:r>
              <w:rPr/>
              <w:t> </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jc w:val="center"/>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Parent</w:t>
            </w:r>
          </w:p>
        </w:tc>
        <w:tc>
          <w:tcPr>
            <w:tcW w:w="193"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Subsidiaries</w:t>
            </w:r>
          </w:p>
        </w:tc>
        <w:tc>
          <w:tcPr>
            <w:tcW w:w="193" w:type="dxa"/>
            <w:tcBorders/>
            <w:shd w:fill="auto" w:val="clear"/>
            <w:vAlign w:val="bottom"/>
          </w:tcPr>
          <w:p>
            <w:pPr>
              <w:pStyle w:val="TableContents"/>
              <w:spacing w:before="0" w:after="0"/>
              <w:ind w:left="0" w:right="0" w:hanging="0"/>
              <w:jc w:val="center"/>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Eliminations</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Consolidated</w:t>
            </w:r>
          </w:p>
        </w:tc>
        <w:tc>
          <w:tcPr>
            <w:tcW w:w="138" w:type="dxa"/>
            <w:tcBorders/>
            <w:shd w:fill="auto" w:val="clear"/>
            <w:vAlign w:val="bottom"/>
          </w:tcPr>
          <w:p>
            <w:pPr>
              <w:pStyle w:val="TableContents"/>
              <w:spacing w:before="0" w:after="0"/>
              <w:ind w:left="0" w:right="0" w:hanging="0"/>
              <w:jc w:val="center"/>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77" w:type="dxa"/>
            <w:tcBorders/>
            <w:shd w:fill="auto" w:val="clear"/>
            <w:vAlign w:val="bottom"/>
          </w:tcPr>
          <w:p>
            <w:pPr>
              <w:pStyle w:val="TableContents"/>
              <w:spacing w:before="0" w:after="0"/>
              <w:ind w:left="0" w:right="0" w:hanging="0"/>
              <w:rPr/>
            </w:pPr>
            <w:r>
              <w:rPr/>
              <w:t> </w:t>
            </w:r>
          </w:p>
        </w:tc>
        <w:tc>
          <w:tcPr>
            <w:tcW w:w="16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93" w:type="dxa"/>
            <w:tcBorders/>
            <w:shd w:fill="auto" w:val="clear"/>
            <w:vAlign w:val="bottom"/>
          </w:tcPr>
          <w:p>
            <w:pPr>
              <w:pStyle w:val="TableContents"/>
              <w:spacing w:before="0" w:after="0"/>
              <w:ind w:left="0" w:right="0" w:hanging="0"/>
              <w:rPr/>
            </w:pPr>
            <w:r>
              <w:rPr/>
              <w:t> </w:t>
            </w:r>
          </w:p>
        </w:tc>
        <w:tc>
          <w:tcPr>
            <w:tcW w:w="2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93" w:type="dxa"/>
            <w:tcBorders/>
            <w:shd w:fill="auto" w:val="clear"/>
            <w:vAlign w:val="bottom"/>
          </w:tcPr>
          <w:p>
            <w:pPr>
              <w:pStyle w:val="TableContents"/>
              <w:spacing w:before="0" w:after="0"/>
              <w:ind w:left="0" w:right="0" w:hanging="0"/>
              <w:rPr/>
            </w:pPr>
            <w:r>
              <w:rPr/>
              <w:t> </w:t>
            </w:r>
          </w:p>
        </w:tc>
        <w:tc>
          <w:tcPr>
            <w:tcW w:w="3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93" w:type="dxa"/>
            <w:tcBorders/>
            <w:shd w:fill="auto" w:val="clear"/>
            <w:vAlign w:val="bottom"/>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696</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796</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INVESTING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and equipment</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(548</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linefill in assets owned</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 and other</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(630</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FLOWS FROM FINANCING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on revolving credit facility</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repayments on short-term letter of credit and hedged inventory facility</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and general partner</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financing activities</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79" w:type="dxa"/>
            <w:tcBorders/>
            <w:shd w:fill="auto" w:val="clear"/>
            <w:vAlign w:val="bottom"/>
          </w:tcPr>
          <w:p>
            <w:pPr>
              <w:pStyle w:val="TableContents"/>
              <w:spacing w:before="0" w:after="0"/>
              <w:ind w:left="0" w:right="0" w:hanging="0"/>
              <w:rPr/>
            </w:pPr>
            <w:r>
              <w:rPr/>
              <w:t> </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increase/(decrease) in cash and cash equivalents</w:t>
            </w:r>
          </w:p>
        </w:tc>
        <w:tc>
          <w:tcPr>
            <w:tcW w:w="177" w:type="dxa"/>
            <w:tcBorders/>
            <w:shd w:fill="auto" w:val="clear"/>
            <w:vAlign w:val="bottom"/>
          </w:tcPr>
          <w:p>
            <w:pPr>
              <w:pStyle w:val="TableContents"/>
              <w:spacing w:before="0" w:after="0"/>
              <w:ind w:left="0" w:right="0" w:hanging="0"/>
              <w:rPr/>
            </w:pPr>
            <w:r>
              <w:rPr/>
              <w:t> </w:t>
            </w:r>
          </w:p>
        </w:tc>
        <w:tc>
          <w:tcPr>
            <w:tcW w:w="9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3" w:type="dxa"/>
            <w:tcBorders/>
            <w:shd w:fill="auto" w:val="clear"/>
            <w:vAlign w:val="bottom"/>
          </w:tcPr>
          <w:p>
            <w:pPr>
              <w:pStyle w:val="TableContents"/>
              <w:spacing w:before="0" w:after="0"/>
              <w:ind w:left="0" w:right="0" w:hanging="0"/>
              <w:rPr/>
            </w:pPr>
            <w:r>
              <w:rPr/>
              <w:t> </w:t>
            </w:r>
          </w:p>
        </w:tc>
        <w:tc>
          <w:tcPr>
            <w:tcW w:w="135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8" w:type="dxa"/>
            <w:tcBorders/>
            <w:shd w:fill="auto" w:val="clear"/>
            <w:vAlign w:val="bottom"/>
          </w:tcPr>
          <w:p>
            <w:pPr>
              <w:pStyle w:val="TableContents"/>
              <w:spacing w:before="0" w:after="0"/>
              <w:ind w:left="0" w:right="0" w:hanging="0"/>
              <w:rPr/>
            </w:pPr>
            <w:r>
              <w:rPr/>
              <w:t> </w:t>
            </w:r>
          </w:p>
        </w:tc>
      </w:tr>
      <w:tr>
        <w:trPr/>
        <w:tc>
          <w:tcPr>
            <w:tcW w:w="3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177" w:type="dxa"/>
            <w:tcBorders/>
            <w:shd w:fill="CCEEFF" w:val="clear"/>
            <w:vAlign w:val="bottom"/>
          </w:tcPr>
          <w:p>
            <w:pPr>
              <w:pStyle w:val="TableContents"/>
              <w:spacing w:before="0" w:after="0"/>
              <w:ind w:left="0" w:right="0" w:hanging="0"/>
              <w:rPr/>
            </w:pPr>
            <w:r>
              <w:rPr/>
              <w:t> </w:t>
            </w:r>
          </w:p>
        </w:tc>
        <w:tc>
          <w:tcPr>
            <w:tcW w:w="9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pPr>
            <w:r>
              <w:rPr/>
              <w:t> </w:t>
            </w:r>
          </w:p>
        </w:tc>
        <w:tc>
          <w:tcPr>
            <w:tcW w:w="13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8" w:type="dxa"/>
            <w:tcBorders/>
            <w:shd w:fill="CCEEFF" w:val="clear"/>
            <w:vAlign w:val="bottom"/>
          </w:tcPr>
          <w:p>
            <w:pPr>
              <w:pStyle w:val="TableContents"/>
              <w:spacing w:before="0" w:after="0"/>
              <w:ind w:left="0" w:right="0" w:hanging="0"/>
              <w:rPr/>
            </w:pPr>
            <w:r>
              <w:rPr/>
              <w:t> </w:t>
            </w:r>
          </w:p>
        </w:tc>
      </w:tr>
      <w:tr>
        <w:trPr/>
        <w:tc>
          <w:tcPr>
            <w:tcW w:w="3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177"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3"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3" w:type="dxa"/>
            <w:tcBorders/>
            <w:shd w:fill="auto" w:val="clear"/>
            <w:vAlign w:val="bottom"/>
          </w:tcPr>
          <w:p>
            <w:pPr>
              <w:pStyle w:val="TableContents"/>
              <w:spacing w:before="0" w:after="0"/>
              <w:ind w:left="0" w:right="0" w:hanging="0"/>
              <w:rPr/>
            </w:pPr>
            <w:r>
              <w:rPr/>
              <w:t> </w:t>
            </w:r>
          </w:p>
        </w:tc>
        <w:tc>
          <w:tcPr>
            <w:tcW w:w="3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22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2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F-50</w:t>
      </w:r>
      <w:bookmarkStart w:id="214" w:name="PB_50_134331_3020"/>
      <w:bookmarkEnd w:id="2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14Quarterly Financial Data (Unaudited):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85"/>
        <w:gridCol w:w="221"/>
        <w:gridCol w:w="110"/>
        <w:gridCol w:w="889"/>
        <w:gridCol w:w="221"/>
        <w:gridCol w:w="110"/>
        <w:gridCol w:w="889"/>
        <w:gridCol w:w="221"/>
        <w:gridCol w:w="110"/>
        <w:gridCol w:w="889"/>
        <w:gridCol w:w="221"/>
        <w:gridCol w:w="110"/>
        <w:gridCol w:w="889"/>
        <w:gridCol w:w="221"/>
        <w:gridCol w:w="110"/>
        <w:gridCol w:w="889"/>
        <w:gridCol w:w="120"/>
      </w:tblGrid>
      <w:tr>
        <w:trPr/>
        <w:tc>
          <w:tcPr>
            <w:tcW w:w="3985"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First</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Second</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Third</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Fourth</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shd w:fill="auto" w:val="clear"/>
            <w:vAlign w:val="bottom"/>
          </w:tcPr>
          <w:p>
            <w:pPr>
              <w:pStyle w:val="TableContents"/>
              <w:spacing w:before="0" w:after="0"/>
              <w:ind w:left="0" w:right="0" w:hanging="0"/>
              <w:jc w:val="center"/>
              <w:rPr/>
            </w:pPr>
            <w:r>
              <w:rPr/>
              <w:t> </w:t>
            </w:r>
          </w:p>
        </w:tc>
        <w:tc>
          <w:tcPr>
            <w:tcW w:w="120" w:type="dxa"/>
            <w:tcBorders/>
            <w:shd w:fill="auto" w:val="clear"/>
            <w:vAlign w:val="bottom"/>
          </w:tcPr>
          <w:p>
            <w:pPr>
              <w:pStyle w:val="TableContents"/>
              <w:spacing w:before="0" w:after="0"/>
              <w:ind w:left="0" w:right="0" w:hanging="0"/>
              <w:jc w:val="center"/>
              <w:rPr/>
            </w:pPr>
            <w:r>
              <w:rPr/>
              <w:t> </w:t>
            </w:r>
          </w:p>
        </w:tc>
      </w:tr>
      <w:tr>
        <w:trPr/>
        <w:tc>
          <w:tcPr>
            <w:tcW w:w="3985"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Quarter</w:t>
            </w:r>
          </w:p>
        </w:tc>
        <w:tc>
          <w:tcPr>
            <w:tcW w:w="221" w:type="dxa"/>
            <w:tcBorders/>
            <w:shd w:fill="auto" w:val="clear"/>
            <w:vAlign w:val="bottom"/>
          </w:tcPr>
          <w:p>
            <w:pPr>
              <w:pStyle w:val="TableContents"/>
              <w:spacing w:before="0" w:after="0"/>
              <w:ind w:left="0" w:right="0" w:hanging="0"/>
              <w:jc w:val="center"/>
              <w:rPr/>
            </w:pPr>
            <w:r>
              <w:rPr/>
              <w:t> </w:t>
            </w:r>
          </w:p>
        </w:tc>
        <w:tc>
          <w:tcPr>
            <w:tcW w:w="9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Total </w:t>
            </w:r>
            <w:r>
              <w:rPr>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3985"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5879" w:type="dxa"/>
            <w:gridSpan w:val="1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120" w:type="dxa"/>
            <w:tcBorders/>
            <w:shd w:fill="auto" w:val="clear"/>
            <w:vAlign w:val="bottom"/>
          </w:tcPr>
          <w:p>
            <w:pPr>
              <w:pStyle w:val="TableContents"/>
              <w:spacing w:before="0" w:after="0"/>
              <w:ind w:left="0" w:right="0" w:hanging="0"/>
              <w:jc w:val="center"/>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2009</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4,282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4,857</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6,078</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pPr>
            <w:r>
              <w:rPr>
                <w:rFonts w:ascii="Times New Roman" w:hAnsi="Times New Roman"/>
                <w:sz w:val="17"/>
              </w:rPr>
              <w:t xml:space="preserve">Gross margin </w:t>
            </w:r>
            <w:r>
              <w:rPr>
                <w:sz w:val="11"/>
              </w:rPr>
              <w:t>(2)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0.79</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0.65</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pPr>
            <w:r>
              <w:rPr>
                <w:rFonts w:ascii="Times New Roman" w:hAnsi="Times New Roman"/>
                <w:sz w:val="17"/>
              </w:rPr>
              <w:t xml:space="preserve">Cash distributions per common unit </w:t>
            </w:r>
            <w:r>
              <w:rPr>
                <w:sz w:val="11"/>
              </w:rPr>
              <w:t>(3)</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0.9050</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0.9200</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99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2008</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999"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7,195</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9,060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pPr>
            <w:r>
              <w:rPr>
                <w:rFonts w:ascii="Times New Roman" w:hAnsi="Times New Roman"/>
                <w:sz w:val="17"/>
              </w:rPr>
              <w:t xml:space="preserve">Gross margin </w:t>
            </w:r>
            <w:r>
              <w:rPr>
                <w:sz w:val="11"/>
              </w:rPr>
              <w:t>(2)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754</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20" w:type="dxa"/>
            <w:tcBorders/>
            <w:shd w:fill="auto" w:val="clear"/>
            <w:vAlign w:val="bottom"/>
          </w:tcPr>
          <w:p>
            <w:pPr>
              <w:pStyle w:val="TableContents"/>
              <w:spacing w:before="0" w:after="0"/>
              <w:ind w:left="0" w:right="0" w:hanging="0"/>
              <w:rPr/>
            </w:pPr>
            <w:r>
              <w:rPr/>
              <w:t> </w:t>
            </w:r>
          </w:p>
        </w:tc>
      </w:tr>
      <w:tr>
        <w:trPr/>
        <w:tc>
          <w:tcPr>
            <w:tcW w:w="39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0.09</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20" w:type="dxa"/>
            <w:tcBorders/>
            <w:shd w:fill="CCEEFF" w:val="clear"/>
            <w:vAlign w:val="bottom"/>
          </w:tcPr>
          <w:p>
            <w:pPr>
              <w:pStyle w:val="TableContents"/>
              <w:spacing w:before="0" w:after="0"/>
              <w:ind w:left="0" w:right="0" w:hanging="0"/>
              <w:rPr/>
            </w:pPr>
            <w:r>
              <w:rPr/>
              <w:t> </w:t>
            </w:r>
          </w:p>
        </w:tc>
      </w:tr>
      <w:tr>
        <w:trPr/>
        <w:tc>
          <w:tcPr>
            <w:tcW w:w="3985" w:type="dxa"/>
            <w:tcBorders/>
            <w:shd w:fill="auto" w:val="clear"/>
            <w:vAlign w:val="bottom"/>
          </w:tcPr>
          <w:p>
            <w:pPr>
              <w:pStyle w:val="TableContents"/>
              <w:spacing w:before="0" w:after="0"/>
              <w:ind w:left="0" w:right="0" w:hanging="0"/>
              <w:rPr/>
            </w:pPr>
            <w:r>
              <w:rPr>
                <w:rFonts w:ascii="Times New Roman" w:hAnsi="Times New Roman"/>
                <w:sz w:val="17"/>
              </w:rPr>
              <w:t xml:space="preserve">Cash distributions per common unit </w:t>
            </w:r>
            <w:r>
              <w:rPr>
                <w:sz w:val="11"/>
              </w:rPr>
              <w:t>(3)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0.8500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0.8650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0.8875</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0.8925</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sum of the four quarters may not equal the total year due to rounding.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Gross margin is calculated as Total revenues less (i) Purchases and related costs, (ii) Field operating costs and (iii) 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Represents cash distributions declared and paid in the applicable period.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15Operating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segment performance based on a variety of measures including segment profit, segment volumes, segment profit per barrel and maintenance capital investment. We define segment profit as revenues and equity earnings in unconsolidated entities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We compensate for this limitation by recognizing that depreciation and amortization are largely offset by repair and maintenance investments, which acts to partially offset the wear and tear and age-related decline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for the replacement of partially or fully depreciated assets in order to maintain the service capability, level of production, and/or functionality of our existing assets. Capital expenditures made to expand the existing earnings capacity of our assets are considered expansion capital expenditures, not maintenance capital. Repair and maintenance expenditures incurred in order to maintain the day to day operation of our existing assets are charged to expense as incurred. The following table reflects certain financial data for each segment for the periods indicated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F-51</w:t>
      </w:r>
      <w:bookmarkStart w:id="215" w:name="PB_51_134744_7748"/>
      <w:bookmarkEnd w:id="21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676"/>
        <w:gridCol w:w="191"/>
        <w:gridCol w:w="201"/>
        <w:gridCol w:w="1250"/>
        <w:gridCol w:w="191"/>
        <w:gridCol w:w="151"/>
        <w:gridCol w:w="1059"/>
        <w:gridCol w:w="191"/>
        <w:gridCol w:w="206"/>
        <w:gridCol w:w="1531"/>
        <w:gridCol w:w="190"/>
        <w:gridCol w:w="146"/>
        <w:gridCol w:w="1096"/>
        <w:gridCol w:w="126"/>
      </w:tblGrid>
      <w:tr>
        <w:trPr/>
        <w:tc>
          <w:tcPr>
            <w:tcW w:w="3676"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1" w:type="dxa"/>
            <w:tcBorders/>
            <w:shd w:fill="auto" w:val="clear"/>
            <w:vAlign w:val="bottom"/>
          </w:tcPr>
          <w:p>
            <w:pPr>
              <w:pStyle w:val="TableContents"/>
              <w:spacing w:before="0" w:after="0"/>
              <w:ind w:left="0" w:right="0" w:hanging="0"/>
              <w:jc w:val="center"/>
              <w:rPr/>
            </w:pPr>
            <w:r>
              <w:rPr/>
              <w:t> </w:t>
            </w:r>
          </w:p>
        </w:tc>
        <w:tc>
          <w:tcPr>
            <w:tcW w:w="12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1" w:type="dxa"/>
            <w:tcBorders/>
            <w:shd w:fill="auto" w:val="clear"/>
            <w:vAlign w:val="bottom"/>
          </w:tcPr>
          <w:p>
            <w:pPr>
              <w:pStyle w:val="TableContents"/>
              <w:spacing w:before="0" w:after="0"/>
              <w:ind w:left="0" w:right="0" w:hanging="0"/>
              <w:jc w:val="center"/>
              <w:rPr/>
            </w:pPr>
            <w:r>
              <w:rPr/>
              <w:t> </w:t>
            </w:r>
          </w:p>
        </w:tc>
        <w:tc>
          <w:tcPr>
            <w:tcW w:w="17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&amp; Logistics</w:t>
            </w:r>
          </w:p>
        </w:tc>
        <w:tc>
          <w:tcPr>
            <w:tcW w:w="190" w:type="dxa"/>
            <w:tcBorders/>
            <w:shd w:fill="auto" w:val="clear"/>
            <w:vAlign w:val="bottom"/>
          </w:tcPr>
          <w:p>
            <w:pPr>
              <w:pStyle w:val="TableContents"/>
              <w:spacing w:before="0" w:after="0"/>
              <w:ind w:left="0" w:right="0" w:hanging="0"/>
              <w:jc w:val="center"/>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2009</w:t>
            </w:r>
          </w:p>
        </w:tc>
        <w:tc>
          <w:tcPr>
            <w:tcW w:w="191" w:type="dxa"/>
            <w:tcBorders/>
            <w:shd w:fill="CCEEFF" w:val="clear"/>
            <w:vAlign w:val="bottom"/>
          </w:tcPr>
          <w:p>
            <w:pPr>
              <w:pStyle w:val="TableContents"/>
              <w:spacing w:before="0" w:after="0"/>
              <w:ind w:left="0" w:right="0" w:hanging="0"/>
              <w:rPr/>
            </w:pPr>
            <w:r>
              <w:rPr/>
              <w:t> </w:t>
            </w:r>
          </w:p>
        </w:tc>
        <w:tc>
          <w:tcPr>
            <w:tcW w:w="1451"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10"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73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91"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536</w:t>
            </w:r>
          </w:p>
        </w:tc>
        <w:tc>
          <w:tcPr>
            <w:tcW w:w="19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227</w:t>
            </w:r>
          </w:p>
        </w:tc>
        <w:tc>
          <w:tcPr>
            <w:tcW w:w="191"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17,757</w:t>
            </w:r>
          </w:p>
        </w:tc>
        <w:tc>
          <w:tcPr>
            <w:tcW w:w="190"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17,759</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19,082</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in earnings of unconsolidated entities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pPr>
            <w:r>
              <w:rPr>
                <w:rFonts w:ascii="Times New Roman" w:hAnsi="Times New Roman"/>
                <w:sz w:val="17"/>
              </w:rPr>
              <w:t xml:space="preserve">Segment profit </w:t>
            </w:r>
            <w:r>
              <w:rPr>
                <w:sz w:val="11"/>
              </w:rPr>
              <w:t>(2) (3) (4)</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4,468</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3,097</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4,793</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pPr>
            <w:r>
              <w:rPr/>
              <w:t> </w:t>
            </w:r>
          </w:p>
        </w:tc>
        <w:tc>
          <w:tcPr>
            <w:tcW w:w="1451"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10"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73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2008</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1" w:type="dxa"/>
            <w:tcBorders/>
            <w:shd w:fill="CCEEFF" w:val="clear"/>
            <w:vAlign w:val="bottom"/>
          </w:tcPr>
          <w:p>
            <w:pPr>
              <w:pStyle w:val="TableContents"/>
              <w:spacing w:before="0" w:after="0"/>
              <w:ind w:left="0" w:right="0" w:hanging="0"/>
              <w:rPr/>
            </w:pPr>
            <w:r>
              <w:rPr/>
              <w:t> </w:t>
            </w:r>
          </w:p>
        </w:tc>
        <w:tc>
          <w:tcPr>
            <w:tcW w:w="1451"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10"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73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91"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191"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191"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29,348</w:t>
            </w:r>
          </w:p>
        </w:tc>
        <w:tc>
          <w:tcPr>
            <w:tcW w:w="190" w:type="dxa"/>
            <w:tcBorders/>
            <w:shd w:fill="auto" w:val="clear"/>
            <w:vAlign w:val="bottom"/>
          </w:tcPr>
          <w:p>
            <w:pPr>
              <w:pStyle w:val="TableContents"/>
              <w:spacing w:before="0" w:after="0"/>
              <w:ind w:left="0" w:right="0" w:hanging="0"/>
              <w:rPr/>
            </w:pPr>
            <w:r>
              <w:rPr/>
              <w:t> </w:t>
            </w:r>
          </w:p>
        </w:tc>
        <w:tc>
          <w:tcPr>
            <w:tcW w:w="14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1" w:type="dxa"/>
            <w:tcBorders/>
            <w:shd w:fill="CCEEFF" w:val="clear"/>
            <w:vAlign w:val="bottom"/>
          </w:tcPr>
          <w:p>
            <w:pPr>
              <w:pStyle w:val="TableContents"/>
              <w:spacing w:before="0" w:after="0"/>
              <w:ind w:left="0" w:right="0" w:hanging="0"/>
              <w:rPr/>
            </w:pPr>
            <w:r>
              <w:rPr/>
              <w:t> </w:t>
            </w:r>
          </w:p>
        </w:tc>
        <w:tc>
          <w:tcPr>
            <w:tcW w:w="14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91" w:type="dxa"/>
            <w:tcBorders/>
            <w:shd w:fill="CCEEFF" w:val="clear"/>
            <w:vAlign w:val="bottom"/>
          </w:tcPr>
          <w:p>
            <w:pPr>
              <w:pStyle w:val="TableContents"/>
              <w:spacing w:before="0" w:after="0"/>
              <w:ind w:left="0" w:right="0" w:hanging="0"/>
              <w:rPr/>
            </w:pPr>
            <w:r>
              <w:rPr/>
              <w:t> </w:t>
            </w:r>
          </w:p>
        </w:tc>
        <w:tc>
          <w:tcPr>
            <w:tcW w:w="12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91" w:type="dxa"/>
            <w:tcBorders/>
            <w:shd w:fill="CCEEFF" w:val="clear"/>
            <w:vAlign w:val="bottom"/>
          </w:tcPr>
          <w:p>
            <w:pPr>
              <w:pStyle w:val="TableContents"/>
              <w:spacing w:before="0" w:after="0"/>
              <w:ind w:left="0" w:right="0" w:hanging="0"/>
              <w:rPr/>
            </w:pPr>
            <w:r>
              <w:rPr/>
              <w:t> </w:t>
            </w:r>
          </w:p>
        </w:tc>
        <w:tc>
          <w:tcPr>
            <w:tcW w:w="17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927</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29,350</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30,547</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in earnings of unconsolidated entities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pPr>
            <w:r>
              <w:rPr>
                <w:rFonts w:ascii="Times New Roman" w:hAnsi="Times New Roman"/>
                <w:sz w:val="17"/>
              </w:rPr>
              <w:t xml:space="preserve">Segment profit </w:t>
            </w:r>
            <w:r>
              <w:rPr>
                <w:sz w:val="11"/>
              </w:rPr>
              <w:t>(2) (3) (4)</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1,226</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3,930</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2,048</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4,054</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Twelve Months Ended December 31, 2007</w:t>
            </w:r>
          </w:p>
        </w:tc>
        <w:tc>
          <w:tcPr>
            <w:tcW w:w="191" w:type="dxa"/>
            <w:tcBorders/>
            <w:shd w:fill="CCEEFF" w:val="clear"/>
            <w:vAlign w:val="bottom"/>
          </w:tcPr>
          <w:p>
            <w:pPr>
              <w:pStyle w:val="TableContents"/>
              <w:spacing w:before="0" w:after="0"/>
              <w:ind w:left="0" w:right="0" w:hanging="0"/>
              <w:rPr/>
            </w:pPr>
            <w:r>
              <w:rPr/>
              <w:t> </w:t>
            </w:r>
          </w:p>
        </w:tc>
        <w:tc>
          <w:tcPr>
            <w:tcW w:w="1451"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210" w:type="dxa"/>
            <w:gridSpan w:val="2"/>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737"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242"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shd w:fill="auto" w:val="clear"/>
            <w:vAlign w:val="bottom"/>
          </w:tcPr>
          <w:p>
            <w:pPr>
              <w:pStyle w:val="TableContents"/>
              <w:spacing w:before="0" w:after="0"/>
              <w:ind w:left="0" w:right="0" w:hanging="0"/>
              <w:jc w:val="right"/>
              <w:rPr/>
            </w:pPr>
            <w:r>
              <w:rPr/>
              <w:t> </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91" w:type="dxa"/>
            <w:tcBorders/>
            <w:shd w:fill="CCEEFF" w:val="clear"/>
            <w:vAlign w:val="bottom"/>
          </w:tcPr>
          <w:p>
            <w:pPr>
              <w:pStyle w:val="TableContents"/>
              <w:spacing w:before="0" w:after="0"/>
              <w:ind w:left="0" w:right="0" w:hanging="0"/>
              <w:rPr/>
            </w:pPr>
            <w:r>
              <w:rPr/>
              <w:t> </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w:t>
            </w:r>
          </w:p>
        </w:tc>
        <w:tc>
          <w:tcPr>
            <w:tcW w:w="191" w:type="dxa"/>
            <w:tcBorders/>
            <w:shd w:fill="CCEEFF" w:val="clear"/>
            <w:vAlign w:val="bottom"/>
          </w:tcPr>
          <w:p>
            <w:pPr>
              <w:pStyle w:val="TableContents"/>
              <w:spacing w:before="0" w:after="0"/>
              <w:ind w:left="0" w:right="0" w:hanging="0"/>
              <w:rPr/>
            </w:pPr>
            <w:r>
              <w:rPr/>
              <w:t> </w:t>
            </w:r>
          </w:p>
        </w:tc>
        <w:tc>
          <w:tcPr>
            <w:tcW w:w="1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91"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19,834</w:t>
            </w:r>
          </w:p>
        </w:tc>
        <w:tc>
          <w:tcPr>
            <w:tcW w:w="190" w:type="dxa"/>
            <w:tcBorders/>
            <w:shd w:fill="CCEEFF" w:val="clear"/>
            <w:vAlign w:val="bottom"/>
          </w:tcPr>
          <w:p>
            <w:pPr>
              <w:pStyle w:val="TableContents"/>
              <w:spacing w:before="0" w:after="0"/>
              <w:ind w:left="0" w:right="0" w:hanging="0"/>
              <w:rPr/>
            </w:pPr>
            <w:r>
              <w:rPr/>
              <w:t> </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20,394</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1" w:type="dxa"/>
            <w:tcBorders/>
            <w:shd w:fill="auto" w:val="clear"/>
            <w:vAlign w:val="bottom"/>
          </w:tcPr>
          <w:p>
            <w:pPr>
              <w:pStyle w:val="TableContents"/>
              <w:spacing w:before="0" w:after="0"/>
              <w:ind w:left="0" w:right="0" w:hanging="0"/>
              <w:rPr/>
            </w:pPr>
            <w:r>
              <w:rPr/>
              <w:t> </w:t>
            </w:r>
          </w:p>
        </w:tc>
        <w:tc>
          <w:tcPr>
            <w:tcW w:w="14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91" w:type="dxa"/>
            <w:tcBorders/>
            <w:shd w:fill="auto" w:val="clear"/>
            <w:vAlign w:val="bottom"/>
          </w:tcPr>
          <w:p>
            <w:pPr>
              <w:pStyle w:val="TableContents"/>
              <w:spacing w:before="0" w:after="0"/>
              <w:ind w:left="0" w:right="0" w:hanging="0"/>
              <w:rPr/>
            </w:pPr>
            <w:r>
              <w:rPr/>
              <w:t> </w:t>
            </w:r>
          </w:p>
        </w:tc>
        <w:tc>
          <w:tcPr>
            <w:tcW w:w="12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91" w:type="dxa"/>
            <w:tcBorders/>
            <w:shd w:fill="auto" w:val="clear"/>
            <w:vAlign w:val="bottom"/>
          </w:tcPr>
          <w:p>
            <w:pPr>
              <w:pStyle w:val="TableContents"/>
              <w:spacing w:before="0" w:after="0"/>
              <w:ind w:left="0" w:right="0" w:hanging="0"/>
              <w:rPr/>
            </w:pPr>
            <w:r>
              <w:rPr/>
              <w:t> </w:t>
            </w:r>
          </w:p>
        </w:tc>
        <w:tc>
          <w:tcPr>
            <w:tcW w:w="173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90" w:type="dxa"/>
            <w:tcBorders/>
            <w:shd w:fill="auto" w:val="clear"/>
            <w:vAlign w:val="bottom"/>
          </w:tcPr>
          <w:p>
            <w:pPr>
              <w:pStyle w:val="TableContents"/>
              <w:spacing w:before="0" w:after="0"/>
              <w:ind w:left="0" w:right="0" w:hanging="0"/>
              <w:rPr/>
            </w:pPr>
            <w:r>
              <w:rPr/>
              <w:t> </w:t>
            </w:r>
          </w:p>
        </w:tc>
        <w:tc>
          <w:tcPr>
            <w:tcW w:w="124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771</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19,858</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20,839</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in earnings of unconsolidated entities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pPr>
            <w:r>
              <w:rPr>
                <w:rFonts w:ascii="Times New Roman" w:hAnsi="Times New Roman"/>
                <w:sz w:val="17"/>
              </w:rPr>
              <w:t xml:space="preserve">Segment profit </w:t>
            </w:r>
            <w:r>
              <w:rPr>
                <w:sz w:val="11"/>
              </w:rPr>
              <w:t>(2) (3) (4)</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Capital expenditures</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w:t>
            </w:r>
          </w:p>
        </w:tc>
        <w:tc>
          <w:tcPr>
            <w:tcW w:w="126" w:type="dxa"/>
            <w:tcBorders/>
            <w:shd w:fill="auto" w:val="clear"/>
            <w:vAlign w:val="bottom"/>
          </w:tcPr>
          <w:p>
            <w:pPr>
              <w:pStyle w:val="TableContents"/>
              <w:spacing w:before="0" w:after="0"/>
              <w:ind w:left="0" w:right="0" w:hanging="0"/>
              <w:rPr/>
            </w:pPr>
            <w:r>
              <w:rPr/>
              <w:t> </w:t>
            </w:r>
          </w:p>
        </w:tc>
      </w:tr>
      <w:tr>
        <w:trPr/>
        <w:tc>
          <w:tcPr>
            <w:tcW w:w="36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91" w:type="dxa"/>
            <w:tcBorders/>
            <w:shd w:fill="CCEEFF" w:val="clear"/>
            <w:vAlign w:val="bottom"/>
          </w:tcPr>
          <w:p>
            <w:pPr>
              <w:pStyle w:val="TableContents"/>
              <w:spacing w:before="0" w:after="0"/>
              <w:ind w:left="0" w:right="0" w:hanging="0"/>
              <w:rPr/>
            </w:pPr>
            <w:r>
              <w:rPr/>
              <w:t> </w:t>
            </w:r>
          </w:p>
        </w:tc>
        <w:tc>
          <w:tcPr>
            <w:tcW w:w="2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3,127</w:t>
            </w:r>
          </w:p>
        </w:tc>
        <w:tc>
          <w:tcPr>
            <w:tcW w:w="191" w:type="dxa"/>
            <w:tcBorders/>
            <w:shd w:fill="CCEEFF" w:val="clear"/>
            <w:vAlign w:val="bottom"/>
          </w:tcPr>
          <w:p>
            <w:pPr>
              <w:pStyle w:val="TableContents"/>
              <w:spacing w:before="0" w:after="0"/>
              <w:ind w:left="0" w:right="0" w:hanging="0"/>
              <w:rPr/>
            </w:pPr>
            <w:r>
              <w:rPr/>
              <w:t> </w:t>
            </w:r>
          </w:p>
        </w:tc>
        <w:tc>
          <w:tcPr>
            <w:tcW w:w="15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1,754</w:t>
            </w:r>
          </w:p>
        </w:tc>
        <w:tc>
          <w:tcPr>
            <w:tcW w:w="191"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5,025</w:t>
            </w:r>
          </w:p>
        </w:tc>
        <w:tc>
          <w:tcPr>
            <w:tcW w:w="190" w:type="dxa"/>
            <w:tcBorders/>
            <w:shd w:fill="CCEEFF" w:val="clear"/>
            <w:vAlign w:val="bottom"/>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9,906</w:t>
            </w:r>
          </w:p>
        </w:tc>
        <w:tc>
          <w:tcPr>
            <w:tcW w:w="126" w:type="dxa"/>
            <w:tcBorders/>
            <w:shd w:fill="CCEEFF" w:val="clear"/>
            <w:vAlign w:val="bottom"/>
          </w:tcPr>
          <w:p>
            <w:pPr>
              <w:pStyle w:val="TableContents"/>
              <w:spacing w:before="0" w:after="0"/>
              <w:ind w:left="0" w:right="0" w:hanging="0"/>
              <w:rPr/>
            </w:pPr>
            <w:r>
              <w:rPr/>
              <w:t> </w:t>
            </w:r>
          </w:p>
        </w:tc>
      </w:tr>
      <w:tr>
        <w:trPr/>
        <w:tc>
          <w:tcPr>
            <w:tcW w:w="36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1" w:type="dxa"/>
            <w:tcBorders/>
            <w:shd w:fill="auto" w:val="clear"/>
            <w:vAlign w:val="bottom"/>
          </w:tcPr>
          <w:p>
            <w:pPr>
              <w:pStyle w:val="TableContents"/>
              <w:spacing w:before="0" w:after="0"/>
              <w:ind w:left="0" w:right="0" w:hanging="0"/>
              <w:rPr/>
            </w:pPr>
            <w:r>
              <w:rPr/>
              <w:t> </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1" w:type="dxa"/>
            <w:tcBorders/>
            <w:shd w:fill="auto" w:val="clear"/>
            <w:vAlign w:val="bottom"/>
          </w:tcPr>
          <w:p>
            <w:pPr>
              <w:pStyle w:val="TableContents"/>
              <w:spacing w:before="0" w:after="0"/>
              <w:ind w:left="0" w:right="0" w:hanging="0"/>
              <w:rPr/>
            </w:pPr>
            <w:r>
              <w:rPr/>
              <w:t> </w:t>
            </w:r>
          </w:p>
        </w:tc>
        <w:tc>
          <w:tcPr>
            <w:tcW w:w="15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91" w:type="dxa"/>
            <w:tcBorders/>
            <w:shd w:fill="auto" w:val="clear"/>
            <w:vAlign w:val="bottom"/>
          </w:tcPr>
          <w:p>
            <w:pPr>
              <w:pStyle w:val="TableContents"/>
              <w:spacing w:before="0" w:after="0"/>
              <w:ind w:left="0" w:right="0" w:hanging="0"/>
              <w:rPr/>
            </w:pPr>
            <w:r>
              <w:rPr/>
              <w:t> </w:t>
            </w:r>
          </w:p>
        </w:tc>
        <w:tc>
          <w:tcPr>
            <w:tcW w:w="20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3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0" w:type="dxa"/>
            <w:tcBorders/>
            <w:shd w:fill="auto" w:val="clear"/>
            <w:vAlign w:val="bottom"/>
          </w:tcPr>
          <w:p>
            <w:pPr>
              <w:pStyle w:val="TableContents"/>
              <w:spacing w:before="0" w:after="0"/>
              <w:ind w:left="0" w:right="0" w:hanging="0"/>
              <w:rPr/>
            </w:pPr>
            <w:r>
              <w:rPr/>
              <w:t> </w:t>
            </w:r>
          </w:p>
        </w:tc>
        <w:tc>
          <w:tcPr>
            <w:tcW w:w="14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Gains/losses from derivative activities are primarily included in supply and logistics revenues and impact segment profit.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Supply and logistics segment profit includes interest expense on contango inventory purchases of $11 million, $21 million and $44 million for the years ended December 31, 2009, 2008 and 2007,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81"/>
        <w:gridCol w:w="214"/>
        <w:gridCol w:w="111"/>
        <w:gridCol w:w="1081"/>
        <w:gridCol w:w="216"/>
        <w:gridCol w:w="111"/>
        <w:gridCol w:w="1074"/>
        <w:gridCol w:w="216"/>
        <w:gridCol w:w="111"/>
        <w:gridCol w:w="1074"/>
        <w:gridCol w:w="116"/>
      </w:tblGrid>
      <w:tr>
        <w:trPr/>
        <w:tc>
          <w:tcPr>
            <w:tcW w:w="588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399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16" w:type="dxa"/>
            <w:tcBorders/>
            <w:shd w:fill="auto" w:val="clear"/>
            <w:vAlign w:val="bottom"/>
          </w:tcPr>
          <w:p>
            <w:pPr>
              <w:pStyle w:val="TableContents"/>
              <w:spacing w:before="0" w:after="0"/>
              <w:ind w:left="0" w:right="0" w:hanging="0"/>
              <w:jc w:val="center"/>
              <w:rPr/>
            </w:pPr>
            <w:r>
              <w:rPr/>
              <w:t> </w:t>
            </w:r>
          </w:p>
        </w:tc>
      </w:tr>
      <w:tr>
        <w:trPr/>
        <w:tc>
          <w:tcPr>
            <w:tcW w:w="588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6" w:type="dxa"/>
            <w:tcBorders/>
            <w:shd w:fill="auto" w:val="clear"/>
            <w:vAlign w:val="bottom"/>
          </w:tcPr>
          <w:p>
            <w:pPr>
              <w:pStyle w:val="TableContents"/>
              <w:spacing w:before="0" w:after="0"/>
              <w:ind w:left="0" w:right="0" w:hanging="0"/>
              <w:jc w:val="center"/>
              <w:rPr/>
            </w:pPr>
            <w:r>
              <w:rPr/>
              <w:t> </w:t>
            </w:r>
          </w:p>
        </w:tc>
      </w:tr>
      <w:tr>
        <w:trPr/>
        <w:tc>
          <w:tcPr>
            <w:tcW w:w="58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14"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w:t>
            </w:r>
          </w:p>
        </w:tc>
        <w:tc>
          <w:tcPr>
            <w:tcW w:w="216"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713</w:t>
            </w:r>
          </w:p>
        </w:tc>
        <w:tc>
          <w:tcPr>
            <w:tcW w:w="116" w:type="dxa"/>
            <w:tcBorders/>
            <w:shd w:fill="CCEEFF" w:val="clear"/>
            <w:vAlign w:val="bottom"/>
          </w:tcPr>
          <w:p>
            <w:pPr>
              <w:pStyle w:val="TableContents"/>
              <w:spacing w:before="0" w:after="0"/>
              <w:ind w:left="0" w:right="0" w:hanging="0"/>
              <w:rPr/>
            </w:pPr>
            <w:r>
              <w:rPr/>
              <w:t> </w:t>
            </w:r>
          </w:p>
        </w:tc>
      </w:tr>
      <w:tr>
        <w:trPr/>
        <w:tc>
          <w:tcPr>
            <w:tcW w:w="58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4"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4"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6" w:type="dxa"/>
            <w:tcBorders/>
            <w:shd w:fill="auto" w:val="clear"/>
            <w:vAlign w:val="bottom"/>
          </w:tcPr>
          <w:p>
            <w:pPr>
              <w:pStyle w:val="TableContents"/>
              <w:spacing w:before="0" w:after="0"/>
              <w:ind w:left="0" w:right="0" w:hanging="0"/>
              <w:rPr/>
            </w:pPr>
            <w:r>
              <w:rPr/>
              <w:t> </w:t>
            </w:r>
          </w:p>
        </w:tc>
      </w:tr>
      <w:tr>
        <w:trPr/>
        <w:tc>
          <w:tcPr>
            <w:tcW w:w="58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4" w:type="dxa"/>
            <w:tcBorders/>
            <w:shd w:fill="CCEEFF"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81"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192"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85" w:type="dxa"/>
            <w:gridSpan w:val="2"/>
            <w:tcBorders/>
            <w:shd w:fill="auto" w:val="clear"/>
            <w:vAlign w:val="bottom"/>
          </w:tcPr>
          <w:p>
            <w:pPr>
              <w:pStyle w:val="TableContents"/>
              <w:spacing w:before="0" w:after="0"/>
              <w:ind w:left="0" w:right="0" w:hanging="0"/>
              <w:jc w:val="right"/>
              <w:rPr/>
            </w:pPr>
            <w:r>
              <w:rPr/>
              <w:t> </w:t>
            </w:r>
          </w:p>
        </w:tc>
        <w:tc>
          <w:tcPr>
            <w:tcW w:w="116" w:type="dxa"/>
            <w:tcBorders/>
            <w:shd w:fill="auto" w:val="clear"/>
            <w:vAlign w:val="bottom"/>
          </w:tcPr>
          <w:p>
            <w:pPr>
              <w:pStyle w:val="TableContents"/>
              <w:spacing w:before="0" w:after="0"/>
              <w:ind w:left="0" w:right="0" w:hanging="0"/>
              <w:rPr/>
            </w:pPr>
            <w:r>
              <w:rPr/>
              <w:t> </w:t>
            </w:r>
          </w:p>
        </w:tc>
      </w:tr>
      <w:tr>
        <w:trPr/>
        <w:tc>
          <w:tcPr>
            <w:tcW w:w="58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4" w:type="dxa"/>
            <w:tcBorders/>
            <w:shd w:fill="CCEEFF" w:val="clear"/>
            <w:vAlign w:val="bottom"/>
          </w:tcPr>
          <w:p>
            <w:pPr>
              <w:pStyle w:val="TableContents"/>
              <w:spacing w:before="0" w:after="0"/>
              <w:ind w:left="0" w:right="0" w:hanging="0"/>
              <w:rPr/>
            </w:pPr>
            <w:r>
              <w:rPr/>
              <w:t> </w:t>
            </w:r>
          </w:p>
        </w:tc>
        <w:tc>
          <w:tcPr>
            <w:tcW w:w="11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6" w:type="dxa"/>
            <w:tcBorders/>
            <w:shd w:fill="CCEEFF" w:val="clear"/>
            <w:vAlign w:val="bottom"/>
          </w:tcPr>
          <w:p>
            <w:pPr>
              <w:pStyle w:val="TableContents"/>
              <w:spacing w:before="0" w:after="0"/>
              <w:ind w:left="0" w:right="0" w:hanging="0"/>
              <w:rPr/>
            </w:pPr>
            <w:r>
              <w:rPr/>
              <w:t> </w:t>
            </w:r>
          </w:p>
        </w:tc>
        <w:tc>
          <w:tcPr>
            <w:tcW w:w="118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6" w:type="dxa"/>
            <w:tcBorders/>
            <w:shd w:fill="CCEEFF" w:val="clear"/>
            <w:vAlign w:val="bottom"/>
          </w:tcPr>
          <w:p>
            <w:pPr>
              <w:pStyle w:val="TableContents"/>
              <w:spacing w:before="0" w:after="0"/>
              <w:ind w:left="0" w:right="0" w:hanging="0"/>
              <w:rPr/>
            </w:pPr>
            <w:r>
              <w:rPr/>
              <w:t> </w:t>
            </w:r>
          </w:p>
        </w:tc>
      </w:tr>
      <w:tr>
        <w:trPr/>
        <w:tc>
          <w:tcPr>
            <w:tcW w:w="58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w:t>
            </w:r>
          </w:p>
        </w:tc>
        <w:tc>
          <w:tcPr>
            <w:tcW w:w="214" w:type="dxa"/>
            <w:tcBorders/>
            <w:shd w:fill="auto" w:val="clear"/>
            <w:vAlign w:val="bottom"/>
          </w:tcPr>
          <w:p>
            <w:pPr>
              <w:pStyle w:val="TableContents"/>
              <w:spacing w:before="0" w:after="0"/>
              <w:ind w:left="0" w:right="0" w:hanging="0"/>
              <w:rPr/>
            </w:pPr>
            <w:r>
              <w:rPr/>
              <w:t> </w:t>
            </w:r>
          </w:p>
        </w:tc>
        <w:tc>
          <w:tcPr>
            <w:tcW w:w="11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18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6" w:type="dxa"/>
            <w:tcBorders/>
            <w:shd w:fill="auto" w:val="clear"/>
            <w:vAlign w:val="bottom"/>
          </w:tcPr>
          <w:p>
            <w:pPr>
              <w:pStyle w:val="TableContents"/>
              <w:spacing w:before="0" w:after="0"/>
              <w:ind w:left="0" w:right="0" w:hanging="0"/>
              <w:rPr/>
            </w:pPr>
            <w:r>
              <w:rPr/>
              <w:t> </w:t>
            </w:r>
          </w:p>
        </w:tc>
      </w:tr>
      <w:tr>
        <w:trPr/>
        <w:tc>
          <w:tcPr>
            <w:tcW w:w="58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11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F-52</w:t>
      </w:r>
      <w:bookmarkStart w:id="216" w:name="PB_52_135132_141"/>
      <w:bookmarkEnd w:id="2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 xml:space="preserve">Geographic Data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operations in the United States and Canada. Set forth below are revenues and long lived assets attributable to these geographic areas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54"/>
        <w:gridCol w:w="214"/>
        <w:gridCol w:w="111"/>
        <w:gridCol w:w="1086"/>
        <w:gridCol w:w="214"/>
        <w:gridCol w:w="111"/>
        <w:gridCol w:w="1086"/>
        <w:gridCol w:w="214"/>
        <w:gridCol w:w="111"/>
        <w:gridCol w:w="1086"/>
        <w:gridCol w:w="118"/>
      </w:tblGrid>
      <w:tr>
        <w:trPr/>
        <w:tc>
          <w:tcPr>
            <w:tcW w:w="585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401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Year Ended 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5854"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 xml:space="preserve">Revenues </w:t>
            </w:r>
            <w:r>
              <w:rPr>
                <w:b/>
                <w:sz w:val="8"/>
              </w:rPr>
              <w:t>(1)</w:t>
            </w:r>
          </w:p>
        </w:tc>
        <w:tc>
          <w:tcPr>
            <w:tcW w:w="214"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4"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4" w:type="dxa"/>
            <w:tcBorders/>
            <w:shd w:fill="auto" w:val="clear"/>
            <w:vAlign w:val="bottom"/>
          </w:tcPr>
          <w:p>
            <w:pPr>
              <w:pStyle w:val="TableContents"/>
              <w:spacing w:before="0" w:after="0"/>
              <w:ind w:left="0" w:right="0" w:hanging="0"/>
              <w:jc w:val="center"/>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118" w:type="dxa"/>
            <w:tcBorders/>
            <w:shd w:fill="auto" w:val="clear"/>
            <w:vAlign w:val="bottom"/>
          </w:tcPr>
          <w:p>
            <w:pPr>
              <w:pStyle w:val="TableContents"/>
              <w:spacing w:before="0" w:after="0"/>
              <w:ind w:left="0" w:right="0" w:hanging="0"/>
              <w:jc w:val="center"/>
              <w:rPr/>
            </w:pPr>
            <w:r>
              <w:rPr/>
              <w:t> </w:t>
            </w:r>
          </w:p>
        </w:tc>
      </w:tr>
      <w:tr>
        <w:trPr/>
        <w:tc>
          <w:tcPr>
            <w:tcW w:w="58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United States</w:t>
            </w:r>
          </w:p>
        </w:tc>
        <w:tc>
          <w:tcPr>
            <w:tcW w:w="214"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15,439</w:t>
            </w:r>
          </w:p>
        </w:tc>
        <w:tc>
          <w:tcPr>
            <w:tcW w:w="214"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25,183</w:t>
            </w:r>
          </w:p>
        </w:tc>
        <w:tc>
          <w:tcPr>
            <w:tcW w:w="214"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16,843</w:t>
            </w:r>
          </w:p>
        </w:tc>
        <w:tc>
          <w:tcPr>
            <w:tcW w:w="118" w:type="dxa"/>
            <w:tcBorders/>
            <w:shd w:fill="CCEEFF" w:val="clear"/>
            <w:vAlign w:val="bottom"/>
          </w:tcPr>
          <w:p>
            <w:pPr>
              <w:pStyle w:val="TableContents"/>
              <w:spacing w:before="0" w:after="0"/>
              <w:ind w:left="0" w:right="0" w:hanging="0"/>
              <w:rPr/>
            </w:pPr>
            <w:r>
              <w:rPr/>
              <w:t> </w:t>
            </w:r>
          </w:p>
        </w:tc>
      </w:tr>
      <w:tr>
        <w:trPr/>
        <w:tc>
          <w:tcPr>
            <w:tcW w:w="58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14"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3,081</w:t>
            </w:r>
          </w:p>
        </w:tc>
        <w:tc>
          <w:tcPr>
            <w:tcW w:w="214"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4,878</w:t>
            </w:r>
          </w:p>
        </w:tc>
        <w:tc>
          <w:tcPr>
            <w:tcW w:w="214" w:type="dxa"/>
            <w:tcBorders/>
            <w:shd w:fill="auto" w:val="clear"/>
            <w:vAlign w:val="bottom"/>
          </w:tcPr>
          <w:p>
            <w:pPr>
              <w:pStyle w:val="TableContents"/>
              <w:spacing w:before="0" w:after="0"/>
              <w:ind w:left="0" w:right="0" w:hanging="0"/>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3,551</w:t>
            </w:r>
          </w:p>
        </w:tc>
        <w:tc>
          <w:tcPr>
            <w:tcW w:w="118" w:type="dxa"/>
            <w:tcBorders/>
            <w:shd w:fill="auto" w:val="clear"/>
            <w:vAlign w:val="bottom"/>
          </w:tcPr>
          <w:p>
            <w:pPr>
              <w:pStyle w:val="TableContents"/>
              <w:spacing w:before="0" w:after="0"/>
              <w:ind w:left="0" w:right="0" w:hanging="0"/>
              <w:rPr/>
            </w:pPr>
            <w:r>
              <w:rPr/>
              <w:t> </w:t>
            </w:r>
          </w:p>
        </w:tc>
      </w:tr>
      <w:tr>
        <w:trPr/>
        <w:tc>
          <w:tcPr>
            <w:tcW w:w="5854" w:type="dxa"/>
            <w:tcBorders/>
            <w:shd w:fill="CCEEFF" w:val="clear"/>
            <w:vAlign w:val="bottom"/>
          </w:tcPr>
          <w:p>
            <w:pPr>
              <w:pStyle w:val="TableContents"/>
              <w:spacing w:before="0" w:after="0"/>
              <w:ind w:left="0" w:right="0" w:hanging="0"/>
              <w:rPr/>
            </w:pPr>
            <w:r>
              <w:rPr/>
              <w:t> </w:t>
            </w:r>
          </w:p>
        </w:tc>
        <w:tc>
          <w:tcPr>
            <w:tcW w:w="214"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214"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214"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20,394</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are attributed to each region based on where the customers are located.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85"/>
        <w:gridCol w:w="212"/>
        <w:gridCol w:w="115"/>
        <w:gridCol w:w="1076"/>
        <w:gridCol w:w="212"/>
        <w:gridCol w:w="115"/>
        <w:gridCol w:w="1076"/>
        <w:gridCol w:w="114"/>
      </w:tblGrid>
      <w:tr>
        <w:trPr/>
        <w:tc>
          <w:tcPr>
            <w:tcW w:w="72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5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 December 31,</w:t>
            </w:r>
          </w:p>
        </w:tc>
        <w:tc>
          <w:tcPr>
            <w:tcW w:w="114" w:type="dxa"/>
            <w:tcBorders/>
            <w:shd w:fill="auto" w:val="clear"/>
            <w:vAlign w:val="bottom"/>
          </w:tcPr>
          <w:p>
            <w:pPr>
              <w:pStyle w:val="TableContents"/>
              <w:spacing w:before="0" w:after="0"/>
              <w:ind w:left="0" w:right="0" w:hanging="0"/>
              <w:jc w:val="center"/>
              <w:rPr/>
            </w:pPr>
            <w:r>
              <w:rPr/>
              <w:t> </w:t>
            </w:r>
          </w:p>
        </w:tc>
      </w:tr>
      <w:tr>
        <w:trPr/>
        <w:tc>
          <w:tcPr>
            <w:tcW w:w="728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 xml:space="preserve">Long-Lived Assets </w:t>
            </w:r>
            <w:r>
              <w:rPr>
                <w:b/>
                <w:sz w:val="8"/>
              </w:rPr>
              <w:t>(1)</w:t>
            </w:r>
          </w:p>
        </w:tc>
        <w:tc>
          <w:tcPr>
            <w:tcW w:w="212" w:type="dxa"/>
            <w:tcBorders/>
            <w:shd w:fill="auto" w:val="clear"/>
            <w:vAlign w:val="bottom"/>
          </w:tcPr>
          <w:p>
            <w:pPr>
              <w:pStyle w:val="TableContents"/>
              <w:spacing w:before="0" w:after="0"/>
              <w:ind w:left="0" w:right="0" w:hanging="0"/>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4" w:type="dxa"/>
            <w:tcBorders/>
            <w:shd w:fill="auto" w:val="clear"/>
            <w:vAlign w:val="bottom"/>
          </w:tcPr>
          <w:p>
            <w:pPr>
              <w:pStyle w:val="TableContents"/>
              <w:spacing w:before="0" w:after="0"/>
              <w:ind w:left="0" w:right="0" w:hanging="0"/>
              <w:jc w:val="center"/>
              <w:rPr/>
            </w:pPr>
            <w:r>
              <w:rPr/>
              <w:t> </w:t>
            </w:r>
          </w:p>
        </w:tc>
      </w:tr>
      <w:tr>
        <w:trPr/>
        <w:tc>
          <w:tcPr>
            <w:tcW w:w="72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United States</w:t>
            </w:r>
          </w:p>
        </w:tc>
        <w:tc>
          <w:tcPr>
            <w:tcW w:w="21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6,945</w:t>
            </w:r>
          </w:p>
        </w:tc>
        <w:tc>
          <w:tcPr>
            <w:tcW w:w="212" w:type="dxa"/>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5,976</w:t>
            </w:r>
          </w:p>
        </w:tc>
        <w:tc>
          <w:tcPr>
            <w:tcW w:w="114" w:type="dxa"/>
            <w:tcBorders/>
            <w:shd w:fill="CCEEFF" w:val="clear"/>
            <w:vAlign w:val="bottom"/>
          </w:tcPr>
          <w:p>
            <w:pPr>
              <w:pStyle w:val="TableContents"/>
              <w:spacing w:before="0" w:after="0"/>
              <w:ind w:left="0" w:right="0" w:hanging="0"/>
              <w:rPr/>
            </w:pPr>
            <w:r>
              <w:rPr/>
              <w:t> </w:t>
            </w:r>
          </w:p>
        </w:tc>
      </w:tr>
      <w:tr>
        <w:trPr/>
        <w:tc>
          <w:tcPr>
            <w:tcW w:w="72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12"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1,678</w:t>
            </w:r>
          </w:p>
        </w:tc>
        <w:tc>
          <w:tcPr>
            <w:tcW w:w="212"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1,312</w:t>
            </w:r>
          </w:p>
        </w:tc>
        <w:tc>
          <w:tcPr>
            <w:tcW w:w="114" w:type="dxa"/>
            <w:tcBorders/>
            <w:shd w:fill="auto" w:val="clear"/>
            <w:vAlign w:val="bottom"/>
          </w:tcPr>
          <w:p>
            <w:pPr>
              <w:pStyle w:val="TableContents"/>
              <w:spacing w:before="0" w:after="0"/>
              <w:ind w:left="0" w:right="0" w:hanging="0"/>
              <w:rPr/>
            </w:pPr>
            <w:r>
              <w:rPr/>
              <w:t> </w:t>
            </w:r>
          </w:p>
        </w:tc>
      </w:tr>
      <w:tr>
        <w:trPr/>
        <w:tc>
          <w:tcPr>
            <w:tcW w:w="72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8,623</w:t>
            </w:r>
          </w:p>
        </w:tc>
        <w:tc>
          <w:tcPr>
            <w:tcW w:w="212" w:type="dxa"/>
            <w:tcBorders/>
            <w:shd w:fill="CCEEFF" w:val="clear"/>
            <w:vAlign w:val="bottom"/>
          </w:tcPr>
          <w:p>
            <w:pPr>
              <w:pStyle w:val="TableContents"/>
              <w:spacing w:before="0" w:after="0"/>
              <w:ind w:left="0" w:right="0" w:hanging="0"/>
              <w:rPr/>
            </w:pPr>
            <w:r>
              <w:rPr/>
              <w:t> </w:t>
            </w:r>
          </w:p>
        </w:tc>
        <w:tc>
          <w:tcPr>
            <w:tcW w:w="1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7,288</w:t>
            </w:r>
          </w:p>
        </w:tc>
        <w:tc>
          <w:tcPr>
            <w:tcW w:w="11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Excludes long-term derivative assets.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F-53</w:t>
      </w:r>
      <w:bookmarkStart w:id="217" w:name="PB_53_135356_7608"/>
      <w:bookmarkEnd w:id="21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EXHIBIT INDEX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9"/>
        <w:gridCol w:w="624"/>
        <w:gridCol w:w="312"/>
        <w:gridCol w:w="208"/>
        <w:gridCol w:w="8542"/>
      </w:tblGrid>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the Current Report on Form 8-K filed August 27, 2001).</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3 dated August 16, 2007 to Third Amended and Restated Agreement of Limited Partnership of Plains All American Pipeline, L.P. (incorporated by reference to Exhibit 3.1 to the Current Report on Form 8-K filed August 22, 2007).</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4 effective as of January 1, 2007 to Third Amended and Restated Agreement of Limited Partnership of Plains All American Pipeline, L.P. (incorporated by reference to Exhibit 3.1 to the Current Report on Form 8-K filed April 15, 2008).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5 dated May 28, 2008 to Third Amended and Restated Agreement of Limited Partnership of Plains All American Pipeline, L.P. (incorporated by reference to Exhibit 3.1 to the Current Report on Form 8-K filed May 30, 2008).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6 dated September 3, 2009 to Third Amended and Restated Agreement of Limited Partnership of Plains All American Pipeline, L.P. (incorporated by reference to Exhibit 3.1 to the Current Report on Form 8-K filed September 3, 2009).</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Limited Liability Company Agreement of Plains All American GP LLC dated August 7, 2008, as amended November 2, 2009 (incorporated by reference to Exhibit 3.10 to the Quarterly Report on Form 10-Q for the quarter ended September 30, 2009).</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Amended and Restated Limited Partnership Agreement of Plains AAP, L.P. dated August 7, 2008 (incorporated by reference to Exhibit 3.1 to the Current Report on Form 8-K filed August 7, 2008).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as trustee (incorporated by reference to Exhibit 4.2 to the Quarterly Report on Form 10-Q for the quarter ended September 30, 2002).</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9"/>
        <w:gridCol w:w="624"/>
        <w:gridCol w:w="312"/>
        <w:gridCol w:w="208"/>
        <w:gridCol w:w="8542"/>
      </w:tblGrid>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the Current Report on Form 8-K filed May 31, 2005).</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May 12, 2006 among Plains All American Pipeline, L.P., PAA Finance Corp., the Subsidiary Guarantors named therein and Wachovia Bank, National Association, as trustee (incorporated by reference to Exhibit 4.3 to the Current Report on Form 8-K filed May 12,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Eighth Supplemental Indenture dated August 25, 2006 among Plains All American Pipeline, L.P., PAA Finance Corp., the Subsidiary Guarantors named therein and Wachovia Bank, National Association, as trustee (incorporated by reference to Exhibit 4.1 to the Current Report on Form 8-K filed August 25,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Eleventh Supplemental Indenture dated November 15, 2006 among Plains All American Pipeline, L.P., PAA Finance Corp., the Subsidiary Guarantors named therein and U.S. Bank National Association, as trustee (incorporated by reference to Exhibit 4.1 to the Current Report on Form 8-K filed November 21,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Twelfth Supplemental Indenture dated January 1, 2008 among Plains All American Pipeline, L.P., PAA Finance Corp., the Subsidiary Guarantors named therein and U.S. Bank National Association, as trustee (incorporated by reference to Exhibit 4.21 to the Annual Report on Form 10-K for the year ended December 31, 2007).</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Fourteenth Supplemental Indenture dated July 1, 2008 among Plains All American Pipeline, L.P., PAA Finance Corp., the Subsidiary Guarantors named therein and U.S. Bank National Association, as trustee (incorporated by reference to Exhibit 4.15 to the Quarterly Report on Form 10-Q for the quarter ended June 30, 2008).</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9"/>
        <w:gridCol w:w="624"/>
        <w:gridCol w:w="312"/>
        <w:gridCol w:w="208"/>
        <w:gridCol w:w="8542"/>
      </w:tblGrid>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4.15</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Sixteenth Supplemental Indenture (4.25% Senior Notes due 2012) dated July 23, 2009 among Plains All American Pipeline, L.P., PAA Finance Corp., the Subsidiary Guarantors named therein and U.S. Bank National Association, as trustee (incorporated by reference to Exhibit 4.1 to the Current Report on Form 8-K filed July 23, 2009).</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4.17</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4.18</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rFonts w:ascii="Times New Roman" w:hAnsi="Times New Roman"/>
                <w:sz w:val="17"/>
              </w:rPr>
              <w:t>Indenture dated September 23, 2005 among Pacific Energy Partners, L.P., PAA Finance Corp. (f/k/a Pacific Energy Finance Corporation), the Guarantors named therein, and Wells Fargo Bank, National Association, as trustee of the 6</w:t>
            </w:r>
            <w:r>
              <w:rPr>
                <w:sz w:val="11"/>
              </w:rPr>
              <w:t>1</w:t>
            </w:r>
            <w:r>
              <w:rPr>
                <w:sz w:val="17"/>
              </w:rPr>
              <w:t>/</w:t>
            </w:r>
            <w:r>
              <w:rPr>
                <w:sz w:val="11"/>
              </w:rPr>
              <w:t>4</w:t>
            </w:r>
            <w:r>
              <w:rPr>
                <w:sz w:val="17"/>
              </w:rPr>
              <w:t>% senior notes due 2015 (incorporated by reference to Exhibit 4.1 to Pacific Energy Partners, L.P.s Current Report on Form 8-K filed September 28, 2005).</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4.19</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dated November 15, 2006 among Plains All American Pipeline, L.P., PAA Finance Corp. (f/k/a Pacific Energy Finance Corporation), the Guarantors named therein, and Wells Fargo Bank, National Association, as trustee (incorporated by reference to Exhibit 4.3 to the Current Report on Form 8-K filed November 21, 2006).</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4.20</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dated January 1, 2008 among Plains All American Pipeline, L.P., PAA Finance Corp. (f/k/a Pacific Energy Finance Corporation), the Guarantors named therein, and Wells Fargo Bank, National Association, as trustee (incorporated by reference to Exhibit 4.22 to the Annual Report on Form 10-K for the year ended December 31, 2007).</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Rights Agreement dated September 3, 2009 by and between Plains All American Pipeline, L.P. and Vulcan Gas Storage LLC (incorporated by reference to Exhibit 4.1 to the Registration Statement on Form S-3, File No. 333-162477).</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Restated Credit Facility (Uncommitted Senior Secured Discretionary Contango Facility) dated November 19, 2004 among Plains Marketing, L.P., Bank of America, N.A., as Administrative Agent, and the Lenders party thereto (incorporated by reference to Exhibit 10.1 to the Current Report on Form 8-K filed November 24,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Crude Oil Marketing Agreement dated as of July 23, 2004, among Plains Resources Inc., Calumet Florida Inc. and Plains Marketing, L.P. (incorporated by reference to Exhibit 10.2 to the Quarterly Report on Form 10-Q for the quarter ended June 30,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tc>
      </w:tr>
      <w:tr>
        <w:trPr/>
        <w:tc>
          <w:tcPr>
            <w:tcW w:w="519"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27, 2001, among Plains All American Pipeline, L.P., Plains Marketing, L.P., All American Pipeline, L.P., Plains AAP, L.P., Plains All American GP LLC and Plains Marketing GP Inc. (incorporated by reference to Exhibit 10.1 to the Current Report on Form 8-K filed June 27, 2001).</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
        <w:gridCol w:w="624"/>
        <w:gridCol w:w="312"/>
        <w:gridCol w:w="208"/>
        <w:gridCol w:w="8541"/>
      </w:tblGrid>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Assignment and Amendment Agreement dated as of June 8, 2001, among Plains All American Inc., Plains AAP, L.P. and Plains All American GP LLC (incorporated by reference to Exhibit 10.1 to the Current Report on Form 8-K filed June 11,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Separation Agreement dated as of June 8, 2001 among Plains Resources Inc., Plains All American Inc., Plains All American GP LLC, Plains AAP, L.P. and Plains All American Pipeline, L.P. (incorporated by reference to Exhibit 10.2 to the Current Report on Form 8-K filed June 11,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Pension and Employee Benefits Assumption and Transition Agreement dated as of June 8, 2001 among Plains Resources Inc., Plains All American Inc. and Plains All American GP LLC (incorporated by reference to Exhibit 10.3 to the Current Report on Form 8-K filed June 11,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2005 Long-Term Incentive Plan (incorporated by reference to Exhibit 10.1 to the Current Report on Form 8-K filed January 26, 2005).</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1998 Long-Term Incentive Plan (incorporated by reference to Exhibit 99.1 to Registration Statement on Form S-8, File No. 333-74920) as amended June 27, 2003 (incorporated by reference to Exhibit 10.1 to the Quarterly Report on Form 10-Q for the quarter ended June 30, 2003).</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2001 Performance Option Plan (incorporated by reference to Exhibit 99.2 to the Registration Statement on Form S-8 filed December 11, 2001, File No. 333-74920).</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Greg L. Armstrong dated as of June 30, 2001 (incorporated by reference to Exhibit 10.1 to the Quarterly Report on Form 10-Q for the quarter ended September 30,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10.12</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Amended and Restated Employment Agreement between Plains All American GP LLC and Harry N. Pefanis dated as of June 30, 2001 (incorporated by reference to Exhibit 10.2 to the Quarterly Report on Form 10-Q for the quarter ended September 30,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10.13</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Asset Purchase and Sale Agreement dated February 28, 2001 between Murphy Oil Company Ltd. and Plains Marketing Canada, L.P. (incorporated by reference to Exhibit 99.1 to the Current Report on Form 8-K filed May 10, 2001).</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10.14</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Agreement dated July 30, 1993, between All American Pipeline Company and Exxon Company, U.S.A. (incorporated by reference to Exhibit 10.9 to the Registration Statement on Form S-1 filed September 23, 1998, File No. 333-64107).</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10.15</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 Agreement dated August 2, 1993, among All American Pipeline Company, Texaco Trading and Transportation Inc., Chevron U.S.A. and Sun Operating Limited Partnership (incorporated by reference to Exhibit 10.10 to the Registration Statement on Form S-1 filed September 23, 1998, File No. 333-64107).</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10.16</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Contribution, Conveyance and Assumption Agreement dated as of December 15, 1998 (incorporated by reference to Exhibit 10.13 to the Annual Report on Form 10-K for the year ended December 31, 1998).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10.17</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for Purchase and Sale of Membership Interest in Scurlock Permian LLC between Marathon Ashland LLC and Plains Marketing, L.P. dated as of March 17, 1999 (incorporated by reference to Exhibit 10.16 to the Annual Report on Form 10-K for the year ended December 31, 1998).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10.18</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Inc. 1998 Management Incentive Plan (incorporated by reference to Exhibit 10.5 to the Annual Report on Form 10-K for the year ended December 31, 1998).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10.19</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PMC (Nova Scotia) Company Bonus Program (incorporated by reference to Exhibit 10.20 to the Annual Report on Form 10-K for the year ended December 31, 2004).</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10.20</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Quarterly Bonus Program Summary (incorporated by reference to Exhibit 10.21 to the Annual Report on Form 10-K for the year ended December 31, 2005).</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Directors Compensation Summary.</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624"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Master Railcar Leasing Agreement dated as of May 25, 1998 (effective June 1, 1998), between Pivotal Enterprises Corporation and CANPET Energy Group, Inc., (incorporated by reference to Exhibit 10.16 to the Annual Report on Form 10-K for the year ended December 31, 2001).</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
        <w:gridCol w:w="625"/>
        <w:gridCol w:w="312"/>
        <w:gridCol w:w="207"/>
        <w:gridCol w:w="8541"/>
      </w:tblGrid>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10.23</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(Armstrong/Pefanis) (incorporated by reference to Exhibit 10.24 to the Annual Report on Form 10-K for the year ended December 31,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10.24</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(executive officers) (incorporated by reference to Exhibit 10.3 to the Current Report on Form 8-K filed April 1,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10.25</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(independent directors) (incorporated by reference to Exhibit 10.3 to the Current Report on Form 8-K filed February 23,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(designated directors) (incorporated by reference to Exhibit 10.4 to the Current Report on Form 8-K filed February 23,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10.27</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(payment to entity) (incorporated by reference to Exhibit 10.5 to the Current Report on Form 8-K filed February 23,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10.28</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Performance Option Grant Letter (incorporated by reference to Exhibit 10.1 to the Current Report on Form 8-K filed April 1,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10.29</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Administrative Services Agreement between Plains All American GP LLC and Vulcan Energy Corporation dated October 14, 2005 (incorporated by reference to Exhibit 1.1 to the Current Report on Form 8-K filed October 19,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10.30</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Membership Interest Purchase Agreement by and between Sempra Energy Trading Corp. and PAA/Vulcan Gas Storage, LLC dated August 19, 2005 (incorporated by reference to Exhibit 1.2 to the Current Report on Form 8-K filed September 19,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10.31</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Agreement dated as of August 12, 2005 between Plains All American GP LLC and Greg L. Armstrong (incorporated by reference to Exhibit 10.1 to the Current Report on Form 8-K filed August 16,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10.32</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Agreement dated as of August 12, 2005 between Plains All American GP LLC and Harry N. Pefanis (incorporated by reference to Exhibit 10.2 to the Current Report on Form 8-K filed August 16,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10.33</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Vulcan Energy GP Holdings Inc. and Plains All American GP LLC (incorporated by reference to Exhibit 10.3 to the Current Report on Form 8-K filed August 16,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10.34</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Excess Voting Rights Agreement dated as of August 12, 2005 between Lynx Holdings I, LLC and Plains All American GP LLC (incorporated by reference to Exhibit 10.4 to the Current Report on Form 8-K filed August 16,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10.35</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(executive officers) (incorporated by reference to Exhibit 10.39 to the Annual Report on Form 10-K for the year ended December 31,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10.36</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Employment Agreement between Plains All American GP LLC and John P. vonBerg dated December 18, 2001 (incorporated by reference to Exhibit 10.40 to the Annual Report on Form 10-K for the year ended December 31, 2005).</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10.37</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LTIP Grant Letter (audit committee members) (incorporated by reference to Exhibit 10.1 to the Current Report on Form 8-K filed August 23, 2006).</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10.38</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PPX Successor Long-Term Incentive Plan (incorporated by reference to Exhibit 10.45 to the Annual Report on Form 10-K for the year ended December 31, 2006).</w:t>
            </w:r>
          </w:p>
        </w:tc>
      </w:tr>
      <w:tr>
        <w:trPr/>
        <w:tc>
          <w:tcPr>
            <w:tcW w:w="520" w:type="dxa"/>
            <w:tcBorders/>
            <w:shd w:fill="auto" w:val="clear"/>
          </w:tcPr>
          <w:p>
            <w:pPr>
              <w:pStyle w:val="TableContents"/>
              <w:spacing w:before="0" w:after="0"/>
              <w:ind w:left="0" w:right="0" w:hanging="0"/>
              <w:jc w:val="right"/>
              <w:rPr/>
            </w:pPr>
            <w:r>
              <w:rPr/>
              <w:t> </w:t>
            </w:r>
          </w:p>
        </w:tc>
        <w:tc>
          <w:tcPr>
            <w:tcW w:w="625" w:type="dxa"/>
            <w:tcBorders/>
            <w:shd w:fill="auto" w:val="clear"/>
          </w:tcPr>
          <w:p>
            <w:pPr>
              <w:pStyle w:val="TableContents"/>
              <w:spacing w:before="0" w:after="0"/>
              <w:ind w:left="0" w:right="0" w:hanging="0"/>
              <w:rPr/>
            </w:pPr>
            <w:r>
              <w:rPr/>
              <w:t> </w:t>
            </w:r>
          </w:p>
        </w:tc>
        <w:tc>
          <w:tcPr>
            <w:tcW w:w="312" w:type="dxa"/>
            <w:tcBorders/>
            <w:shd w:fill="auto" w:val="clear"/>
          </w:tcPr>
          <w:p>
            <w:pPr>
              <w:pStyle w:val="TableContents"/>
              <w:spacing w:before="0" w:after="0"/>
              <w:ind w:left="0" w:right="0" w:hanging="0"/>
              <w:rPr/>
            </w:pPr>
            <w:r>
              <w:rPr/>
              <w:t> </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7" w:type="dxa"/>
            <w:tcBorders/>
            <w:shd w:fill="auto" w:val="clear"/>
          </w:tcPr>
          <w:p>
            <w:pPr>
              <w:pStyle w:val="TableContents"/>
              <w:spacing w:before="0" w:after="0"/>
              <w:ind w:left="0" w:right="0" w:hanging="0"/>
              <w:rPr/>
            </w:pPr>
            <w:r>
              <w:rPr/>
              <w:t> </w:t>
            </w:r>
          </w:p>
        </w:tc>
        <w:tc>
          <w:tcPr>
            <w:tcW w:w="85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Forms of LTIP Grant Letters dated February 22, 2007 (Named Executive Officers) (incorporated by reference to Exhibit 10.1 to the Quarterly Report on Form 10-Q for the quarter ended March 31, 2007).</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
        <w:gridCol w:w="624"/>
        <w:gridCol w:w="311"/>
        <w:gridCol w:w="208"/>
        <w:gridCol w:w="8542"/>
      </w:tblGrid>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10.40</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dated July 31, 2007 to the Second Amended and Restated Credit Agreement [US/Canada Facilities] by and between Plains All American Pipeline, L.P., PMC (Nova Scotia) Company, Plains Marketing Canada, L.P., Rangeland Pipeline Company, Bank of America, N.A., as Administrative Agent, and the Lenders party thereto (incorporated by reference to Exhibit 10.1 to the Current Report on Form 8-K filed August 6, 2007).</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Separation and Release Agreement dated August 21, 2007 between Plains All American GP LLC and George R. Coiner (incorporated by reference to Exhibit 10.3 to the Quarterly Report on Form 10-Q for the quarter ended September 30, 2007).</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10.42</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Plains AAP, L.P. Class B Restricted Units Agreement (incorporated by reference to Exhibit 10.1 to the Current Report on Form 8-K filed January 4,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Restated Credit Agreement dated as of November 6, 2008 by among Plains Marketing, L.P., Bank of America, N.A., as Administrative Agent, and the Lenders party there to (incorporated by reference to Exhibit 10.1 to the Current Report on Form 8-K filed November 7,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10.44</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Second Restated Credit Agreement dated as of October 27, 2009, by and among Plains Marketing, L.P., Bank of America, N.A., as Administrative Agent, BNP Paribas, as Syndication Agent, SOCIETE GENERALE, as Documentation Agent, Banc of America Securities LLC (BAS), BNP Paribas (BNPP) and Societe Generale, as joint lead arrangers, BAS and BNPP, as joint bookrunners, and the Lenders party thereto (incorporated by reference to Exhibit 10.1 to the Current Report on Form 8-K filed October 29, 2009).</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10.45</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Restated Guaranty Agreement dated November 6, 2008 by Plains All American Pipeline, L.P. in favor of Bank of America, N.A., as Administrative Agent (incorporated by reference to Exhibit 10.2 to the Current Report on Form 8-K filed November 7,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Contribution and Assumption Agreement, dated December 28, 2007, by and between Plains AAP, L.P. and PAA GP LLC (incorporated by reference to Exhibit 10.2 to the Current Report on Form 8-K filed January 4,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10.47</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Assumption, Ratification and Confirmation Agreement dated January 1, 2008 by Plains Midstream Canada ULC in favor of the Lenders party to the Second Amended and Restated Credit Agreement [US/Canada Facilities], as amended (incorporated by reference to Exhibit 10.54 to the Annual Report on Form 10-K for the year ended December 31, 2007).</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10.48</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Greg L. Armstrong (incorporated by reference to Exhibit 10.49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10.49</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Amended and Restated Employment Agreement dated December 4, 2008 between Plains All American GP LLC and Harry N. Pefanis (incorporated by reference to Exhibit 10.50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10.50</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to Plains All American GP LLC 2005 Long-Term Incentive Plan dated December 4, 2008 (incorporated by reference to Exhibit 10.51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Amendment to Plains All American GP LLC 1998 Long-Term Incentive Plan dated December 4, 2008 (incorporated by reference to Exhibit 10.52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Amendment to LTIP grant letters dated December 4, 2008 (executive officers) (incorporated by reference to Exhibit 10.53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10.53</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Amendment to LTIP grant letters (directors) (incorporated by reference to Exhibit 10.54 to the Annual Report on Form 10-K for the year ended December 31, 2008).</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List of Subsidiaries of Plains All American Pipeline, L.P.</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 of PricewaterhouseCoopers LLP.</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520" w:type="dxa"/>
            <w:tcBorders/>
            <w:shd w:fill="auto" w:val="clear"/>
          </w:tcPr>
          <w:p>
            <w:pPr>
              <w:pStyle w:val="TableContents"/>
              <w:spacing w:before="0" w:after="0"/>
              <w:ind w:left="0" w:right="0" w:hanging="0"/>
              <w:jc w:val="right"/>
              <w:rPr/>
            </w:pPr>
            <w:r>
              <w:rPr/>
              <w:t> </w:t>
            </w:r>
          </w:p>
        </w:tc>
        <w:tc>
          <w:tcPr>
            <w:tcW w:w="624" w:type="dxa"/>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pPr>
            <w:r>
              <w:rPr/>
              <w:t> </w:t>
            </w:r>
          </w:p>
        </w:tc>
      </w:tr>
      <w:tr>
        <w:trPr/>
        <w:tc>
          <w:tcPr>
            <w:tcW w:w="52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8" w:type="dxa"/>
            <w:tcBorders/>
            <w:shd w:fill="auto" w:val="clear"/>
          </w:tcPr>
          <w:p>
            <w:pPr>
              <w:pStyle w:val="TableContents"/>
              <w:spacing w:before="0" w:after="0"/>
              <w:ind w:left="0" w:right="0" w:hanging="0"/>
              <w:rPr/>
            </w:pPr>
            <w:r>
              <w:rPr/>
              <w:t> </w:t>
            </w:r>
          </w:p>
        </w:tc>
        <w:tc>
          <w:tcPr>
            <w:tcW w:w="8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following financial information from the annual report on Form 10-K of Plains All American Pipeline, L.P. for the year ended December 31, 2009, formatted in XBRL (eXtensible Business Reporting Language): (i) Consolidated Statements of Operations, (ii) Consolidated Balance Sheets, (iii) Consolidated Statements of Cash Flows, (iv) Consolidated Statements of Changes in Partners Capital, (v) Consolidated Statements of Comprehensive Income, (vi) Consolidated Statements of Changes in Accumulated Comprehensive Income and (vii) Notes to the Consolidated Financial Statements, tagged as blocks of text.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Management compensatory plan or arrangement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18" w:name="a09-36206_1ex10d21.htm"/>
      <w:bookmarkStart w:id="219" w:name="ksa0936206_1ex10d21"/>
      <w:bookmarkEnd w:id="218"/>
      <w:bookmarkEnd w:id="219"/>
      <w:r>
        <w:rPr>
          <w:rFonts w:ascii="Times New Roman" w:hAnsi="Times New Roman"/>
          <w:b/>
          <w:sz w:val="17"/>
        </w:rPr>
        <w:t>EXHIBIT 10.21</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Director Compensation Summary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non-employee directors receive LTIP awards or cash equivalent awards as part of their compensation. The LTIP awards vest annually in 25% increments over a four-year period and have an automatic re-grant feature such that as they vest, an equivalent amount is granted. The three non-employee directors who serve on the audit committee each have outstanding a grant of 10,000 units (vesting 2,500 units per year).  Upon vesting of the director LTIPs (other than the incremental audit committee awards), a cash payment is made to Vulcan Capital as directed by the Vulcan designee and to an affiliate of EnCap as directed by Mr. Petersen. Such cash payment is based on the unit value of Mr. Sinnotts award on the previous years vesting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LTIP awards held by a director vest in full upon the next following vesting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20" w:name="a09-36206_1ex12d1.htm"/>
      <w:bookmarkStart w:id="221" w:name="ksa0936206_1ex12d1"/>
      <w:bookmarkEnd w:id="220"/>
      <w:bookmarkEnd w:id="221"/>
      <w:r>
        <w:rPr>
          <w:rFonts w:ascii="Times New Roman" w:hAnsi="Times New Roman"/>
          <w:b/>
          <w:sz w:val="17"/>
        </w:rPr>
        <w:t>EXHIBIT 12.1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547"/>
        <w:gridCol w:w="221"/>
        <w:gridCol w:w="110"/>
        <w:gridCol w:w="776"/>
        <w:gridCol w:w="221"/>
        <w:gridCol w:w="110"/>
        <w:gridCol w:w="776"/>
        <w:gridCol w:w="221"/>
        <w:gridCol w:w="110"/>
        <w:gridCol w:w="776"/>
        <w:gridCol w:w="221"/>
        <w:gridCol w:w="110"/>
        <w:gridCol w:w="776"/>
        <w:gridCol w:w="221"/>
        <w:gridCol w:w="110"/>
        <w:gridCol w:w="776"/>
        <w:gridCol w:w="123"/>
      </w:tblGrid>
      <w:tr>
        <w:trPr/>
        <w:tc>
          <w:tcPr>
            <w:tcW w:w="4547"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5314"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23" w:type="dxa"/>
            <w:tcBorders/>
            <w:shd w:fill="auto" w:val="clear"/>
            <w:vAlign w:val="bottom"/>
          </w:tcPr>
          <w:p>
            <w:pPr>
              <w:pStyle w:val="TableContents"/>
              <w:spacing w:before="0" w:after="0"/>
              <w:ind w:left="0" w:right="0" w:hanging="0"/>
              <w:jc w:val="center"/>
              <w:rPr/>
            </w:pPr>
            <w:r>
              <w:rPr/>
              <w:t> </w:t>
            </w:r>
          </w:p>
        </w:tc>
      </w:tr>
      <w:tr>
        <w:trPr/>
        <w:tc>
          <w:tcPr>
            <w:tcW w:w="4547"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2007</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2006</w:t>
            </w:r>
          </w:p>
        </w:tc>
        <w:tc>
          <w:tcPr>
            <w:tcW w:w="2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2005</w:t>
            </w:r>
          </w:p>
        </w:tc>
        <w:tc>
          <w:tcPr>
            <w:tcW w:w="123" w:type="dxa"/>
            <w:tcBorders/>
            <w:shd w:fill="auto" w:val="clear"/>
            <w:vAlign w:val="bottom"/>
          </w:tcPr>
          <w:p>
            <w:pPr>
              <w:pStyle w:val="TableContents"/>
              <w:spacing w:before="0" w:after="0"/>
              <w:ind w:left="0" w:right="0" w:hanging="0"/>
              <w:jc w:val="center"/>
              <w:rPr/>
            </w:pPr>
            <w:r>
              <w:rPr/>
              <w:t> </w:t>
            </w:r>
          </w:p>
        </w:tc>
      </w:tr>
      <w:tr>
        <w:trPr/>
        <w:tc>
          <w:tcPr>
            <w:tcW w:w="4547" w:type="dxa"/>
            <w:tcBorders/>
            <w:shd w:fill="CCEEFF" w:val="clear"/>
            <w:vAlign w:val="bottom"/>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Distributed income of equity investees</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capitalized interest</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pPr>
            <w:r>
              <w:rPr>
                <w:rFonts w:ascii="Times New Roman" w:hAnsi="Times New Roman"/>
                <w:sz w:val="17"/>
              </w:rPr>
              <w:t xml:space="preserve">Interest expensed and capitalized </w:t>
            </w:r>
            <w:r>
              <w:rPr>
                <w:sz w:val="11"/>
              </w:rPr>
              <w:t>(2)</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22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21"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3" w:type="dxa"/>
            <w:tcBorders/>
            <w:shd w:fill="CCEEFF" w:val="clear"/>
            <w:vAlign w:val="bottom"/>
          </w:tcPr>
          <w:p>
            <w:pPr>
              <w:pStyle w:val="TableContents"/>
              <w:spacing w:before="0" w:after="0"/>
              <w:ind w:left="0" w:right="0" w:hanging="0"/>
              <w:rPr/>
            </w:pPr>
            <w:r>
              <w:rPr/>
              <w:t> </w:t>
            </w:r>
          </w:p>
        </w:tc>
      </w:tr>
      <w:tr>
        <w:trPr/>
        <w:tc>
          <w:tcPr>
            <w:tcW w:w="4547"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886"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4547" w:type="dxa"/>
            <w:tcBorders/>
            <w:shd w:fill="CCEEFF" w:val="clear"/>
            <w:vAlign w:val="bottom"/>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221" w:type="dxa"/>
            <w:tcBorders/>
            <w:shd w:fill="CCEEFF" w:val="clear"/>
            <w:vAlign w:val="bottom"/>
          </w:tcPr>
          <w:p>
            <w:pPr>
              <w:pStyle w:val="TableContents"/>
              <w:spacing w:before="0" w:after="0"/>
              <w:ind w:left="0" w:right="0" w:hanging="0"/>
              <w:rPr/>
            </w:pPr>
            <w:r>
              <w:rPr/>
              <w:t> </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operating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Includes interest costs attributable to borrowings for inventory stored in a contango market of $11 million, $21 million, $44 million, $49 million, $24 million and $2 million for each of the years ended December 31, 2009, 2008, 2007, 2006, and 2005,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22" w:name="a09-36206_1ex21d1.htm"/>
      <w:bookmarkStart w:id="223" w:name="ksa0936206_1ex21d1"/>
      <w:bookmarkEnd w:id="222"/>
      <w:bookmarkEnd w:id="223"/>
      <w:r>
        <w:rPr>
          <w:rFonts w:ascii="Times New Roman" w:hAnsi="Times New Roman"/>
          <w:b/>
          <w:sz w:val="17"/>
        </w:rPr>
        <w:t>Exhibit 21.1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SUBSIDIARIES 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As of 12/31/09</w:t>
      </w:r>
      <w:r>
        <w:rPr>
          <w:rFonts w:ascii="Times New Roman" w:hAnsi="Times New Roman"/>
          <w:sz w:val="17"/>
        </w:rPr>
        <w: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289"/>
        <w:gridCol w:w="307"/>
        <w:gridCol w:w="3609"/>
      </w:tblGrid>
      <w:tr>
        <w:trPr/>
        <w:tc>
          <w:tcPr>
            <w:tcW w:w="6289"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307" w:type="dxa"/>
            <w:tcBorders/>
            <w:shd w:fill="auto" w:val="clear"/>
            <w:tcMar>
              <w:bottom w:w="0" w:type="dxa"/>
            </w:tcMar>
            <w:vAlign w:val="bottom"/>
          </w:tcPr>
          <w:p>
            <w:pPr>
              <w:pStyle w:val="TableContents"/>
              <w:spacing w:before="0" w:after="0"/>
              <w:ind w:left="0" w:right="0" w:hanging="0"/>
              <w:jc w:val="center"/>
              <w:rPr/>
            </w:pPr>
            <w:r>
              <w:rPr/>
              <w:t> </w:t>
            </w:r>
          </w:p>
        </w:tc>
        <w:tc>
          <w:tcPr>
            <w:tcW w:w="360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of Organization</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Finance Corp.</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L.P.</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Pipeline, L.P.</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GP Inc.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Canada, L.P.</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PMC (Nova Scotia) Company</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Nova Scotia</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Rancho LPG Holdings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GP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L.P.</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PICSCO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Lone Star Trucking,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California</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Southcap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GP, LP</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Management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Energy Group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Pipeline System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West Coast Terminals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LA Marine Terminal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SLC Pipeline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Products Terminals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Aurora Pipeline Company</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Canada</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GP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L.P.</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Southcap Pipe Line Company</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CDM Max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Bondholder,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PNGS GP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PAA/Vulcan Gas Storage,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Natural Gas Holding,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BW Gas Storage Corp.</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Bluewater Gas Storage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BGS Kimball Gas Storage,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Pine Prairie Holding,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Pine Prairie Energy Center, LLC</w:t>
            </w:r>
          </w:p>
        </w:tc>
        <w:tc>
          <w:tcPr>
            <w:tcW w:w="307" w:type="dxa"/>
            <w:tcBorders/>
            <w:shd w:fill="CCEEFF" w:val="clear"/>
            <w:tcMar>
              <w:bottom w:w="0" w:type="dxa"/>
            </w:tcMar>
            <w:vAlign w:val="bottom"/>
          </w:tcPr>
          <w:p>
            <w:pPr>
              <w:pStyle w:val="TableContents"/>
              <w:spacing w:before="0" w:after="0"/>
              <w:ind w:left="0" w:right="0" w:hanging="0"/>
              <w:rPr/>
            </w:pPr>
            <w:r>
              <w:rPr/>
              <w:t> </w:t>
            </w:r>
          </w:p>
        </w:tc>
        <w:tc>
          <w:tcPr>
            <w:tcW w:w="36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r>
        <w:trPr/>
        <w:tc>
          <w:tcPr>
            <w:tcW w:w="628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PPEC Bondholder, LLC</w:t>
            </w:r>
          </w:p>
        </w:tc>
        <w:tc>
          <w:tcPr>
            <w:tcW w:w="307" w:type="dxa"/>
            <w:tcBorders/>
            <w:shd w:fill="auto" w:val="clear"/>
            <w:tcMar>
              <w:bottom w:w="0" w:type="dxa"/>
            </w:tcMar>
            <w:vAlign w:val="bottom"/>
          </w:tcPr>
          <w:p>
            <w:pPr>
              <w:pStyle w:val="TableContents"/>
              <w:spacing w:before="0" w:after="0"/>
              <w:ind w:left="0" w:right="0" w:hanging="0"/>
              <w:rPr/>
            </w:pPr>
            <w:r>
              <w:rPr/>
              <w:t> </w:t>
            </w:r>
          </w:p>
        </w:tc>
        <w:tc>
          <w:tcPr>
            <w:tcW w:w="36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rPr/>
      </w:pPr>
      <w:bookmarkStart w:id="224" w:name="a09-36206_1ex23d1.htm"/>
      <w:bookmarkStart w:id="225" w:name="ksa0936206_1ex23d1"/>
      <w:bookmarkEnd w:id="224"/>
      <w:bookmarkEnd w:id="225"/>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23.1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CONSENT OF INDEPENDENT REGISTERED PUBLIC ACCOUNTING FIRM</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hereby consent to the incorporation by reference in the Registration Statements on Form S-3 (No. 333-138888, 333-155673, 333-162475, 333-162476 and 333-162477) and on Form S-8 (No. 333-91141, 333-54118, 333-74920, 333-122806 and 333-141185) of Plains All American Pipeline, L.P. of our report dated February 26, 2010 relating to the financial statements, financial statement schedules and the effectiveness of internal control over financial reporting, which appears in this Form 10-K.</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PricewaterhouseCoopers, LLP</w:t>
      </w:r>
    </w:p>
    <w:p>
      <w:pPr>
        <w:pStyle w:val="TextBody"/>
        <w:spacing w:before="0" w:after="0"/>
        <w:ind w:left="0" w:right="0" w:hanging="0"/>
        <w:rPr>
          <w:rFonts w:ascii="Times New Roman" w:hAnsi="Times New Roman"/>
          <w:sz w:val="17"/>
        </w:rPr>
      </w:pPr>
      <w:r>
        <w:rPr>
          <w:rFonts w:ascii="Times New Roman" w:hAnsi="Times New Roman"/>
          <w:sz w:val="17"/>
        </w:rPr>
        <w:t>Houston, Texas</w:t>
      </w:r>
    </w:p>
    <w:p>
      <w:pPr>
        <w:pStyle w:val="TextBody"/>
        <w:spacing w:before="0" w:after="0"/>
        <w:ind w:left="0" w:right="0" w:hanging="0"/>
        <w:rPr>
          <w:rFonts w:ascii="Times New Roman" w:hAnsi="Times New Roman"/>
          <w:sz w:val="17"/>
        </w:rPr>
      </w:pPr>
      <w:r>
        <w:rPr>
          <w:rFonts w:ascii="Times New Roman" w:hAnsi="Times New Roman"/>
          <w:sz w:val="17"/>
        </w:rPr>
        <w:t>February 26, 2010</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226" w:name="a09-36206_1ex31d1.htm"/>
      <w:bookmarkStart w:id="227" w:name="ksa0936206_1ex31d1"/>
      <w:bookmarkEnd w:id="226"/>
      <w:bookmarkEnd w:id="227"/>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26, 2010</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jc w:val="right"/>
        <w:rPr>
          <w:rFonts w:ascii="Times New Roman" w:hAnsi="Times New Roman"/>
          <w:b/>
          <w:sz w:val="17"/>
        </w:rPr>
      </w:pPr>
      <w:bookmarkStart w:id="228" w:name="a09-36206_1ex31d2.htm"/>
      <w:bookmarkStart w:id="229" w:name="ksa0936206_1ex31d2"/>
      <w:bookmarkEnd w:id="228"/>
      <w:bookmarkEnd w:id="229"/>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annual report on Form 10-K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February 26, 2010</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jc w:val="right"/>
        <w:rPr>
          <w:rFonts w:ascii="Times New Roman" w:hAnsi="Times New Roman"/>
          <w:b/>
          <w:sz w:val="17"/>
        </w:rPr>
      </w:pPr>
      <w:bookmarkStart w:id="230" w:name="a09-36206_1ex32d1.htm"/>
      <w:bookmarkStart w:id="231" w:name="ksa0936206_1ex32d1"/>
      <w:bookmarkEnd w:id="230"/>
      <w:bookmarkEnd w:id="231"/>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2009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sz w:val="17"/>
              </w:rPr>
              <w:t xml:space="preserve">/s/ </w:t>
            </w:r>
            <w:r>
              <w:rPr>
                <w:sz w:val="17"/>
              </w:rPr>
              <w:t>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26, 2010</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r>
        <w:br w:type="page"/>
      </w:r>
    </w:p>
    <w:p>
      <w:pPr>
        <w:pStyle w:val="TextBody"/>
        <w:spacing w:before="0" w:after="0"/>
        <w:ind w:left="0" w:right="0" w:hanging="0"/>
        <w:jc w:val="right"/>
        <w:rPr>
          <w:rFonts w:ascii="Times New Roman" w:hAnsi="Times New Roman"/>
          <w:b/>
          <w:sz w:val="17"/>
        </w:rPr>
      </w:pPr>
      <w:bookmarkStart w:id="232" w:name="a09-36206_1ex32d2.htm"/>
      <w:bookmarkStart w:id="233" w:name="ksa0936206_1ex32d2"/>
      <w:bookmarkEnd w:id="232"/>
      <w:bookmarkEnd w:id="233"/>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10-K for the period ended December 31, 2009 and filed with the Securities and Exchange Commission on the date hereof (the Report) by the Company fully complies with the requirements of Section 13(a) or 15(d) of the Securities Exchange Act of 1934 (15 U.S.C. 78m(a) or 78o(d));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3"/>
        <w:gridCol w:w="5002"/>
      </w:tblGrid>
      <w:tr>
        <w:trPr/>
        <w:tc>
          <w:tcPr>
            <w:tcW w:w="5203" w:type="dxa"/>
            <w:tcBorders/>
            <w:shd w:fill="auto" w:val="clear"/>
          </w:tcPr>
          <w:p>
            <w:pPr>
              <w:pStyle w:val="TableContents"/>
              <w:spacing w:before="0" w:after="0"/>
              <w:ind w:left="0" w:right="0" w:hanging="0"/>
              <w:rPr/>
            </w:pPr>
            <w:r>
              <w:rPr/>
              <w:t> </w:t>
            </w:r>
          </w:p>
        </w:tc>
        <w:tc>
          <w:tcPr>
            <w:tcW w:w="500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203" w:type="dxa"/>
            <w:tcBorders/>
            <w:shd w:fill="auto" w:val="clear"/>
          </w:tcPr>
          <w:p>
            <w:pPr>
              <w:pStyle w:val="TableContents"/>
              <w:spacing w:before="0" w:after="0"/>
              <w:ind w:left="0" w:right="0" w:hanging="0"/>
              <w:rPr/>
            </w:pPr>
            <w:bookmarkStart w:id="234" w:name="Table"/>
            <w:bookmarkEnd w:id="234"/>
            <w:r>
              <w:rPr/>
              <w:t> </w:t>
            </w:r>
          </w:p>
        </w:tc>
        <w:tc>
          <w:tcPr>
            <w:tcW w:w="50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203" w:type="dxa"/>
            <w:tcBorders/>
            <w:shd w:fill="auto" w:val="clear"/>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26, 2010</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196</Pages>
  <Words>119887</Words>
  <CharactersWithSpaces>758481</CharactersWithSpaces>
  <Paragraphs>21536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