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61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61048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Goebel Jeremy L.</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03/01/2019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1040" w:type="dxa"/>
            <w:vAlign w:val="bottom"/>
          </w:tcPr>
          <w:p>
            <w:pPr>
              <w:spacing w:after="0"/>
              <w:rPr>
                <w:sz w:val="20"/>
                <w:szCs w:val="20"/>
                <w:color w:val="auto"/>
              </w:rPr>
            </w:pPr>
            <w:r>
              <w:rPr>
                <w:rFonts w:ascii="Arial" w:cs="Arial" w:eastAsia="Arial" w:hAnsi="Arial"/>
                <w:sz w:val="9"/>
                <w:szCs w:val="9"/>
                <w:color w:val="auto"/>
              </w:rPr>
              <w:t>(Last)</w:t>
            </w:r>
          </w:p>
        </w:tc>
        <w:tc>
          <w:tcPr>
            <w:tcW w:w="740" w:type="dxa"/>
            <w:vAlign w:val="bottom"/>
          </w:tcPr>
          <w:p>
            <w:pPr>
              <w:ind w:left="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2"/>
                <w:szCs w:val="12"/>
                <w:color w:val="0000FF"/>
                <w:w w:val="96"/>
              </w:rPr>
              <w:t>333 CLAY STREET</w:t>
            </w: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SUITE 1600</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1080" w:type="dxa"/>
            <w:vAlign w:val="bottom"/>
            <w:gridSpan w:val="2"/>
          </w:tcPr>
          <w:p>
            <w:pPr>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HOUSTON</w:t>
            </w:r>
          </w:p>
        </w:tc>
        <w:tc>
          <w:tcPr>
            <w:tcW w:w="740" w:type="dxa"/>
            <w:vAlign w:val="bottom"/>
          </w:tcPr>
          <w:p>
            <w:pPr>
              <w:ind w:left="6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231"/>
        <w:spacing w:after="0"/>
        <w:rPr>
          <w:sz w:val="20"/>
          <w:szCs w:val="20"/>
          <w:color w:val="auto"/>
        </w:rPr>
      </w:pPr>
      <w:r>
        <w:rPr>
          <w:rFonts w:ascii="Arial" w:cs="Arial" w:eastAsia="Arial" w:hAnsi="Arial"/>
          <w:sz w:val="12"/>
          <w:szCs w:val="12"/>
          <w:color w:val="0000FF"/>
        </w:rPr>
        <w:t>EVP - Commercial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338"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60"/>
              <w:spacing w:after="0"/>
              <w:rPr>
                <w:sz w:val="20"/>
                <w:szCs w:val="20"/>
                <w:color w:val="auto"/>
              </w:rPr>
            </w:pPr>
            <w:r>
              <w:rPr>
                <w:rFonts w:ascii="Arial" w:cs="Arial" w:eastAsia="Arial" w:hAnsi="Arial"/>
                <w:sz w:val="12"/>
                <w:szCs w:val="12"/>
                <w:color w:val="0000FF"/>
              </w:rPr>
              <w:t>1,314</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B Units of Plains AAP, L.P.</w:t>
            </w:r>
          </w:p>
        </w:tc>
        <w:tc>
          <w:tcPr>
            <w:tcW w:w="600" w:type="dxa"/>
            <w:vAlign w:val="bottom"/>
          </w:tcPr>
          <w:p>
            <w:pPr>
              <w:ind w:left="220"/>
              <w:spacing w:after="0"/>
              <w:rPr>
                <w:sz w:val="20"/>
                <w:szCs w:val="20"/>
                <w:color w:val="auto"/>
              </w:rPr>
            </w:pPr>
            <w:r>
              <w:rPr>
                <w:rFonts w:ascii="Arial" w:cs="Arial" w:eastAsia="Arial" w:hAnsi="Arial"/>
                <w:sz w:val="8"/>
                <w:szCs w:val="8"/>
                <w:color w:val="008000"/>
              </w:rPr>
              <w:t>(1)(2)</w:t>
            </w:r>
          </w:p>
        </w:tc>
        <w:tc>
          <w:tcPr>
            <w:tcW w:w="520" w:type="dxa"/>
            <w:vAlign w:val="bottom"/>
          </w:tcPr>
          <w:p>
            <w:pPr>
              <w:jc w:val="right"/>
              <w:ind w:right="97"/>
              <w:spacing w:after="0"/>
              <w:rPr>
                <w:sz w:val="20"/>
                <w:szCs w:val="20"/>
                <w:color w:val="auto"/>
              </w:rPr>
            </w:pPr>
            <w:r>
              <w:rPr>
                <w:rFonts w:ascii="Arial" w:cs="Arial" w:eastAsia="Arial" w:hAnsi="Arial"/>
                <w:sz w:val="8"/>
                <w:szCs w:val="8"/>
                <w:color w:val="008000"/>
              </w:rPr>
              <w:t>(1)(2)</w:t>
            </w:r>
          </w:p>
        </w:tc>
        <w:tc>
          <w:tcPr>
            <w:tcW w:w="2140" w:type="dxa"/>
            <w:vAlign w:val="bottom"/>
          </w:tcPr>
          <w:p>
            <w:pPr>
              <w:ind w:left="820"/>
              <w:spacing w:after="0"/>
              <w:rPr>
                <w:sz w:val="20"/>
                <w:szCs w:val="20"/>
                <w:color w:val="auto"/>
              </w:rPr>
            </w:pPr>
            <w:r>
              <w:rPr>
                <w:rFonts w:ascii="Arial" w:cs="Arial" w:eastAsia="Arial" w:hAnsi="Arial"/>
                <w:sz w:val="12"/>
                <w:szCs w:val="12"/>
                <w:color w:val="0000FF"/>
              </w:rPr>
              <w:t>Class A Shares</w:t>
            </w:r>
          </w:p>
        </w:tc>
        <w:tc>
          <w:tcPr>
            <w:tcW w:w="860" w:type="dxa"/>
            <w:vAlign w:val="bottom"/>
          </w:tcPr>
          <w:p>
            <w:pPr>
              <w:ind w:left="360"/>
              <w:spacing w:after="0"/>
              <w:rPr>
                <w:sz w:val="20"/>
                <w:szCs w:val="20"/>
                <w:color w:val="auto"/>
              </w:rPr>
            </w:pPr>
            <w:r>
              <w:rPr>
                <w:rFonts w:ascii="Arial" w:cs="Arial" w:eastAsia="Arial" w:hAnsi="Arial"/>
                <w:sz w:val="12"/>
                <w:szCs w:val="12"/>
                <w:color w:val="0000FF"/>
              </w:rPr>
              <w:t>35,350</w:t>
            </w:r>
          </w:p>
        </w:tc>
        <w:tc>
          <w:tcPr>
            <w:tcW w:w="800" w:type="dxa"/>
            <w:vAlign w:val="bottom"/>
          </w:tcPr>
          <w:p>
            <w:pPr>
              <w:ind w:left="360"/>
              <w:spacing w:after="0"/>
              <w:rPr>
                <w:sz w:val="20"/>
                <w:szCs w:val="20"/>
                <w:color w:val="auto"/>
              </w:rPr>
            </w:pPr>
            <w:r>
              <w:rPr>
                <w:rFonts w:ascii="Arial" w:cs="Arial" w:eastAsia="Arial" w:hAnsi="Arial"/>
                <w:sz w:val="12"/>
                <w:szCs w:val="12"/>
                <w:color w:val="0000FF"/>
              </w:rPr>
              <w:t>0</w:t>
            </w:r>
          </w:p>
        </w:tc>
        <w:tc>
          <w:tcPr>
            <w:tcW w:w="900" w:type="dxa"/>
            <w:vAlign w:val="bottom"/>
          </w:tcPr>
          <w:p>
            <w:pPr>
              <w:ind w:left="40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right="140" w:hanging="1"/>
        <w:spacing w:after="0" w:line="305" w:lineRule="auto"/>
        <w:tabs>
          <w:tab w:leader="none" w:pos="110" w:val="left"/>
        </w:tabs>
        <w:numPr>
          <w:ilvl w:val="0"/>
          <w:numId w:val="4"/>
        </w:numPr>
        <w:rPr>
          <w:rFonts w:ascii="Arial" w:cs="Arial" w:eastAsia="Arial" w:hAnsi="Arial"/>
          <w:sz w:val="8"/>
          <w:szCs w:val="8"/>
          <w:color w:val="008000"/>
        </w:rPr>
      </w:pPr>
      <w:r>
        <w:rPr>
          <w:rFonts w:ascii="Arial" w:cs="Arial" w:eastAsia="Arial" w:hAnsi="Arial"/>
          <w:sz w:val="8"/>
          <w:szCs w:val="8"/>
          <w:color w:val="008000"/>
        </w:rPr>
        <w:t>The Class B Units in Plains AAP, L.P. represent a profits interest. 25% of the Class B Units will become earned (entitled to receive distributions) when Plains All American Pipeline, L.P. ("PAA") generates DCF on a trailing four-quarter basis of $2.50 per unit. The remaining 75% of the Class B units are already earned. The Class B Units are subject to a call right in the event Reporting Person's employment is terminated under certain circumstances prior to December 31, 2022. If Reporting Person remains employed after such date, the Class B Units will be deemed to have vested.</w:t>
      </w:r>
    </w:p>
    <w:p>
      <w:pPr>
        <w:ind w:left="20" w:right="200" w:hanging="1"/>
        <w:spacing w:after="0" w:line="254" w:lineRule="auto"/>
        <w:tabs>
          <w:tab w:leader="none" w:pos="110" w:val="left"/>
        </w:tabs>
        <w:numPr>
          <w:ilvl w:val="0"/>
          <w:numId w:val="4"/>
        </w:numPr>
        <w:rPr>
          <w:rFonts w:ascii="Arial" w:cs="Arial" w:eastAsia="Arial" w:hAnsi="Arial"/>
          <w:sz w:val="9"/>
          <w:szCs w:val="9"/>
          <w:color w:val="008000"/>
        </w:rPr>
      </w:pPr>
      <w:r>
        <w:rPr>
          <w:rFonts w:ascii="Arial" w:cs="Arial" w:eastAsia="Arial" w:hAnsi="Arial"/>
          <w:sz w:val="9"/>
          <w:szCs w:val="9"/>
          <w:color w:val="008000"/>
        </w:rPr>
        <w:t>Reporting Person has the right to convert his vested Class B Units into Class A Units in Plains AAP, L.P. and Class B Shares in Plains GP Holdings, L.P. at a conversion ratio of approximately 0.941:1. Following any such conversion, the resulting Class A Units and Class B Shares are exchangeable for Class A Shares of PAGP on a one-for-one basis.</w:t>
      </w:r>
    </w:p>
    <w:p>
      <w:pPr>
        <w:spacing w:after="0" w:line="1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Jeremy L. Goebel</w:t>
            </w:r>
          </w:p>
        </w:tc>
        <w:tc>
          <w:tcPr>
            <w:tcW w:w="540" w:type="dxa"/>
            <w:vAlign w:val="bottom"/>
          </w:tcPr>
          <w:p>
            <w:pPr>
              <w:spacing w:after="0"/>
              <w:rPr>
                <w:sz w:val="20"/>
                <w:szCs w:val="20"/>
                <w:color w:val="auto"/>
              </w:rPr>
            </w:pPr>
            <w:r>
              <w:rPr>
                <w:rFonts w:ascii="Arial" w:cs="Arial" w:eastAsia="Arial" w:hAnsi="Arial"/>
                <w:sz w:val="12"/>
                <w:szCs w:val="12"/>
                <w:color w:val="0000FF"/>
                <w:w w:val="86"/>
              </w:rPr>
              <w:t>03/04/2019</w:t>
            </w:r>
          </w:p>
        </w:tc>
      </w:tr>
      <w:tr>
        <w:trPr>
          <w:trHeight w:val="20"/>
        </w:trPr>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5"/>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Ann F. Gullion and Chris Griffith, or either of them signing</w:t>
      </w:r>
    </w:p>
    <w:p>
      <w:pPr>
        <w:spacing w:after="0" w:line="146" w:lineRule="exact"/>
        <w:rPr>
          <w:sz w:val="20"/>
          <w:szCs w:val="20"/>
          <w:color w:val="auto"/>
        </w:rPr>
      </w:pPr>
    </w:p>
    <w:p>
      <w:pPr>
        <w:ind w:left="288" w:hanging="288"/>
        <w:spacing w:after="0"/>
        <w:tabs>
          <w:tab w:leader="none" w:pos="28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GP Holdings, L.P. (the Company), Forms 3, 4,</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289"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25th day of February, 2019.</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Jeremy L. Goebel</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9336"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2020-01-09T12:52:25Z</dcterms:created>
  <dcterms:modified xsi:type="dcterms:W3CDTF">2020-01-09T12:52:25Z</dcterms:modified>
</cp:coreProperties>
</file>