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165100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 September 8, 2003</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(Date of earliest event reported – September 8, 2003)</w:t>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Plains All American Pipeline, L.P.</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121"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3320" w:type="dxa"/>
            <w:vAlign w:val="bottom"/>
          </w:tcPr>
          <w:p>
            <w:pPr>
              <w:jc w:val="center"/>
              <w:ind w:left="286"/>
              <w:spacing w:after="0"/>
              <w:rPr>
                <w:sz w:val="20"/>
                <w:szCs w:val="20"/>
                <w:color w:val="auto"/>
              </w:rPr>
            </w:pPr>
            <w:r>
              <w:rPr>
                <w:rFonts w:ascii="Arial" w:cs="Arial" w:eastAsia="Arial" w:hAnsi="Arial"/>
                <w:sz w:val="18"/>
                <w:szCs w:val="18"/>
                <w:b w:val="1"/>
                <w:bCs w:val="1"/>
                <w:color w:val="auto"/>
                <w:w w:val="96"/>
              </w:rPr>
              <w:t>DELAWARE</w:t>
            </w:r>
          </w:p>
        </w:tc>
        <w:tc>
          <w:tcPr>
            <w:tcW w:w="4720" w:type="dxa"/>
            <w:vAlign w:val="bottom"/>
          </w:tcPr>
          <w:p>
            <w:pPr>
              <w:jc w:val="center"/>
              <w:ind w:left="21"/>
              <w:spacing w:after="0"/>
              <w:rPr>
                <w:sz w:val="20"/>
                <w:szCs w:val="20"/>
                <w:color w:val="auto"/>
              </w:rPr>
            </w:pPr>
            <w:r>
              <w:rPr>
                <w:rFonts w:ascii="Arial" w:cs="Arial" w:eastAsia="Arial" w:hAnsi="Arial"/>
                <w:sz w:val="18"/>
                <w:szCs w:val="18"/>
                <w:b w:val="1"/>
                <w:bCs w:val="1"/>
                <w:color w:val="auto"/>
                <w:w w:val="89"/>
              </w:rPr>
              <w:t>0-9808</w:t>
            </w:r>
          </w:p>
        </w:tc>
        <w:tc>
          <w:tcPr>
            <w:tcW w:w="3380" w:type="dxa"/>
            <w:vAlign w:val="bottom"/>
          </w:tcPr>
          <w:p>
            <w:pPr>
              <w:jc w:val="right"/>
              <w:ind w:right="1322"/>
              <w:spacing w:after="0"/>
              <w:rPr>
                <w:sz w:val="20"/>
                <w:szCs w:val="20"/>
                <w:color w:val="auto"/>
              </w:rPr>
            </w:pPr>
            <w:r>
              <w:rPr>
                <w:rFonts w:ascii="Arial" w:cs="Arial" w:eastAsia="Arial" w:hAnsi="Arial"/>
                <w:sz w:val="18"/>
                <w:szCs w:val="18"/>
                <w:b w:val="1"/>
                <w:bCs w:val="1"/>
                <w:color w:val="auto"/>
              </w:rPr>
              <w:t>76-0582150</w:t>
            </w:r>
          </w:p>
        </w:tc>
      </w:tr>
      <w:tr>
        <w:trPr>
          <w:trHeight w:val="149"/>
        </w:trPr>
        <w:tc>
          <w:tcPr>
            <w:tcW w:w="3320" w:type="dxa"/>
            <w:vAlign w:val="bottom"/>
          </w:tcPr>
          <w:p>
            <w:pPr>
              <w:jc w:val="center"/>
              <w:ind w:left="286"/>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4720" w:type="dxa"/>
            <w:vAlign w:val="bottom"/>
          </w:tcPr>
          <w:p>
            <w:pPr>
              <w:jc w:val="center"/>
              <w:ind w:left="21"/>
              <w:spacing w:after="0" w:line="149" w:lineRule="exact"/>
              <w:rPr>
                <w:sz w:val="20"/>
                <w:szCs w:val="20"/>
                <w:color w:val="auto"/>
              </w:rPr>
            </w:pPr>
            <w:r>
              <w:rPr>
                <w:rFonts w:ascii="Arial" w:cs="Arial" w:eastAsia="Arial" w:hAnsi="Arial"/>
                <w:sz w:val="14"/>
                <w:szCs w:val="14"/>
                <w:b w:val="1"/>
                <w:bCs w:val="1"/>
                <w:color w:val="auto"/>
                <w:w w:val="88"/>
              </w:rPr>
              <w:t>(Commission File Number)</w:t>
            </w:r>
          </w:p>
        </w:tc>
        <w:tc>
          <w:tcPr>
            <w:tcW w:w="3380" w:type="dxa"/>
            <w:vAlign w:val="bottom"/>
          </w:tcPr>
          <w:p>
            <w:pPr>
              <w:jc w:val="center"/>
              <w:ind w:right="182"/>
              <w:spacing w:after="0" w:line="149" w:lineRule="exact"/>
              <w:rPr>
                <w:sz w:val="20"/>
                <w:szCs w:val="20"/>
                <w:color w:val="auto"/>
              </w:rPr>
            </w:pPr>
            <w:r>
              <w:rPr>
                <w:rFonts w:ascii="Arial" w:cs="Arial" w:eastAsia="Arial" w:hAnsi="Arial"/>
                <w:sz w:val="14"/>
                <w:szCs w:val="14"/>
                <w:b w:val="1"/>
                <w:bCs w:val="1"/>
                <w:color w:val="auto"/>
                <w:w w:val="90"/>
              </w:rPr>
              <w:t>(I.R.S. Employer Identification No.)</w:t>
            </w:r>
          </w:p>
        </w:tc>
      </w:tr>
      <w:tr>
        <w:trPr>
          <w:trHeight w:val="174"/>
        </w:trPr>
        <w:tc>
          <w:tcPr>
            <w:tcW w:w="3320" w:type="dxa"/>
            <w:vAlign w:val="bottom"/>
          </w:tcPr>
          <w:p>
            <w:pPr>
              <w:jc w:val="center"/>
              <w:ind w:left="286"/>
              <w:spacing w:after="0"/>
              <w:rPr>
                <w:sz w:val="20"/>
                <w:szCs w:val="20"/>
                <w:color w:val="auto"/>
              </w:rPr>
            </w:pPr>
            <w:r>
              <w:rPr>
                <w:rFonts w:ascii="Arial" w:cs="Arial" w:eastAsia="Arial" w:hAnsi="Arial"/>
                <w:sz w:val="14"/>
                <w:szCs w:val="14"/>
                <w:b w:val="1"/>
                <w:bCs w:val="1"/>
                <w:color w:val="auto"/>
                <w:w w:val="88"/>
              </w:rPr>
              <w:t>incorporation or organization)</w:t>
            </w:r>
          </w:p>
        </w:tc>
        <w:tc>
          <w:tcPr>
            <w:tcW w:w="4720" w:type="dxa"/>
            <w:vAlign w:val="bottom"/>
          </w:tcPr>
          <w:p>
            <w:pPr>
              <w:spacing w:after="0"/>
              <w:rPr>
                <w:sz w:val="15"/>
                <w:szCs w:val="15"/>
                <w:color w:val="auto"/>
              </w:rPr>
            </w:pPr>
          </w:p>
        </w:tc>
        <w:tc>
          <w:tcPr>
            <w:tcW w:w="3380" w:type="dxa"/>
            <w:vAlign w:val="bottom"/>
          </w:tcPr>
          <w:p>
            <w:pPr>
              <w:spacing w:after="0"/>
              <w:rPr>
                <w:sz w:val="15"/>
                <w:szCs w:val="15"/>
                <w:color w:val="auto"/>
              </w:rPr>
            </w:pPr>
          </w:p>
        </w:tc>
      </w:tr>
      <w:tr>
        <w:trPr>
          <w:trHeight w:val="337"/>
        </w:trPr>
        <w:tc>
          <w:tcPr>
            <w:tcW w:w="3320" w:type="dxa"/>
            <w:vAlign w:val="bottom"/>
          </w:tcPr>
          <w:p>
            <w:pPr>
              <w:spacing w:after="0"/>
              <w:rPr>
                <w:sz w:val="24"/>
                <w:szCs w:val="24"/>
                <w:color w:val="auto"/>
              </w:rPr>
            </w:pPr>
          </w:p>
        </w:tc>
        <w:tc>
          <w:tcPr>
            <w:tcW w:w="4720" w:type="dxa"/>
            <w:vAlign w:val="bottom"/>
          </w:tcPr>
          <w:p>
            <w:pPr>
              <w:jc w:val="center"/>
              <w:spacing w:after="0"/>
              <w:rPr>
                <w:sz w:val="20"/>
                <w:szCs w:val="20"/>
                <w:color w:val="auto"/>
              </w:rPr>
            </w:pPr>
            <w:r>
              <w:rPr>
                <w:rFonts w:ascii="Arial" w:cs="Arial" w:eastAsia="Arial" w:hAnsi="Arial"/>
                <w:sz w:val="18"/>
                <w:szCs w:val="18"/>
                <w:b w:val="1"/>
                <w:bCs w:val="1"/>
                <w:color w:val="auto"/>
                <w:w w:val="88"/>
              </w:rPr>
              <w:t>333 Clay Street, Suite 1600</w:t>
            </w:r>
          </w:p>
        </w:tc>
        <w:tc>
          <w:tcPr>
            <w:tcW w:w="3380" w:type="dxa"/>
            <w:vAlign w:val="bottom"/>
          </w:tcPr>
          <w:p>
            <w:pPr>
              <w:spacing w:after="0"/>
              <w:rPr>
                <w:sz w:val="24"/>
                <w:szCs w:val="24"/>
                <w:color w:val="auto"/>
              </w:rPr>
            </w:pPr>
          </w:p>
        </w:tc>
      </w:tr>
      <w:tr>
        <w:trPr>
          <w:trHeight w:val="216"/>
        </w:trPr>
        <w:tc>
          <w:tcPr>
            <w:tcW w:w="3320" w:type="dxa"/>
            <w:vAlign w:val="bottom"/>
          </w:tcPr>
          <w:p>
            <w:pPr>
              <w:spacing w:after="0"/>
              <w:rPr>
                <w:sz w:val="18"/>
                <w:szCs w:val="18"/>
                <w:color w:val="auto"/>
              </w:rPr>
            </w:pPr>
          </w:p>
        </w:tc>
        <w:tc>
          <w:tcPr>
            <w:tcW w:w="4720" w:type="dxa"/>
            <w:vAlign w:val="bottom"/>
          </w:tcPr>
          <w:p>
            <w:pPr>
              <w:jc w:val="center"/>
              <w:spacing w:after="0"/>
              <w:rPr>
                <w:sz w:val="20"/>
                <w:szCs w:val="20"/>
                <w:color w:val="auto"/>
              </w:rPr>
            </w:pPr>
            <w:r>
              <w:rPr>
                <w:rFonts w:ascii="Arial" w:cs="Arial" w:eastAsia="Arial" w:hAnsi="Arial"/>
                <w:sz w:val="18"/>
                <w:szCs w:val="18"/>
                <w:b w:val="1"/>
                <w:bCs w:val="1"/>
                <w:color w:val="auto"/>
                <w:w w:val="85"/>
              </w:rPr>
              <w:t>Houston, Texas 77002</w:t>
            </w:r>
          </w:p>
        </w:tc>
        <w:tc>
          <w:tcPr>
            <w:tcW w:w="3380" w:type="dxa"/>
            <w:vAlign w:val="bottom"/>
          </w:tcPr>
          <w:p>
            <w:pPr>
              <w:spacing w:after="0"/>
              <w:rPr>
                <w:sz w:val="18"/>
                <w:szCs w:val="18"/>
                <w:color w:val="auto"/>
              </w:rPr>
            </w:pPr>
          </w:p>
        </w:tc>
      </w:tr>
      <w:tr>
        <w:trPr>
          <w:trHeight w:val="218"/>
        </w:trPr>
        <w:tc>
          <w:tcPr>
            <w:tcW w:w="3320" w:type="dxa"/>
            <w:vAlign w:val="bottom"/>
          </w:tcPr>
          <w:p>
            <w:pPr>
              <w:spacing w:after="0"/>
              <w:rPr>
                <w:sz w:val="18"/>
                <w:szCs w:val="18"/>
                <w:color w:val="auto"/>
              </w:rPr>
            </w:pPr>
          </w:p>
        </w:tc>
        <w:tc>
          <w:tcPr>
            <w:tcW w:w="4720" w:type="dxa"/>
            <w:vAlign w:val="bottom"/>
          </w:tcPr>
          <w:p>
            <w:pPr>
              <w:jc w:val="center"/>
              <w:spacing w:after="0"/>
              <w:rPr>
                <w:sz w:val="20"/>
                <w:szCs w:val="20"/>
                <w:color w:val="auto"/>
              </w:rPr>
            </w:pPr>
            <w:r>
              <w:rPr>
                <w:rFonts w:ascii="Arial" w:cs="Arial" w:eastAsia="Arial" w:hAnsi="Arial"/>
                <w:sz w:val="18"/>
                <w:szCs w:val="18"/>
                <w:b w:val="1"/>
                <w:bCs w:val="1"/>
                <w:color w:val="auto"/>
                <w:w w:val="89"/>
              </w:rPr>
              <w:t>(713) 646-4100</w:t>
            </w:r>
          </w:p>
        </w:tc>
        <w:tc>
          <w:tcPr>
            <w:tcW w:w="3380" w:type="dxa"/>
            <w:vAlign w:val="bottom"/>
          </w:tcPr>
          <w:p>
            <w:pPr>
              <w:spacing w:after="0"/>
              <w:rPr>
                <w:sz w:val="18"/>
                <w:szCs w:val="18"/>
                <w:color w:val="auto"/>
              </w:rPr>
            </w:pPr>
          </w:p>
        </w:tc>
      </w:tr>
      <w:tr>
        <w:trPr>
          <w:trHeight w:val="149"/>
        </w:trPr>
        <w:tc>
          <w:tcPr>
            <w:tcW w:w="3320" w:type="dxa"/>
            <w:vAlign w:val="bottom"/>
          </w:tcPr>
          <w:p>
            <w:pPr>
              <w:spacing w:after="0"/>
              <w:rPr>
                <w:sz w:val="12"/>
                <w:szCs w:val="12"/>
                <w:color w:val="auto"/>
              </w:rPr>
            </w:pPr>
          </w:p>
        </w:tc>
        <w:tc>
          <w:tcPr>
            <w:tcW w:w="4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(Address, including zip code, and telephone number,</w:t>
            </w:r>
          </w:p>
        </w:tc>
        <w:tc>
          <w:tcPr>
            <w:tcW w:w="3380" w:type="dxa"/>
            <w:vAlign w:val="bottom"/>
          </w:tcPr>
          <w:p>
            <w:pPr>
              <w:spacing w:after="0"/>
              <w:rPr>
                <w:sz w:val="12"/>
                <w:szCs w:val="12"/>
                <w:color w:val="auto"/>
              </w:rPr>
            </w:pPr>
          </w:p>
        </w:tc>
      </w:tr>
      <w:tr>
        <w:trPr>
          <w:trHeight w:val="174"/>
        </w:trPr>
        <w:tc>
          <w:tcPr>
            <w:tcW w:w="3320" w:type="dxa"/>
            <w:vAlign w:val="bottom"/>
          </w:tcPr>
          <w:p>
            <w:pPr>
              <w:spacing w:after="0"/>
              <w:rPr>
                <w:sz w:val="15"/>
                <w:szCs w:val="15"/>
                <w:color w:val="auto"/>
              </w:rPr>
            </w:pPr>
          </w:p>
        </w:tc>
        <w:tc>
          <w:tcPr>
            <w:tcW w:w="4720" w:type="dxa"/>
            <w:vAlign w:val="bottom"/>
          </w:tcPr>
          <w:p>
            <w:pPr>
              <w:jc w:val="center"/>
              <w:spacing w:after="0"/>
              <w:rPr>
                <w:sz w:val="20"/>
                <w:szCs w:val="20"/>
                <w:color w:val="auto"/>
              </w:rPr>
            </w:pPr>
            <w:r>
              <w:rPr>
                <w:rFonts w:ascii="Arial" w:cs="Arial" w:eastAsia="Arial" w:hAnsi="Arial"/>
                <w:sz w:val="14"/>
                <w:szCs w:val="14"/>
                <w:b w:val="1"/>
                <w:bCs w:val="1"/>
                <w:color w:val="auto"/>
                <w:w w:val="85"/>
              </w:rPr>
              <w:t>including area code, of Registrant’s principal executive offices)</w:t>
            </w:r>
          </w:p>
        </w:tc>
        <w:tc>
          <w:tcPr>
            <w:tcW w:w="3380" w:type="dxa"/>
            <w:vAlign w:val="bottom"/>
          </w:tcPr>
          <w:p>
            <w:pPr>
              <w:spacing w:after="0"/>
              <w:rPr>
                <w:sz w:val="15"/>
                <w:szCs w:val="15"/>
                <w:color w:val="auto"/>
              </w:rPr>
            </w:pPr>
          </w:p>
        </w:tc>
      </w:tr>
      <w:tr>
        <w:trPr>
          <w:trHeight w:val="339"/>
        </w:trPr>
        <w:tc>
          <w:tcPr>
            <w:tcW w:w="3320" w:type="dxa"/>
            <w:vAlign w:val="bottom"/>
          </w:tcPr>
          <w:p>
            <w:pPr>
              <w:spacing w:after="0"/>
              <w:rPr>
                <w:sz w:val="24"/>
                <w:szCs w:val="24"/>
                <w:color w:val="auto"/>
              </w:rPr>
            </w:pPr>
          </w:p>
        </w:tc>
        <w:tc>
          <w:tcPr>
            <w:tcW w:w="4720" w:type="dxa"/>
            <w:vAlign w:val="bottom"/>
          </w:tcPr>
          <w:p>
            <w:pPr>
              <w:jc w:val="center"/>
              <w:spacing w:after="0"/>
              <w:rPr>
                <w:sz w:val="20"/>
                <w:szCs w:val="20"/>
                <w:color w:val="auto"/>
              </w:rPr>
            </w:pPr>
            <w:r>
              <w:rPr>
                <w:rFonts w:ascii="Arial" w:cs="Arial" w:eastAsia="Arial" w:hAnsi="Arial"/>
                <w:sz w:val="18"/>
                <w:szCs w:val="18"/>
                <w:b w:val="1"/>
                <w:bCs w:val="1"/>
                <w:color w:val="auto"/>
                <w:w w:val="96"/>
              </w:rPr>
              <w:t>N/A</w:t>
            </w:r>
          </w:p>
        </w:tc>
        <w:tc>
          <w:tcPr>
            <w:tcW w:w="3380" w:type="dxa"/>
            <w:vAlign w:val="bottom"/>
          </w:tcPr>
          <w:p>
            <w:pPr>
              <w:spacing w:after="0"/>
              <w:rPr>
                <w:sz w:val="24"/>
                <w:szCs w:val="24"/>
                <w:color w:val="auto"/>
              </w:rPr>
            </w:pPr>
          </w:p>
        </w:tc>
      </w:tr>
      <w:tr>
        <w:trPr>
          <w:trHeight w:val="174"/>
        </w:trPr>
        <w:tc>
          <w:tcPr>
            <w:tcW w:w="3320" w:type="dxa"/>
            <w:vAlign w:val="bottom"/>
          </w:tcPr>
          <w:p>
            <w:pPr>
              <w:spacing w:after="0"/>
              <w:rPr>
                <w:sz w:val="15"/>
                <w:szCs w:val="15"/>
                <w:color w:val="auto"/>
              </w:rPr>
            </w:pPr>
          </w:p>
        </w:tc>
        <w:tc>
          <w:tcPr>
            <w:tcW w:w="4720" w:type="dxa"/>
            <w:vAlign w:val="bottom"/>
          </w:tcPr>
          <w:p>
            <w:pPr>
              <w:jc w:val="center"/>
              <w:ind w:left="1"/>
              <w:spacing w:after="0"/>
              <w:rPr>
                <w:sz w:val="20"/>
                <w:szCs w:val="20"/>
                <w:color w:val="auto"/>
              </w:rPr>
            </w:pPr>
            <w:r>
              <w:rPr>
                <w:rFonts w:ascii="Arial" w:cs="Arial" w:eastAsia="Arial" w:hAnsi="Arial"/>
                <w:sz w:val="14"/>
                <w:szCs w:val="14"/>
                <w:b w:val="1"/>
                <w:bCs w:val="1"/>
                <w:color w:val="auto"/>
                <w:w w:val="86"/>
              </w:rPr>
              <w:t>(Former name or former address, if changed since last report.)</w:t>
            </w:r>
          </w:p>
        </w:tc>
        <w:tc>
          <w:tcPr>
            <w:tcW w:w="3380" w:type="dxa"/>
            <w:vAlign w:val="bottom"/>
          </w:tcPr>
          <w:p>
            <w:pPr>
              <w:spacing w:after="0"/>
              <w:rPr>
                <w:sz w:val="15"/>
                <w:szCs w:val="15"/>
                <w:color w:val="auto"/>
              </w:rPr>
            </w:pPr>
          </w:p>
        </w:tc>
      </w:tr>
      <w:tr>
        <w:trPr>
          <w:trHeight w:val="267"/>
        </w:trPr>
        <w:tc>
          <w:tcPr>
            <w:tcW w:w="3320" w:type="dxa"/>
            <w:vAlign w:val="bottom"/>
            <w:tcBorders>
              <w:bottom w:val="single" w:sz="8" w:color="auto"/>
            </w:tcBorders>
          </w:tcPr>
          <w:p>
            <w:pPr>
              <w:spacing w:after="0"/>
              <w:rPr>
                <w:sz w:val="23"/>
                <w:szCs w:val="23"/>
                <w:color w:val="auto"/>
              </w:rPr>
            </w:pPr>
          </w:p>
        </w:tc>
        <w:tc>
          <w:tcPr>
            <w:tcW w:w="4720" w:type="dxa"/>
            <w:vAlign w:val="bottom"/>
            <w:tcBorders>
              <w:bottom w:val="single" w:sz="8" w:color="auto"/>
            </w:tcBorders>
          </w:tcPr>
          <w:p>
            <w:pPr>
              <w:spacing w:after="0"/>
              <w:rPr>
                <w:sz w:val="23"/>
                <w:szCs w:val="23"/>
                <w:color w:val="auto"/>
              </w:rPr>
            </w:pPr>
          </w:p>
        </w:tc>
        <w:tc>
          <w:tcPr>
            <w:tcW w:w="3380" w:type="dxa"/>
            <w:vAlign w:val="bottom"/>
            <w:tcBorders>
              <w:bottom w:val="single" w:sz="8" w:color="auto"/>
            </w:tcBorders>
          </w:tcPr>
          <w:p>
            <w:pPr>
              <w:spacing w:after="0"/>
              <w:rPr>
                <w:sz w:val="23"/>
                <w:szCs w:val="23"/>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 w:name="page2"/>
    <w:bookmarkEnd w:id="1"/>
    <w:p>
      <w:pPr>
        <w:spacing w:after="0"/>
        <w:tabs>
          <w:tab w:leader="none" w:pos="7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9.</w:t>
      </w:r>
      <w:r>
        <w:rPr>
          <w:sz w:val="20"/>
          <w:szCs w:val="20"/>
          <w:color w:val="auto"/>
        </w:rPr>
        <w:tab/>
      </w:r>
      <w:r>
        <w:rPr>
          <w:rFonts w:ascii="Arial" w:cs="Arial" w:eastAsia="Arial" w:hAnsi="Arial"/>
          <w:sz w:val="15"/>
          <w:szCs w:val="15"/>
          <w:b w:val="1"/>
          <w:bCs w:val="1"/>
          <w:color w:val="auto"/>
        </w:rPr>
        <w:t>Regulation FD Disclosure</w:t>
      </w:r>
    </w:p>
    <w:p>
      <w:pPr>
        <w:spacing w:after="0" w:line="8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a filing.</w:t>
      </w:r>
    </w:p>
    <w:p>
      <w:pPr>
        <w:spacing w:after="0" w:line="127"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auto"/>
        </w:rPr>
        <w:t>Plains All American Pipeline, L.P. (the “Partnership”) today announced that it plans to sell 2,900,000 common units pursuant to an effective shelf registration statement on Form S-3 previously filed with the Securities and Exchange Commission. A copy of the press release is attached hereto as Exhibit 99. 1.</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Partnership anticipates that the Prospectus Supplement to be delivered in connection with the offering will include disclosure to the following effect:</w:t>
      </w:r>
    </w:p>
    <w:p>
      <w:pPr>
        <w:spacing w:after="0" w:line="181" w:lineRule="exact"/>
        <w:rPr>
          <w:sz w:val="20"/>
          <w:szCs w:val="20"/>
          <w:color w:val="auto"/>
        </w:rPr>
      </w:pPr>
    </w:p>
    <w:p>
      <w:pPr>
        <w:ind w:right="20" w:firstLine="456"/>
        <w:spacing w:after="0" w:line="312" w:lineRule="auto"/>
        <w:rPr>
          <w:sz w:val="20"/>
          <w:szCs w:val="20"/>
          <w:color w:val="auto"/>
        </w:rPr>
      </w:pPr>
      <w:r>
        <w:rPr>
          <w:rFonts w:ascii="Arial" w:cs="Arial" w:eastAsia="Arial" w:hAnsi="Arial"/>
          <w:sz w:val="15"/>
          <w:szCs w:val="15"/>
          <w:color w:val="auto"/>
        </w:rPr>
        <w:t>The Partnership intends to use the net proceeds from the offering to repay indebtedness under its revolving credit facility and for general partnership purposes, including acquisitions. The Partnership is currently in advanced negotiations with respect to two separate potential acquisitions of crude oil pipeline and storage assets and has executed a non-binding letter of intent with respect to one of the transactions. If consummated under current terms, the aggregate purchase price for both acquisitions, including capital expenditures for planned enhancements, is expected to be approximately $71 million, excluding transaction costs. If consummated, a portion of the indebtedness repaid with the proceeds from the offering may be reborrowed to fund the purchase of these assets. Both transactions are subject to a number of conditions including negotiation of definitive purchase and sale agreements and further due diligence, and the Partnership can give no assurance that either of the transactions will be consummated or that any such acquisition will be completed on terms considered favorable to the Partnership.</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860" w:type="dxa"/>
            <w:vAlign w:val="bottom"/>
          </w:tcPr>
          <w:p>
            <w:pPr>
              <w:spacing w:after="0"/>
              <w:rPr>
                <w:sz w:val="19"/>
                <w:szCs w:val="19"/>
                <w:color w:val="auto"/>
              </w:rPr>
            </w:pPr>
          </w:p>
        </w:tc>
        <w:tc>
          <w:tcPr>
            <w:tcW w:w="7560" w:type="dxa"/>
            <w:vAlign w:val="bottom"/>
            <w:gridSpan w:val="2"/>
          </w:tcPr>
          <w:p>
            <w:pPr>
              <w:ind w:left="2100"/>
              <w:spacing w:after="0"/>
              <w:rPr>
                <w:sz w:val="20"/>
                <w:szCs w:val="20"/>
                <w:color w:val="auto"/>
              </w:rPr>
            </w:pPr>
            <w:r>
              <w:rPr>
                <w:rFonts w:ascii="Arial" w:cs="Arial" w:eastAsia="Arial" w:hAnsi="Arial"/>
                <w:sz w:val="18"/>
                <w:szCs w:val="18"/>
                <w:color w:val="auto"/>
              </w:rPr>
              <w:t>PLAINS ALL AMERICAN PIPELINE, L.P.</w:t>
            </w:r>
          </w:p>
        </w:tc>
      </w:tr>
      <w:tr>
        <w:trPr>
          <w:trHeight w:val="365"/>
        </w:trPr>
        <w:tc>
          <w:tcPr>
            <w:tcW w:w="3860" w:type="dxa"/>
            <w:vAlign w:val="bottom"/>
          </w:tcPr>
          <w:p>
            <w:pPr>
              <w:spacing w:after="0"/>
              <w:rPr>
                <w:sz w:val="24"/>
                <w:szCs w:val="24"/>
                <w:color w:val="auto"/>
              </w:rPr>
            </w:pPr>
          </w:p>
        </w:tc>
        <w:tc>
          <w:tcPr>
            <w:tcW w:w="7560" w:type="dxa"/>
            <w:vAlign w:val="bottom"/>
            <w:gridSpan w:val="2"/>
          </w:tcPr>
          <w:p>
            <w:pPr>
              <w:ind w:left="2100"/>
              <w:spacing w:after="0"/>
              <w:rPr>
                <w:sz w:val="20"/>
                <w:szCs w:val="20"/>
                <w:color w:val="auto"/>
              </w:rPr>
            </w:pPr>
            <w:r>
              <w:rPr>
                <w:rFonts w:ascii="Arial" w:cs="Arial" w:eastAsia="Arial" w:hAnsi="Arial"/>
                <w:sz w:val="18"/>
                <w:szCs w:val="18"/>
                <w:color w:val="auto"/>
              </w:rPr>
              <w:t>By: Plains AAP, L.P., its general partner</w:t>
            </w:r>
          </w:p>
        </w:tc>
      </w:tr>
      <w:tr>
        <w:trPr>
          <w:trHeight w:val="365"/>
        </w:trPr>
        <w:tc>
          <w:tcPr>
            <w:tcW w:w="3860" w:type="dxa"/>
            <w:vAlign w:val="bottom"/>
          </w:tcPr>
          <w:p>
            <w:pPr>
              <w:spacing w:after="0"/>
              <w:rPr>
                <w:sz w:val="20"/>
                <w:szCs w:val="20"/>
                <w:color w:val="auto"/>
              </w:rPr>
            </w:pPr>
            <w:r>
              <w:rPr>
                <w:rFonts w:ascii="Arial" w:cs="Arial" w:eastAsia="Arial" w:hAnsi="Arial"/>
                <w:sz w:val="18"/>
                <w:szCs w:val="18"/>
                <w:color w:val="auto"/>
              </w:rPr>
              <w:t>Date: September 8, 2003</w:t>
            </w:r>
          </w:p>
        </w:tc>
        <w:tc>
          <w:tcPr>
            <w:tcW w:w="7560" w:type="dxa"/>
            <w:vAlign w:val="bottom"/>
            <w:gridSpan w:val="2"/>
          </w:tcPr>
          <w:p>
            <w:pPr>
              <w:ind w:left="2100"/>
              <w:spacing w:after="0"/>
              <w:rPr>
                <w:sz w:val="20"/>
                <w:szCs w:val="20"/>
                <w:color w:val="auto"/>
              </w:rPr>
            </w:pPr>
            <w:r>
              <w:rPr>
                <w:rFonts w:ascii="Arial" w:cs="Arial" w:eastAsia="Arial" w:hAnsi="Arial"/>
                <w:sz w:val="18"/>
                <w:szCs w:val="18"/>
                <w:color w:val="auto"/>
              </w:rPr>
              <w:t>By: Plains All American GP LLC, its general partner</w:t>
            </w:r>
          </w:p>
        </w:tc>
      </w:tr>
      <w:tr>
        <w:trPr>
          <w:trHeight w:val="432"/>
        </w:trPr>
        <w:tc>
          <w:tcPr>
            <w:tcW w:w="3860" w:type="dxa"/>
            <w:vAlign w:val="bottom"/>
          </w:tcPr>
          <w:p>
            <w:pPr>
              <w:spacing w:after="0"/>
              <w:rPr>
                <w:sz w:val="24"/>
                <w:szCs w:val="24"/>
                <w:color w:val="auto"/>
              </w:rPr>
            </w:pPr>
          </w:p>
        </w:tc>
        <w:tc>
          <w:tcPr>
            <w:tcW w:w="2780" w:type="dxa"/>
            <w:vAlign w:val="bottom"/>
          </w:tcPr>
          <w:p>
            <w:pPr>
              <w:ind w:left="2100"/>
              <w:spacing w:after="0"/>
              <w:rPr>
                <w:sz w:val="20"/>
                <w:szCs w:val="20"/>
                <w:color w:val="auto"/>
              </w:rPr>
            </w:pPr>
            <w:r>
              <w:rPr>
                <w:rFonts w:ascii="Arial" w:cs="Arial" w:eastAsia="Arial" w:hAnsi="Arial"/>
                <w:sz w:val="18"/>
                <w:szCs w:val="18"/>
                <w:color w:val="auto"/>
              </w:rPr>
              <w:t>By:</w:t>
            </w:r>
          </w:p>
        </w:tc>
        <w:tc>
          <w:tcPr>
            <w:tcW w:w="4780" w:type="dxa"/>
            <w:vAlign w:val="bottom"/>
          </w:tcPr>
          <w:p>
            <w:pPr>
              <w:spacing w:after="0"/>
              <w:rPr>
                <w:sz w:val="20"/>
                <w:szCs w:val="20"/>
                <w:color w:val="auto"/>
              </w:rPr>
            </w:pPr>
            <w:r>
              <w:rPr>
                <w:rFonts w:ascii="Arial" w:cs="Arial" w:eastAsia="Arial" w:hAnsi="Arial"/>
                <w:sz w:val="18"/>
                <w:szCs w:val="18"/>
                <w:color w:val="auto"/>
              </w:rPr>
              <w:t>/s/ Phil Kramer</w:t>
            </w:r>
          </w:p>
        </w:tc>
      </w:tr>
      <w:tr>
        <w:trPr>
          <w:trHeight w:val="110"/>
        </w:trPr>
        <w:tc>
          <w:tcPr>
            <w:tcW w:w="3860" w:type="dxa"/>
            <w:vAlign w:val="bottom"/>
          </w:tcPr>
          <w:p>
            <w:pPr>
              <w:spacing w:after="0"/>
              <w:rPr>
                <w:sz w:val="9"/>
                <w:szCs w:val="9"/>
                <w:color w:val="auto"/>
              </w:rPr>
            </w:pPr>
          </w:p>
        </w:tc>
        <w:tc>
          <w:tcPr>
            <w:tcW w:w="2780" w:type="dxa"/>
            <w:vAlign w:val="bottom"/>
          </w:tcPr>
          <w:p>
            <w:pPr>
              <w:spacing w:after="0"/>
              <w:rPr>
                <w:sz w:val="9"/>
                <w:szCs w:val="9"/>
                <w:color w:val="auto"/>
              </w:rPr>
            </w:pPr>
          </w:p>
        </w:tc>
        <w:tc>
          <w:tcPr>
            <w:tcW w:w="4780" w:type="dxa"/>
            <w:vAlign w:val="bottom"/>
            <w:tcBorders>
              <w:bottom w:val="single" w:sz="8" w:color="auto"/>
            </w:tcBorders>
          </w:tcPr>
          <w:p>
            <w:pPr>
              <w:spacing w:after="0"/>
              <w:rPr>
                <w:sz w:val="9"/>
                <w:szCs w:val="9"/>
                <w:color w:val="auto"/>
              </w:rPr>
            </w:pPr>
          </w:p>
        </w:tc>
      </w:tr>
      <w:tr>
        <w:trPr>
          <w:trHeight w:val="309"/>
        </w:trPr>
        <w:tc>
          <w:tcPr>
            <w:tcW w:w="3860" w:type="dxa"/>
            <w:vAlign w:val="bottom"/>
          </w:tcPr>
          <w:p>
            <w:pPr>
              <w:spacing w:after="0"/>
              <w:rPr>
                <w:sz w:val="24"/>
                <w:szCs w:val="24"/>
                <w:color w:val="auto"/>
              </w:rPr>
            </w:pPr>
          </w:p>
        </w:tc>
        <w:tc>
          <w:tcPr>
            <w:tcW w:w="2780" w:type="dxa"/>
            <w:vAlign w:val="bottom"/>
          </w:tcPr>
          <w:p>
            <w:pPr>
              <w:ind w:left="2100"/>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Phil Kramer</w:t>
            </w:r>
          </w:p>
        </w:tc>
      </w:tr>
      <w:tr>
        <w:trPr>
          <w:trHeight w:val="222"/>
        </w:trPr>
        <w:tc>
          <w:tcPr>
            <w:tcW w:w="3860" w:type="dxa"/>
            <w:vAlign w:val="bottom"/>
          </w:tcPr>
          <w:p>
            <w:pPr>
              <w:spacing w:after="0"/>
              <w:rPr>
                <w:sz w:val="19"/>
                <w:szCs w:val="19"/>
                <w:color w:val="auto"/>
              </w:rPr>
            </w:pPr>
          </w:p>
        </w:tc>
        <w:tc>
          <w:tcPr>
            <w:tcW w:w="2780" w:type="dxa"/>
            <w:vAlign w:val="bottom"/>
          </w:tcPr>
          <w:p>
            <w:pPr>
              <w:ind w:left="2100"/>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bl>
    <w:p>
      <w:pPr>
        <w:sectPr>
          <w:pgSz w:w="11900" w:h="16838" w:orient="portrait"/>
          <w:cols w:equalWidth="0" w:num="1">
            <w:col w:w="11420"/>
          </w:cols>
          <w:pgMar w:left="240" w:top="274" w:right="23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INDEX</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tabs>
          <w:tab w:leader="none" w:pos="122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59690</wp:posOffset>
            </wp:positionV>
            <wp:extent cx="4286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28625" cy="8890"/>
                    </a:xfrm>
                    <a:prstGeom prst="rect">
                      <a:avLst/>
                    </a:prstGeom>
                    <a:noFill/>
                  </pic:spPr>
                </pic:pic>
              </a:graphicData>
            </a:graphic>
          </wp:anchor>
        </w:drawing>
        <w:drawing>
          <wp:anchor simplePos="0" relativeHeight="251657728" behindDoc="1" locked="0" layoutInCell="0" allowOverlap="1">
            <wp:simplePos x="0" y="0"/>
            <wp:positionH relativeFrom="column">
              <wp:posOffset>782320</wp:posOffset>
            </wp:positionH>
            <wp:positionV relativeFrom="paragraph">
              <wp:posOffset>59690</wp:posOffset>
            </wp:positionV>
            <wp:extent cx="643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55" w:lineRule="exact"/>
        <w:rPr>
          <w:sz w:val="20"/>
          <w:szCs w:val="20"/>
          <w:color w:val="auto"/>
        </w:rPr>
      </w:pPr>
    </w:p>
    <w:p>
      <w:pPr>
        <w:ind w:left="280"/>
        <w:spacing w:after="0"/>
        <w:tabs>
          <w:tab w:leader="none" w:pos="12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September 8, 2003</w:t>
      </w:r>
    </w:p>
    <w:p>
      <w:pPr>
        <w:sectPr>
          <w:pgSz w:w="11900" w:h="16838" w:orient="portrait"/>
          <w:cols w:equalWidth="0" w:num="1">
            <w:col w:w="10119"/>
          </w:cols>
          <w:pgMar w:left="340" w:top="274"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4960" w:type="dxa"/>
            <w:vAlign w:val="bottom"/>
            <w:gridSpan w:val="3"/>
          </w:tcPr>
          <w:p>
            <w:pPr>
              <w:spacing w:after="0"/>
              <w:rPr>
                <w:sz w:val="20"/>
                <w:szCs w:val="20"/>
                <w:color w:val="auto"/>
              </w:rPr>
            </w:pPr>
            <w:r>
              <w:rPr>
                <w:rFonts w:ascii="Arial" w:cs="Arial" w:eastAsia="Arial" w:hAnsi="Arial"/>
                <w:sz w:val="18"/>
                <w:szCs w:val="18"/>
                <w:b w:val="1"/>
                <w:bCs w:val="1"/>
                <w:color w:val="auto"/>
              </w:rPr>
              <w:t>Contacts:   Phillip D. Kramer</w:t>
            </w:r>
          </w:p>
        </w:tc>
        <w:tc>
          <w:tcPr>
            <w:tcW w:w="3540" w:type="dxa"/>
            <w:vAlign w:val="bottom"/>
          </w:tcPr>
          <w:p>
            <w:pPr>
              <w:ind w:left="1380"/>
              <w:spacing w:after="0"/>
              <w:rPr>
                <w:sz w:val="20"/>
                <w:szCs w:val="20"/>
                <w:color w:val="auto"/>
              </w:rPr>
            </w:pPr>
            <w:r>
              <w:rPr>
                <w:rFonts w:ascii="Arial" w:cs="Arial" w:eastAsia="Arial" w:hAnsi="Arial"/>
                <w:sz w:val="18"/>
                <w:szCs w:val="18"/>
                <w:b w:val="1"/>
                <w:bCs w:val="1"/>
                <w:color w:val="auto"/>
              </w:rPr>
              <w:t>A. Patrick Diamond</w:t>
            </w:r>
          </w:p>
        </w:tc>
      </w:tr>
      <w:tr>
        <w:trPr>
          <w:trHeight w:val="222"/>
        </w:trPr>
        <w:tc>
          <w:tcPr>
            <w:tcW w:w="6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300" w:type="dxa"/>
            <w:vAlign w:val="bottom"/>
            <w:gridSpan w:val="2"/>
          </w:tcPr>
          <w:p>
            <w:pPr>
              <w:ind w:left="320"/>
              <w:spacing w:after="0"/>
              <w:rPr>
                <w:sz w:val="20"/>
                <w:szCs w:val="20"/>
                <w:color w:val="auto"/>
              </w:rPr>
            </w:pPr>
            <w:r>
              <w:rPr>
                <w:rFonts w:ascii="Arial" w:cs="Arial" w:eastAsia="Arial" w:hAnsi="Arial"/>
                <w:sz w:val="18"/>
                <w:szCs w:val="18"/>
                <w:b w:val="1"/>
                <w:bCs w:val="1"/>
                <w:color w:val="auto"/>
              </w:rPr>
              <w:t>Executive Vice President and CFO</w:t>
            </w:r>
          </w:p>
        </w:tc>
        <w:tc>
          <w:tcPr>
            <w:tcW w:w="3540" w:type="dxa"/>
            <w:vAlign w:val="bottom"/>
          </w:tcPr>
          <w:p>
            <w:pPr>
              <w:ind w:left="1380"/>
              <w:spacing w:after="0"/>
              <w:rPr>
                <w:sz w:val="20"/>
                <w:szCs w:val="20"/>
                <w:color w:val="auto"/>
              </w:rPr>
            </w:pPr>
            <w:r>
              <w:rPr>
                <w:rFonts w:ascii="Arial" w:cs="Arial" w:eastAsia="Arial" w:hAnsi="Arial"/>
                <w:sz w:val="18"/>
                <w:szCs w:val="18"/>
                <w:b w:val="1"/>
                <w:bCs w:val="1"/>
                <w:color w:val="auto"/>
                <w:w w:val="95"/>
              </w:rPr>
              <w:t>Manager, Special Projects</w:t>
            </w:r>
          </w:p>
        </w:tc>
      </w:tr>
      <w:tr>
        <w:trPr>
          <w:trHeight w:val="228"/>
        </w:trPr>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300" w:type="dxa"/>
            <w:vAlign w:val="bottom"/>
            <w:gridSpan w:val="2"/>
          </w:tcPr>
          <w:p>
            <w:pPr>
              <w:ind w:left="320"/>
              <w:spacing w:after="0"/>
              <w:rPr>
                <w:sz w:val="20"/>
                <w:szCs w:val="20"/>
                <w:color w:val="auto"/>
              </w:rPr>
            </w:pPr>
            <w:r>
              <w:rPr>
                <w:rFonts w:ascii="Arial" w:cs="Arial" w:eastAsia="Arial" w:hAnsi="Arial"/>
                <w:sz w:val="18"/>
                <w:szCs w:val="18"/>
                <w:b w:val="1"/>
                <w:bCs w:val="1"/>
                <w:color w:val="auto"/>
              </w:rPr>
              <w:t>713/646-4560 – 800/564-3036</w:t>
            </w:r>
          </w:p>
        </w:tc>
        <w:tc>
          <w:tcPr>
            <w:tcW w:w="3540" w:type="dxa"/>
            <w:vAlign w:val="bottom"/>
          </w:tcPr>
          <w:p>
            <w:pPr>
              <w:ind w:left="1380"/>
              <w:spacing w:after="0"/>
              <w:rPr>
                <w:sz w:val="20"/>
                <w:szCs w:val="20"/>
                <w:color w:val="auto"/>
              </w:rPr>
            </w:pPr>
            <w:r>
              <w:rPr>
                <w:rFonts w:ascii="Arial" w:cs="Arial" w:eastAsia="Arial" w:hAnsi="Arial"/>
                <w:sz w:val="18"/>
                <w:szCs w:val="18"/>
                <w:b w:val="1"/>
                <w:bCs w:val="1"/>
                <w:color w:val="auto"/>
                <w:w w:val="88"/>
              </w:rPr>
              <w:t>713/646-4487 – 800/564-3036</w:t>
            </w:r>
          </w:p>
        </w:tc>
      </w:tr>
      <w:tr>
        <w:trPr>
          <w:trHeight w:val="326"/>
        </w:trPr>
        <w:tc>
          <w:tcPr>
            <w:tcW w:w="5020" w:type="dxa"/>
            <w:vAlign w:val="bottom"/>
            <w:gridSpan w:val="4"/>
          </w:tcPr>
          <w:p>
            <w:pPr>
              <w:spacing w:after="0"/>
              <w:rPr>
                <w:sz w:val="20"/>
                <w:szCs w:val="20"/>
                <w:color w:val="auto"/>
              </w:rPr>
            </w:pPr>
            <w:r>
              <w:rPr>
                <w:rFonts w:ascii="Arial" w:cs="Arial" w:eastAsia="Arial" w:hAnsi="Arial"/>
                <w:sz w:val="18"/>
                <w:szCs w:val="18"/>
                <w:b w:val="1"/>
                <w:bCs w:val="1"/>
                <w:color w:val="auto"/>
              </w:rPr>
              <w:t>FOR IMMEDIATE RELEASE</w:t>
            </w:r>
          </w:p>
        </w:tc>
        <w:tc>
          <w:tcPr>
            <w:tcW w:w="3540" w:type="dxa"/>
            <w:vAlign w:val="bottom"/>
          </w:tcPr>
          <w:p>
            <w:pPr>
              <w:spacing w:after="0"/>
              <w:rPr>
                <w:sz w:val="24"/>
                <w:szCs w:val="24"/>
                <w:color w:val="auto"/>
              </w:rPr>
            </w:pPr>
          </w:p>
        </w:tc>
      </w:tr>
      <w:tr>
        <w:trPr>
          <w:trHeight w:val="20"/>
        </w:trPr>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Plains All American Pipeline Announces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Public Offering of Common Units</w:t>
      </w:r>
    </w:p>
    <w:p>
      <w:pPr>
        <w:spacing w:after="0" w:line="14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(Houston – September 8, 2003) Plains All American Pipeline, L.P. (NYSE: PAA) announced today that it plans to sell 2,900,000 common units pursuant to an effective shelf registration statement on Form S-3 previously filed with the Securities and Exchange Commission. The underwriters have the option to purchase up to 435,000 additional units to cover over-allotments, if any.</w:t>
      </w:r>
    </w:p>
    <w:p>
      <w:pPr>
        <w:spacing w:after="0" w:line="127"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Partnership intends to use the net proceeds from the offering to repay indebtedness under its revolving credit facility and for general partnership purposes, including potential acquisitions.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Citigroup Global Markets Inc. will act as book-running lead manager of the offering. In addition, Lehman Brothers Inc., UBS Securities LLC, A.G.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Edwards &amp; Sons, Inc., Wachovia Securities, Inc. and RBC Dain Rauscher Inc. have been named as co-managing underwriters.</w:t>
      </w:r>
    </w:p>
    <w:p>
      <w:pPr>
        <w:spacing w:after="0" w:line="151"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 copy of the prospectus supplement and related base prospectus relating to this offering may be obtained from Citigroup Global Markets Inc. 140 58th Street, Brooklyn, NY 11220, Attn: Prospectus Dept, Floor 8I, or from any of the underwriters.</w:t>
      </w:r>
    </w:p>
    <w:p>
      <w:pPr>
        <w:spacing w:after="0" w:line="118"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This news release does not constitute an offer to sell or a solicitation of an offer to buy the securities described herein, nor shall there be any sale of these securities in any state or jurisdiction in which such an offer, solicitation or sale would be unlawful prior to registration or qualification under the securities laws of any such jurisdiction. The offering may be made only by means of a prospectus and related prospectus supplement.</w:t>
      </w:r>
    </w:p>
    <w:p>
      <w:pPr>
        <w:spacing w:after="0" w:line="9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Except for the historical information contained herein, the matters discussed in this news release are forward-looking statements that involve certain risks and uncertainties. These risks and uncertainties include, among other things, stability of the capital markets, availability of acquisition targets, and other factors and uncertainties inherent in the marketing, transportation, terminalling, gathering and storage of crude oil discussed in the Partnership’s filings with the Securities and Exchange Commission.</w:t>
      </w:r>
    </w:p>
    <w:p>
      <w:pPr>
        <w:sectPr>
          <w:pgSz w:w="11900" w:h="16838" w:orient="portrait"/>
          <w:cols w:equalWidth="0" w:num="1">
            <w:col w:w="11420"/>
          </w:cols>
          <w:pgMar w:left="240" w:top="125" w:right="239" w:bottom="1440" w:gutter="0" w:footer="0" w:header="0"/>
        </w:sectPr>
      </w:pPr>
    </w:p>
    <w:bookmarkStart w:id="4" w:name="page5"/>
    <w:bookmarkEnd w:id="4"/>
    <w:p>
      <w:pPr>
        <w:ind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Plains All American Pipeline, L.P. is engaged in interstate and intrastate crude oil transportation, terminalling and storage, as well as crude oil and LPG gathering and marketing activities, primarily in Texas, California, Oklahoma, Louisiana and the Canadian Provinces of Alberta and Saskatchewan. The Partnership’s common units are traded on the New York Stock Exchange under the symbol “PAA.” The Partnership is headquartered in Houston, Texas.</w:t>
      </w:r>
    </w:p>
    <w:p>
      <w:pPr>
        <w:spacing w:after="0" w:line="9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 # #</w:t>
      </w:r>
    </w:p>
    <w:sectPr>
      <w:pgSz w:w="11900" w:h="16838" w:orient="portrait"/>
      <w:cols w:equalWidth="0" w:num="1">
        <w:col w:w="11100"/>
      </w:cols>
      <w:pgMar w:left="240" w:top="280"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2020-02-17T03:40:08Z</dcterms:created>
  <dcterms:modified xsi:type="dcterms:W3CDTF">2020-02-17T03:40:08Z</dcterms:modified>
</cp:coreProperties>
</file>