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9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9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r>
        <w:rPr>
          <w:rFonts w:ascii="Arial" w:cs="Arial" w:eastAsia="Arial" w:hAnsi="Arial"/>
          <w:sz w:val="18"/>
          <w:szCs w:val="18"/>
          <w:b w:val="1"/>
          <w:bCs w:val="1"/>
          <w:color w:val="auto"/>
        </w:rPr>
        <w:t>—August 1, 2006</w:t>
      </w:r>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2000" w:type="dxa"/>
        <w:tblCellMar>
          <w:top w:w="0" w:type="dxa"/>
          <w:left w:w="0" w:type="dxa"/>
          <w:bottom w:w="0" w:type="dxa"/>
          <w:right w:w="0" w:type="dxa"/>
        </w:tblCellMar>
      </w:tblPr>
      <w:tr>
        <w:trPr>
          <w:trHeight w:val="220"/>
        </w:trPr>
        <w:tc>
          <w:tcPr>
            <w:tcW w:w="2560" w:type="dxa"/>
            <w:vAlign w:val="bottom"/>
          </w:tcPr>
          <w:p>
            <w:pPr>
              <w:jc w:val="center"/>
              <w:ind w:right="570"/>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1-14569</w:t>
            </w:r>
          </w:p>
        </w:tc>
        <w:tc>
          <w:tcPr>
            <w:tcW w:w="214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76-0582150</w:t>
            </w:r>
          </w:p>
        </w:tc>
      </w:tr>
      <w:tr>
        <w:trPr>
          <w:trHeight w:val="216"/>
        </w:trPr>
        <w:tc>
          <w:tcPr>
            <w:tcW w:w="2560" w:type="dxa"/>
            <w:vAlign w:val="bottom"/>
          </w:tcPr>
          <w:p>
            <w:pPr>
              <w:jc w:val="center"/>
              <w:ind w:right="570"/>
              <w:spacing w:after="0"/>
              <w:rPr>
                <w:sz w:val="20"/>
                <w:szCs w:val="20"/>
                <w:color w:val="auto"/>
              </w:rPr>
            </w:pPr>
            <w:r>
              <w:rPr>
                <w:rFonts w:ascii="Arial" w:cs="Arial" w:eastAsia="Arial" w:hAnsi="Arial"/>
                <w:sz w:val="18"/>
                <w:szCs w:val="18"/>
                <w:color w:val="auto"/>
                <w:w w:val="92"/>
              </w:rPr>
              <w:t>(State or other jurisdiction</w:t>
            </w:r>
          </w:p>
        </w:tc>
        <w:tc>
          <w:tcPr>
            <w:tcW w:w="244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2140" w:type="dxa"/>
            <w:vAlign w:val="bottom"/>
          </w:tcPr>
          <w:p>
            <w:pPr>
              <w:jc w:val="center"/>
              <w:ind w:left="710"/>
              <w:spacing w:after="0"/>
              <w:rPr>
                <w:sz w:val="20"/>
                <w:szCs w:val="20"/>
                <w:color w:val="auto"/>
              </w:rPr>
            </w:pPr>
            <w:r>
              <w:rPr>
                <w:rFonts w:ascii="Arial" w:cs="Arial" w:eastAsia="Arial" w:hAnsi="Arial"/>
                <w:sz w:val="18"/>
                <w:szCs w:val="18"/>
                <w:color w:val="auto"/>
                <w:w w:val="93"/>
              </w:rPr>
              <w:t>(IRS Employer</w:t>
            </w:r>
          </w:p>
        </w:tc>
      </w:tr>
      <w:tr>
        <w:trPr>
          <w:trHeight w:val="230"/>
        </w:trPr>
        <w:tc>
          <w:tcPr>
            <w:tcW w:w="2560" w:type="dxa"/>
            <w:vAlign w:val="bottom"/>
          </w:tcPr>
          <w:p>
            <w:pPr>
              <w:jc w:val="center"/>
              <w:ind w:right="570"/>
              <w:spacing w:after="0"/>
              <w:rPr>
                <w:sz w:val="20"/>
                <w:szCs w:val="20"/>
                <w:color w:val="auto"/>
              </w:rPr>
            </w:pPr>
            <w:r>
              <w:rPr>
                <w:rFonts w:ascii="Arial" w:cs="Arial" w:eastAsia="Arial" w:hAnsi="Arial"/>
                <w:sz w:val="18"/>
                <w:szCs w:val="18"/>
                <w:color w:val="auto"/>
                <w:w w:val="93"/>
              </w:rPr>
              <w:t>of incorporation)</w:t>
            </w:r>
          </w:p>
        </w:tc>
        <w:tc>
          <w:tcPr>
            <w:tcW w:w="244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2140" w:type="dxa"/>
            <w:vAlign w:val="bottom"/>
          </w:tcPr>
          <w:p>
            <w:pPr>
              <w:jc w:val="center"/>
              <w:ind w:left="710"/>
              <w:spacing w:after="0"/>
              <w:rPr>
                <w:sz w:val="20"/>
                <w:szCs w:val="20"/>
                <w:color w:val="auto"/>
              </w:rPr>
            </w:pPr>
            <w:r>
              <w:rPr>
                <w:rFonts w:ascii="Arial" w:cs="Arial" w:eastAsia="Arial" w:hAnsi="Arial"/>
                <w:sz w:val="18"/>
                <w:szCs w:val="18"/>
                <w:color w:val="auto"/>
                <w:w w:val="95"/>
              </w:rPr>
              <w:t>Identification No.)</w:t>
            </w:r>
          </w:p>
        </w:tc>
      </w:tr>
    </w:tbl>
    <w:p>
      <w:pPr>
        <w:spacing w:after="0" w:line="346"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3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33" w:lineRule="exact"/>
        <w:rPr>
          <w:sz w:val="24"/>
          <w:szCs w:val="24"/>
          <w:color w:val="auto"/>
        </w:rPr>
      </w:pPr>
    </w:p>
    <w:p>
      <w:pPr>
        <w:ind w:right="400" w:firstLine="3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9"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(d)  Exhibit 99.1—Press release dated August 1, 2006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121" w:lineRule="exact"/>
        <w:rPr>
          <w:sz w:val="24"/>
          <w:szCs w:val="24"/>
          <w:color w:val="auto"/>
        </w:rPr>
      </w:pPr>
    </w:p>
    <w:p>
      <w:pPr>
        <w:ind w:firstLine="360"/>
        <w:spacing w:after="0" w:line="254" w:lineRule="auto"/>
        <w:rPr>
          <w:sz w:val="20"/>
          <w:szCs w:val="20"/>
          <w:color w:val="auto"/>
        </w:rPr>
      </w:pPr>
      <w:r>
        <w:rPr>
          <w:rFonts w:ascii="Arial" w:cs="Arial" w:eastAsia="Arial" w:hAnsi="Arial"/>
          <w:sz w:val="18"/>
          <w:szCs w:val="18"/>
          <w:color w:val="auto"/>
        </w:rPr>
        <w:t>Plains All American Pipeline, L.P. (the “Partnership”) today issued a press release reporting its second quarter 2006 results. We are furnishing the press release, attached as Exhibit 99.1, pursuant to Item 2.02 and Item 7.01 of Form 8-K. Pursuant to Item 7.01 we are providing detailed guidance for financial performance for the third and fourth quarter of calendar 2006 and modifying certain aspects of our previous guidance for financial performance for the full year of calendar 2006 (which supersedes guidance in our 8-K furnished on June 12, 2006). This guidance excludes any contribution from the proposed merger with Pacific Energy Partners, L.P. announced June 12, 2006. In accordance with General Instruction B.2. of Form 8-K, the information presented herein under Item 2.02 and Item 7.01 shall not be deemed “filed” for purposes of Section 18 of the Securities Exchange Act of 1934, as amended, nor shall it be deemed incorporated by reference in any filing under the Securities Act of 1933, as amended, except as expressly set forth by specific reference in such a filing.</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Disclosure of Third and Fourth Quarter 2006 Estimates; Update of Full Year 2006 Guidance</w:t>
      </w:r>
    </w:p>
    <w:p>
      <w:pPr>
        <w:spacing w:after="0" w:line="121" w:lineRule="exact"/>
        <w:rPr>
          <w:sz w:val="24"/>
          <w:szCs w:val="24"/>
          <w:color w:val="auto"/>
        </w:rPr>
      </w:pPr>
    </w:p>
    <w:p>
      <w:pPr>
        <w:ind w:right="60" w:firstLine="360"/>
        <w:spacing w:after="0" w:line="290" w:lineRule="auto"/>
        <w:rPr>
          <w:sz w:val="20"/>
          <w:szCs w:val="20"/>
          <w:color w:val="auto"/>
        </w:rPr>
      </w:pPr>
      <w:r>
        <w:rPr>
          <w:rFonts w:ascii="Arial" w:cs="Arial" w:eastAsia="Arial" w:hAnsi="Arial"/>
          <w:sz w:val="16"/>
          <w:szCs w:val="16"/>
          <w:color w:val="auto"/>
        </w:rPr>
        <w:t xml:space="preserve">EBIT and EBITDA (each as defined below in Note 1 to the “Operating and Financial Guidance” table) are non-GAAP financial measures. Net income and cash flows from operating activities are the most directly comparable GAAP measures to EBIT and EBITDA. In Note 11 below, we reconcile EBITDA and EBIT to net income for the 2006 guidance periods presented. However, it is impractical to reconcile EBIT and EBITDA to cash flows from operating activities for forecasted periods. We encourage you to visit our website at </w:t>
      </w:r>
      <w:r>
        <w:rPr>
          <w:rFonts w:ascii="Arial" w:cs="Arial" w:eastAsia="Arial" w:hAnsi="Arial"/>
          <w:sz w:val="16"/>
          <w:szCs w:val="16"/>
          <w:i w:val="1"/>
          <w:iCs w:val="1"/>
          <w:color w:val="auto"/>
        </w:rPr>
        <w:t>www.paalp.com</w:t>
      </w:r>
      <w:r>
        <w:rPr>
          <w:rFonts w:ascii="Arial" w:cs="Arial" w:eastAsia="Arial" w:hAnsi="Arial"/>
          <w:sz w:val="16"/>
          <w:szCs w:val="16"/>
          <w:color w:val="auto"/>
        </w:rPr>
        <w:t>,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of our long-term incentive plan, the cumulative effect of a change in accounting</w:t>
      </w:r>
    </w:p>
    <w:p>
      <w:pPr>
        <w:sectPr>
          <w:pgSz w:w="11900" w:h="16838" w:orient="portrait"/>
          <w:cols w:equalWidth="0" w:num="1">
            <w:col w:w="11320"/>
          </w:cols>
          <w:pgMar w:left="240" w:top="530" w:right="339" w:bottom="0" w:gutter="0" w:footer="0" w:header="0"/>
        </w:sectPr>
      </w:pPr>
    </w:p>
    <w:bookmarkStart w:id="1" w:name="page2"/>
    <w:bookmarkEnd w:id="1"/>
    <w:p>
      <w:pPr>
        <w:ind w:right="80"/>
        <w:spacing w:after="0" w:line="277" w:lineRule="auto"/>
        <w:rPr>
          <w:sz w:val="20"/>
          <w:szCs w:val="20"/>
          <w:color w:val="auto"/>
        </w:rPr>
      </w:pPr>
      <w:r>
        <w:rPr>
          <w:rFonts w:ascii="Arial" w:cs="Arial" w:eastAsia="Arial" w:hAnsi="Arial"/>
          <w:sz w:val="18"/>
          <w:szCs w:val="18"/>
          <w:color w:val="auto"/>
        </w:rPr>
        <w:t>principle and, to the extent known, gains and losses related to SFAS 133 (primarily non-cash, mark-to-market adjustments) on EBITDA, Net Income and Net Income per Basic and Diluted Limited Partner Unit.</w:t>
      </w:r>
    </w:p>
    <w:p>
      <w:pPr>
        <w:spacing w:after="0" w:line="62"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The following guidance for the three month periods ending September 30 and December 31 and twelve month period ending December 31, 2006 are based on assumptions and estimates that we believe are reasonable given our assessment of historical trends, business cycles and other information reasonably available. However, our assumptions and future performance are both subject to a wide range of business risks and uncertainties, so no assurance can be provided that actual performance will fall within the guidance ranges. Please refer to the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July 31, 2006. We undertake no obligation to publicly update or revise any forward-looking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7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4"/>
                <w:szCs w:val="14"/>
                <w:b w:val="1"/>
                <w:bCs w:val="1"/>
                <w:color w:val="auto"/>
                <w:w w:val="93"/>
              </w:rPr>
              <w:t>Actual</w:t>
            </w: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Guidance</w:t>
            </w:r>
            <w:r>
              <w:rPr>
                <w:rFonts w:ascii="Arial" w:cs="Arial" w:eastAsia="Arial" w:hAnsi="Arial"/>
                <w:sz w:val="8"/>
                <w:szCs w:val="8"/>
                <w:b w:val="1"/>
                <w:bCs w:val="1"/>
                <w:color w:val="auto"/>
              </w:rPr>
              <w:t>*</w:t>
            </w: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Six</w:t>
            </w:r>
          </w:p>
        </w:tc>
        <w:tc>
          <w:tcPr>
            <w:tcW w:w="1180" w:type="dxa"/>
            <w:vAlign w:val="bottom"/>
            <w:gridSpan w:val="4"/>
          </w:tcPr>
          <w:p>
            <w:pPr>
              <w:jc w:val="center"/>
              <w:ind w:right="119"/>
              <w:spacing w:after="0" w:line="102" w:lineRule="exact"/>
              <w:rPr>
                <w:sz w:val="20"/>
                <w:szCs w:val="20"/>
                <w:color w:val="auto"/>
              </w:rPr>
            </w:pPr>
            <w:r>
              <w:rPr>
                <w:rFonts w:ascii="Arial" w:cs="Arial" w:eastAsia="Arial" w:hAnsi="Arial"/>
                <w:sz w:val="11"/>
                <w:szCs w:val="11"/>
                <w:b w:val="1"/>
                <w:bCs w:val="1"/>
                <w:color w:val="auto"/>
              </w:rPr>
              <w:t>Three</w:t>
            </w:r>
          </w:p>
        </w:tc>
        <w:tc>
          <w:tcPr>
            <w:tcW w:w="1180" w:type="dxa"/>
            <w:vAlign w:val="bottom"/>
            <w:gridSpan w:val="4"/>
          </w:tcPr>
          <w:p>
            <w:pPr>
              <w:jc w:val="center"/>
              <w:ind w:right="139"/>
              <w:spacing w:after="0" w:line="102" w:lineRule="exact"/>
              <w:rPr>
                <w:sz w:val="20"/>
                <w:szCs w:val="20"/>
                <w:color w:val="auto"/>
              </w:rPr>
            </w:pPr>
            <w:r>
              <w:rPr>
                <w:rFonts w:ascii="Arial" w:cs="Arial" w:eastAsia="Arial" w:hAnsi="Arial"/>
                <w:sz w:val="11"/>
                <w:szCs w:val="11"/>
                <w:b w:val="1"/>
                <w:bCs w:val="1"/>
                <w:color w:val="auto"/>
              </w:rPr>
              <w:t>Three</w:t>
            </w:r>
          </w:p>
        </w:tc>
        <w:tc>
          <w:tcPr>
            <w:tcW w:w="1180" w:type="dxa"/>
            <w:vAlign w:val="bottom"/>
            <w:gridSpan w:val="4"/>
          </w:tcPr>
          <w:p>
            <w:pPr>
              <w:jc w:val="center"/>
              <w:spacing w:after="0" w:line="102" w:lineRule="exact"/>
              <w:rPr>
                <w:sz w:val="20"/>
                <w:szCs w:val="20"/>
                <w:color w:val="auto"/>
              </w:rPr>
            </w:pPr>
            <w:r>
              <w:rPr>
                <w:rFonts w:ascii="Arial" w:cs="Arial" w:eastAsia="Arial" w:hAnsi="Arial"/>
                <w:sz w:val="11"/>
                <w:szCs w:val="11"/>
                <w:b w:val="1"/>
                <w:bCs w:val="1"/>
                <w:color w:val="auto"/>
              </w:rPr>
              <w:t>Twelve</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1180" w:type="dxa"/>
            <w:vAlign w:val="bottom"/>
            <w:gridSpan w:val="4"/>
          </w:tcPr>
          <w:p>
            <w:pPr>
              <w:jc w:val="center"/>
              <w:ind w:right="119"/>
              <w:spacing w:after="0" w:line="135" w:lineRule="exact"/>
              <w:rPr>
                <w:sz w:val="20"/>
                <w:szCs w:val="20"/>
                <w:color w:val="auto"/>
              </w:rPr>
            </w:pPr>
            <w:r>
              <w:rPr>
                <w:rFonts w:ascii="Arial" w:cs="Arial" w:eastAsia="Arial" w:hAnsi="Arial"/>
                <w:sz w:val="14"/>
                <w:szCs w:val="14"/>
                <w:b w:val="1"/>
                <w:bCs w:val="1"/>
                <w:color w:val="auto"/>
                <w:w w:val="92"/>
              </w:rPr>
              <w:t>Months</w:t>
            </w:r>
          </w:p>
        </w:tc>
        <w:tc>
          <w:tcPr>
            <w:tcW w:w="1180" w:type="dxa"/>
            <w:vAlign w:val="bottom"/>
            <w:gridSpan w:val="4"/>
          </w:tcPr>
          <w:p>
            <w:pPr>
              <w:jc w:val="center"/>
              <w:ind w:right="139"/>
              <w:spacing w:after="0" w:line="135" w:lineRule="exact"/>
              <w:rPr>
                <w:sz w:val="20"/>
                <w:szCs w:val="20"/>
                <w:color w:val="auto"/>
              </w:rPr>
            </w:pPr>
            <w:r>
              <w:rPr>
                <w:rFonts w:ascii="Arial" w:cs="Arial" w:eastAsia="Arial" w:hAnsi="Arial"/>
                <w:sz w:val="14"/>
                <w:szCs w:val="14"/>
                <w:b w:val="1"/>
                <w:bCs w:val="1"/>
                <w:color w:val="auto"/>
                <w:w w:val="96"/>
              </w:rPr>
              <w:t>Months</w:t>
            </w:r>
          </w:p>
        </w:tc>
        <w:tc>
          <w:tcPr>
            <w:tcW w:w="1340" w:type="dxa"/>
            <w:vAlign w:val="bottom"/>
            <w:gridSpan w:val="5"/>
          </w:tcPr>
          <w:p>
            <w:pPr>
              <w:jc w:val="center"/>
              <w:ind w:right="88"/>
              <w:spacing w:after="0" w:line="135" w:lineRule="exact"/>
              <w:rPr>
                <w:sz w:val="20"/>
                <w:szCs w:val="20"/>
                <w:color w:val="auto"/>
              </w:rPr>
            </w:pPr>
            <w:r>
              <w:rPr>
                <w:rFonts w:ascii="Arial" w:cs="Arial" w:eastAsia="Arial" w:hAnsi="Arial"/>
                <w:sz w:val="14"/>
                <w:szCs w:val="14"/>
                <w:b w:val="1"/>
                <w:bCs w:val="1"/>
                <w:color w:val="auto"/>
                <w:w w:val="92"/>
              </w:rPr>
              <w:t>Months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2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4"/>
          </w:tcPr>
          <w:p>
            <w:pPr>
              <w:jc w:val="center"/>
              <w:ind w:right="119"/>
              <w:spacing w:after="0" w:line="135" w:lineRule="exact"/>
              <w:rPr>
                <w:sz w:val="20"/>
                <w:szCs w:val="20"/>
                <w:color w:val="auto"/>
              </w:rPr>
            </w:pPr>
            <w:r>
              <w:rPr>
                <w:rFonts w:ascii="Arial" w:cs="Arial" w:eastAsia="Arial" w:hAnsi="Arial"/>
                <w:sz w:val="14"/>
                <w:szCs w:val="14"/>
                <w:b w:val="1"/>
                <w:bCs w:val="1"/>
                <w:color w:val="auto"/>
                <w:w w:val="96"/>
              </w:rPr>
              <w:t>Ending</w:t>
            </w:r>
          </w:p>
        </w:tc>
        <w:tc>
          <w:tcPr>
            <w:tcW w:w="1180" w:type="dxa"/>
            <w:vAlign w:val="bottom"/>
            <w:gridSpan w:val="4"/>
          </w:tcPr>
          <w:p>
            <w:pPr>
              <w:jc w:val="center"/>
              <w:ind w:right="139"/>
              <w:spacing w:after="0" w:line="135" w:lineRule="exact"/>
              <w:rPr>
                <w:sz w:val="20"/>
                <w:szCs w:val="20"/>
                <w:color w:val="auto"/>
              </w:rPr>
            </w:pPr>
            <w:r>
              <w:rPr>
                <w:rFonts w:ascii="Arial" w:cs="Arial" w:eastAsia="Arial" w:hAnsi="Arial"/>
                <w:sz w:val="14"/>
                <w:szCs w:val="14"/>
                <w:b w:val="1"/>
                <w:bCs w:val="1"/>
                <w:color w:val="auto"/>
                <w:w w:val="92"/>
              </w:rPr>
              <w:t>Ending</w:t>
            </w:r>
          </w:p>
        </w:tc>
        <w:tc>
          <w:tcPr>
            <w:tcW w:w="1340" w:type="dxa"/>
            <w:vAlign w:val="bottom"/>
            <w:gridSpan w:val="5"/>
          </w:tcPr>
          <w:p>
            <w:pPr>
              <w:jc w:val="center"/>
              <w:ind w:right="88"/>
              <w:spacing w:after="0" w:line="135" w:lineRule="exact"/>
              <w:rPr>
                <w:sz w:val="20"/>
                <w:szCs w:val="20"/>
                <w:color w:val="auto"/>
              </w:rPr>
            </w:pPr>
            <w:r>
              <w:rPr>
                <w:rFonts w:ascii="Arial" w:cs="Arial" w:eastAsia="Arial" w:hAnsi="Arial"/>
                <w:sz w:val="14"/>
                <w:szCs w:val="14"/>
                <w:b w:val="1"/>
                <w:bCs w:val="1"/>
                <w:color w:val="auto"/>
                <w:w w:val="96"/>
              </w:rPr>
              <w:t>Ending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Ended</w:t>
            </w:r>
          </w:p>
        </w:tc>
        <w:tc>
          <w:tcPr>
            <w:tcW w:w="1180" w:type="dxa"/>
            <w:vAlign w:val="bottom"/>
            <w:gridSpan w:val="4"/>
          </w:tcPr>
          <w:p>
            <w:pPr>
              <w:jc w:val="center"/>
              <w:ind w:right="119"/>
              <w:spacing w:after="0" w:line="135" w:lineRule="exact"/>
              <w:rPr>
                <w:sz w:val="20"/>
                <w:szCs w:val="20"/>
                <w:color w:val="auto"/>
              </w:rPr>
            </w:pPr>
            <w:r>
              <w:rPr>
                <w:rFonts w:ascii="Arial" w:cs="Arial" w:eastAsia="Arial" w:hAnsi="Arial"/>
                <w:sz w:val="14"/>
                <w:szCs w:val="14"/>
                <w:b w:val="1"/>
                <w:bCs w:val="1"/>
                <w:color w:val="auto"/>
                <w:w w:val="89"/>
              </w:rPr>
              <w:t>September 30,</w:t>
            </w:r>
          </w:p>
        </w:tc>
        <w:tc>
          <w:tcPr>
            <w:tcW w:w="1180" w:type="dxa"/>
            <w:vAlign w:val="bottom"/>
            <w:gridSpan w:val="4"/>
          </w:tcPr>
          <w:p>
            <w:pPr>
              <w:jc w:val="center"/>
              <w:ind w:right="139"/>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340" w:type="dxa"/>
            <w:vAlign w:val="bottom"/>
            <w:gridSpan w:val="5"/>
          </w:tcPr>
          <w:p>
            <w:pPr>
              <w:jc w:val="center"/>
              <w:ind w:right="108"/>
              <w:spacing w:after="0" w:line="135"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20" w:type="dxa"/>
            <w:vAlign w:val="bottom"/>
            <w:gridSpan w:val="4"/>
          </w:tcPr>
          <w:p>
            <w:pPr>
              <w:jc w:val="center"/>
              <w:ind w:right="140"/>
              <w:spacing w:after="0" w:line="139" w:lineRule="exact"/>
              <w:rPr>
                <w:sz w:val="20"/>
                <w:szCs w:val="20"/>
                <w:color w:val="auto"/>
              </w:rPr>
            </w:pPr>
            <w:r>
              <w:rPr>
                <w:rFonts w:ascii="Arial" w:cs="Arial" w:eastAsia="Arial" w:hAnsi="Arial"/>
                <w:sz w:val="14"/>
                <w:szCs w:val="14"/>
                <w:b w:val="1"/>
                <w:bCs w:val="1"/>
                <w:color w:val="auto"/>
                <w:w w:val="92"/>
              </w:rPr>
              <w:t>June 30,</w:t>
            </w:r>
          </w:p>
        </w:tc>
        <w:tc>
          <w:tcPr>
            <w:tcW w:w="102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w w:val="96"/>
              </w:rPr>
              <w:t>2006</w:t>
            </w:r>
          </w:p>
        </w:tc>
        <w:tc>
          <w:tcPr>
            <w:tcW w:w="160" w:type="dxa"/>
            <w:vAlign w:val="bottom"/>
          </w:tcPr>
          <w:p>
            <w:pPr>
              <w:spacing w:after="0"/>
              <w:rPr>
                <w:sz w:val="12"/>
                <w:szCs w:val="12"/>
                <w:color w:val="auto"/>
              </w:rPr>
            </w:pPr>
          </w:p>
        </w:tc>
        <w:tc>
          <w:tcPr>
            <w:tcW w:w="104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2"/>
                <w:szCs w:val="12"/>
                <w:color w:val="auto"/>
              </w:rPr>
            </w:pPr>
          </w:p>
        </w:tc>
        <w:tc>
          <w:tcPr>
            <w:tcW w:w="740" w:type="dxa"/>
            <w:vAlign w:val="bottom"/>
            <w:gridSpan w:val="3"/>
          </w:tcPr>
          <w:p>
            <w:pPr>
              <w:jc w:val="center"/>
              <w:ind w:left="368"/>
              <w:spacing w:after="0" w:line="139" w:lineRule="exact"/>
              <w:rPr>
                <w:sz w:val="20"/>
                <w:szCs w:val="20"/>
                <w:color w:val="auto"/>
              </w:rPr>
            </w:pPr>
            <w:r>
              <w:rPr>
                <w:rFonts w:ascii="Arial" w:cs="Arial" w:eastAsia="Arial" w:hAnsi="Arial"/>
                <w:sz w:val="14"/>
                <w:szCs w:val="14"/>
                <w:b w:val="1"/>
                <w:bCs w:val="1"/>
                <w:color w:val="auto"/>
                <w:w w:val="96"/>
              </w:rPr>
              <w:t>2006</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gridSpan w:val="2"/>
            <w:vMerge w:val="restart"/>
          </w:tcPr>
          <w:p>
            <w:pPr>
              <w:jc w:val="center"/>
              <w:ind w:left="48"/>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128"/>
              <w:spacing w:after="0" w:line="129" w:lineRule="exact"/>
              <w:rPr>
                <w:sz w:val="20"/>
                <w:szCs w:val="20"/>
                <w:color w:val="auto"/>
              </w:rPr>
            </w:pPr>
            <w:r>
              <w:rPr>
                <w:rFonts w:ascii="Arial" w:cs="Arial" w:eastAsia="Arial" w:hAnsi="Arial"/>
                <w:sz w:val="14"/>
                <w:szCs w:val="14"/>
                <w:b w:val="1"/>
                <w:bCs w:val="1"/>
                <w:color w:val="auto"/>
              </w:rPr>
              <w:t>Low</w:t>
            </w:r>
          </w:p>
        </w:tc>
        <w:tc>
          <w:tcPr>
            <w:tcW w:w="44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High</w:t>
            </w:r>
          </w:p>
        </w:tc>
        <w:tc>
          <w:tcPr>
            <w:tcW w:w="160" w:type="dxa"/>
            <w:vAlign w:val="bottom"/>
            <w:vMerge w:val="continue"/>
          </w:tcPr>
          <w:p>
            <w:pPr>
              <w:spacing w:after="0"/>
              <w:rPr>
                <w:sz w:val="11"/>
                <w:szCs w:val="11"/>
                <w:color w:val="auto"/>
              </w:rPr>
            </w:pPr>
          </w:p>
        </w:tc>
        <w:tc>
          <w:tcPr>
            <w:tcW w:w="580" w:type="dxa"/>
            <w:vAlign w:val="bottom"/>
            <w:gridSpan w:val="2"/>
          </w:tcPr>
          <w:p>
            <w:pPr>
              <w:jc w:val="right"/>
              <w:ind w:right="199"/>
              <w:spacing w:after="0" w:line="129" w:lineRule="exact"/>
              <w:rPr>
                <w:sz w:val="20"/>
                <w:szCs w:val="20"/>
                <w:color w:val="auto"/>
              </w:rPr>
            </w:pPr>
            <w:r>
              <w:rPr>
                <w:rFonts w:ascii="Arial" w:cs="Arial" w:eastAsia="Arial" w:hAnsi="Arial"/>
                <w:sz w:val="14"/>
                <w:szCs w:val="14"/>
                <w:b w:val="1"/>
                <w:bCs w:val="1"/>
                <w:color w:val="auto"/>
              </w:rPr>
              <w:t>Low</w:t>
            </w:r>
          </w:p>
        </w:tc>
        <w:tc>
          <w:tcPr>
            <w:tcW w:w="46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High</w:t>
            </w:r>
          </w:p>
        </w:tc>
        <w:tc>
          <w:tcPr>
            <w:tcW w:w="140" w:type="dxa"/>
            <w:vAlign w:val="bottom"/>
            <w:vMerge w:val="continue"/>
          </w:tcPr>
          <w:p>
            <w:pPr>
              <w:spacing w:after="0"/>
              <w:rPr>
                <w:sz w:val="11"/>
                <w:szCs w:val="11"/>
                <w:color w:val="auto"/>
              </w:rPr>
            </w:pPr>
          </w:p>
        </w:tc>
        <w:tc>
          <w:tcPr>
            <w:tcW w:w="74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Low</w:t>
            </w:r>
          </w:p>
        </w:tc>
        <w:tc>
          <w:tcPr>
            <w:tcW w:w="44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w w:val="96"/>
              </w:rPr>
              <w:t>High</w:t>
            </w:r>
          </w:p>
        </w:tc>
        <w:tc>
          <w:tcPr>
            <w:tcW w:w="1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380" w:type="dxa"/>
            <w:vAlign w:val="bottom"/>
            <w:tcBorders>
              <w:right w:val="single" w:sz="8" w:color="CCEEFF"/>
            </w:tcBorders>
          </w:tcPr>
          <w:p>
            <w:pPr>
              <w:spacing w:after="0"/>
              <w:rPr>
                <w:sz w:val="14"/>
                <w:szCs w:val="14"/>
                <w:color w:val="auto"/>
              </w:rPr>
            </w:pPr>
          </w:p>
        </w:tc>
        <w:tc>
          <w:tcPr>
            <w:tcW w:w="416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Pipeline</w:t>
            </w:r>
          </w:p>
        </w:tc>
        <w:tc>
          <w:tcPr>
            <w:tcW w:w="1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4160" w:type="dxa"/>
            <w:vAlign w:val="bottom"/>
            <w:gridSpan w:val="2"/>
          </w:tcPr>
          <w:p>
            <w:pPr>
              <w:ind w:left="240"/>
              <w:spacing w:after="0"/>
              <w:rPr>
                <w:sz w:val="20"/>
                <w:szCs w:val="20"/>
                <w:color w:val="auto"/>
              </w:rPr>
            </w:pPr>
            <w:r>
              <w:rPr>
                <w:rFonts w:ascii="Arial" w:cs="Arial" w:eastAsia="Arial" w:hAnsi="Arial"/>
                <w:sz w:val="14"/>
                <w:szCs w:val="14"/>
                <w:color w:val="auto"/>
              </w:rPr>
              <w:t>Net revenues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$107.2</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$106.0</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$107.4</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$417.5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$420.3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tcBorders>
              <w:right w:val="single" w:sz="8" w:color="CCEEFF"/>
            </w:tcBorders>
          </w:tcPr>
          <w:p>
            <w:pPr>
              <w:spacing w:after="0"/>
              <w:rPr>
                <w:sz w:val="15"/>
                <w:szCs w:val="15"/>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Field operating costs</w:t>
            </w:r>
          </w:p>
        </w:tc>
        <w:tc>
          <w:tcPr>
            <w:tcW w:w="68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(90.5</w:t>
            </w: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4"/>
            <w:shd w:val="clear" w:color="auto" w:fill="CCEEFF"/>
          </w:tcPr>
          <w:p>
            <w:pPr>
              <w:jc w:val="right"/>
              <w:ind w:right="79"/>
              <w:spacing w:after="0"/>
              <w:rPr>
                <w:sz w:val="20"/>
                <w:szCs w:val="20"/>
                <w:color w:val="auto"/>
              </w:rPr>
            </w:pPr>
            <w:r>
              <w:rPr>
                <w:rFonts w:ascii="Arial" w:cs="Arial" w:eastAsia="Arial" w:hAnsi="Arial"/>
                <w:sz w:val="14"/>
                <w:szCs w:val="14"/>
                <w:color w:val="auto"/>
              </w:rPr>
              <w:t>(47.5</w:t>
            </w:r>
            <w:r>
              <w:rPr>
                <w:rFonts w:ascii="Arial" w:cs="Arial" w:eastAsia="Arial" w:hAnsi="Arial"/>
                <w:sz w:val="14"/>
                <w:szCs w:val="14"/>
                <w:b w:val="1"/>
                <w:bCs w:val="1"/>
                <w:color w:val="auto"/>
              </w:rPr>
              <w:t>)</w:t>
            </w:r>
            <w:r>
              <w:rPr>
                <w:rFonts w:ascii="Arial" w:cs="Arial" w:eastAsia="Arial" w:hAnsi="Arial"/>
                <w:sz w:val="14"/>
                <w:szCs w:val="14"/>
                <w:color w:val="auto"/>
              </w:rPr>
              <w:t xml:space="preserve">   (46.9</w:t>
            </w: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(46.9</w:t>
            </w: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(46.3</w:t>
            </w: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(184.9</w:t>
            </w:r>
            <w:r>
              <w:rPr>
                <w:rFonts w:ascii="Arial" w:cs="Arial" w:eastAsia="Arial" w:hAnsi="Arial"/>
                <w:sz w:val="14"/>
                <w:szCs w:val="14"/>
                <w:b w:val="1"/>
                <w:bCs w:val="1"/>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(183.7</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4160" w:type="dxa"/>
            <w:vAlign w:val="bottom"/>
            <w:gridSpan w:val="2"/>
          </w:tcPr>
          <w:p>
            <w:pPr>
              <w:ind w:left="240"/>
              <w:spacing w:after="0"/>
              <w:rPr>
                <w:sz w:val="20"/>
                <w:szCs w:val="20"/>
                <w:color w:val="auto"/>
              </w:rPr>
            </w:pPr>
            <w:r>
              <w:rPr>
                <w:rFonts w:ascii="Arial" w:cs="Arial" w:eastAsia="Arial" w:hAnsi="Arial"/>
                <w:sz w:val="14"/>
                <w:szCs w:val="14"/>
                <w:color w:val="auto"/>
              </w:rPr>
              <w:t>General and administrative expenses</w:t>
            </w:r>
          </w:p>
        </w:tc>
        <w:tc>
          <w:tcPr>
            <w:tcW w:w="680" w:type="dxa"/>
            <w:vAlign w:val="bottom"/>
            <w:gridSpan w:val="3"/>
          </w:tcPr>
          <w:p>
            <w:pPr>
              <w:jc w:val="right"/>
              <w:ind w:right="39"/>
              <w:spacing w:after="0"/>
              <w:rPr>
                <w:sz w:val="20"/>
                <w:szCs w:val="20"/>
                <w:color w:val="auto"/>
              </w:rPr>
            </w:pPr>
            <w:r>
              <w:rPr>
                <w:rFonts w:ascii="Arial" w:cs="Arial" w:eastAsia="Arial" w:hAnsi="Arial"/>
                <w:sz w:val="14"/>
                <w:szCs w:val="14"/>
                <w:color w:val="auto"/>
              </w:rPr>
              <w:t>(24.1</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180" w:type="dxa"/>
            <w:vAlign w:val="bottom"/>
            <w:gridSpan w:val="4"/>
          </w:tcPr>
          <w:p>
            <w:pPr>
              <w:jc w:val="right"/>
              <w:ind w:right="79"/>
              <w:spacing w:after="0"/>
              <w:rPr>
                <w:sz w:val="20"/>
                <w:szCs w:val="20"/>
                <w:color w:val="auto"/>
              </w:rPr>
            </w:pPr>
            <w:r>
              <w:rPr>
                <w:rFonts w:ascii="Arial" w:cs="Arial" w:eastAsia="Arial" w:hAnsi="Arial"/>
                <w:sz w:val="14"/>
                <w:szCs w:val="14"/>
                <w:color w:val="auto"/>
              </w:rPr>
              <w:t>(11.4</w:t>
            </w:r>
            <w:r>
              <w:rPr>
                <w:rFonts w:ascii="Arial" w:cs="Arial" w:eastAsia="Arial" w:hAnsi="Arial"/>
                <w:sz w:val="14"/>
                <w:szCs w:val="14"/>
                <w:b w:val="1"/>
                <w:bCs w:val="1"/>
                <w:color w:val="auto"/>
              </w:rPr>
              <w:t>)</w:t>
            </w:r>
            <w:r>
              <w:rPr>
                <w:rFonts w:ascii="Arial" w:cs="Arial" w:eastAsia="Arial" w:hAnsi="Arial"/>
                <w:sz w:val="14"/>
                <w:szCs w:val="14"/>
                <w:color w:val="auto"/>
              </w:rPr>
              <w:t xml:space="preserve">   (11.2</w:t>
            </w:r>
            <w:r>
              <w:rPr>
                <w:rFonts w:ascii="Arial" w:cs="Arial" w:eastAsia="Arial" w:hAnsi="Arial"/>
                <w:sz w:val="14"/>
                <w:szCs w:val="14"/>
                <w:b w:val="1"/>
                <w:bCs w:val="1"/>
                <w:color w:val="auto"/>
              </w:rPr>
              <w:t>)</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(11.6</w:t>
            </w:r>
            <w:r>
              <w:rPr>
                <w:rFonts w:ascii="Arial" w:cs="Arial" w:eastAsia="Arial" w:hAnsi="Arial"/>
                <w:sz w:val="14"/>
                <w:szCs w:val="14"/>
                <w:b w:val="1"/>
                <w:bCs w:val="1"/>
                <w:color w:val="auto"/>
              </w:rPr>
              <w:t>)</w:t>
            </w:r>
          </w:p>
        </w:tc>
        <w:tc>
          <w:tcPr>
            <w:tcW w:w="600" w:type="dxa"/>
            <w:vAlign w:val="bottom"/>
            <w:gridSpan w:val="2"/>
          </w:tcPr>
          <w:p>
            <w:pPr>
              <w:jc w:val="right"/>
              <w:ind w:right="59"/>
              <w:spacing w:after="0"/>
              <w:rPr>
                <w:sz w:val="20"/>
                <w:szCs w:val="20"/>
                <w:color w:val="auto"/>
              </w:rPr>
            </w:pPr>
            <w:r>
              <w:rPr>
                <w:rFonts w:ascii="Arial" w:cs="Arial" w:eastAsia="Arial" w:hAnsi="Arial"/>
                <w:sz w:val="14"/>
                <w:szCs w:val="14"/>
                <w:color w:val="auto"/>
              </w:rPr>
              <w:t>(11.4</w:t>
            </w:r>
            <w:r>
              <w:rPr>
                <w:rFonts w:ascii="Arial" w:cs="Arial" w:eastAsia="Arial" w:hAnsi="Arial"/>
                <w:sz w:val="14"/>
                <w:szCs w:val="14"/>
                <w:b w:val="1"/>
                <w:bCs w:val="1"/>
                <w:color w:val="auto"/>
              </w:rPr>
              <w:t>)</w:t>
            </w:r>
          </w:p>
        </w:tc>
        <w:tc>
          <w:tcPr>
            <w:tcW w:w="660" w:type="dxa"/>
            <w:vAlign w:val="bottom"/>
            <w:gridSpan w:val="2"/>
          </w:tcPr>
          <w:p>
            <w:pPr>
              <w:jc w:val="right"/>
              <w:ind w:right="59"/>
              <w:spacing w:after="0"/>
              <w:rPr>
                <w:sz w:val="20"/>
                <w:szCs w:val="20"/>
                <w:color w:val="auto"/>
              </w:rPr>
            </w:pPr>
            <w:r>
              <w:rPr>
                <w:rFonts w:ascii="Arial" w:cs="Arial" w:eastAsia="Arial" w:hAnsi="Arial"/>
                <w:sz w:val="14"/>
                <w:szCs w:val="14"/>
                <w:color w:val="auto"/>
              </w:rPr>
              <w:t>(47.1</w:t>
            </w: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(46.7</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80" w:type="dxa"/>
            <w:vAlign w:val="bottom"/>
            <w:tcBorders>
              <w:right w:val="single" w:sz="8" w:color="CCEEFF"/>
            </w:tcBorders>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3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4160" w:type="dxa"/>
            <w:vAlign w:val="bottom"/>
            <w:gridSpan w:val="2"/>
          </w:tcPr>
          <w:p>
            <w:pPr>
              <w:ind w:left="80"/>
              <w:spacing w:after="0"/>
              <w:rPr>
                <w:sz w:val="20"/>
                <w:szCs w:val="20"/>
                <w:color w:val="auto"/>
              </w:rPr>
            </w:pPr>
            <w:r>
              <w:rPr>
                <w:rFonts w:ascii="Arial" w:cs="Arial" w:eastAsia="Arial" w:hAnsi="Arial"/>
                <w:sz w:val="14"/>
                <w:szCs w:val="14"/>
                <w:b w:val="1"/>
                <w:bCs w:val="1"/>
                <w:color w:val="auto"/>
              </w:rPr>
              <w:t>Gathering, Marketing, Terminalling &amp; Storage</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80" w:type="dxa"/>
            <w:vAlign w:val="bottom"/>
            <w:tcBorders>
              <w:right w:val="single" w:sz="8" w:color="CCEEFF"/>
            </w:tcBorders>
          </w:tcPr>
          <w:p>
            <w:pPr>
              <w:spacing w:after="0"/>
              <w:rPr>
                <w:sz w:val="15"/>
                <w:szCs w:val="15"/>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Net revenues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234.7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4160" w:type="dxa"/>
            <w:vAlign w:val="bottom"/>
            <w:gridSpan w:val="2"/>
          </w:tcPr>
          <w:p>
            <w:pPr>
              <w:ind w:left="240"/>
              <w:spacing w:after="0"/>
              <w:rPr>
                <w:sz w:val="20"/>
                <w:szCs w:val="20"/>
                <w:color w:val="auto"/>
              </w:rPr>
            </w:pPr>
            <w:r>
              <w:rPr>
                <w:rFonts w:ascii="Arial" w:cs="Arial" w:eastAsia="Arial" w:hAnsi="Arial"/>
                <w:sz w:val="14"/>
                <w:szCs w:val="14"/>
                <w:color w:val="auto"/>
              </w:rPr>
              <w:t>Field operating costs</w:t>
            </w:r>
          </w:p>
        </w:tc>
        <w:tc>
          <w:tcPr>
            <w:tcW w:w="680" w:type="dxa"/>
            <w:vAlign w:val="bottom"/>
            <w:gridSpan w:val="3"/>
          </w:tcPr>
          <w:p>
            <w:pPr>
              <w:jc w:val="right"/>
              <w:ind w:right="39"/>
              <w:spacing w:after="0"/>
              <w:rPr>
                <w:sz w:val="20"/>
                <w:szCs w:val="20"/>
                <w:color w:val="auto"/>
              </w:rPr>
            </w:pPr>
            <w:r>
              <w:rPr>
                <w:rFonts w:ascii="Arial" w:cs="Arial" w:eastAsia="Arial" w:hAnsi="Arial"/>
                <w:sz w:val="14"/>
                <w:szCs w:val="14"/>
                <w:color w:val="auto"/>
              </w:rPr>
              <w:t>(78.4</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180" w:type="dxa"/>
            <w:vAlign w:val="bottom"/>
            <w:gridSpan w:val="4"/>
          </w:tcPr>
          <w:p>
            <w:pPr>
              <w:jc w:val="right"/>
              <w:ind w:right="79"/>
              <w:spacing w:after="0"/>
              <w:rPr>
                <w:sz w:val="20"/>
                <w:szCs w:val="20"/>
                <w:color w:val="auto"/>
              </w:rPr>
            </w:pPr>
            <w:r>
              <w:rPr>
                <w:rFonts w:ascii="Arial" w:cs="Arial" w:eastAsia="Arial" w:hAnsi="Arial"/>
                <w:sz w:val="14"/>
                <w:szCs w:val="14"/>
                <w:color w:val="auto"/>
              </w:rPr>
              <w:t>(43.5</w:t>
            </w:r>
            <w:r>
              <w:rPr>
                <w:rFonts w:ascii="Arial" w:cs="Arial" w:eastAsia="Arial" w:hAnsi="Arial"/>
                <w:sz w:val="14"/>
                <w:szCs w:val="14"/>
                <w:b w:val="1"/>
                <w:bCs w:val="1"/>
                <w:color w:val="auto"/>
              </w:rPr>
              <w:t>)</w:t>
            </w:r>
            <w:r>
              <w:rPr>
                <w:rFonts w:ascii="Arial" w:cs="Arial" w:eastAsia="Arial" w:hAnsi="Arial"/>
                <w:sz w:val="14"/>
                <w:szCs w:val="14"/>
                <w:color w:val="auto"/>
              </w:rPr>
              <w:t xml:space="preserve">   (42.9</w:t>
            </w:r>
            <w:r>
              <w:rPr>
                <w:rFonts w:ascii="Arial" w:cs="Arial" w:eastAsia="Arial" w:hAnsi="Arial"/>
                <w:sz w:val="14"/>
                <w:szCs w:val="14"/>
                <w:b w:val="1"/>
                <w:bCs w:val="1"/>
                <w:color w:val="auto"/>
              </w:rPr>
              <w:t>)</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(43.4</w:t>
            </w:r>
            <w:r>
              <w:rPr>
                <w:rFonts w:ascii="Arial" w:cs="Arial" w:eastAsia="Arial" w:hAnsi="Arial"/>
                <w:sz w:val="14"/>
                <w:szCs w:val="14"/>
                <w:b w:val="1"/>
                <w:bCs w:val="1"/>
                <w:color w:val="auto"/>
              </w:rPr>
              <w:t>)</w:t>
            </w:r>
          </w:p>
        </w:tc>
        <w:tc>
          <w:tcPr>
            <w:tcW w:w="600" w:type="dxa"/>
            <w:vAlign w:val="bottom"/>
            <w:gridSpan w:val="2"/>
          </w:tcPr>
          <w:p>
            <w:pPr>
              <w:jc w:val="right"/>
              <w:ind w:right="59"/>
              <w:spacing w:after="0"/>
              <w:rPr>
                <w:sz w:val="20"/>
                <w:szCs w:val="20"/>
                <w:color w:val="auto"/>
              </w:rPr>
            </w:pPr>
            <w:r>
              <w:rPr>
                <w:rFonts w:ascii="Arial" w:cs="Arial" w:eastAsia="Arial" w:hAnsi="Arial"/>
                <w:sz w:val="14"/>
                <w:szCs w:val="14"/>
                <w:color w:val="auto"/>
              </w:rPr>
              <w:t>(42.8</w:t>
            </w:r>
            <w:r>
              <w:rPr>
                <w:rFonts w:ascii="Arial" w:cs="Arial" w:eastAsia="Arial" w:hAnsi="Arial"/>
                <w:sz w:val="14"/>
                <w:szCs w:val="14"/>
                <w:b w:val="1"/>
                <w:bCs w:val="1"/>
                <w:color w:val="auto"/>
              </w:rPr>
              <w:t>)</w:t>
            </w:r>
          </w:p>
        </w:tc>
        <w:tc>
          <w:tcPr>
            <w:tcW w:w="660" w:type="dxa"/>
            <w:vAlign w:val="bottom"/>
            <w:gridSpan w:val="2"/>
          </w:tcPr>
          <w:p>
            <w:pPr>
              <w:jc w:val="right"/>
              <w:ind w:right="59"/>
              <w:spacing w:after="0"/>
              <w:rPr>
                <w:sz w:val="20"/>
                <w:szCs w:val="20"/>
                <w:color w:val="auto"/>
              </w:rPr>
            </w:pPr>
            <w:r>
              <w:rPr>
                <w:rFonts w:ascii="Arial" w:cs="Arial" w:eastAsia="Arial" w:hAnsi="Arial"/>
                <w:sz w:val="14"/>
                <w:szCs w:val="14"/>
                <w:color w:val="auto"/>
              </w:rPr>
              <w:t>(165.3</w:t>
            </w: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(164.1</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tcBorders>
              <w:right w:val="single" w:sz="8" w:color="CCEEFF"/>
            </w:tcBorders>
          </w:tcPr>
          <w:p>
            <w:pPr>
              <w:spacing w:after="0"/>
              <w:rPr>
                <w:sz w:val="15"/>
                <w:szCs w:val="15"/>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General and administrative expenses</w:t>
            </w:r>
          </w:p>
        </w:tc>
        <w:tc>
          <w:tcPr>
            <w:tcW w:w="68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(35.1</w:t>
            </w: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4"/>
            <w:shd w:val="clear" w:color="auto" w:fill="CCEEFF"/>
          </w:tcPr>
          <w:p>
            <w:pPr>
              <w:jc w:val="right"/>
              <w:ind w:right="79"/>
              <w:spacing w:after="0"/>
              <w:rPr>
                <w:sz w:val="20"/>
                <w:szCs w:val="20"/>
                <w:color w:val="auto"/>
              </w:rPr>
            </w:pPr>
            <w:r>
              <w:rPr>
                <w:rFonts w:ascii="Arial" w:cs="Arial" w:eastAsia="Arial" w:hAnsi="Arial"/>
                <w:sz w:val="14"/>
                <w:szCs w:val="14"/>
                <w:color w:val="auto"/>
              </w:rPr>
              <w:t>(18.8</w:t>
            </w:r>
            <w:r>
              <w:rPr>
                <w:rFonts w:ascii="Arial" w:cs="Arial" w:eastAsia="Arial" w:hAnsi="Arial"/>
                <w:sz w:val="14"/>
                <w:szCs w:val="14"/>
                <w:b w:val="1"/>
                <w:bCs w:val="1"/>
                <w:color w:val="auto"/>
              </w:rPr>
              <w:t>)</w:t>
            </w:r>
            <w:r>
              <w:rPr>
                <w:rFonts w:ascii="Arial" w:cs="Arial" w:eastAsia="Arial" w:hAnsi="Arial"/>
                <w:sz w:val="14"/>
                <w:szCs w:val="14"/>
                <w:color w:val="auto"/>
              </w:rPr>
              <w:t xml:space="preserve">   (18.5</w:t>
            </w: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(19.0</w:t>
            </w: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(18.7</w:t>
            </w: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(72.9</w:t>
            </w:r>
            <w:r>
              <w:rPr>
                <w:rFonts w:ascii="Arial" w:cs="Arial" w:eastAsia="Arial" w:hAnsi="Arial"/>
                <w:sz w:val="14"/>
                <w:szCs w:val="14"/>
                <w:b w:val="1"/>
                <w:bCs w:val="1"/>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(72.3</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121.2</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65.9</w:t>
            </w:r>
          </w:p>
        </w:tc>
        <w:tc>
          <w:tcPr>
            <w:tcW w:w="16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w:t>
            </w:r>
          </w:p>
        </w:tc>
        <w:tc>
          <w:tcPr>
            <w:tcW w:w="14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62.7</w:t>
            </w:r>
          </w:p>
        </w:tc>
        <w:tc>
          <w:tcPr>
            <w:tcW w:w="14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234.8</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249.8</w:t>
            </w:r>
          </w:p>
        </w:tc>
        <w:tc>
          <w:tcPr>
            <w:tcW w:w="16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right w:val="single" w:sz="8" w:color="CCEEFF"/>
            </w:tcBorders>
          </w:tcPr>
          <w:p>
            <w:pPr>
              <w:spacing w:after="0"/>
              <w:rPr>
                <w:sz w:val="14"/>
                <w:szCs w:val="14"/>
                <w:color w:val="auto"/>
              </w:rPr>
            </w:pPr>
          </w:p>
        </w:tc>
        <w:tc>
          <w:tcPr>
            <w:tcW w:w="41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Segment Profit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439.7</w:t>
            </w:r>
          </w:p>
        </w:tc>
        <w:tc>
          <w:tcPr>
            <w:tcW w:w="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4160" w:type="dxa"/>
            <w:vAlign w:val="bottom"/>
            <w:gridSpan w:val="2"/>
          </w:tcPr>
          <w:p>
            <w:pPr>
              <w:ind w:left="80"/>
              <w:spacing w:after="0"/>
              <w:rPr>
                <w:sz w:val="20"/>
                <w:szCs w:val="20"/>
                <w:color w:val="auto"/>
              </w:rPr>
            </w:pPr>
            <w:r>
              <w:rPr>
                <w:rFonts w:ascii="Arial" w:cs="Arial" w:eastAsia="Arial" w:hAnsi="Arial"/>
                <w:sz w:val="14"/>
                <w:szCs w:val="14"/>
                <w:color w:val="auto"/>
              </w:rPr>
              <w:t>Depreciation and amortization expense</w:t>
            </w:r>
          </w:p>
        </w:tc>
        <w:tc>
          <w:tcPr>
            <w:tcW w:w="680" w:type="dxa"/>
            <w:vAlign w:val="bottom"/>
            <w:gridSpan w:val="3"/>
          </w:tcPr>
          <w:p>
            <w:pPr>
              <w:jc w:val="right"/>
              <w:ind w:right="39"/>
              <w:spacing w:after="0"/>
              <w:rPr>
                <w:sz w:val="20"/>
                <w:szCs w:val="20"/>
                <w:color w:val="auto"/>
              </w:rPr>
            </w:pPr>
            <w:r>
              <w:rPr>
                <w:rFonts w:ascii="Arial" w:cs="Arial" w:eastAsia="Arial" w:hAnsi="Arial"/>
                <w:sz w:val="14"/>
                <w:szCs w:val="14"/>
                <w:color w:val="auto"/>
              </w:rPr>
              <w:t>(42.9</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180" w:type="dxa"/>
            <w:vAlign w:val="bottom"/>
            <w:gridSpan w:val="4"/>
          </w:tcPr>
          <w:p>
            <w:pPr>
              <w:jc w:val="right"/>
              <w:ind w:right="79"/>
              <w:spacing w:after="0"/>
              <w:rPr>
                <w:sz w:val="20"/>
                <w:szCs w:val="20"/>
                <w:color w:val="auto"/>
              </w:rPr>
            </w:pPr>
            <w:r>
              <w:rPr>
                <w:rFonts w:ascii="Arial" w:cs="Arial" w:eastAsia="Arial" w:hAnsi="Arial"/>
                <w:sz w:val="14"/>
                <w:szCs w:val="14"/>
                <w:color w:val="auto"/>
              </w:rPr>
              <w:t>(24.8</w:t>
            </w:r>
            <w:r>
              <w:rPr>
                <w:rFonts w:ascii="Arial" w:cs="Arial" w:eastAsia="Arial" w:hAnsi="Arial"/>
                <w:sz w:val="14"/>
                <w:szCs w:val="14"/>
                <w:b w:val="1"/>
                <w:bCs w:val="1"/>
                <w:color w:val="auto"/>
              </w:rPr>
              <w:t>)</w:t>
            </w:r>
            <w:r>
              <w:rPr>
                <w:rFonts w:ascii="Arial" w:cs="Arial" w:eastAsia="Arial" w:hAnsi="Arial"/>
                <w:sz w:val="14"/>
                <w:szCs w:val="14"/>
                <w:color w:val="auto"/>
              </w:rPr>
              <w:t xml:space="preserve">   (24.4</w:t>
            </w:r>
            <w:r>
              <w:rPr>
                <w:rFonts w:ascii="Arial" w:cs="Arial" w:eastAsia="Arial" w:hAnsi="Arial"/>
                <w:sz w:val="14"/>
                <w:szCs w:val="14"/>
                <w:b w:val="1"/>
                <w:bCs w:val="1"/>
                <w:color w:val="auto"/>
              </w:rPr>
              <w:t>)</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(25.8</w:t>
            </w:r>
            <w:r>
              <w:rPr>
                <w:rFonts w:ascii="Arial" w:cs="Arial" w:eastAsia="Arial" w:hAnsi="Arial"/>
                <w:sz w:val="14"/>
                <w:szCs w:val="14"/>
                <w:b w:val="1"/>
                <w:bCs w:val="1"/>
                <w:color w:val="auto"/>
              </w:rPr>
              <w:t>)</w:t>
            </w:r>
          </w:p>
        </w:tc>
        <w:tc>
          <w:tcPr>
            <w:tcW w:w="600" w:type="dxa"/>
            <w:vAlign w:val="bottom"/>
            <w:gridSpan w:val="2"/>
          </w:tcPr>
          <w:p>
            <w:pPr>
              <w:jc w:val="right"/>
              <w:ind w:right="59"/>
              <w:spacing w:after="0"/>
              <w:rPr>
                <w:sz w:val="20"/>
                <w:szCs w:val="20"/>
                <w:color w:val="auto"/>
              </w:rPr>
            </w:pPr>
            <w:r>
              <w:rPr>
                <w:rFonts w:ascii="Arial" w:cs="Arial" w:eastAsia="Arial" w:hAnsi="Arial"/>
                <w:sz w:val="14"/>
                <w:szCs w:val="14"/>
                <w:color w:val="auto"/>
              </w:rPr>
              <w:t>(25.4</w:t>
            </w:r>
            <w:r>
              <w:rPr>
                <w:rFonts w:ascii="Arial" w:cs="Arial" w:eastAsia="Arial" w:hAnsi="Arial"/>
                <w:sz w:val="14"/>
                <w:szCs w:val="14"/>
                <w:b w:val="1"/>
                <w:bCs w:val="1"/>
                <w:color w:val="auto"/>
              </w:rPr>
              <w:t>)</w:t>
            </w:r>
          </w:p>
        </w:tc>
        <w:tc>
          <w:tcPr>
            <w:tcW w:w="660" w:type="dxa"/>
            <w:vAlign w:val="bottom"/>
            <w:gridSpan w:val="2"/>
          </w:tcPr>
          <w:p>
            <w:pPr>
              <w:jc w:val="right"/>
              <w:ind w:right="59"/>
              <w:spacing w:after="0"/>
              <w:rPr>
                <w:sz w:val="20"/>
                <w:szCs w:val="20"/>
                <w:color w:val="auto"/>
              </w:rPr>
            </w:pPr>
            <w:r>
              <w:rPr>
                <w:rFonts w:ascii="Arial" w:cs="Arial" w:eastAsia="Arial" w:hAnsi="Arial"/>
                <w:sz w:val="14"/>
                <w:szCs w:val="14"/>
                <w:color w:val="auto"/>
              </w:rPr>
              <w:t>(93.5</w:t>
            </w: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(92.7</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tcBorders>
              <w:right w:val="single" w:sz="8" w:color="CCEEFF"/>
            </w:tcBorders>
          </w:tcPr>
          <w:p>
            <w:pPr>
              <w:spacing w:after="0"/>
              <w:rPr>
                <w:sz w:val="15"/>
                <w:szCs w:val="15"/>
                <w:color w:val="auto"/>
              </w:rPr>
            </w:pPr>
          </w:p>
        </w:tc>
        <w:tc>
          <w:tcPr>
            <w:tcW w:w="4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Interest expense</w:t>
            </w:r>
          </w:p>
        </w:tc>
        <w:tc>
          <w:tcPr>
            <w:tcW w:w="68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(33.3</w:t>
            </w: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w:t>
            </w: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(19.6</w:t>
            </w: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(20.4</w:t>
            </w: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(19.6</w:t>
            </w: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(74.1</w:t>
            </w:r>
            <w:r>
              <w:rPr>
                <w:rFonts w:ascii="Arial" w:cs="Arial" w:eastAsia="Arial" w:hAnsi="Arial"/>
                <w:sz w:val="14"/>
                <w:szCs w:val="14"/>
                <w:b w:val="1"/>
                <w:bCs w:val="1"/>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(72.5</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4160" w:type="dxa"/>
            <w:vAlign w:val="bottom"/>
            <w:gridSpan w:val="2"/>
          </w:tcPr>
          <w:p>
            <w:pPr>
              <w:ind w:left="80"/>
              <w:spacing w:after="0"/>
              <w:rPr>
                <w:sz w:val="20"/>
                <w:szCs w:val="20"/>
                <w:color w:val="auto"/>
              </w:rPr>
            </w:pPr>
            <w:r>
              <w:rPr>
                <w:rFonts w:ascii="Arial" w:cs="Arial" w:eastAsia="Arial" w:hAnsi="Arial"/>
                <w:sz w:val="14"/>
                <w:szCs w:val="14"/>
                <w:color w:val="auto"/>
              </w:rPr>
              <w:t>Equity earnings in PAA / Vulcan Gas Storage, LLC</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tcBorders>
              <w:right w:val="single" w:sz="8" w:color="CCEEFF"/>
            </w:tcBorders>
          </w:tcPr>
          <w:p>
            <w:pPr>
              <w:spacing w:after="0"/>
              <w:rPr>
                <w:sz w:val="15"/>
                <w:szCs w:val="15"/>
                <w:color w:val="auto"/>
              </w:rPr>
            </w:pPr>
          </w:p>
        </w:tc>
        <w:tc>
          <w:tcPr>
            <w:tcW w:w="4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Other Income (Expense)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416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Income Before Cumulative Effect of Change in</w:t>
            </w: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80" w:type="dxa"/>
            <w:vAlign w:val="bottom"/>
          </w:tcPr>
          <w:p>
            <w:pPr>
              <w:spacing w:after="0"/>
              <w:rPr>
                <w:sz w:val="16"/>
                <w:szCs w:val="16"/>
                <w:color w:val="auto"/>
              </w:rPr>
            </w:pPr>
          </w:p>
        </w:tc>
        <w:tc>
          <w:tcPr>
            <w:tcW w:w="4160" w:type="dxa"/>
            <w:vAlign w:val="bottom"/>
            <w:gridSpan w:val="2"/>
          </w:tcPr>
          <w:p>
            <w:pPr>
              <w:ind w:left="260"/>
              <w:spacing w:after="0"/>
              <w:rPr>
                <w:sz w:val="20"/>
                <w:szCs w:val="20"/>
                <w:color w:val="auto"/>
              </w:rPr>
            </w:pPr>
            <w:r>
              <w:rPr>
                <w:rFonts w:ascii="Arial" w:cs="Arial" w:eastAsia="Arial" w:hAnsi="Arial"/>
                <w:sz w:val="14"/>
                <w:szCs w:val="14"/>
                <w:b w:val="1"/>
                <w:bCs w:val="1"/>
                <w:color w:val="auto"/>
              </w:rPr>
              <w:t>Accounting Principle</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137.4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60.8</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72.0</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60.2</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71.4</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258.4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280.8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80" w:type="dxa"/>
            <w:vAlign w:val="bottom"/>
            <w:tcBorders>
              <w:right w:val="single" w:sz="8" w:color="CCEEFF"/>
            </w:tcBorders>
          </w:tcPr>
          <w:p>
            <w:pPr>
              <w:spacing w:after="0"/>
              <w:rPr>
                <w:sz w:val="15"/>
                <w:szCs w:val="15"/>
                <w:color w:val="auto"/>
              </w:rPr>
            </w:pPr>
          </w:p>
        </w:tc>
        <w:tc>
          <w:tcPr>
            <w:tcW w:w="4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Cumulative Effect of Change in Accounting Principle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416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b w:val="1"/>
                <w:bCs w:val="1"/>
                <w:color w:val="auto"/>
              </w:rPr>
              <w:t>Net Income</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143.7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$ 60.8</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$72.0</w:t>
            </w: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$60.2</w:t>
            </w:r>
          </w:p>
        </w:tc>
        <w:tc>
          <w:tcPr>
            <w:tcW w:w="1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$71.4</w:t>
            </w:r>
          </w:p>
        </w:tc>
        <w:tc>
          <w:tcPr>
            <w:tcW w:w="1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$264.7</w:t>
            </w: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$287.1</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380" w:type="dxa"/>
            <w:vAlign w:val="bottom"/>
            <w:tcBorders>
              <w:right w:val="single" w:sz="8" w:color="CCEEFF"/>
            </w:tcBorders>
          </w:tcPr>
          <w:p>
            <w:pPr>
              <w:spacing w:after="0"/>
              <w:rPr>
                <w:sz w:val="17"/>
                <w:szCs w:val="17"/>
                <w:color w:val="auto"/>
              </w:rPr>
            </w:pPr>
          </w:p>
        </w:tc>
        <w:tc>
          <w:tcPr>
            <w:tcW w:w="4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Net Income to Limited Partners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$ 50.7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$250.9</w:t>
            </w: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4160" w:type="dxa"/>
            <w:vAlign w:val="bottom"/>
            <w:gridSpan w:val="2"/>
          </w:tcPr>
          <w:p>
            <w:pPr>
              <w:ind w:left="80"/>
              <w:spacing w:after="0"/>
              <w:rPr>
                <w:sz w:val="20"/>
                <w:szCs w:val="20"/>
                <w:color w:val="auto"/>
              </w:rPr>
            </w:pPr>
            <w:r>
              <w:rPr>
                <w:rFonts w:ascii="Arial" w:cs="Arial" w:eastAsia="Arial" w:hAnsi="Arial"/>
                <w:sz w:val="14"/>
                <w:szCs w:val="14"/>
                <w:color w:val="auto"/>
              </w:rPr>
              <w:t>Basic Net Income Per Limited Partner Unit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tcBorders>
              <w:right w:val="single" w:sz="8" w:color="CCEEFF"/>
            </w:tcBorders>
          </w:tcPr>
          <w:p>
            <w:pPr>
              <w:spacing w:after="0"/>
              <w:rPr>
                <w:sz w:val="15"/>
                <w:szCs w:val="15"/>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Weighted Average Units Outstanding</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4160" w:type="dxa"/>
            <w:vAlign w:val="bottom"/>
            <w:gridSpan w:val="2"/>
          </w:tcPr>
          <w:p>
            <w:pPr>
              <w:ind w:left="240"/>
              <w:spacing w:after="0"/>
              <w:rPr>
                <w:sz w:val="20"/>
                <w:szCs w:val="20"/>
                <w:color w:val="auto"/>
              </w:rPr>
            </w:pPr>
            <w:r>
              <w:rPr>
                <w:rFonts w:ascii="Arial" w:cs="Arial" w:eastAsia="Arial" w:hAnsi="Arial"/>
                <w:sz w:val="14"/>
                <w:szCs w:val="14"/>
                <w:color w:val="auto"/>
              </w:rPr>
              <w:t>Net Income Per Unit**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$ 0.63</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$0.75</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$0.62</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$0.73</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$ 2.89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$ 3.03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right w:val="single" w:sz="8" w:color="CCEEFF"/>
            </w:tcBorders>
          </w:tcPr>
          <w:p>
            <w:pPr>
              <w:spacing w:after="0"/>
              <w:rPr>
                <w:sz w:val="18"/>
                <w:szCs w:val="18"/>
                <w:color w:val="auto"/>
              </w:rPr>
            </w:pPr>
          </w:p>
        </w:tc>
        <w:tc>
          <w:tcPr>
            <w:tcW w:w="4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Diluted Net Income Per Limited Partner Unit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4160" w:type="dxa"/>
            <w:vAlign w:val="bottom"/>
            <w:gridSpan w:val="2"/>
          </w:tcPr>
          <w:p>
            <w:pPr>
              <w:ind w:left="240"/>
              <w:spacing w:after="0"/>
              <w:rPr>
                <w:sz w:val="20"/>
                <w:szCs w:val="20"/>
                <w:color w:val="auto"/>
              </w:rPr>
            </w:pPr>
            <w:r>
              <w:rPr>
                <w:rFonts w:ascii="Arial" w:cs="Arial" w:eastAsia="Arial" w:hAnsi="Arial"/>
                <w:sz w:val="14"/>
                <w:szCs w:val="14"/>
                <w:color w:val="auto"/>
              </w:rPr>
              <w:t>Weighted Average Units Outstanding</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80.9</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82.1</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82.1</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78.9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78.9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tcBorders>
              <w:right w:val="single" w:sz="8" w:color="CCEEFF"/>
            </w:tcBorders>
          </w:tcPr>
          <w:p>
            <w:pPr>
              <w:spacing w:after="0"/>
              <w:rPr>
                <w:sz w:val="15"/>
                <w:szCs w:val="15"/>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Net Income Per Unit**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$ 0.63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$ 2.86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$ 3.00</w:t>
            </w: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416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b w:val="1"/>
                <w:bCs w:val="1"/>
                <w:color w:val="auto"/>
              </w:rPr>
              <w:t>EBIT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$177.0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$ 81.2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$91.6</w:t>
            </w:r>
          </w:p>
        </w:tc>
        <w:tc>
          <w:tcPr>
            <w:tcW w:w="1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$80.6</w:t>
            </w:r>
          </w:p>
        </w:tc>
        <w:tc>
          <w:tcPr>
            <w:tcW w:w="1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$91.0</w:t>
            </w:r>
          </w:p>
        </w:tc>
        <w:tc>
          <w:tcPr>
            <w:tcW w:w="1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$338.8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$359.6</w:t>
            </w:r>
          </w:p>
        </w:tc>
        <w:tc>
          <w:tcPr>
            <w:tcW w:w="16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380" w:type="dxa"/>
            <w:vAlign w:val="bottom"/>
            <w:tcBorders>
              <w:right w:val="single" w:sz="8" w:color="CCEEFF"/>
            </w:tcBorders>
          </w:tcPr>
          <w:p>
            <w:pPr>
              <w:spacing w:after="0"/>
              <w:rPr>
                <w:sz w:val="13"/>
                <w:szCs w:val="13"/>
                <w:color w:val="auto"/>
              </w:rPr>
            </w:pPr>
          </w:p>
        </w:tc>
        <w:tc>
          <w:tcPr>
            <w:tcW w:w="4160" w:type="dxa"/>
            <w:vAlign w:val="bottom"/>
            <w:tcBorders>
              <w:bottom w:val="single" w:sz="8" w:color="CCEEFF"/>
            </w:tcBorders>
            <w:gridSpan w:val="2"/>
            <w:shd w:val="clear" w:color="auto" w:fill="CCEEFF"/>
          </w:tcPr>
          <w:p>
            <w:pPr>
              <w:ind w:left="80"/>
              <w:spacing w:after="0" w:line="156" w:lineRule="exact"/>
              <w:rPr>
                <w:sz w:val="20"/>
                <w:szCs w:val="20"/>
                <w:color w:val="auto"/>
              </w:rPr>
            </w:pPr>
            <w:r>
              <w:rPr>
                <w:rFonts w:ascii="Arial" w:cs="Arial" w:eastAsia="Arial" w:hAnsi="Arial"/>
                <w:sz w:val="14"/>
                <w:szCs w:val="14"/>
                <w:b w:val="1"/>
                <w:bCs w:val="1"/>
                <w:color w:val="auto"/>
              </w:rPr>
              <w:t>EBITDA</w:t>
            </w: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219.9</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$106.0</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w w:val="93"/>
              </w:rPr>
              <w:t>$116.0</w:t>
            </w: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106.4</w:t>
            </w: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w w:val="97"/>
              </w:rPr>
              <w:t>$116.4</w:t>
            </w:r>
          </w:p>
        </w:tc>
        <w:tc>
          <w:tcPr>
            <w:tcW w:w="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$432.3</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w w:val="97"/>
              </w:rPr>
              <w:t>$452.3</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80" w:type="dxa"/>
            <w:vAlign w:val="bottom"/>
            <w:tcBorders>
              <w:right w:val="single" w:sz="8" w:color="auto"/>
            </w:tcBorders>
          </w:tcPr>
          <w:p>
            <w:pPr>
              <w:spacing w:after="0"/>
              <w:rPr>
                <w:sz w:val="14"/>
                <w:szCs w:val="14"/>
                <w:color w:val="auto"/>
              </w:rPr>
            </w:pP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i w:val="1"/>
                <w:iCs w:val="1"/>
                <w:color w:val="auto"/>
              </w:rPr>
              <w:t>Selected Items Impacting Comparability</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80" w:type="dxa"/>
            <w:vAlign w:val="bottom"/>
            <w:tcBorders>
              <w:right w:val="single" w:sz="8" w:color="auto"/>
            </w:tcBorders>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4"/>
                <w:szCs w:val="14"/>
                <w:color w:val="auto"/>
              </w:rPr>
              <w:t>LTIP charge</w:t>
            </w:r>
          </w:p>
        </w:tc>
        <w:tc>
          <w:tcPr>
            <w:tcW w:w="680" w:type="dxa"/>
            <w:vAlign w:val="bottom"/>
            <w:gridSpan w:val="3"/>
          </w:tcPr>
          <w:p>
            <w:pPr>
              <w:jc w:val="right"/>
              <w:ind w:right="39"/>
              <w:spacing w:after="0"/>
              <w:rPr>
                <w:sz w:val="20"/>
                <w:szCs w:val="20"/>
                <w:color w:val="auto"/>
              </w:rPr>
            </w:pPr>
            <w:r>
              <w:rPr>
                <w:rFonts w:ascii="Arial" w:cs="Arial" w:eastAsia="Arial" w:hAnsi="Arial"/>
                <w:sz w:val="14"/>
                <w:szCs w:val="14"/>
                <w:color w:val="auto"/>
              </w:rPr>
              <w:t>$(16.8</w:t>
            </w: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 (9.0</w:t>
            </w:r>
            <w:r>
              <w:rPr>
                <w:rFonts w:ascii="Arial" w:cs="Arial" w:eastAsia="Arial" w:hAnsi="Arial"/>
                <w:sz w:val="14"/>
                <w:szCs w:val="14"/>
                <w:b w:val="1"/>
                <w:bCs w:val="1"/>
                <w:color w:val="auto"/>
              </w:rPr>
              <w:t>)</w:t>
            </w: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$(9.0</w:t>
            </w:r>
            <w:r>
              <w:rPr>
                <w:rFonts w:ascii="Arial" w:cs="Arial" w:eastAsia="Arial" w:hAnsi="Arial"/>
                <w:sz w:val="14"/>
                <w:szCs w:val="14"/>
                <w:b w:val="1"/>
                <w:bCs w:val="1"/>
                <w:color w:val="auto"/>
              </w:rPr>
              <w:t>)</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$(8.6</w:t>
            </w:r>
            <w:r>
              <w:rPr>
                <w:rFonts w:ascii="Arial" w:cs="Arial" w:eastAsia="Arial" w:hAnsi="Arial"/>
                <w:sz w:val="14"/>
                <w:szCs w:val="14"/>
                <w:b w:val="1"/>
                <w:bCs w:val="1"/>
                <w:color w:val="auto"/>
              </w:rPr>
              <w:t>)</w:t>
            </w:r>
          </w:p>
        </w:tc>
        <w:tc>
          <w:tcPr>
            <w:tcW w:w="600" w:type="dxa"/>
            <w:vAlign w:val="bottom"/>
            <w:gridSpan w:val="2"/>
          </w:tcPr>
          <w:p>
            <w:pPr>
              <w:jc w:val="right"/>
              <w:ind w:right="59"/>
              <w:spacing w:after="0"/>
              <w:rPr>
                <w:sz w:val="20"/>
                <w:szCs w:val="20"/>
                <w:color w:val="auto"/>
              </w:rPr>
            </w:pPr>
            <w:r>
              <w:rPr>
                <w:rFonts w:ascii="Arial" w:cs="Arial" w:eastAsia="Arial" w:hAnsi="Arial"/>
                <w:sz w:val="14"/>
                <w:szCs w:val="14"/>
                <w:color w:val="auto"/>
              </w:rPr>
              <w:t>$(8.6</w:t>
            </w:r>
            <w:r>
              <w:rPr>
                <w:rFonts w:ascii="Arial" w:cs="Arial" w:eastAsia="Arial" w:hAnsi="Arial"/>
                <w:sz w:val="14"/>
                <w:szCs w:val="14"/>
                <w:b w:val="1"/>
                <w:bCs w:val="1"/>
                <w:color w:val="auto"/>
              </w:rPr>
              <w:t>)</w:t>
            </w:r>
          </w:p>
        </w:tc>
        <w:tc>
          <w:tcPr>
            <w:tcW w:w="660" w:type="dxa"/>
            <w:vAlign w:val="bottom"/>
            <w:gridSpan w:val="2"/>
          </w:tcPr>
          <w:p>
            <w:pPr>
              <w:jc w:val="right"/>
              <w:ind w:right="59"/>
              <w:spacing w:after="0"/>
              <w:rPr>
                <w:sz w:val="20"/>
                <w:szCs w:val="20"/>
                <w:color w:val="auto"/>
              </w:rPr>
            </w:pPr>
            <w:r>
              <w:rPr>
                <w:rFonts w:ascii="Arial" w:cs="Arial" w:eastAsia="Arial" w:hAnsi="Arial"/>
                <w:sz w:val="14"/>
                <w:szCs w:val="14"/>
                <w:color w:val="auto"/>
              </w:rPr>
              <w:t>$(34.4</w:t>
            </w: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$(34.4</w:t>
            </w:r>
            <w:r>
              <w:rPr>
                <w:rFonts w:ascii="Arial" w:cs="Arial" w:eastAsia="Arial" w:hAnsi="Arial"/>
                <w:sz w:val="14"/>
                <w:szCs w:val="14"/>
                <w:b w:val="1"/>
                <w:bCs w:val="1"/>
                <w:color w:val="auto"/>
              </w:rPr>
              <w:t>)</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80" w:type="dxa"/>
            <w:vAlign w:val="bottom"/>
            <w:tcBorders>
              <w:right w:val="single" w:sz="8" w:color="auto"/>
            </w:tcBorders>
          </w:tcPr>
          <w:p>
            <w:pPr>
              <w:spacing w:after="0"/>
              <w:rPr>
                <w:sz w:val="15"/>
                <w:szCs w:val="15"/>
                <w:color w:val="auto"/>
              </w:rPr>
            </w:pP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Cumulative Effect of Change in Accounting Principle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tcBorders>
              <w:right w:val="single" w:sz="8" w:color="auto"/>
            </w:tcBorders>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Arial" w:cs="Arial" w:eastAsia="Arial" w:hAnsi="Arial"/>
                <w:sz w:val="14"/>
                <w:szCs w:val="14"/>
                <w:color w:val="auto"/>
              </w:rPr>
              <w:t>SFAS 133 Mark-to-Market Adjustment</w:t>
            </w:r>
          </w:p>
        </w:tc>
        <w:tc>
          <w:tcPr>
            <w:tcW w:w="680" w:type="dxa"/>
            <w:vAlign w:val="bottom"/>
            <w:gridSpan w:val="3"/>
          </w:tcPr>
          <w:p>
            <w:pPr>
              <w:jc w:val="right"/>
              <w:ind w:right="39"/>
              <w:spacing w:after="0"/>
              <w:rPr>
                <w:sz w:val="20"/>
                <w:szCs w:val="20"/>
                <w:color w:val="auto"/>
              </w:rPr>
            </w:pPr>
            <w:r>
              <w:rPr>
                <w:rFonts w:ascii="Arial" w:cs="Arial" w:eastAsia="Arial" w:hAnsi="Arial"/>
                <w:sz w:val="14"/>
                <w:szCs w:val="14"/>
                <w:color w:val="auto"/>
              </w:rPr>
              <w:t>(3.1</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59"/>
              <w:spacing w:after="0"/>
              <w:rPr>
                <w:sz w:val="20"/>
                <w:szCs w:val="20"/>
                <w:color w:val="auto"/>
              </w:rPr>
            </w:pPr>
            <w:r>
              <w:rPr>
                <w:rFonts w:ascii="Arial" w:cs="Arial" w:eastAsia="Arial" w:hAnsi="Arial"/>
                <w:sz w:val="14"/>
                <w:szCs w:val="14"/>
                <w:color w:val="auto"/>
              </w:rPr>
              <w:t>(3.1</w:t>
            </w: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(3.1</w:t>
            </w:r>
            <w:r>
              <w:rPr>
                <w:rFonts w:ascii="Arial" w:cs="Arial" w:eastAsia="Arial" w:hAnsi="Arial"/>
                <w:sz w:val="14"/>
                <w:szCs w:val="14"/>
                <w:b w:val="1"/>
                <w:bCs w:val="1"/>
                <w:color w:val="auto"/>
              </w:rPr>
              <w:t>)</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80" w:type="dxa"/>
            <w:vAlign w:val="bottom"/>
            <w:tcBorders>
              <w:right w:val="single" w:sz="8" w:color="auto"/>
            </w:tcBorders>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3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(9.0</w:t>
            </w:r>
          </w:p>
        </w:tc>
        <w:tc>
          <w:tcPr>
            <w:tcW w:w="1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6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60" w:type="dxa"/>
            <w:vAlign w:val="bottom"/>
            <w:tcBorders>
              <w:top w:val="single" w:sz="8" w:color="CCEEFF"/>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84"/>
              </w:rPr>
              <w:t>)</w:t>
            </w: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80" w:type="dxa"/>
            <w:vAlign w:val="bottom"/>
            <w:tcBorders>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80" w:type="dxa"/>
            <w:vAlign w:val="bottom"/>
            <w:tcBorders>
              <w:right w:val="single" w:sz="8" w:color="CCEEFF"/>
            </w:tcBorders>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33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right w:val="single" w:sz="8" w:color="auto"/>
            </w:tcBorders>
          </w:tcPr>
          <w:p>
            <w:pPr>
              <w:spacing w:after="0"/>
              <w:rPr>
                <w:sz w:val="14"/>
                <w:szCs w:val="14"/>
                <w:color w:val="auto"/>
              </w:rPr>
            </w:pPr>
          </w:p>
        </w:tc>
        <w:tc>
          <w:tcPr>
            <w:tcW w:w="416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Excluding Selected Items Impacting Comparability</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80" w:type="dxa"/>
            <w:vAlign w:val="bottom"/>
            <w:tcBorders>
              <w:right w:val="single" w:sz="8" w:color="auto"/>
            </w:tcBorders>
          </w:tcPr>
          <w:p>
            <w:pPr>
              <w:spacing w:after="0"/>
              <w:rPr>
                <w:sz w:val="18"/>
                <w:szCs w:val="18"/>
                <w:color w:val="auto"/>
              </w:rPr>
            </w:pPr>
          </w:p>
        </w:tc>
        <w:tc>
          <w:tcPr>
            <w:tcW w:w="4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Adjusted EBITDA</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$233.5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125.0</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$115.0</w:t>
            </w: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125.0</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$483.5</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Borders>
              <w:right w:val="single" w:sz="8" w:color="auto"/>
            </w:tcBorders>
          </w:tcPr>
          <w:p>
            <w:pPr>
              <w:spacing w:after="0"/>
              <w:rPr>
                <w:sz w:val="17"/>
                <w:szCs w:val="17"/>
                <w:color w:val="auto"/>
              </w:rPr>
            </w:pPr>
          </w:p>
        </w:tc>
        <w:tc>
          <w:tcPr>
            <w:tcW w:w="4160" w:type="dxa"/>
            <w:vAlign w:val="bottom"/>
            <w:tcBorders>
              <w:bottom w:val="single" w:sz="8" w:color="CCEEFF"/>
            </w:tcBorders>
            <w:gridSpan w:val="2"/>
          </w:tcPr>
          <w:p>
            <w:pPr>
              <w:ind w:left="100"/>
              <w:spacing w:after="0" w:line="156" w:lineRule="exact"/>
              <w:rPr>
                <w:sz w:val="20"/>
                <w:szCs w:val="20"/>
                <w:color w:val="auto"/>
              </w:rPr>
            </w:pPr>
            <w:r>
              <w:rPr>
                <w:rFonts w:ascii="Arial" w:cs="Arial" w:eastAsia="Arial" w:hAnsi="Arial"/>
                <w:sz w:val="14"/>
                <w:szCs w:val="14"/>
                <w:color w:val="auto"/>
              </w:rPr>
              <w:t>Adjusted Net Income</w:t>
            </w:r>
          </w:p>
        </w:tc>
        <w:tc>
          <w:tcPr>
            <w:tcW w:w="12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157.3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$ 69.8</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$81.0</w:t>
            </w:r>
          </w:p>
        </w:tc>
        <w:tc>
          <w:tcPr>
            <w:tcW w:w="16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$68.8</w:t>
            </w:r>
          </w:p>
        </w:tc>
        <w:tc>
          <w:tcPr>
            <w:tcW w:w="14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$80.0</w:t>
            </w:r>
          </w:p>
        </w:tc>
        <w:tc>
          <w:tcPr>
            <w:tcW w:w="14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$295.9</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97"/>
              </w:rPr>
              <w:t>$318.3</w:t>
            </w:r>
          </w:p>
        </w:tc>
        <w:tc>
          <w:tcPr>
            <w:tcW w:w="16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80" w:type="dxa"/>
            <w:vAlign w:val="bottom"/>
            <w:tcBorders>
              <w:right w:val="single" w:sz="8" w:color="auto"/>
            </w:tcBorders>
          </w:tcPr>
          <w:p>
            <w:pPr>
              <w:spacing w:after="0"/>
              <w:rPr>
                <w:sz w:val="13"/>
                <w:szCs w:val="13"/>
                <w:color w:val="auto"/>
              </w:rPr>
            </w:pPr>
          </w:p>
        </w:tc>
        <w:tc>
          <w:tcPr>
            <w:tcW w:w="4160" w:type="dxa"/>
            <w:vAlign w:val="bottom"/>
            <w:tcBorders>
              <w:bottom w:val="single" w:sz="8" w:color="CCEEFF"/>
            </w:tcBorders>
            <w:gridSpan w:val="2"/>
            <w:shd w:val="clear" w:color="auto" w:fill="CCEEFF"/>
          </w:tcPr>
          <w:p>
            <w:pPr>
              <w:ind w:left="100"/>
              <w:spacing w:after="0" w:line="156" w:lineRule="exact"/>
              <w:rPr>
                <w:sz w:val="20"/>
                <w:szCs w:val="20"/>
                <w:color w:val="auto"/>
              </w:rPr>
            </w:pPr>
            <w:r>
              <w:rPr>
                <w:rFonts w:ascii="Arial" w:cs="Arial" w:eastAsia="Arial" w:hAnsi="Arial"/>
                <w:sz w:val="14"/>
                <w:szCs w:val="14"/>
                <w:color w:val="auto"/>
              </w:rPr>
              <w:t>Adjusted Basic Net Income per Limited Partner Unit</w:t>
            </w: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$1.87</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$ 0.74</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$0.88</w:t>
            </w: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$0.72</w:t>
            </w: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$0.86</w:t>
            </w:r>
          </w:p>
        </w:tc>
        <w:tc>
          <w:tcPr>
            <w:tcW w:w="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$ 3.33</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$ 3.61</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Borders>
              <w:right w:val="single" w:sz="8" w:color="auto"/>
            </w:tcBorders>
          </w:tcPr>
          <w:p>
            <w:pPr>
              <w:spacing w:after="0"/>
              <w:rPr>
                <w:sz w:val="17"/>
                <w:szCs w:val="17"/>
                <w:color w:val="auto"/>
              </w:rPr>
            </w:pPr>
          </w:p>
        </w:tc>
        <w:tc>
          <w:tcPr>
            <w:tcW w:w="4160" w:type="dxa"/>
            <w:vAlign w:val="bottom"/>
            <w:tcBorders>
              <w:bottom w:val="single" w:sz="8" w:color="CCEEFF"/>
            </w:tcBorders>
            <w:gridSpan w:val="2"/>
          </w:tcPr>
          <w:p>
            <w:pPr>
              <w:ind w:left="100"/>
              <w:spacing w:after="0" w:line="156" w:lineRule="exact"/>
              <w:rPr>
                <w:sz w:val="20"/>
                <w:szCs w:val="20"/>
                <w:color w:val="auto"/>
              </w:rPr>
            </w:pPr>
            <w:r>
              <w:rPr>
                <w:rFonts w:ascii="Arial" w:cs="Arial" w:eastAsia="Arial" w:hAnsi="Arial"/>
                <w:sz w:val="14"/>
                <w:szCs w:val="14"/>
                <w:color w:val="auto"/>
              </w:rPr>
              <w:t>Adjusted Diluted Net Income per Limited Partner Unit</w:t>
            </w:r>
          </w:p>
        </w:tc>
        <w:tc>
          <w:tcPr>
            <w:tcW w:w="12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$ 0.74</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$0.87</w:t>
            </w:r>
          </w:p>
        </w:tc>
        <w:tc>
          <w:tcPr>
            <w:tcW w:w="16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$0.71</w:t>
            </w:r>
          </w:p>
        </w:tc>
        <w:tc>
          <w:tcPr>
            <w:tcW w:w="14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$0.85</w:t>
            </w:r>
          </w:p>
        </w:tc>
        <w:tc>
          <w:tcPr>
            <w:tcW w:w="14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$ 3.29</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$ 3.57</w:t>
            </w:r>
          </w:p>
        </w:tc>
        <w:tc>
          <w:tcPr>
            <w:tcW w:w="16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80" w:type="dxa"/>
            <w:vAlign w:val="bottom"/>
            <w:tcBorders>
              <w:right w:val="single" w:sz="8" w:color="auto"/>
            </w:tcBorders>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33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3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projected average foreign exchange rate is $1.15 CAD to $1 USD.</w:t>
      </w:r>
    </w:p>
    <w:p>
      <w:pPr>
        <w:spacing w:after="0" w:line="9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9. The application of EITF 03-06 may result in interim period amounts not totaling to the annual amount.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Notes and Significant Assumptions:</w:t>
      </w:r>
    </w:p>
    <w:p>
      <w:pPr>
        <w:spacing w:after="0" w:line="117"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5" w:lineRule="exact"/>
        <w:rPr>
          <w:sz w:val="20"/>
          <w:szCs w:val="20"/>
          <w:color w:val="auto"/>
        </w:rPr>
      </w:pPr>
    </w:p>
    <w:p>
      <w:pPr>
        <w:ind w:left="1940"/>
        <w:spacing w:after="0"/>
        <w:tabs>
          <w:tab w:leader="none" w:pos="3420" w:val="left"/>
        </w:tabs>
        <w:rPr>
          <w:sz w:val="20"/>
          <w:szCs w:val="20"/>
          <w:color w:val="auto"/>
        </w:rPr>
      </w:pPr>
      <w:r>
        <w:rPr>
          <w:rFonts w:ascii="Arial" w:cs="Arial" w:eastAsia="Arial" w:hAnsi="Arial"/>
          <w:sz w:val="18"/>
          <w:szCs w:val="18"/>
          <w:color w:val="auto"/>
        </w:rPr>
        <w:t>EBIT</w:t>
      </w:r>
      <w:r>
        <w:rPr>
          <w:sz w:val="20"/>
          <w:szCs w:val="20"/>
          <w:color w:val="auto"/>
        </w:rPr>
        <w:tab/>
      </w:r>
      <w:r>
        <w:rPr>
          <w:rFonts w:ascii="Arial" w:cs="Arial" w:eastAsia="Arial" w:hAnsi="Arial"/>
          <w:sz w:val="18"/>
          <w:szCs w:val="18"/>
          <w:color w:val="auto"/>
        </w:rPr>
        <w:t>Earnings before interest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-121920</wp:posOffset>
            </wp:positionV>
            <wp:extent cx="47853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8536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 w:name="page3"/>
    <w:bookmarkEnd w:id="2"/>
    <w:p>
      <w:pPr>
        <w:spacing w:after="0" w:line="53" w:lineRule="exact"/>
        <w:rPr>
          <w:sz w:val="20"/>
          <w:szCs w:val="20"/>
          <w:color w:val="auto"/>
        </w:rPr>
      </w:pPr>
    </w:p>
    <w:tbl>
      <w:tblPr>
        <w:tblLayout w:type="fixed"/>
        <w:tblInd w:w="1932" w:type="dxa"/>
        <w:tblCellMar>
          <w:top w:w="0" w:type="dxa"/>
          <w:left w:w="0" w:type="dxa"/>
          <w:bottom w:w="0" w:type="dxa"/>
          <w:right w:w="0" w:type="dxa"/>
        </w:tblCellMar>
      </w:tblP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6240" w:type="dxa"/>
            <w:vAlign w:val="bottom"/>
          </w:tcPr>
          <w:p>
            <w:pPr>
              <w:ind w:left="200"/>
              <w:spacing w:after="0"/>
              <w:rPr>
                <w:sz w:val="20"/>
                <w:szCs w:val="20"/>
                <w:color w:val="auto"/>
              </w:rPr>
            </w:pPr>
            <w:r>
              <w:rPr>
                <w:rFonts w:ascii="Arial" w:cs="Arial" w:eastAsia="Arial" w:hAnsi="Arial"/>
                <w:sz w:val="18"/>
                <w:szCs w:val="18"/>
                <w:color w:val="auto"/>
              </w:rPr>
              <w:t>Earnings before interest, taxes and depreciation and amortization expense</w:t>
            </w: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Bbl/d</w:t>
            </w: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Barrel per day</w:t>
            </w:r>
          </w:p>
        </w:tc>
      </w:tr>
      <w:tr>
        <w:trPr>
          <w:trHeight w:val="202"/>
        </w:trPr>
        <w:tc>
          <w:tcPr>
            <w:tcW w:w="20" w:type="dxa"/>
            <w:vAlign w:val="bottom"/>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rPr>
              <w:t>Segment Profit</w:t>
            </w:r>
          </w:p>
        </w:tc>
        <w:tc>
          <w:tcPr>
            <w:tcW w:w="6240" w:type="dxa"/>
            <w:vAlign w:val="bottom"/>
          </w:tcPr>
          <w:p>
            <w:pPr>
              <w:ind w:left="200"/>
              <w:spacing w:after="0" w:line="201" w:lineRule="exact"/>
              <w:rPr>
                <w:sz w:val="20"/>
                <w:szCs w:val="20"/>
                <w:color w:val="auto"/>
              </w:rPr>
            </w:pPr>
            <w:r>
              <w:rPr>
                <w:rFonts w:ascii="Arial" w:cs="Arial" w:eastAsia="Arial" w:hAnsi="Arial"/>
                <w:sz w:val="18"/>
                <w:szCs w:val="18"/>
                <w:color w:val="auto"/>
                <w:w w:val="97"/>
              </w:rPr>
              <w:t>Net revenues less purchases, field operating costs, and segment general and</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administrative expenses</w:t>
            </w: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LTIP</w:t>
            </w: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Incentive Plan</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LPG</w:t>
            </w:r>
          </w:p>
        </w:tc>
        <w:tc>
          <w:tcPr>
            <w:tcW w:w="6240" w:type="dxa"/>
            <w:vAlign w:val="bottom"/>
          </w:tcPr>
          <w:p>
            <w:pPr>
              <w:ind w:left="200"/>
              <w:spacing w:after="0"/>
              <w:rPr>
                <w:sz w:val="20"/>
                <w:szCs w:val="20"/>
                <w:color w:val="auto"/>
              </w:rPr>
            </w:pPr>
            <w:r>
              <w:rPr>
                <w:rFonts w:ascii="Arial" w:cs="Arial" w:eastAsia="Arial" w:hAnsi="Arial"/>
                <w:sz w:val="18"/>
                <w:szCs w:val="18"/>
                <w:color w:val="auto"/>
              </w:rPr>
              <w:t>Liquefied petroleum gas and other petroleum products</w:t>
            </w: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FX</w:t>
            </w: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exchange</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GMT&amp;S</w:t>
            </w:r>
          </w:p>
        </w:tc>
        <w:tc>
          <w:tcPr>
            <w:tcW w:w="6240" w:type="dxa"/>
            <w:vAlign w:val="bottom"/>
          </w:tcPr>
          <w:p>
            <w:pPr>
              <w:ind w:left="200"/>
              <w:spacing w:after="0"/>
              <w:rPr>
                <w:sz w:val="20"/>
                <w:szCs w:val="20"/>
                <w:color w:val="auto"/>
              </w:rPr>
            </w:pPr>
            <w:r>
              <w:rPr>
                <w:rFonts w:ascii="Arial" w:cs="Arial" w:eastAsia="Arial" w:hAnsi="Arial"/>
                <w:sz w:val="18"/>
                <w:szCs w:val="18"/>
                <w:color w:val="auto"/>
              </w:rPr>
              <w:t>Gathering, Marketing, Terminalling &amp; Storage</w:t>
            </w:r>
          </w:p>
        </w:tc>
      </w:tr>
    </w:tbl>
    <w:p>
      <w:pPr>
        <w:spacing w:after="0" w:line="241" w:lineRule="exact"/>
        <w:rPr>
          <w:sz w:val="20"/>
          <w:szCs w:val="20"/>
          <w:color w:val="auto"/>
        </w:rPr>
      </w:pPr>
    </w:p>
    <w:p>
      <w:pPr>
        <w:jc w:val="both"/>
        <w:ind w:left="352" w:right="340" w:hanging="352"/>
        <w:spacing w:after="0" w:line="312" w:lineRule="auto"/>
        <w:tabs>
          <w:tab w:leader="none" w:pos="356"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Pipeline Operations. </w:t>
      </w:r>
      <w:r>
        <w:rPr>
          <w:rFonts w:ascii="Arial" w:cs="Arial" w:eastAsia="Arial" w:hAnsi="Arial"/>
          <w:sz w:val="16"/>
          <w:szCs w:val="16"/>
          <w:color w:val="auto"/>
        </w:rPr>
        <w:t>Pipeline volume estimates are based on historical trends, anticipated future operating performance and completion of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growth projects. Volumes are influenced by temporary market-driven storage and withdrawal of oil, maintenance schedules at refineries, production declines and other external factors beyond our control. Actual segment profit could vary materially depending on the level of volumes transported.</w:t>
      </w:r>
    </w:p>
    <w:p>
      <w:pPr>
        <w:spacing w:after="0" w:line="38" w:lineRule="exact"/>
        <w:rPr>
          <w:rFonts w:ascii="Arial" w:cs="Arial" w:eastAsia="Arial" w:hAnsi="Arial"/>
          <w:sz w:val="16"/>
          <w:szCs w:val="16"/>
          <w:color w:val="auto"/>
        </w:rPr>
      </w:pPr>
    </w:p>
    <w:p>
      <w:pPr>
        <w:ind w:left="352"/>
        <w:spacing w:after="0" w:line="279" w:lineRule="auto"/>
        <w:rPr>
          <w:rFonts w:ascii="Arial" w:cs="Arial" w:eastAsia="Arial" w:hAnsi="Arial"/>
          <w:sz w:val="16"/>
          <w:szCs w:val="16"/>
          <w:color w:val="auto"/>
        </w:rPr>
      </w:pPr>
      <w:r>
        <w:rPr>
          <w:rFonts w:ascii="Arial" w:cs="Arial" w:eastAsia="Arial" w:hAnsi="Arial"/>
          <w:sz w:val="17"/>
          <w:szCs w:val="17"/>
          <w:color w:val="auto"/>
        </w:rPr>
        <w:t>For the three month periods ending September 30 and December 31, 2006 projected volumes incorporate assumptions with respect to 1) additional throughput agreements on the Basin and Capline Pipeline Systems, 2) acquisitions of certain assets from BP and Chevron, and 3) higher Canadian volumes primarily due to the purchase of the remaining interest in Cactus Lake Pipeline. Volumes are impacted by a combination of anticipated seasonal demand, acquisitions, recovery of certain volumes impacted by last year’s hurricanes, and natural production declines.</w:t>
      </w:r>
    </w:p>
    <w:p>
      <w:pPr>
        <w:spacing w:after="0" w:line="63" w:lineRule="exact"/>
        <w:rPr>
          <w:rFonts w:ascii="Arial" w:cs="Arial" w:eastAsia="Arial" w:hAnsi="Arial"/>
          <w:sz w:val="16"/>
          <w:szCs w:val="16"/>
          <w:color w:val="auto"/>
        </w:rPr>
      </w:pPr>
    </w:p>
    <w:p>
      <w:pPr>
        <w:ind w:left="352" w:right="640"/>
        <w:spacing w:after="0" w:line="277" w:lineRule="auto"/>
        <w:rPr>
          <w:rFonts w:ascii="Arial" w:cs="Arial" w:eastAsia="Arial" w:hAnsi="Arial"/>
          <w:sz w:val="16"/>
          <w:szCs w:val="16"/>
          <w:color w:val="auto"/>
        </w:rPr>
      </w:pPr>
      <w:r>
        <w:rPr>
          <w:rFonts w:ascii="Arial" w:cs="Arial" w:eastAsia="Arial" w:hAnsi="Arial"/>
          <w:sz w:val="18"/>
          <w:szCs w:val="18"/>
          <w:color w:val="auto"/>
        </w:rPr>
        <w:t>The following table summarizes our total pipeline volumes as well as major systems that are significant either in total volumes transported or in contribution to total pipeline segment profit.</w:t>
      </w:r>
    </w:p>
    <w:p>
      <w:pPr>
        <w:spacing w:after="0" w:line="149" w:lineRule="exact"/>
        <w:rPr>
          <w:sz w:val="20"/>
          <w:szCs w:val="20"/>
          <w:color w:val="auto"/>
        </w:rPr>
      </w:pPr>
    </w:p>
    <w:tbl>
      <w:tblPr>
        <w:tblLayout w:type="fixed"/>
        <w:tblInd w:w="712"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Calendar 2006</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Actual</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Guidance</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2"/>
        </w:trPr>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6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Six Months</w:t>
            </w:r>
          </w:p>
        </w:tc>
        <w:tc>
          <w:tcPr>
            <w:tcW w:w="200" w:type="dxa"/>
            <w:vAlign w:val="bottom"/>
          </w:tcPr>
          <w:p>
            <w:pPr>
              <w:spacing w:after="0"/>
              <w:rPr>
                <w:sz w:val="8"/>
                <w:szCs w:val="8"/>
                <w:color w:val="auto"/>
              </w:rPr>
            </w:pPr>
          </w:p>
        </w:tc>
        <w:tc>
          <w:tcPr>
            <w:tcW w:w="1120" w:type="dxa"/>
            <w:vAlign w:val="bottom"/>
            <w:tcBorders>
              <w:top w:val="single" w:sz="8" w:color="auto"/>
            </w:tcBorders>
            <w:gridSpan w:val="4"/>
          </w:tcPr>
          <w:p>
            <w:pPr>
              <w:jc w:val="center"/>
              <w:ind w:right="200"/>
              <w:spacing w:after="0" w:line="102" w:lineRule="exact"/>
              <w:rPr>
                <w:sz w:val="20"/>
                <w:szCs w:val="20"/>
                <w:color w:val="auto"/>
              </w:rPr>
            </w:pPr>
            <w:r>
              <w:rPr>
                <w:rFonts w:ascii="Arial" w:cs="Arial" w:eastAsia="Arial" w:hAnsi="Arial"/>
                <w:sz w:val="11"/>
                <w:szCs w:val="11"/>
                <w:b w:val="1"/>
                <w:bCs w:val="1"/>
                <w:color w:val="auto"/>
              </w:rPr>
              <w:t>Three Months</w:t>
            </w:r>
          </w:p>
        </w:tc>
        <w:tc>
          <w:tcPr>
            <w:tcW w:w="1160" w:type="dxa"/>
            <w:vAlign w:val="bottom"/>
            <w:tcBorders>
              <w:top w:val="single" w:sz="8" w:color="auto"/>
            </w:tcBorders>
            <w:gridSpan w:val="4"/>
          </w:tcPr>
          <w:p>
            <w:pPr>
              <w:jc w:val="center"/>
              <w:ind w:right="180"/>
              <w:spacing w:after="0" w:line="102" w:lineRule="exact"/>
              <w:rPr>
                <w:sz w:val="20"/>
                <w:szCs w:val="20"/>
                <w:color w:val="auto"/>
              </w:rPr>
            </w:pPr>
            <w:r>
              <w:rPr>
                <w:rFonts w:ascii="Arial" w:cs="Arial" w:eastAsia="Arial" w:hAnsi="Arial"/>
                <w:sz w:val="11"/>
                <w:szCs w:val="11"/>
                <w:b w:val="1"/>
                <w:bCs w:val="1"/>
                <w:color w:val="auto"/>
              </w:rPr>
              <w:t>Three Months</w:t>
            </w:r>
          </w:p>
        </w:tc>
        <w:tc>
          <w:tcPr>
            <w:tcW w:w="106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Twelve Months</w:t>
            </w:r>
          </w:p>
        </w:tc>
        <w:tc>
          <w:tcPr>
            <w:tcW w:w="60" w:type="dxa"/>
            <w:vAlign w:val="bottom"/>
          </w:tcPr>
          <w:p>
            <w:pPr>
              <w:spacing w:after="0"/>
              <w:rPr>
                <w:sz w:val="8"/>
                <w:szCs w:val="8"/>
                <w:color w:val="auto"/>
              </w:rPr>
            </w:pPr>
          </w:p>
        </w:tc>
      </w:tr>
      <w:tr>
        <w:trPr>
          <w:trHeight w:val="135"/>
        </w:trPr>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1"/>
                <w:szCs w:val="11"/>
                <w:color w:val="auto"/>
              </w:rPr>
            </w:pPr>
          </w:p>
        </w:tc>
        <w:tc>
          <w:tcPr>
            <w:tcW w:w="92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92"/>
              </w:rPr>
              <w:t>Ending</w:t>
            </w:r>
          </w:p>
        </w:tc>
        <w:tc>
          <w:tcPr>
            <w:tcW w:w="220" w:type="dxa"/>
            <w:vAlign w:val="bottom"/>
          </w:tcPr>
          <w:p>
            <w:pPr>
              <w:spacing w:after="0"/>
              <w:rPr>
                <w:sz w:val="11"/>
                <w:szCs w:val="11"/>
                <w:color w:val="auto"/>
              </w:rPr>
            </w:pPr>
          </w:p>
        </w:tc>
        <w:tc>
          <w:tcPr>
            <w:tcW w:w="94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96"/>
              </w:rPr>
              <w:t>Ending</w:t>
            </w:r>
          </w:p>
        </w:tc>
        <w:tc>
          <w:tcPr>
            <w:tcW w:w="260" w:type="dxa"/>
            <w:vAlign w:val="bottom"/>
          </w:tcPr>
          <w:p>
            <w:pPr>
              <w:spacing w:after="0"/>
              <w:rPr>
                <w:sz w:val="11"/>
                <w:szCs w:val="11"/>
                <w:color w:val="auto"/>
              </w:rPr>
            </w:pPr>
          </w:p>
        </w:tc>
        <w:tc>
          <w:tcPr>
            <w:tcW w:w="8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Ending</w:t>
            </w:r>
          </w:p>
        </w:tc>
      </w:tr>
      <w:tr>
        <w:trPr>
          <w:trHeight w:val="162"/>
        </w:trPr>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June 30</w:t>
            </w:r>
          </w:p>
        </w:tc>
        <w:tc>
          <w:tcPr>
            <w:tcW w:w="1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w:t>
            </w:r>
          </w:p>
        </w:tc>
        <w:tc>
          <w:tcPr>
            <w:tcW w:w="11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w:t>
            </w:r>
          </w:p>
        </w:tc>
      </w:tr>
      <w:tr>
        <w:trPr>
          <w:trHeight w:val="129"/>
        </w:trPr>
        <w:tc>
          <w:tcPr>
            <w:tcW w:w="1080" w:type="dxa"/>
            <w:vAlign w:val="bottom"/>
          </w:tcPr>
          <w:p>
            <w:pPr>
              <w:spacing w:after="0"/>
              <w:rPr>
                <w:sz w:val="11"/>
                <w:szCs w:val="11"/>
                <w:color w:val="auto"/>
              </w:rPr>
            </w:pPr>
          </w:p>
        </w:tc>
        <w:tc>
          <w:tcPr>
            <w:tcW w:w="348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Average Daily Volumes (000's Bbl/d)</w:t>
            </w: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1080" w:type="dxa"/>
            <w:vAlign w:val="bottom"/>
          </w:tcPr>
          <w:p>
            <w:pPr>
              <w:spacing w:after="0"/>
              <w:rPr>
                <w:sz w:val="12"/>
                <w:szCs w:val="12"/>
                <w:color w:val="auto"/>
              </w:rPr>
            </w:pPr>
          </w:p>
        </w:tc>
        <w:tc>
          <w:tcPr>
            <w:tcW w:w="3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All American</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34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Basin</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3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Capline</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34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Cushing to Broome</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22"/>
        </w:trPr>
        <w:tc>
          <w:tcPr>
            <w:tcW w:w="1080" w:type="dxa"/>
            <w:vAlign w:val="bottom"/>
          </w:tcPr>
          <w:p>
            <w:pPr>
              <w:spacing w:after="0"/>
              <w:rPr>
                <w:sz w:val="10"/>
                <w:szCs w:val="10"/>
                <w:color w:val="auto"/>
              </w:rPr>
            </w:pPr>
          </w:p>
        </w:tc>
        <w:tc>
          <w:tcPr>
            <w:tcW w:w="3480" w:type="dxa"/>
            <w:vAlign w:val="bottom"/>
            <w:gridSpan w:val="2"/>
          </w:tcPr>
          <w:p>
            <w:pPr>
              <w:ind w:left="140"/>
              <w:spacing w:after="0" w:line="122" w:lineRule="exact"/>
              <w:rPr>
                <w:sz w:val="20"/>
                <w:szCs w:val="20"/>
                <w:color w:val="auto"/>
              </w:rPr>
            </w:pPr>
            <w:r>
              <w:rPr>
                <w:rFonts w:ascii="Arial" w:cs="Arial" w:eastAsia="Arial" w:hAnsi="Arial"/>
                <w:sz w:val="14"/>
                <w:szCs w:val="14"/>
                <w:color w:val="auto"/>
              </w:rPr>
              <w:t>North Dakota/Trenton</w:t>
            </w:r>
          </w:p>
        </w:tc>
        <w:tc>
          <w:tcPr>
            <w:tcW w:w="66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85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90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89</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7"/>
        </w:trPr>
        <w:tc>
          <w:tcPr>
            <w:tcW w:w="1080" w:type="dxa"/>
            <w:vAlign w:val="bottom"/>
          </w:tcPr>
          <w:p>
            <w:pPr>
              <w:spacing w:after="0"/>
              <w:rPr>
                <w:sz w:val="13"/>
                <w:szCs w:val="13"/>
                <w:color w:val="auto"/>
              </w:rPr>
            </w:pPr>
          </w:p>
        </w:tc>
        <w:tc>
          <w:tcPr>
            <w:tcW w:w="348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West Texas / New Mexico area systems</w:t>
            </w:r>
            <w:r>
              <w:rPr>
                <w:rFonts w:ascii="Arial" w:cs="Arial" w:eastAsia="Arial" w:hAnsi="Arial"/>
                <w:sz w:val="17"/>
                <w:szCs w:val="17"/>
                <w:color w:val="auto"/>
                <w:vertAlign w:val="superscript"/>
              </w:rPr>
              <w:t>(1)</w:t>
            </w:r>
          </w:p>
        </w:tc>
        <w:tc>
          <w:tcPr>
            <w:tcW w:w="6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460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397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396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428</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7"/>
        </w:trPr>
        <w:tc>
          <w:tcPr>
            <w:tcW w:w="1080" w:type="dxa"/>
            <w:vAlign w:val="bottom"/>
          </w:tcPr>
          <w:p>
            <w:pPr>
              <w:spacing w:after="0"/>
              <w:rPr>
                <w:sz w:val="14"/>
                <w:szCs w:val="14"/>
                <w:color w:val="auto"/>
              </w:rPr>
            </w:pPr>
          </w:p>
        </w:tc>
        <w:tc>
          <w:tcPr>
            <w:tcW w:w="3480" w:type="dxa"/>
            <w:vAlign w:val="bottom"/>
            <w:gridSpan w:val="2"/>
          </w:tcPr>
          <w:p>
            <w:pPr>
              <w:ind w:left="140"/>
              <w:spacing w:after="0"/>
              <w:rPr>
                <w:sz w:val="20"/>
                <w:szCs w:val="20"/>
                <w:color w:val="auto"/>
              </w:rPr>
            </w:pPr>
            <w:r>
              <w:rPr>
                <w:rFonts w:ascii="Arial" w:cs="Arial" w:eastAsia="Arial" w:hAnsi="Arial"/>
                <w:sz w:val="14"/>
                <w:szCs w:val="14"/>
                <w:color w:val="auto"/>
              </w:rPr>
              <w:t>Canada</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262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256</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080" w:type="dxa"/>
            <w:vAlign w:val="bottom"/>
          </w:tcPr>
          <w:p>
            <w:pPr>
              <w:spacing w:after="0"/>
              <w:rPr>
                <w:sz w:val="12"/>
                <w:szCs w:val="12"/>
                <w:color w:val="auto"/>
              </w:rPr>
            </w:pPr>
          </w:p>
        </w:tc>
        <w:tc>
          <w:tcPr>
            <w:tcW w:w="34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(3)(4)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2"/>
        </w:trPr>
        <w:tc>
          <w:tcPr>
            <w:tcW w:w="1080" w:type="dxa"/>
            <w:vAlign w:val="bottom"/>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1,908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2,157</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2,159</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2,032</w:t>
            </w:r>
          </w:p>
        </w:tc>
        <w:tc>
          <w:tcPr>
            <w:tcW w:w="2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102"/>
        </w:trPr>
        <w:tc>
          <w:tcPr>
            <w:tcW w:w="1080" w:type="dxa"/>
            <w:vAlign w:val="bottom"/>
          </w:tcPr>
          <w:p>
            <w:pPr>
              <w:spacing w:after="0"/>
              <w:rPr>
                <w:sz w:val="8"/>
                <w:szCs w:val="8"/>
                <w:color w:val="auto"/>
              </w:rPr>
            </w:pPr>
          </w:p>
        </w:tc>
        <w:tc>
          <w:tcPr>
            <w:tcW w:w="348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Segment Profit—$/Bbl</w:t>
            </w: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89"/>
        </w:trPr>
        <w:tc>
          <w:tcPr>
            <w:tcW w:w="1080" w:type="dxa"/>
            <w:vAlign w:val="bottom"/>
          </w:tcPr>
          <w:p>
            <w:pPr>
              <w:spacing w:after="0"/>
              <w:rPr>
                <w:sz w:val="16"/>
                <w:szCs w:val="16"/>
                <w:color w:val="auto"/>
              </w:rPr>
            </w:pPr>
          </w:p>
        </w:tc>
        <w:tc>
          <w:tcPr>
            <w:tcW w:w="3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As Reported/Guidance</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right"/>
              <w:ind w:right="44"/>
              <w:spacing w:after="0" w:line="149" w:lineRule="exact"/>
              <w:rPr>
                <w:sz w:val="20"/>
                <w:szCs w:val="20"/>
                <w:color w:val="auto"/>
              </w:rPr>
            </w:pPr>
            <w:r>
              <w:rPr>
                <w:rFonts w:ascii="Arial" w:cs="Arial" w:eastAsia="Arial" w:hAnsi="Arial"/>
                <w:sz w:val="14"/>
                <w:szCs w:val="14"/>
                <w:color w:val="auto"/>
              </w:rPr>
              <w:t>$0.242</w:t>
            </w:r>
            <w:r>
              <w:rPr>
                <w:rFonts w:ascii="Arial" w:cs="Arial" w:eastAsia="Arial" w:hAnsi="Arial"/>
                <w:sz w:val="8"/>
                <w:szCs w:val="8"/>
                <w:color w:val="auto"/>
              </w:rPr>
              <w:t>(2)</w:t>
            </w:r>
          </w:p>
        </w:tc>
        <w:tc>
          <w:tcPr>
            <w:tcW w:w="180" w:type="dxa"/>
            <w:vAlign w:val="bottom"/>
          </w:tcPr>
          <w:p>
            <w:pPr>
              <w:spacing w:after="0"/>
              <w:rPr>
                <w:sz w:val="16"/>
                <w:szCs w:val="16"/>
                <w:color w:val="auto"/>
              </w:rPr>
            </w:pPr>
          </w:p>
        </w:tc>
        <w:tc>
          <w:tcPr>
            <w:tcW w:w="980" w:type="dxa"/>
            <w:vAlign w:val="bottom"/>
            <w:gridSpan w:val="3"/>
          </w:tcPr>
          <w:p>
            <w:pPr>
              <w:jc w:val="right"/>
              <w:ind w:right="81"/>
              <w:spacing w:after="0" w:line="149" w:lineRule="exact"/>
              <w:rPr>
                <w:sz w:val="20"/>
                <w:szCs w:val="20"/>
                <w:color w:val="auto"/>
              </w:rPr>
            </w:pPr>
            <w:r>
              <w:rPr>
                <w:rFonts w:ascii="Arial" w:cs="Arial" w:eastAsia="Arial" w:hAnsi="Arial"/>
                <w:sz w:val="14"/>
                <w:szCs w:val="14"/>
                <w:color w:val="auto"/>
              </w:rPr>
              <w:t>$0.245</w:t>
            </w:r>
            <w:r>
              <w:rPr>
                <w:rFonts w:ascii="Arial" w:cs="Arial" w:eastAsia="Arial" w:hAnsi="Arial"/>
                <w:sz w:val="8"/>
                <w:szCs w:val="8"/>
                <w:color w:val="auto"/>
              </w:rPr>
              <w:t>(2)</w:t>
            </w:r>
          </w:p>
        </w:tc>
        <w:tc>
          <w:tcPr>
            <w:tcW w:w="180" w:type="dxa"/>
            <w:vAlign w:val="bottom"/>
          </w:tcPr>
          <w:p>
            <w:pPr>
              <w:spacing w:after="0"/>
              <w:rPr>
                <w:sz w:val="16"/>
                <w:szCs w:val="16"/>
                <w:color w:val="auto"/>
              </w:rPr>
            </w:pPr>
          </w:p>
        </w:tc>
        <w:tc>
          <w:tcPr>
            <w:tcW w:w="1060" w:type="dxa"/>
            <w:vAlign w:val="bottom"/>
            <w:gridSpan w:val="3"/>
          </w:tcPr>
          <w:p>
            <w:pPr>
              <w:jc w:val="right"/>
              <w:ind w:right="101"/>
              <w:spacing w:after="0" w:line="149" w:lineRule="exact"/>
              <w:rPr>
                <w:sz w:val="20"/>
                <w:szCs w:val="20"/>
                <w:color w:val="auto"/>
              </w:rPr>
            </w:pPr>
            <w:r>
              <w:rPr>
                <w:rFonts w:ascii="Arial" w:cs="Arial" w:eastAsia="Arial" w:hAnsi="Arial"/>
                <w:sz w:val="14"/>
                <w:szCs w:val="14"/>
                <w:color w:val="auto"/>
              </w:rPr>
              <w:t>$0.253</w:t>
            </w:r>
            <w:r>
              <w:rPr>
                <w:rFonts w:ascii="Arial" w:cs="Arial" w:eastAsia="Arial" w:hAnsi="Arial"/>
                <w:sz w:val="8"/>
                <w:szCs w:val="8"/>
                <w:color w:val="auto"/>
              </w:rPr>
              <w:t>(2)</w:t>
            </w:r>
          </w:p>
        </w:tc>
        <w:tc>
          <w:tcPr>
            <w:tcW w:w="60" w:type="dxa"/>
            <w:vAlign w:val="bottom"/>
          </w:tcPr>
          <w:p>
            <w:pPr>
              <w:spacing w:after="0"/>
              <w:rPr>
                <w:sz w:val="16"/>
                <w:szCs w:val="16"/>
                <w:color w:val="auto"/>
              </w:rPr>
            </w:pPr>
          </w:p>
        </w:tc>
      </w:tr>
      <w:tr>
        <w:trPr>
          <w:trHeight w:val="129"/>
        </w:trPr>
        <w:tc>
          <w:tcPr>
            <w:tcW w:w="1080" w:type="dxa"/>
            <w:vAlign w:val="bottom"/>
          </w:tcPr>
          <w:p>
            <w:pPr>
              <w:spacing w:after="0"/>
              <w:rPr>
                <w:sz w:val="11"/>
                <w:szCs w:val="11"/>
                <w:color w:val="auto"/>
              </w:rPr>
            </w:pPr>
          </w:p>
        </w:tc>
        <w:tc>
          <w:tcPr>
            <w:tcW w:w="3480" w:type="dxa"/>
            <w:vAlign w:val="bottom"/>
            <w:tcBorders>
              <w:top w:val="single" w:sz="8" w:color="CCEEFF"/>
              <w:bottom w:val="single" w:sz="8" w:color="CCEEFF"/>
            </w:tcBorders>
            <w:gridSpan w:val="2"/>
            <w:shd w:val="clear" w:color="auto" w:fill="CCEEFF"/>
          </w:tcPr>
          <w:p>
            <w:pPr>
              <w:ind w:left="140"/>
              <w:spacing w:after="0" w:line="129" w:lineRule="exact"/>
              <w:rPr>
                <w:sz w:val="20"/>
                <w:szCs w:val="20"/>
                <w:color w:val="auto"/>
              </w:rPr>
            </w:pPr>
            <w:r>
              <w:rPr>
                <w:rFonts w:ascii="Arial" w:cs="Arial" w:eastAsia="Arial" w:hAnsi="Arial"/>
                <w:sz w:val="14"/>
                <w:szCs w:val="14"/>
                <w:color w:val="auto"/>
              </w:rPr>
              <w:t>Excluding Selected Items Impacting Comparability</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$0.285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$0.262</w:t>
            </w:r>
          </w:p>
        </w:tc>
        <w:tc>
          <w:tcPr>
            <w:tcW w:w="200" w:type="dxa"/>
            <w:vAlign w:val="bottom"/>
            <w:tcBorders>
              <w:top w:val="single" w:sz="8" w:color="CCEEFF"/>
              <w:bottom w:val="single" w:sz="8" w:color="CCEEFF"/>
            </w:tcBorders>
            <w:shd w:val="clear" w:color="auto" w:fill="CCEEFF"/>
          </w:tcPr>
          <w:p>
            <w:pPr>
              <w:spacing w:after="0" w:line="74" w:lineRule="exact"/>
              <w:rPr>
                <w:sz w:val="20"/>
                <w:szCs w:val="20"/>
                <w:color w:val="auto"/>
              </w:rPr>
            </w:pPr>
            <w:r>
              <w:rPr>
                <w:rFonts w:ascii="Arial" w:cs="Arial" w:eastAsia="Arial" w:hAnsi="Arial"/>
                <w:sz w:val="8"/>
                <w:szCs w:val="8"/>
                <w:color w:val="auto"/>
              </w:rPr>
              <w:t>(2)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$0.265</w:t>
            </w:r>
          </w:p>
        </w:tc>
        <w:tc>
          <w:tcPr>
            <w:tcW w:w="220" w:type="dxa"/>
            <w:vAlign w:val="bottom"/>
            <w:tcBorders>
              <w:top w:val="single" w:sz="8" w:color="CCEEFF"/>
              <w:bottom w:val="single" w:sz="8" w:color="CCEEFF"/>
            </w:tcBorders>
            <w:shd w:val="clear" w:color="auto" w:fill="CCEEFF"/>
          </w:tcPr>
          <w:p>
            <w:pPr>
              <w:jc w:val="right"/>
              <w:ind w:right="81"/>
              <w:spacing w:after="0" w:line="74" w:lineRule="exact"/>
              <w:rPr>
                <w:sz w:val="20"/>
                <w:szCs w:val="20"/>
                <w:color w:val="auto"/>
              </w:rPr>
            </w:pPr>
            <w:r>
              <w:rPr>
                <w:rFonts w:ascii="Arial" w:cs="Arial" w:eastAsia="Arial" w:hAnsi="Arial"/>
                <w:sz w:val="8"/>
                <w:szCs w:val="8"/>
                <w:color w:val="auto"/>
                <w:w w:val="81"/>
              </w:rPr>
              <w:t>(2)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$0.274</w:t>
            </w:r>
          </w:p>
        </w:tc>
        <w:tc>
          <w:tcPr>
            <w:tcW w:w="240" w:type="dxa"/>
            <w:vAlign w:val="bottom"/>
            <w:tcBorders>
              <w:top w:val="single" w:sz="8" w:color="CCEEFF"/>
              <w:bottom w:val="single" w:sz="8" w:color="CCEEFF"/>
            </w:tcBorders>
            <w:shd w:val="clear" w:color="auto" w:fill="CCEEFF"/>
          </w:tcPr>
          <w:p>
            <w:pPr>
              <w:jc w:val="right"/>
              <w:ind w:right="101"/>
              <w:spacing w:after="0" w:line="74" w:lineRule="exact"/>
              <w:rPr>
                <w:sz w:val="20"/>
                <w:szCs w:val="20"/>
                <w:color w:val="auto"/>
              </w:rPr>
            </w:pPr>
            <w:r>
              <w:rPr>
                <w:rFonts w:ascii="Arial" w:cs="Arial" w:eastAsia="Arial" w:hAnsi="Arial"/>
                <w:sz w:val="8"/>
                <w:szCs w:val="8"/>
                <w:color w:val="auto"/>
                <w:w w:val="81"/>
              </w:rPr>
              <w:t>(2)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
        </w:trPr>
        <w:tc>
          <w:tcPr>
            <w:tcW w:w="10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-805180</wp:posOffset>
            </wp:positionV>
            <wp:extent cx="4982845"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82845" cy="94615"/>
                    </a:xfrm>
                    <a:prstGeom prst="rect">
                      <a:avLst/>
                    </a:prstGeom>
                    <a:noFill/>
                  </pic:spPr>
                </pic:pic>
              </a:graphicData>
            </a:graphic>
          </wp:anchor>
        </w:drawing>
      </w:r>
    </w:p>
    <w:p>
      <w:pPr>
        <w:spacing w:after="0" w:line="69" w:lineRule="exact"/>
        <w:rPr>
          <w:sz w:val="20"/>
          <w:szCs w:val="20"/>
          <w:color w:val="auto"/>
        </w:rPr>
      </w:pPr>
    </w:p>
    <w:p>
      <w:pPr>
        <w:ind w:left="672" w:hanging="312"/>
        <w:spacing w:after="0"/>
        <w:tabs>
          <w:tab w:leader="none" w:pos="67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aggregate of multiple systems in the West Texas / New Mexico area.</w:t>
      </w:r>
    </w:p>
    <w:p>
      <w:pPr>
        <w:ind w:left="672" w:hanging="312"/>
        <w:spacing w:after="0" w:line="221" w:lineRule="auto"/>
        <w:tabs>
          <w:tab w:leader="none" w:pos="672" w:val="left"/>
        </w:tabs>
        <w:numPr>
          <w:ilvl w:val="0"/>
          <w:numId w:val="6"/>
        </w:numPr>
        <w:rPr>
          <w:rFonts w:ascii="Arial" w:cs="Arial" w:eastAsia="Arial" w:hAnsi="Arial"/>
          <w:sz w:val="14"/>
          <w:szCs w:val="14"/>
          <w:color w:val="auto"/>
        </w:rPr>
      </w:pPr>
      <w:r>
        <w:rPr>
          <w:rFonts w:ascii="Arial" w:cs="Arial" w:eastAsia="Arial" w:hAnsi="Arial"/>
          <w:sz w:val="14"/>
          <w:szCs w:val="14"/>
          <w:color w:val="auto"/>
        </w:rPr>
        <w:t>Mid-point of guidance.</w:t>
      </w:r>
    </w:p>
    <w:p>
      <w:pPr>
        <w:ind w:left="692" w:hanging="332"/>
        <w:spacing w:after="0" w:line="221" w:lineRule="auto"/>
        <w:tabs>
          <w:tab w:leader="none" w:pos="692"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approximately 150,000 Bbl/d and 35,000 Bbl/d related to assets purchased from BP effective July 1, 2006 and July 31, 2006, respectively.</w:t>
      </w:r>
    </w:p>
    <w:p>
      <w:pPr>
        <w:ind w:left="672" w:hanging="312"/>
        <w:spacing w:after="0"/>
        <w:tabs>
          <w:tab w:leader="none" w:pos="672"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approximately 40,000 Bbl/d related to assets we have agreed to purchase from Chevron Pipe Line Company with an estimated effective date of August 31, 2006.</w:t>
      </w:r>
    </w:p>
    <w:p>
      <w:pPr>
        <w:spacing w:after="0" w:line="200" w:lineRule="exact"/>
        <w:rPr>
          <w:sz w:val="20"/>
          <w:szCs w:val="20"/>
          <w:color w:val="auto"/>
        </w:rPr>
      </w:pPr>
    </w:p>
    <w:p>
      <w:pPr>
        <w:spacing w:after="0" w:line="21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2"/>
        <w:spacing w:after="0" w:line="257" w:lineRule="auto"/>
        <w:rPr>
          <w:sz w:val="20"/>
          <w:szCs w:val="20"/>
          <w:color w:val="auto"/>
        </w:rPr>
      </w:pPr>
      <w:r>
        <w:rPr>
          <w:rFonts w:ascii="Arial" w:cs="Arial" w:eastAsia="Arial" w:hAnsi="Arial"/>
          <w:sz w:val="18"/>
          <w:szCs w:val="18"/>
          <w:color w:val="auto"/>
        </w:rPr>
        <w:t>Segment profit is forecast using the volume assumptions in the table above, priced at tariff rates currently received, with adjustments where appropriate for estimated escalation in certain rates as allowed by contractual terms, less estimated field operating costs and G&amp;A expenses. Field operating costs do not include depreciation. Effective July 1, 2006, common carrier tariffs are permitted to escalate approximately 6.15% in accordance with FERC regulated guidelines. However, in certain instances, contractual arrangements or market forces may not allow us to realize the benefit of these permitted increases.</w:t>
      </w:r>
    </w:p>
    <w:p>
      <w:pPr>
        <w:spacing w:after="0" w:line="80" w:lineRule="exact"/>
        <w:rPr>
          <w:sz w:val="20"/>
          <w:szCs w:val="20"/>
          <w:color w:val="auto"/>
        </w:rPr>
      </w:pPr>
    </w:p>
    <w:p>
      <w:pPr>
        <w:ind w:left="352" w:right="620"/>
        <w:spacing w:after="0" w:line="277" w:lineRule="auto"/>
        <w:rPr>
          <w:sz w:val="20"/>
          <w:szCs w:val="20"/>
          <w:color w:val="auto"/>
        </w:rPr>
      </w:pPr>
      <w:r>
        <w:rPr>
          <w:rFonts w:ascii="Arial" w:cs="Arial" w:eastAsia="Arial" w:hAnsi="Arial"/>
          <w:sz w:val="18"/>
          <w:szCs w:val="18"/>
          <w:color w:val="auto"/>
        </w:rPr>
        <w:t>To illustrate the impact volume changes may have on segment profit, the following table provides a volume sensitivity analysis of three systems representing approximately 27% of total pipeline net revenues.</w:t>
      </w:r>
    </w:p>
    <w:p>
      <w:pPr>
        <w:spacing w:after="0" w:line="41" w:lineRule="exact"/>
        <w:rPr>
          <w:sz w:val="20"/>
          <w:szCs w:val="20"/>
          <w:color w:val="auto"/>
        </w:rPr>
      </w:pPr>
    </w:p>
    <w:tbl>
      <w:tblPr>
        <w:tblLayout w:type="fixed"/>
        <w:tblInd w:w="2172" w:type="dxa"/>
        <w:tblCellMar>
          <w:top w:w="0" w:type="dxa"/>
          <w:left w:w="0" w:type="dxa"/>
          <w:bottom w:w="0" w:type="dxa"/>
          <w:right w:w="0" w:type="dxa"/>
        </w:tblCellMar>
      </w:tblPr>
      <w:tr>
        <w:trPr>
          <w:trHeight w:val="171"/>
        </w:trPr>
        <w:tc>
          <w:tcPr>
            <w:tcW w:w="17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Volume Sensitivity Analysis</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Incr (Decr)</w:t>
            </w:r>
          </w:p>
        </w:tc>
        <w:tc>
          <w:tcPr>
            <w:tcW w:w="72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 of</w:t>
            </w:r>
          </w:p>
        </w:tc>
        <w:tc>
          <w:tcPr>
            <w:tcW w:w="10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Incr (Decr)</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System</w:t>
            </w:r>
          </w:p>
        </w:tc>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System</w:t>
            </w:r>
          </w:p>
        </w:tc>
        <w:tc>
          <w:tcPr>
            <w:tcW w:w="10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in Annualized</w:t>
            </w:r>
          </w:p>
        </w:tc>
        <w:tc>
          <w:tcPr>
            <w:tcW w:w="0" w:type="dxa"/>
            <w:vAlign w:val="bottom"/>
          </w:tcPr>
          <w:p>
            <w:pPr>
              <w:spacing w:after="0"/>
              <w:rPr>
                <w:sz w:val="1"/>
                <w:szCs w:val="1"/>
                <w:color w:val="auto"/>
              </w:rPr>
            </w:pPr>
          </w:p>
        </w:tc>
      </w:tr>
      <w:tr>
        <w:trPr>
          <w:trHeight w:val="162"/>
        </w:trPr>
        <w:tc>
          <w:tcPr>
            <w:tcW w:w="1720" w:type="dxa"/>
            <w:vAlign w:val="bottom"/>
            <w:vMerge w:val="continue"/>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 Volume</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Segment Profit</w:t>
            </w:r>
          </w:p>
        </w:tc>
        <w:tc>
          <w:tcPr>
            <w:tcW w:w="0" w:type="dxa"/>
            <w:vAlign w:val="bottom"/>
          </w:tcPr>
          <w:p>
            <w:pPr>
              <w:spacing w:after="0"/>
              <w:rPr>
                <w:sz w:val="1"/>
                <w:szCs w:val="1"/>
                <w:color w:val="auto"/>
              </w:rPr>
            </w:pPr>
          </w:p>
        </w:tc>
      </w:tr>
      <w:tr>
        <w:trPr>
          <w:trHeight w:val="129"/>
        </w:trPr>
        <w:tc>
          <w:tcPr>
            <w:tcW w:w="1720" w:type="dxa"/>
            <w:vAlign w:val="bottom"/>
            <w:tcBorders>
              <w:top w:val="single" w:sz="8" w:color="auto"/>
            </w:tcBorders>
          </w:tcPr>
          <w:p>
            <w:pPr>
              <w:spacing w:after="0"/>
              <w:rPr>
                <w:sz w:val="11"/>
                <w:szCs w:val="11"/>
                <w:color w:val="auto"/>
              </w:rPr>
            </w:pPr>
          </w:p>
        </w:tc>
        <w:tc>
          <w:tcPr>
            <w:tcW w:w="23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(Bbls/d)</w:t>
            </w: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(in millions)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All American</w:t>
            </w:r>
          </w:p>
        </w:tc>
        <w:tc>
          <w:tcPr>
            <w:tcW w:w="33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$3.6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20"/>
                <w:szCs w:val="20"/>
                <w:color w:val="auto"/>
              </w:rPr>
            </w:pPr>
            <w:r>
              <w:rPr>
                <w:rFonts w:ascii="Arial" w:cs="Arial" w:eastAsia="Arial" w:hAnsi="Arial"/>
                <w:sz w:val="14"/>
                <w:szCs w:val="14"/>
                <w:color w:val="auto"/>
              </w:rPr>
              <w:t>Basin</w:t>
            </w:r>
          </w:p>
        </w:tc>
        <w:tc>
          <w:tcPr>
            <w:tcW w:w="3340" w:type="dxa"/>
            <w:vAlign w:val="bottom"/>
            <w:gridSpan w:val="3"/>
          </w:tcPr>
          <w:p>
            <w:pPr>
              <w:jc w:val="right"/>
              <w:ind w:right="108"/>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1040" w:type="dxa"/>
            <w:vAlign w:val="bottom"/>
          </w:tcPr>
          <w:p>
            <w:pPr>
              <w:jc w:val="right"/>
              <w:ind w:right="310"/>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Capline</w:t>
            </w:r>
          </w:p>
        </w:tc>
        <w:tc>
          <w:tcPr>
            <w:tcW w:w="33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10,000</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52" w:hanging="352"/>
        <w:spacing w:after="0" w:line="273" w:lineRule="auto"/>
        <w:tabs>
          <w:tab w:leader="none" w:pos="35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Gathering, Marketing, Terminalling and Storage Operations</w:t>
      </w:r>
      <w:r>
        <w:rPr>
          <w:rFonts w:ascii="Arial" w:cs="Arial" w:eastAsia="Arial" w:hAnsi="Arial"/>
          <w:sz w:val="17"/>
          <w:szCs w:val="17"/>
          <w:color w:val="auto"/>
        </w:rPr>
        <w:t>. The level of profit in the GMT&amp;S segment is influenced by overall market structure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degree of volatility in the crude oil market as well as variable operating expenses. Operating results for the three month periods ending September 30 and December 31, 2006 reflect an expected continuation of the current contango market and favorable market conditions generally consistent with the conditions experienced over most of 2005 and 2006 to date, although not quite as favorable as market conditions in the first six months of 2006. These market conditions are considered favorable relative to our asset base and business model. Unexpected changes in market structure or volatility (or lack thereof) could cause actual results to differ materially from forecasted results.</w:t>
      </w:r>
    </w:p>
    <w:p>
      <w:pPr>
        <w:spacing w:after="0" w:line="76" w:lineRule="exact"/>
        <w:rPr>
          <w:sz w:val="20"/>
          <w:szCs w:val="20"/>
          <w:color w:val="auto"/>
        </w:rPr>
      </w:pPr>
    </w:p>
    <w:tbl>
      <w:tblPr>
        <w:tblLayout w:type="fixed"/>
        <w:tblInd w:w="372"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Calendar 2006</w:t>
            </w: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00" w:type="dxa"/>
            <w:vAlign w:val="bottom"/>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Actual</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4"/>
          </w:tcPr>
          <w:p>
            <w:pPr>
              <w:ind w:left="180"/>
              <w:spacing w:after="0" w:line="142" w:lineRule="exact"/>
              <w:rPr>
                <w:sz w:val="20"/>
                <w:szCs w:val="20"/>
                <w:color w:val="auto"/>
              </w:rPr>
            </w:pPr>
            <w:r>
              <w:rPr>
                <w:rFonts w:ascii="Arial" w:cs="Arial" w:eastAsia="Arial" w:hAnsi="Arial"/>
                <w:sz w:val="14"/>
                <w:szCs w:val="14"/>
                <w:b w:val="1"/>
                <w:bCs w:val="1"/>
                <w:color w:val="auto"/>
              </w:rPr>
              <w:t>Guidance</w:t>
            </w:r>
            <w:r>
              <w:rPr>
                <w:rFonts w:ascii="Arial" w:cs="Arial" w:eastAsia="Arial" w:hAnsi="Arial"/>
                <w:sz w:val="8"/>
                <w:szCs w:val="8"/>
                <w:b w:val="1"/>
                <w:bCs w:val="1"/>
                <w:color w:val="auto"/>
              </w:rPr>
              <w:t>(1)</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760" w:type="dxa"/>
            <w:vAlign w:val="bottom"/>
            <w:tcBorders>
              <w:top w:val="single" w:sz="8" w:color="auto"/>
            </w:tcBorders>
            <w:gridSpan w:val="3"/>
          </w:tcPr>
          <w:p>
            <w:pPr>
              <w:jc w:val="center"/>
              <w:ind w:right="20"/>
              <w:spacing w:after="0" w:line="102" w:lineRule="exact"/>
              <w:rPr>
                <w:sz w:val="20"/>
                <w:szCs w:val="20"/>
                <w:color w:val="auto"/>
              </w:rPr>
            </w:pPr>
            <w:r>
              <w:rPr>
                <w:rFonts w:ascii="Arial" w:cs="Arial" w:eastAsia="Arial" w:hAnsi="Arial"/>
                <w:sz w:val="11"/>
                <w:szCs w:val="11"/>
                <w:b w:val="1"/>
                <w:bCs w:val="1"/>
                <w:color w:val="auto"/>
              </w:rPr>
              <w:t>Six Months</w:t>
            </w:r>
          </w:p>
        </w:tc>
        <w:tc>
          <w:tcPr>
            <w:tcW w:w="140" w:type="dxa"/>
            <w:vAlign w:val="bottom"/>
          </w:tcPr>
          <w:p>
            <w:pPr>
              <w:spacing w:after="0"/>
              <w:rPr>
                <w:sz w:val="8"/>
                <w:szCs w:val="8"/>
                <w:color w:val="auto"/>
              </w:rPr>
            </w:pPr>
          </w:p>
        </w:tc>
        <w:tc>
          <w:tcPr>
            <w:tcW w:w="1100" w:type="dxa"/>
            <w:vAlign w:val="bottom"/>
            <w:tcBorders>
              <w:top w:val="single" w:sz="8" w:color="auto"/>
            </w:tcBorders>
            <w:gridSpan w:val="4"/>
          </w:tcPr>
          <w:p>
            <w:pPr>
              <w:jc w:val="center"/>
              <w:ind w:right="140"/>
              <w:spacing w:after="0" w:line="102" w:lineRule="exact"/>
              <w:rPr>
                <w:sz w:val="20"/>
                <w:szCs w:val="20"/>
                <w:color w:val="auto"/>
              </w:rPr>
            </w:pPr>
            <w:r>
              <w:rPr>
                <w:rFonts w:ascii="Arial" w:cs="Arial" w:eastAsia="Arial" w:hAnsi="Arial"/>
                <w:sz w:val="11"/>
                <w:szCs w:val="11"/>
                <w:b w:val="1"/>
                <w:bCs w:val="1"/>
                <w:color w:val="auto"/>
              </w:rPr>
              <w:t>Three Months</w:t>
            </w:r>
          </w:p>
        </w:tc>
        <w:tc>
          <w:tcPr>
            <w:tcW w:w="1120" w:type="dxa"/>
            <w:vAlign w:val="bottom"/>
            <w:tcBorders>
              <w:top w:val="single" w:sz="8" w:color="auto"/>
            </w:tcBorders>
            <w:gridSpan w:val="4"/>
          </w:tcPr>
          <w:p>
            <w:pPr>
              <w:jc w:val="center"/>
              <w:ind w:right="160"/>
              <w:spacing w:after="0" w:line="102" w:lineRule="exact"/>
              <w:rPr>
                <w:sz w:val="20"/>
                <w:szCs w:val="20"/>
                <w:color w:val="auto"/>
              </w:rPr>
            </w:pPr>
            <w:r>
              <w:rPr>
                <w:rFonts w:ascii="Arial" w:cs="Arial" w:eastAsia="Arial" w:hAnsi="Arial"/>
                <w:sz w:val="11"/>
                <w:szCs w:val="11"/>
                <w:b w:val="1"/>
                <w:bCs w:val="1"/>
                <w:color w:val="auto"/>
              </w:rPr>
              <w:t>Three Months</w:t>
            </w:r>
          </w:p>
        </w:tc>
        <w:tc>
          <w:tcPr>
            <w:tcW w:w="1040" w:type="dxa"/>
            <w:vAlign w:val="bottom"/>
            <w:tcBorders>
              <w:top w:val="single" w:sz="8" w:color="auto"/>
            </w:tcBorders>
            <w:gridSpan w:val="3"/>
          </w:tcPr>
          <w:p>
            <w:pPr>
              <w:jc w:val="center"/>
              <w:ind w:right="20"/>
              <w:spacing w:after="0" w:line="102" w:lineRule="exact"/>
              <w:rPr>
                <w:sz w:val="20"/>
                <w:szCs w:val="20"/>
                <w:color w:val="auto"/>
              </w:rPr>
            </w:pPr>
            <w:r>
              <w:rPr>
                <w:rFonts w:ascii="Arial" w:cs="Arial" w:eastAsia="Arial" w:hAnsi="Arial"/>
                <w:sz w:val="11"/>
                <w:szCs w:val="11"/>
                <w:b w:val="1"/>
                <w:bCs w:val="1"/>
                <w:color w:val="auto"/>
              </w:rPr>
              <w:t>Twelve Months</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90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Ending</w:t>
            </w:r>
          </w:p>
        </w:tc>
        <w:tc>
          <w:tcPr>
            <w:tcW w:w="112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Ending</w:t>
            </w:r>
          </w:p>
        </w:tc>
        <w:tc>
          <w:tcPr>
            <w:tcW w:w="112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June 30</w:t>
            </w: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December 31</w:t>
            </w:r>
          </w:p>
        </w:tc>
        <w:tc>
          <w:tcPr>
            <w:tcW w:w="1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29"/>
        </w:trPr>
        <w:tc>
          <w:tcPr>
            <w:tcW w:w="1800" w:type="dxa"/>
            <w:vAlign w:val="bottom"/>
          </w:tcPr>
          <w:p>
            <w:pPr>
              <w:spacing w:after="0"/>
              <w:rPr>
                <w:sz w:val="11"/>
                <w:szCs w:val="11"/>
                <w:color w:val="auto"/>
              </w:rPr>
            </w:pPr>
          </w:p>
        </w:tc>
        <w:tc>
          <w:tcPr>
            <w:tcW w:w="282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Average Daily Volumes (000’s Bbl/d)</w:t>
            </w:r>
          </w:p>
        </w:tc>
        <w:tc>
          <w:tcPr>
            <w:tcW w:w="2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Crude Oil Lease Gathering</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LPG</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Waterborne Foreign Crude Imported</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24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775</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816</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774</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 Profit—$/Bbl</w:t>
            </w: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00" w:type="dxa"/>
            <w:vAlign w:val="bottom"/>
          </w:tcPr>
          <w:p>
            <w:pPr>
              <w:spacing w:after="0"/>
              <w:rPr>
                <w:sz w:val="14"/>
                <w:szCs w:val="14"/>
                <w:color w:val="auto"/>
              </w:rPr>
            </w:pPr>
          </w:p>
        </w:tc>
        <w:tc>
          <w:tcPr>
            <w:tcW w:w="2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As Reported/Guidance</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$0.87</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$0.79</w:t>
            </w:r>
            <w:r>
              <w:rPr>
                <w:rFonts w:ascii="Arial" w:cs="Arial" w:eastAsia="Arial" w:hAnsi="Arial"/>
                <w:sz w:val="17"/>
                <w:szCs w:val="17"/>
                <w:color w:val="auto"/>
                <w:vertAlign w:val="superscript"/>
              </w:rPr>
              <w:t>(1)</w:t>
            </w:r>
          </w:p>
        </w:tc>
        <w:tc>
          <w:tcPr>
            <w:tcW w:w="1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$0.86</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820" w:type="dxa"/>
            <w:vAlign w:val="bottom"/>
            <w:tcBorders>
              <w:top w:val="single" w:sz="8" w:color="CCEEFF"/>
              <w:bottom w:val="single" w:sz="8" w:color="CCEEFF"/>
            </w:tcBorders>
            <w:gridSpan w:val="2"/>
            <w:vMerge w:val="restart"/>
          </w:tcPr>
          <w:p>
            <w:pPr>
              <w:ind w:left="140"/>
              <w:spacing w:after="0" w:line="123" w:lineRule="exact"/>
              <w:rPr>
                <w:sz w:val="20"/>
                <w:szCs w:val="20"/>
                <w:color w:val="auto"/>
              </w:rPr>
            </w:pPr>
            <w:r>
              <w:rPr>
                <w:rFonts w:ascii="Arial" w:cs="Arial" w:eastAsia="Arial" w:hAnsi="Arial"/>
                <w:sz w:val="14"/>
                <w:szCs w:val="14"/>
                <w:color w:val="auto"/>
              </w:rPr>
              <w:t>Excluding Selected Items Impacting</w:t>
            </w: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1800" w:type="dxa"/>
            <w:vAlign w:val="bottom"/>
          </w:tcPr>
          <w:p>
            <w:pPr>
              <w:spacing w:after="0"/>
              <w:rPr>
                <w:sz w:val="7"/>
                <w:szCs w:val="7"/>
                <w:color w:val="auto"/>
              </w:rPr>
            </w:pPr>
          </w:p>
        </w:tc>
        <w:tc>
          <w:tcPr>
            <w:tcW w:w="2820" w:type="dxa"/>
            <w:vAlign w:val="bottom"/>
            <w:gridSpan w:val="2"/>
            <w:vMerge w:val="continue"/>
          </w:tcPr>
          <w:p>
            <w:pPr>
              <w:spacing w:after="0"/>
              <w:rPr>
                <w:sz w:val="7"/>
                <w:szCs w:val="7"/>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color w:val="auto"/>
              </w:rPr>
              <w:t>$0.98</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3"/>
            <w:vMerge w:val="restart"/>
          </w:tcPr>
          <w:p>
            <w:pPr>
              <w:jc w:val="right"/>
              <w:ind w:right="128"/>
              <w:spacing w:after="0"/>
              <w:rPr>
                <w:sz w:val="20"/>
                <w:szCs w:val="20"/>
                <w:color w:val="auto"/>
              </w:rPr>
            </w:pPr>
            <w:r>
              <w:rPr>
                <w:rFonts w:ascii="Arial" w:cs="Arial" w:eastAsia="Arial" w:hAnsi="Arial"/>
                <w:sz w:val="14"/>
                <w:szCs w:val="14"/>
                <w:color w:val="auto"/>
              </w:rPr>
              <w:t>$0.94</w:t>
            </w:r>
            <w:r>
              <w:rPr>
                <w:rFonts w:ascii="Arial" w:cs="Arial" w:eastAsia="Arial" w:hAnsi="Arial"/>
                <w:sz w:val="17"/>
                <w:szCs w:val="17"/>
                <w:color w:val="auto"/>
                <w:vertAlign w:val="superscript"/>
              </w:rPr>
              <w:t>(1)</w:t>
            </w:r>
          </w:p>
        </w:tc>
        <w:tc>
          <w:tcPr>
            <w:tcW w:w="140" w:type="dxa"/>
            <w:vAlign w:val="bottom"/>
          </w:tcPr>
          <w:p>
            <w:pPr>
              <w:spacing w:after="0"/>
              <w:rPr>
                <w:sz w:val="7"/>
                <w:szCs w:val="7"/>
                <w:color w:val="auto"/>
              </w:rPr>
            </w:pP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$0.85</w:t>
            </w:r>
            <w:r>
              <w:rPr>
                <w:rFonts w:ascii="Arial" w:cs="Arial" w:eastAsia="Arial" w:hAnsi="Arial"/>
                <w:sz w:val="17"/>
                <w:szCs w:val="17"/>
                <w:color w:val="auto"/>
                <w:vertAlign w:val="superscript"/>
              </w:rPr>
              <w:t>(1)</w:t>
            </w:r>
          </w:p>
        </w:tc>
        <w:tc>
          <w:tcPr>
            <w:tcW w:w="160" w:type="dxa"/>
            <w:vAlign w:val="bottom"/>
          </w:tcPr>
          <w:p>
            <w:pPr>
              <w:spacing w:after="0"/>
              <w:rPr>
                <w:sz w:val="7"/>
                <w:szCs w:val="7"/>
                <w:color w:val="auto"/>
              </w:rPr>
            </w:pPr>
          </w:p>
        </w:tc>
        <w:tc>
          <w:tcPr>
            <w:tcW w:w="104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$0.94</w:t>
            </w:r>
            <w:r>
              <w:rPr>
                <w:rFonts w:ascii="Arial" w:cs="Arial" w:eastAsia="Arial" w:hAnsi="Arial"/>
                <w:sz w:val="17"/>
                <w:szCs w:val="17"/>
                <w:color w:val="auto"/>
                <w:vertAlign w:val="superscript"/>
              </w:rPr>
              <w:t>(1)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1800" w:type="dxa"/>
            <w:vAlign w:val="bottom"/>
          </w:tcPr>
          <w:p>
            <w:pPr>
              <w:spacing w:after="0"/>
              <w:rPr>
                <w:sz w:val="13"/>
                <w:szCs w:val="13"/>
                <w:color w:val="auto"/>
              </w:rPr>
            </w:pPr>
          </w:p>
        </w:tc>
        <w:tc>
          <w:tcPr>
            <w:tcW w:w="2820" w:type="dxa"/>
            <w:vAlign w:val="bottom"/>
            <w:gridSpan w:val="2"/>
          </w:tcPr>
          <w:p>
            <w:pPr>
              <w:ind w:left="300"/>
              <w:spacing w:after="0" w:line="154" w:lineRule="exact"/>
              <w:rPr>
                <w:sz w:val="20"/>
                <w:szCs w:val="20"/>
                <w:color w:val="auto"/>
              </w:rPr>
            </w:pPr>
            <w:r>
              <w:rPr>
                <w:rFonts w:ascii="Arial" w:cs="Arial" w:eastAsia="Arial" w:hAnsi="Arial"/>
                <w:sz w:val="14"/>
                <w:szCs w:val="14"/>
                <w:color w:val="auto"/>
              </w:rPr>
              <w:t>Comparability</w:t>
            </w:r>
          </w:p>
        </w:tc>
        <w:tc>
          <w:tcPr>
            <w:tcW w:w="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92" w:hanging="332"/>
        <w:spacing w:after="0"/>
        <w:tabs>
          <w:tab w:leader="none" w:pos="692" w:val="left"/>
        </w:tabs>
        <w:numPr>
          <w:ilvl w:val="0"/>
          <w:numId w:val="8"/>
        </w:numPr>
        <w:rPr>
          <w:rFonts w:ascii="Arial" w:cs="Arial" w:eastAsia="Arial" w:hAnsi="Arial"/>
          <w:sz w:val="14"/>
          <w:szCs w:val="14"/>
          <w:color w:val="auto"/>
        </w:rPr>
      </w:pPr>
      <w:r>
        <w:rPr>
          <w:rFonts w:ascii="Arial" w:cs="Arial" w:eastAsia="Arial" w:hAnsi="Arial"/>
          <w:sz w:val="14"/>
          <w:szCs w:val="14"/>
          <w:color w:val="auto"/>
        </w:rPr>
        <w:t>Mid-point of guidance.</w:t>
      </w:r>
    </w:p>
    <w:p>
      <w:pPr>
        <w:sectPr>
          <w:pgSz w:w="11900" w:h="16891" w:orient="portrait"/>
          <w:cols w:equalWidth="0" w:num="1">
            <w:col w:w="11352"/>
          </w:cols>
          <w:pgMar w:left="248" w:top="125" w:right="299" w:bottom="0" w:gutter="0" w:footer="0" w:header="0"/>
        </w:sectPr>
      </w:pPr>
    </w:p>
    <w:bookmarkStart w:id="3" w:name="page4"/>
    <w:bookmarkEnd w:id="3"/>
    <w:p>
      <w:pPr>
        <w:ind w:left="352"/>
        <w:spacing w:after="0" w:line="255" w:lineRule="auto"/>
        <w:rPr>
          <w:sz w:val="20"/>
          <w:szCs w:val="20"/>
          <w:color w:val="auto"/>
        </w:rPr>
      </w:pPr>
      <w:r>
        <w:rPr>
          <w:rFonts w:ascii="Arial" w:cs="Arial" w:eastAsia="Arial" w:hAnsi="Arial"/>
          <w:sz w:val="18"/>
          <w:szCs w:val="18"/>
          <w:color w:val="auto"/>
        </w:rPr>
        <w:t>Segment profit is forecast using the volume assumptions stated above and estimates of unit margins, field operating costs, G&amp;A expenses and carrying costs for contango inventory based on current and anticipated market conditions. The forecast also includes the incremental profits from recently completed acquisitions. Field operating costs do not include depreciation. Realized unit margins for any given lease-gathered barrel could vary significantly based on a variety of factors including location, quality and contract structure. Based on our mid-point projection of adjusted segment profit per barrel for calendar 2006, a 15,000 Bbl/d variance in lease gathering volumes would impact segment profit by approximately $5.1 million on an annualized basis. A $0.01 variance in the aggregate average per-barrel margin would impact segment profit by approximately $2.8 million on an annualized basis.</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2" w:hanging="352"/>
        <w:spacing w:after="0" w:line="264" w:lineRule="auto"/>
        <w:tabs>
          <w:tab w:leader="none" w:pos="35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are forecast based on our existing depreciable assets and forecasted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is computed using the straight-line method over estimated useful lives, which range from 3 years (for office property and equipment) to 40 years (for certain pipelines, crude oil terminals and facilities).</w:t>
      </w:r>
    </w:p>
    <w:p>
      <w:pPr>
        <w:spacing w:after="0" w:line="73" w:lineRule="exact"/>
        <w:rPr>
          <w:rFonts w:ascii="Arial" w:cs="Arial" w:eastAsia="Arial" w:hAnsi="Arial"/>
          <w:sz w:val="18"/>
          <w:szCs w:val="18"/>
          <w:color w:val="auto"/>
        </w:rPr>
      </w:pPr>
    </w:p>
    <w:p>
      <w:pPr>
        <w:ind w:left="352" w:right="400" w:hanging="352"/>
        <w:spacing w:after="0" w:line="279" w:lineRule="auto"/>
        <w:tabs>
          <w:tab w:leader="none" w:pos="35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Statement of Financial Accounting Standards No. 133 “Accounting for Derivative Instruments and Hedging Activities” (SFAS 133). </w:t>
      </w:r>
      <w:r>
        <w:rPr>
          <w:rFonts w:ascii="Arial" w:cs="Arial" w:eastAsia="Arial" w:hAnsi="Arial"/>
          <w:sz w:val="17"/>
          <w:szCs w:val="17"/>
          <w:color w:val="auto"/>
        </w:rPr>
        <w:t>The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above does not include assumptions or projections with respect to potential gains or losses related to derivatives accounted for under SFAS 133, as there is no accurate way to forecast these potential gains or losses. The potential gains or losses related to these derivatives (primarily mark-to-market adjustments) could cause actual net income to differ materially from our projections.</w:t>
      </w:r>
    </w:p>
    <w:p>
      <w:pPr>
        <w:spacing w:after="0" w:line="49" w:lineRule="exact"/>
        <w:rPr>
          <w:rFonts w:ascii="Arial" w:cs="Arial" w:eastAsia="Arial" w:hAnsi="Arial"/>
          <w:sz w:val="17"/>
          <w:szCs w:val="17"/>
          <w:color w:val="auto"/>
        </w:rPr>
      </w:pPr>
    </w:p>
    <w:p>
      <w:pPr>
        <w:ind w:left="352" w:hanging="352"/>
        <w:spacing w:after="0" w:line="273" w:lineRule="auto"/>
        <w:tabs>
          <w:tab w:leader="none" w:pos="35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Acquisitions and Capital Expenditures. </w:t>
      </w:r>
      <w:r>
        <w:rPr>
          <w:rFonts w:ascii="Arial" w:cs="Arial" w:eastAsia="Arial" w:hAnsi="Arial"/>
          <w:sz w:val="17"/>
          <w:szCs w:val="17"/>
          <w:color w:val="auto"/>
        </w:rPr>
        <w:t>As indicated in Note 2 (Pipeline Operations), this guidance includes assets we have agreed to purchase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definitive agreements with Chevron Pipe Line Company based on an estimated closing date of August 2006. Although acquisitions constitute a key element of our growth strategy, the forecasted results and associated estimates do not include any assumptions or forecasts for any other acquisition that may be made after the date hereof except for the pending acquisition. Capital expenditures for expansion projects are forecast to be approximately $275 million during calendar 2006 of which $104 million was incurred in the first six months of 2006. Following are some of the more notable projects to be undertaken in 2006 and the estimated expenditures for the year.</w:t>
      </w:r>
    </w:p>
    <w:p>
      <w:pPr>
        <w:spacing w:after="0" w:line="157" w:lineRule="exact"/>
        <w:rPr>
          <w:sz w:val="20"/>
          <w:szCs w:val="20"/>
          <w:color w:val="auto"/>
        </w:rPr>
      </w:pPr>
    </w:p>
    <w:tbl>
      <w:tblPr>
        <w:tblLayout w:type="fixed"/>
        <w:tblInd w:w="2252"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0" w:type="dxa"/>
            <w:vAlign w:val="bottom"/>
            <w:gridSpan w:val="5"/>
          </w:tcPr>
          <w:p>
            <w:pPr>
              <w:ind w:left="20"/>
              <w:spacing w:after="0"/>
              <w:rPr>
                <w:sz w:val="20"/>
                <w:szCs w:val="20"/>
                <w:color w:val="auto"/>
              </w:rPr>
            </w:pPr>
            <w:r>
              <w:rPr>
                <w:rFonts w:ascii="Arial" w:cs="Arial" w:eastAsia="Arial" w:hAnsi="Arial"/>
                <w:sz w:val="14"/>
                <w:szCs w:val="14"/>
                <w:b w:val="1"/>
                <w:bCs w:val="1"/>
                <w:color w:val="auto"/>
              </w:rPr>
              <w:t>Calendar 2006</w:t>
            </w:r>
          </w:p>
        </w:tc>
      </w:tr>
      <w:tr>
        <w:trPr>
          <w:trHeight w:val="129"/>
        </w:trPr>
        <w:tc>
          <w:tcPr>
            <w:tcW w:w="1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960" w:type="dxa"/>
            <w:vAlign w:val="bottom"/>
            <w:tcBorders>
              <w:top w:val="single" w:sz="8" w:color="auto"/>
            </w:tcBorders>
            <w:gridSpan w:val="4"/>
          </w:tcPr>
          <w:p>
            <w:pPr>
              <w:jc w:val="right"/>
              <w:ind w:right="120"/>
              <w:spacing w:after="0" w:line="129" w:lineRule="exact"/>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1"/>
                <w:szCs w:val="11"/>
                <w:color w:val="auto"/>
              </w:rPr>
            </w:pPr>
          </w:p>
        </w:tc>
      </w:tr>
      <w:tr>
        <w:trPr>
          <w:trHeight w:val="324"/>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Expansion Capital</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324"/>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800" w:type="dxa"/>
            <w:vAlign w:val="bottom"/>
          </w:tcPr>
          <w:p>
            <w:pPr>
              <w:ind w:left="40"/>
              <w:spacing w:after="0"/>
              <w:rPr>
                <w:sz w:val="20"/>
                <w:szCs w:val="20"/>
                <w:color w:val="auto"/>
              </w:rPr>
            </w:pPr>
            <w:r>
              <w:rPr>
                <w:rFonts w:ascii="Arial" w:cs="Arial" w:eastAsia="Arial" w:hAnsi="Arial"/>
                <w:sz w:val="18"/>
                <w:szCs w:val="18"/>
                <w:color w:val="auto"/>
              </w:rPr>
              <w:t>St. James, Louisiana storage facility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Kerrobert tankage</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324"/>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800" w:type="dxa"/>
            <w:vAlign w:val="bottom"/>
          </w:tcPr>
          <w:p>
            <w:pPr>
              <w:ind w:left="40"/>
              <w:spacing w:after="0"/>
              <w:rPr>
                <w:sz w:val="20"/>
                <w:szCs w:val="20"/>
                <w:color w:val="auto"/>
              </w:rPr>
            </w:pPr>
            <w:r>
              <w:rPr>
                <w:rFonts w:ascii="Arial" w:cs="Arial" w:eastAsia="Arial" w:hAnsi="Arial"/>
                <w:sz w:val="18"/>
                <w:szCs w:val="18"/>
                <w:color w:val="auto"/>
              </w:rPr>
              <w:t>Spraberry System expansion</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East Texas/Louisiana tankage</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324"/>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800" w:type="dxa"/>
            <w:vAlign w:val="bottom"/>
          </w:tcPr>
          <w:p>
            <w:pPr>
              <w:ind w:left="40"/>
              <w:spacing w:after="0"/>
              <w:rPr>
                <w:sz w:val="20"/>
                <w:szCs w:val="20"/>
                <w:color w:val="auto"/>
              </w:rPr>
            </w:pPr>
            <w:r>
              <w:rPr>
                <w:rFonts w:ascii="Arial" w:cs="Arial" w:eastAsia="Arial" w:hAnsi="Arial"/>
                <w:sz w:val="18"/>
                <w:szCs w:val="18"/>
                <w:color w:val="auto"/>
              </w:rPr>
              <w:t>High Prairie rail terminals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Midale/Regina truck terminal</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324"/>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800" w:type="dxa"/>
            <w:vAlign w:val="bottom"/>
          </w:tcPr>
          <w:p>
            <w:pPr>
              <w:ind w:left="40"/>
              <w:spacing w:after="0"/>
              <w:rPr>
                <w:sz w:val="20"/>
                <w:szCs w:val="20"/>
                <w:color w:val="auto"/>
              </w:rPr>
            </w:pPr>
            <w:r>
              <w:rPr>
                <w:rFonts w:ascii="Arial" w:cs="Arial" w:eastAsia="Arial" w:hAnsi="Arial"/>
                <w:sz w:val="18"/>
                <w:szCs w:val="18"/>
                <w:color w:val="auto"/>
              </w:rPr>
              <w:t>Wichita Falls tankage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Truck trailers</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 Basin connection—Oklahoma</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r>
      <w:tr>
        <w:trPr>
          <w:trHeight w:val="324"/>
        </w:trPr>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Mobile/ Ten Mile tankage and metering</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24"/>
                <w:szCs w:val="24"/>
                <w:color w:val="auto"/>
              </w:rPr>
            </w:pPr>
          </w:p>
        </w:tc>
      </w:tr>
      <w:tr>
        <w:trPr>
          <w:trHeight w:val="324"/>
        </w:trPr>
        <w:tc>
          <w:tcPr>
            <w:tcW w:w="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5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Projects</w:t>
            </w: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r>
      <w:tr>
        <w:trPr>
          <w:trHeight w:val="210"/>
        </w:trPr>
        <w:tc>
          <w:tcPr>
            <w:tcW w:w="10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24"/>
        </w:trPr>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r>
      <w:tr>
        <w:trPr>
          <w:trHeight w:val="291"/>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Projected Capital Expenditures (excluding acquisitions)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left="352" w:right="60" w:hanging="352"/>
        <w:spacing w:after="0" w:line="342" w:lineRule="auto"/>
        <w:tabs>
          <w:tab w:leader="none" w:pos="356"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Capital Structure. </w:t>
      </w:r>
      <w:r>
        <w:rPr>
          <w:rFonts w:ascii="Arial" w:cs="Arial" w:eastAsia="Arial" w:hAnsi="Arial"/>
          <w:sz w:val="16"/>
          <w:szCs w:val="16"/>
          <w:color w:val="auto"/>
        </w:rPr>
        <w:t>This guidance is based on our capital structure as of June 30, 2006 as adjusted to give effect to the sale in the third quarter of 3.7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common units and the use of the proceeds of such sale to fund acquisitions, repay indebtedness under credit facilities and for general partnership</w:t>
      </w:r>
    </w:p>
    <w:p>
      <w:pPr>
        <w:spacing w:after="0" w:line="34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2" w:right="640"/>
        <w:spacing w:after="0" w:line="277" w:lineRule="auto"/>
        <w:rPr>
          <w:sz w:val="20"/>
          <w:szCs w:val="20"/>
          <w:color w:val="auto"/>
        </w:rPr>
      </w:pPr>
      <w:r>
        <w:rPr>
          <w:rFonts w:ascii="Arial" w:cs="Arial" w:eastAsia="Arial" w:hAnsi="Arial"/>
          <w:sz w:val="18"/>
          <w:szCs w:val="18"/>
          <w:color w:val="auto"/>
        </w:rPr>
        <w:t>purposes. The Partnership’s policy is to finance acquisitions and major growth capital projects with at least 50% equity or cash flow in excess of distributions.</w:t>
      </w:r>
    </w:p>
    <w:p>
      <w:pPr>
        <w:spacing w:after="0" w:line="62" w:lineRule="exact"/>
        <w:rPr>
          <w:sz w:val="20"/>
          <w:szCs w:val="20"/>
          <w:color w:val="auto"/>
        </w:rPr>
      </w:pPr>
    </w:p>
    <w:p>
      <w:pPr>
        <w:ind w:left="352" w:right="60" w:hanging="352"/>
        <w:spacing w:after="0" w:line="342" w:lineRule="auto"/>
        <w:tabs>
          <w:tab w:leader="none" w:pos="35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Debt balances are projected based on estimated cash flows, current distribution rates, forecasted capital expenditures for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expansion projects, expected timing of collections and payments, and forecasted levels of inventory and other working capital sources and uses.</w:t>
      </w:r>
    </w:p>
    <w:p>
      <w:pPr>
        <w:spacing w:after="0" w:line="15" w:lineRule="exact"/>
        <w:rPr>
          <w:rFonts w:ascii="Arial" w:cs="Arial" w:eastAsia="Arial" w:hAnsi="Arial"/>
          <w:sz w:val="16"/>
          <w:szCs w:val="16"/>
          <w:color w:val="auto"/>
        </w:rPr>
      </w:pPr>
    </w:p>
    <w:p>
      <w:pPr>
        <w:ind w:left="352" w:right="20"/>
        <w:spacing w:after="0" w:line="270" w:lineRule="auto"/>
        <w:rPr>
          <w:rFonts w:ascii="Arial" w:cs="Arial" w:eastAsia="Arial" w:hAnsi="Arial"/>
          <w:sz w:val="16"/>
          <w:szCs w:val="16"/>
          <w:color w:val="auto"/>
        </w:rPr>
      </w:pPr>
      <w:r>
        <w:rPr>
          <w:rFonts w:ascii="Arial" w:cs="Arial" w:eastAsia="Arial" w:hAnsi="Arial"/>
          <w:sz w:val="17"/>
          <w:szCs w:val="17"/>
          <w:color w:val="auto"/>
        </w:rPr>
        <w:t>Interest expense for the six months ending December 31, 2006 is expected to be between $39.2 million and $40.8 million, assuming an average long-term debt balance of approximately $1.3 billion during the period and an all-in average rate of approximately 6.2%. Included in the effective cost of debt are projected interest payments, as well as commitment fees, amortization of long-term debt discounts, deferred amounts associated with terminated interest-rate hedges and interest on short-term debt for non-contango inventory (primarily hedged LPG inventory and New York Mercantile Exchange and International Petroleum Exchange margin deposits). At June 30, 2006, 96% of our long-term debt balance was fixed at an average interest rate of 6.1%. The amortization of deferred amounts associated with terminated interest rate hedges results in a non-cash component to interest expense of approximately $400,000 per quarter through September 2006, decreasing to approximately $100,000 per quarter thereafter until fully amortized over the next ten years. Interest expense does not include interest on borrowings for contango inventory. We treat those costs as carrying costs of crude oil and include it as part of the purchase price of crude oil.</w:t>
      </w:r>
    </w:p>
    <w:p>
      <w:pPr>
        <w:sectPr>
          <w:pgSz w:w="11900" w:h="16838" w:orient="portrait"/>
          <w:cols w:equalWidth="0" w:num="1">
            <w:col w:w="11392"/>
          </w:cols>
          <w:pgMar w:left="248" w:top="125" w:right="25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0" w:hanging="352"/>
        <w:spacing w:after="0" w:line="254" w:lineRule="auto"/>
        <w:tabs>
          <w:tab w:leader="none" w:pos="36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Net Income per Unit. </w:t>
      </w:r>
      <w:r>
        <w:rPr>
          <w:rFonts w:ascii="Arial" w:cs="Arial" w:eastAsia="Arial" w:hAnsi="Arial"/>
          <w:sz w:val="18"/>
          <w:szCs w:val="18"/>
          <w:color w:val="auto"/>
        </w:rPr>
        <w:t>Basic net income per limited partner unit is calculated by dividing net income allocated to limited partners by the basic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average units outstanding during the period. Under </w:t>
      </w:r>
      <w:r>
        <w:rPr>
          <w:rFonts w:ascii="Arial" w:cs="Arial" w:eastAsia="Arial" w:hAnsi="Arial"/>
          <w:sz w:val="18"/>
          <w:szCs w:val="18"/>
          <w:i w:val="1"/>
          <w:iCs w:val="1"/>
          <w:color w:val="auto"/>
        </w:rPr>
        <w:t>Emerging Issues Task Force Issue 03-06: Participating Securities and the Two-Class Method under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Statement No. 128 </w:t>
      </w:r>
      <w:r>
        <w:rPr>
          <w:rFonts w:ascii="Arial" w:cs="Arial" w:eastAsia="Arial" w:hAnsi="Arial"/>
          <w:sz w:val="18"/>
          <w:szCs w:val="18"/>
          <w:color w:val="auto"/>
        </w:rPr>
        <w:t>(“EITF 03-06”), when the Partnership’s aggregate net income exceeds the aggregate distribution made during such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limited partner unit are calculated as if all of the earnings for the period were distributed, regardless of the pro forma nature of the allocation and whether those earnings would actually be distributed during a particular period from an economic or practical perspective. Although EITF 03-06 does not impact overall net income or other financial results of the Partnership, for periods in which aggregate net income exceeds the aggregate distributions for such period, earnings per limited partner unit will be reduced. The following table sets forth the computation of basic and diluted earnings per limited partner unit.</w:t>
      </w:r>
    </w:p>
    <w:p>
      <w:pPr>
        <w:spacing w:after="0" w:line="170"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6"/>
          </w:tcPr>
          <w:p>
            <w:pPr>
              <w:ind w:left="240"/>
              <w:spacing w:after="0"/>
              <w:rPr>
                <w:sz w:val="20"/>
                <w:szCs w:val="20"/>
                <w:color w:val="auto"/>
              </w:rPr>
            </w:pPr>
            <w:r>
              <w:rPr>
                <w:rFonts w:ascii="Arial" w:cs="Arial" w:eastAsia="Arial" w:hAnsi="Arial"/>
                <w:sz w:val="14"/>
                <w:szCs w:val="14"/>
                <w:b w:val="1"/>
                <w:bCs w:val="1"/>
                <w:color w:val="auto"/>
              </w:rPr>
              <w:t>Guidance (in millions, except per unit data)</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640" w:type="dxa"/>
            <w:vAlign w:val="bottom"/>
          </w:tcPr>
          <w:p>
            <w:pPr>
              <w:spacing w:after="0"/>
              <w:rPr>
                <w:sz w:val="8"/>
                <w:szCs w:val="8"/>
                <w:color w:val="auto"/>
              </w:rPr>
            </w:pPr>
          </w:p>
        </w:tc>
        <w:tc>
          <w:tcPr>
            <w:tcW w:w="1700" w:type="dxa"/>
            <w:vAlign w:val="bottom"/>
            <w:gridSpan w:val="8"/>
          </w:tcPr>
          <w:p>
            <w:pPr>
              <w:jc w:val="center"/>
              <w:ind w:right="220"/>
              <w:spacing w:after="0" w:line="102" w:lineRule="exact"/>
              <w:rPr>
                <w:sz w:val="20"/>
                <w:szCs w:val="20"/>
                <w:color w:val="auto"/>
              </w:rPr>
            </w:pPr>
            <w:r>
              <w:rPr>
                <w:rFonts w:ascii="Arial" w:cs="Arial" w:eastAsia="Arial" w:hAnsi="Arial"/>
                <w:sz w:val="11"/>
                <w:szCs w:val="11"/>
                <w:b w:val="1"/>
                <w:bCs w:val="1"/>
                <w:color w:val="auto"/>
              </w:rPr>
              <w:t>Three Months Ending</w:t>
            </w:r>
          </w:p>
        </w:tc>
        <w:tc>
          <w:tcPr>
            <w:tcW w:w="1940" w:type="dxa"/>
            <w:vAlign w:val="bottom"/>
            <w:gridSpan w:val="9"/>
          </w:tcPr>
          <w:p>
            <w:pPr>
              <w:ind w:left="120"/>
              <w:spacing w:after="0" w:line="102" w:lineRule="exact"/>
              <w:rPr>
                <w:sz w:val="20"/>
                <w:szCs w:val="20"/>
                <w:color w:val="auto"/>
              </w:rPr>
            </w:pPr>
            <w:r>
              <w:rPr>
                <w:rFonts w:ascii="Arial" w:cs="Arial" w:eastAsia="Arial" w:hAnsi="Arial"/>
                <w:sz w:val="11"/>
                <w:szCs w:val="11"/>
                <w:b w:val="1"/>
                <w:bCs w:val="1"/>
                <w:color w:val="auto"/>
              </w:rPr>
              <w:t>Three Months Ending</w:t>
            </w:r>
          </w:p>
        </w:tc>
        <w:tc>
          <w:tcPr>
            <w:tcW w:w="1580" w:type="dxa"/>
            <w:vAlign w:val="bottom"/>
            <w:gridSpan w:val="6"/>
          </w:tcPr>
          <w:p>
            <w:pPr>
              <w:jc w:val="center"/>
              <w:ind w:right="140"/>
              <w:spacing w:after="0" w:line="102" w:lineRule="exact"/>
              <w:rPr>
                <w:sz w:val="20"/>
                <w:szCs w:val="20"/>
                <w:color w:val="auto"/>
              </w:rPr>
            </w:pPr>
            <w:r>
              <w:rPr>
                <w:rFonts w:ascii="Arial" w:cs="Arial" w:eastAsia="Arial" w:hAnsi="Arial"/>
                <w:sz w:val="11"/>
                <w:szCs w:val="11"/>
                <w:b w:val="1"/>
                <w:bCs w:val="1"/>
                <w:color w:val="auto"/>
              </w:rPr>
              <w:t>Twelve Months Ending</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7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September 30, 2006</w:t>
            </w:r>
          </w:p>
        </w:tc>
        <w:tc>
          <w:tcPr>
            <w:tcW w:w="140" w:type="dxa"/>
            <w:vAlign w:val="bottom"/>
          </w:tcPr>
          <w:p>
            <w:pPr>
              <w:spacing w:after="0"/>
              <w:rPr>
                <w:sz w:val="14"/>
                <w:szCs w:val="14"/>
                <w:color w:val="auto"/>
              </w:rPr>
            </w:pPr>
          </w:p>
        </w:tc>
        <w:tc>
          <w:tcPr>
            <w:tcW w:w="180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96"/>
              </w:rPr>
              <w:t>December 31, 2006</w:t>
            </w:r>
          </w:p>
        </w:tc>
        <w:tc>
          <w:tcPr>
            <w:tcW w:w="16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1"/>
              </w:rPr>
              <w:t>December 31, 2006</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Low</w:t>
            </w:r>
          </w:p>
        </w:tc>
        <w:tc>
          <w:tcPr>
            <w:tcW w:w="480" w:type="dxa"/>
            <w:vAlign w:val="bottom"/>
            <w:tcBorders>
              <w:top w:val="single" w:sz="8" w:color="auto"/>
            </w:tcBorders>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6"/>
              </w:rPr>
              <w:t>High</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Low</w:t>
            </w:r>
          </w:p>
        </w:tc>
        <w:tc>
          <w:tcPr>
            <w:tcW w:w="60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4"/>
          </w:tcPr>
          <w:p>
            <w:pPr>
              <w:ind w:left="100"/>
              <w:spacing w:after="0" w:line="129" w:lineRule="exact"/>
              <w:rPr>
                <w:sz w:val="20"/>
                <w:szCs w:val="20"/>
                <w:color w:val="auto"/>
              </w:rPr>
            </w:pPr>
            <w:r>
              <w:rPr>
                <w:rFonts w:ascii="Arial" w:cs="Arial" w:eastAsia="Arial" w:hAnsi="Arial"/>
                <w:sz w:val="14"/>
                <w:szCs w:val="14"/>
                <w:b w:val="1"/>
                <w:bCs w:val="1"/>
                <w:color w:val="auto"/>
              </w:rPr>
              <w:t>Low</w:t>
            </w:r>
          </w:p>
        </w:tc>
        <w:tc>
          <w:tcPr>
            <w:tcW w:w="64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64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Numerator for basic and diluted</w:t>
            </w:r>
          </w:p>
        </w:tc>
        <w:tc>
          <w:tcPr>
            <w:tcW w:w="14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earnings per limited partner unit:</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1"/>
              </w:rPr>
              <w:t>$72.0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$71.4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$264.7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$287.1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40" w:type="dxa"/>
            <w:vAlign w:val="bottom"/>
          </w:tcPr>
          <w:p>
            <w:pPr>
              <w:ind w:left="140"/>
              <w:spacing w:after="0" w:line="130" w:lineRule="exact"/>
              <w:rPr>
                <w:sz w:val="20"/>
                <w:szCs w:val="20"/>
                <w:color w:val="auto"/>
              </w:rPr>
            </w:pPr>
            <w:r>
              <w:rPr>
                <w:rFonts w:ascii="Arial" w:cs="Arial" w:eastAsia="Arial" w:hAnsi="Arial"/>
                <w:sz w:val="14"/>
                <w:szCs w:val="14"/>
                <w:color w:val="auto"/>
              </w:rPr>
              <w:t>General partner’s incentive</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tcPr>
          <w:p>
            <w:pPr>
              <w:ind w:left="280"/>
              <w:spacing w:after="0"/>
              <w:rPr>
                <w:sz w:val="20"/>
                <w:szCs w:val="20"/>
                <w:color w:val="auto"/>
              </w:rPr>
            </w:pPr>
            <w:r>
              <w:rPr>
                <w:rFonts w:ascii="Arial" w:cs="Arial" w:eastAsia="Arial" w:hAnsi="Arial"/>
                <w:sz w:val="14"/>
                <w:szCs w:val="14"/>
                <w:color w:val="auto"/>
              </w:rPr>
              <w:t>distribution</w:t>
            </w: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(9.1)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20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(9.1)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(9.1)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(31.1)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51.7</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62.9</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51.1</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62.3</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233.6</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40"/>
              <w:spacing w:after="0" w:line="149" w:lineRule="exact"/>
              <w:rPr>
                <w:sz w:val="20"/>
                <w:szCs w:val="20"/>
                <w:color w:val="auto"/>
              </w:rPr>
            </w:pPr>
            <w:r>
              <w:rPr>
                <w:rFonts w:ascii="Arial" w:cs="Arial" w:eastAsia="Arial" w:hAnsi="Arial"/>
                <w:sz w:val="14"/>
                <w:szCs w:val="14"/>
                <w:color w:val="auto"/>
              </w:rPr>
              <w:t>General partner 2% ownership</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20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640" w:type="dxa"/>
            <w:vAlign w:val="bottom"/>
            <w:tcBorders>
              <w:top w:val="single" w:sz="8" w:color="CCEEFF"/>
            </w:tcBorders>
            <w:shd w:val="clear" w:color="auto" w:fill="CCEEFF"/>
          </w:tcPr>
          <w:p>
            <w:pPr>
              <w:ind w:left="140"/>
              <w:spacing w:after="0" w:line="110" w:lineRule="exact"/>
              <w:rPr>
                <w:sz w:val="20"/>
                <w:szCs w:val="20"/>
                <w:color w:val="auto"/>
              </w:rPr>
            </w:pPr>
            <w:r>
              <w:rPr>
                <w:rFonts w:ascii="Arial" w:cs="Arial" w:eastAsia="Arial" w:hAnsi="Arial"/>
                <w:sz w:val="12"/>
                <w:szCs w:val="12"/>
                <w:color w:val="auto"/>
              </w:rPr>
              <w:t>Net income available to limited</w:t>
            </w:r>
          </w:p>
        </w:tc>
        <w:tc>
          <w:tcPr>
            <w:tcW w:w="14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partners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250.9</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40" w:type="dxa"/>
            <w:vAlign w:val="bottom"/>
          </w:tcPr>
          <w:p>
            <w:pPr>
              <w:ind w:left="140"/>
              <w:spacing w:after="0" w:line="130" w:lineRule="exact"/>
              <w:rPr>
                <w:sz w:val="20"/>
                <w:szCs w:val="20"/>
                <w:color w:val="auto"/>
              </w:rPr>
            </w:pPr>
            <w:r>
              <w:rPr>
                <w:rFonts w:ascii="Arial" w:cs="Arial" w:eastAsia="Arial" w:hAnsi="Arial"/>
                <w:sz w:val="14"/>
                <w:szCs w:val="14"/>
                <w:color w:val="auto"/>
              </w:rPr>
              <w:t>Pro forma additional general</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tcPr>
          <w:p>
            <w:pPr>
              <w:ind w:left="280"/>
              <w:spacing w:after="0"/>
              <w:rPr>
                <w:sz w:val="20"/>
                <w:szCs w:val="20"/>
                <w:color w:val="auto"/>
              </w:rPr>
            </w:pPr>
            <w:r>
              <w:rPr>
                <w:rFonts w:ascii="Arial" w:cs="Arial" w:eastAsia="Arial" w:hAnsi="Arial"/>
                <w:sz w:val="14"/>
                <w:szCs w:val="14"/>
                <w:color w:val="auto"/>
              </w:rPr>
              <w:t>partner’s distribution</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3"/>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right"/>
              <w:ind w:right="5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640" w:type="dxa"/>
            <w:vAlign w:val="bottom"/>
            <w:tcBorders>
              <w:top w:val="single" w:sz="8" w:color="CCEEFF"/>
            </w:tcBorders>
            <w:shd w:val="clear" w:color="auto" w:fill="CCEEFF"/>
          </w:tcPr>
          <w:p>
            <w:pPr>
              <w:ind w:left="140"/>
              <w:spacing w:after="0" w:line="110" w:lineRule="exact"/>
              <w:rPr>
                <w:sz w:val="20"/>
                <w:szCs w:val="20"/>
                <w:color w:val="auto"/>
              </w:rPr>
            </w:pPr>
            <w:r>
              <w:rPr>
                <w:rFonts w:ascii="Arial" w:cs="Arial" w:eastAsia="Arial" w:hAnsi="Arial"/>
                <w:sz w:val="12"/>
                <w:szCs w:val="12"/>
                <w:color w:val="auto"/>
              </w:rPr>
              <w:t>Net Income available for limited</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50.7</w:t>
            </w:r>
          </w:p>
        </w:tc>
        <w:tc>
          <w:tcPr>
            <w:tcW w:w="1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60.1</w:t>
            </w: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50.1</w:t>
            </w:r>
          </w:p>
        </w:tc>
        <w:tc>
          <w:tcPr>
            <w:tcW w:w="1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$225.7</w:t>
            </w: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$236.6</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640" w:type="dxa"/>
            <w:vAlign w:val="bottom"/>
            <w:tcBorders>
              <w:bottom w:val="single" w:sz="8" w:color="CCEEFF"/>
            </w:tcBorders>
            <w:shd w:val="clear" w:color="auto" w:fill="CCEEFF"/>
          </w:tcPr>
          <w:p>
            <w:pPr>
              <w:ind w:left="280"/>
              <w:spacing w:after="0" w:line="154" w:lineRule="exact"/>
              <w:rPr>
                <w:sz w:val="20"/>
                <w:szCs w:val="20"/>
                <w:color w:val="auto"/>
              </w:rPr>
            </w:pPr>
            <w:r>
              <w:rPr>
                <w:rFonts w:ascii="Arial" w:cs="Arial" w:eastAsia="Arial" w:hAnsi="Arial"/>
                <w:sz w:val="14"/>
                <w:szCs w:val="14"/>
                <w:color w:val="auto"/>
              </w:rPr>
              <w:t>partners under EITF 03-06</w:t>
            </w: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line="142" w:lineRule="exact"/>
              <w:rPr>
                <w:sz w:val="20"/>
                <w:szCs w:val="20"/>
                <w:color w:val="auto"/>
              </w:rPr>
            </w:pPr>
            <w:r>
              <w:rPr>
                <w:rFonts w:ascii="Arial" w:cs="Arial" w:eastAsia="Arial" w:hAnsi="Arial"/>
                <w:sz w:val="14"/>
                <w:szCs w:val="14"/>
                <w:color w:val="auto"/>
              </w:rPr>
              <w:t>Denominator:</w:t>
            </w: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4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Denominator for basic earnings per</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limited partner unit-</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weighted average number of</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limited partner units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40"/>
              <w:spacing w:after="0" w:line="149" w:lineRule="exact"/>
              <w:rPr>
                <w:sz w:val="20"/>
                <w:szCs w:val="20"/>
                <w:color w:val="auto"/>
              </w:rPr>
            </w:pPr>
            <w:r>
              <w:rPr>
                <w:rFonts w:ascii="Arial" w:cs="Arial" w:eastAsia="Arial" w:hAnsi="Arial"/>
                <w:sz w:val="14"/>
                <w:szCs w:val="14"/>
                <w:color w:val="auto"/>
              </w:rPr>
              <w:t>Effect of dilutive securities:</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Weighted average LTIP units</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40"/>
              <w:spacing w:after="0" w:line="110" w:lineRule="exact"/>
              <w:rPr>
                <w:sz w:val="20"/>
                <w:szCs w:val="20"/>
                <w:color w:val="auto"/>
              </w:rPr>
            </w:pPr>
            <w:r>
              <w:rPr>
                <w:rFonts w:ascii="Arial" w:cs="Arial" w:eastAsia="Arial" w:hAnsi="Arial"/>
                <w:sz w:val="12"/>
                <w:szCs w:val="12"/>
                <w:color w:val="auto"/>
              </w:rPr>
              <w:t>Denominator for diluted earnings per</w:t>
            </w: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280"/>
              <w:spacing w:after="0" w:line="149" w:lineRule="exact"/>
              <w:rPr>
                <w:sz w:val="20"/>
                <w:szCs w:val="20"/>
                <w:color w:val="auto"/>
              </w:rPr>
            </w:pPr>
            <w:r>
              <w:rPr>
                <w:rFonts w:ascii="Arial" w:cs="Arial" w:eastAsia="Arial" w:hAnsi="Arial"/>
                <w:sz w:val="14"/>
                <w:szCs w:val="14"/>
                <w:color w:val="auto"/>
              </w:rPr>
              <w:t>limited partner unit-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280"/>
              <w:spacing w:after="0" w:line="149" w:lineRule="exact"/>
              <w:rPr>
                <w:sz w:val="20"/>
                <w:szCs w:val="20"/>
                <w:color w:val="auto"/>
              </w:rPr>
            </w:pPr>
            <w:r>
              <w:rPr>
                <w:rFonts w:ascii="Arial" w:cs="Arial" w:eastAsia="Arial" w:hAnsi="Arial"/>
                <w:sz w:val="14"/>
                <w:szCs w:val="14"/>
                <w:color w:val="auto"/>
              </w:rPr>
              <w:t>weighted average number of</w:t>
            </w:r>
          </w:p>
        </w:tc>
        <w:tc>
          <w:tcPr>
            <w:tcW w:w="140" w:type="dxa"/>
            <w:vAlign w:val="bottom"/>
            <w:vMerge w:val="restart"/>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80.9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80.9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82.1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82.1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78.9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78.9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640" w:type="dxa"/>
            <w:vAlign w:val="bottom"/>
            <w:tcBorders>
              <w:bottom w:val="single" w:sz="8" w:color="CCEEFF"/>
            </w:tcBorders>
          </w:tcPr>
          <w:p>
            <w:pPr>
              <w:ind w:left="280"/>
              <w:spacing w:after="0" w:line="154" w:lineRule="exact"/>
              <w:rPr>
                <w:sz w:val="20"/>
                <w:szCs w:val="20"/>
                <w:color w:val="auto"/>
              </w:rPr>
            </w:pPr>
            <w:r>
              <w:rPr>
                <w:rFonts w:ascii="Arial" w:cs="Arial" w:eastAsia="Arial" w:hAnsi="Arial"/>
                <w:sz w:val="14"/>
                <w:szCs w:val="14"/>
                <w:color w:val="auto"/>
              </w:rPr>
              <w:t>limited partner units</w:t>
            </w:r>
          </w:p>
        </w:tc>
        <w:tc>
          <w:tcPr>
            <w:tcW w:w="14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64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Basic net income per limited partner</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0.63</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0.75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0.62</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40" w:type="dxa"/>
            <w:vAlign w:val="bottom"/>
            <w:shd w:val="clear" w:color="auto" w:fill="CCEEFF"/>
          </w:tcPr>
          <w:p>
            <w:pPr>
              <w:ind w:left="140"/>
              <w:spacing w:after="0" w:line="154" w:lineRule="exact"/>
              <w:rPr>
                <w:sz w:val="20"/>
                <w:szCs w:val="20"/>
                <w:color w:val="auto"/>
              </w:rPr>
            </w:pPr>
            <w:r>
              <w:rPr>
                <w:rFonts w:ascii="Arial" w:cs="Arial" w:eastAsia="Arial" w:hAnsi="Arial"/>
                <w:sz w:val="14"/>
                <w:szCs w:val="14"/>
                <w:color w:val="auto"/>
              </w:rPr>
              <w:t>unit</w:t>
            </w:r>
          </w:p>
        </w:tc>
        <w:tc>
          <w:tcPr>
            <w:tcW w:w="5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spacing w:after="0" w:line="123" w:lineRule="exact"/>
              <w:rPr>
                <w:sz w:val="20"/>
                <w:szCs w:val="20"/>
                <w:color w:val="auto"/>
              </w:rPr>
            </w:pPr>
            <w:r>
              <w:rPr>
                <w:rFonts w:ascii="Arial" w:cs="Arial" w:eastAsia="Arial" w:hAnsi="Arial"/>
                <w:sz w:val="14"/>
                <w:szCs w:val="14"/>
                <w:color w:val="auto"/>
              </w:rPr>
              <w:t>Diluted net income per limited partner</w:t>
            </w: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640" w:type="dxa"/>
            <w:vAlign w:val="bottom"/>
            <w:vMerge w:val="continue"/>
          </w:tcPr>
          <w:p>
            <w:pPr>
              <w:spacing w:after="0"/>
              <w:rPr>
                <w:sz w:val="7"/>
                <w:szCs w:val="7"/>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0.63</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0.74</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0.61</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$0.73</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$3.00</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640" w:type="dxa"/>
            <w:vAlign w:val="bottom"/>
          </w:tcPr>
          <w:p>
            <w:pPr>
              <w:ind w:left="140"/>
              <w:spacing w:after="0" w:line="154" w:lineRule="exact"/>
              <w:rPr>
                <w:sz w:val="20"/>
                <w:szCs w:val="20"/>
                <w:color w:val="auto"/>
              </w:rPr>
            </w:pPr>
            <w:r>
              <w:rPr>
                <w:rFonts w:ascii="Arial" w:cs="Arial" w:eastAsia="Arial" w:hAnsi="Arial"/>
                <w:sz w:val="14"/>
                <w:szCs w:val="14"/>
                <w:color w:val="auto"/>
              </w:rPr>
              <w:t>unit</w:t>
            </w:r>
          </w:p>
        </w:tc>
        <w:tc>
          <w:tcPr>
            <w:tcW w:w="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line="255" w:lineRule="auto"/>
        <w:rPr>
          <w:sz w:val="20"/>
          <w:szCs w:val="20"/>
          <w:color w:val="auto"/>
        </w:rPr>
      </w:pPr>
      <w:r>
        <w:rPr>
          <w:rFonts w:ascii="Arial" w:cs="Arial" w:eastAsia="Arial" w:hAnsi="Arial"/>
          <w:sz w:val="18"/>
          <w:szCs w:val="18"/>
          <w:color w:val="auto"/>
        </w:rPr>
        <w:t>Net income allocated to limited partners is impacted by the income allocated to the general partner and the amount of the incentive distribution paid to the general partner. The amount of income allocated to our limited partnership interests is 98% of the total partnership income after deducting the amount of the general partner’s incentive distribution. Based on our current annualized distribution rate of $2.90 per unit and including 3.7 million units issued in the third quarter, our general partner’s distribution is forecast to be approximately $41.2 million annually, of which $36.4 million is attributed to the incentive distribution rights. The relative amount of the incentive distribution varies directionally with the number of units outstanding and the level of the distribution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60"/>
        <w:spacing w:after="0" w:line="277" w:lineRule="auto"/>
        <w:rPr>
          <w:sz w:val="20"/>
          <w:szCs w:val="20"/>
          <w:color w:val="auto"/>
        </w:rPr>
      </w:pPr>
      <w:r>
        <w:rPr>
          <w:rFonts w:ascii="Arial" w:cs="Arial" w:eastAsia="Arial" w:hAnsi="Arial"/>
          <w:sz w:val="18"/>
          <w:szCs w:val="18"/>
          <w:color w:val="auto"/>
        </w:rPr>
        <w:t>on the units. For distribution rates where EITF 03-06 does not apply, each $0.05 per unit annual increase in the distribution over $2.90 per unit decreases net income available for limited partners by approximately $4.0 million ($0.05 per unit) on an annualized basis.</w:t>
      </w:r>
    </w:p>
    <w:p>
      <w:pPr>
        <w:spacing w:after="0" w:line="62" w:lineRule="exact"/>
        <w:rPr>
          <w:sz w:val="20"/>
          <w:szCs w:val="20"/>
          <w:color w:val="auto"/>
        </w:rPr>
      </w:pPr>
    </w:p>
    <w:p>
      <w:pPr>
        <w:ind w:left="360" w:right="80" w:hanging="352"/>
        <w:spacing w:after="0" w:line="270" w:lineRule="auto"/>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Long-term Incentive Plans</w:t>
      </w:r>
      <w:r>
        <w:rPr>
          <w:rFonts w:ascii="Arial" w:cs="Arial" w:eastAsia="Arial" w:hAnsi="Arial"/>
          <w:sz w:val="17"/>
          <w:szCs w:val="17"/>
          <w:color w:val="auto"/>
        </w:rPr>
        <w:t>. Effective January 1, 2006 we adopted SFAS 123(R) Share-Based Payment, resulting in a cumulative effect of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principle gain of $6.3 million. The majority of phantom unit grants outstanding under our 1998 and 2005 Long-Term Incentive Plans contain vesting criteria that are based on a combination of performance benchmarks and service period. The majority of the phantom units awarded under the 2005 plan vest in various percentages on the later of 1) May 2007, May 2009, and May 2010, or 2) achievement of annualized distribution levels of $2.60, $2.80, $3.00, respectively, and for certain grants, $3.10 per unit. The majority of the phantom units have a final service period vesting in 2011. In addition to achieving the distribution level of $2.90, it has been deemed probable that the $3.10 distribution level will be achieved. Accordingly, guidance includes, for phantom units tied to performance levels of $3.10 or less, an accrual over the corresponding service period at an assumed market price of $45.00 per unit. For 2006, the guidance includes approximately $34.4 million of principally non-cash expense associated with these phantom units. The earliest significant vesting event for outstanding grants will occur in 2007.</w:t>
      </w:r>
    </w:p>
    <w:p>
      <w:pPr>
        <w:spacing w:after="0" w:line="73" w:lineRule="exact"/>
        <w:rPr>
          <w:rFonts w:ascii="Arial" w:cs="Arial" w:eastAsia="Arial" w:hAnsi="Arial"/>
          <w:sz w:val="17"/>
          <w:szCs w:val="17"/>
          <w:color w:val="auto"/>
        </w:rPr>
      </w:pPr>
    </w:p>
    <w:p>
      <w:pPr>
        <w:ind w:left="360" w:right="240"/>
        <w:spacing w:after="0" w:line="342" w:lineRule="auto"/>
        <w:rPr>
          <w:rFonts w:ascii="Arial" w:cs="Arial" w:eastAsia="Arial" w:hAnsi="Arial"/>
          <w:sz w:val="17"/>
          <w:szCs w:val="17"/>
          <w:color w:val="auto"/>
        </w:rPr>
      </w:pPr>
      <w:r>
        <w:rPr>
          <w:rFonts w:ascii="Arial" w:cs="Arial" w:eastAsia="Arial" w:hAnsi="Arial"/>
          <w:sz w:val="16"/>
          <w:szCs w:val="16"/>
          <w:color w:val="auto"/>
        </w:rPr>
        <w:t>The actual amount of LTIP expense amortization in any given year will be directly influenced by our unit price at the end of each reporting period and the amount of amortization in the early years as well as new unit grants. Therefore, actual net income could differ materially from our projections.</w:t>
      </w:r>
    </w:p>
    <w:p>
      <w:pPr>
        <w:spacing w:after="0" w:line="15" w:lineRule="exact"/>
        <w:rPr>
          <w:rFonts w:ascii="Arial" w:cs="Arial" w:eastAsia="Arial" w:hAnsi="Arial"/>
          <w:sz w:val="17"/>
          <w:szCs w:val="17"/>
          <w:color w:val="auto"/>
        </w:rPr>
      </w:pPr>
    </w:p>
    <w:p>
      <w:pPr>
        <w:ind w:left="360" w:hanging="352"/>
        <w:spacing w:after="0"/>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Reconciliation of EBITDA and EBIT to Net Income.  </w:t>
      </w:r>
      <w:r>
        <w:rPr>
          <w:rFonts w:ascii="Arial" w:cs="Arial" w:eastAsia="Arial" w:hAnsi="Arial"/>
          <w:sz w:val="17"/>
          <w:szCs w:val="17"/>
          <w:color w:val="auto"/>
        </w:rPr>
        <w:t>The following table reconciles the 2006 guidance ranges for EBITDA and EBIT to net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4"/>
                <w:szCs w:val="14"/>
                <w:b w:val="1"/>
                <w:bCs w:val="1"/>
                <w:color w:val="auto"/>
                <w:w w:val="90"/>
              </w:rPr>
              <w:t>Guidance</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02"/>
        </w:trPr>
        <w:tc>
          <w:tcPr>
            <w:tcW w:w="5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40" w:type="dxa"/>
            <w:vAlign w:val="bottom"/>
            <w:gridSpan w:val="6"/>
          </w:tcPr>
          <w:p>
            <w:pPr>
              <w:jc w:val="center"/>
              <w:ind w:right="460"/>
              <w:spacing w:after="0" w:line="102" w:lineRule="exact"/>
              <w:rPr>
                <w:sz w:val="20"/>
                <w:szCs w:val="20"/>
                <w:color w:val="auto"/>
              </w:rPr>
            </w:pPr>
            <w:r>
              <w:rPr>
                <w:rFonts w:ascii="Arial" w:cs="Arial" w:eastAsia="Arial" w:hAnsi="Arial"/>
                <w:sz w:val="11"/>
                <w:szCs w:val="11"/>
                <w:b w:val="1"/>
                <w:bCs w:val="1"/>
                <w:color w:val="auto"/>
              </w:rPr>
              <w:t>Three Months Ending</w:t>
            </w:r>
          </w:p>
        </w:tc>
        <w:tc>
          <w:tcPr>
            <w:tcW w:w="2160" w:type="dxa"/>
            <w:vAlign w:val="bottom"/>
            <w:gridSpan w:val="7"/>
          </w:tcPr>
          <w:p>
            <w:pPr>
              <w:jc w:val="right"/>
              <w:ind w:right="640"/>
              <w:spacing w:after="0" w:line="102" w:lineRule="exact"/>
              <w:rPr>
                <w:sz w:val="20"/>
                <w:szCs w:val="20"/>
                <w:color w:val="auto"/>
              </w:rPr>
            </w:pPr>
            <w:r>
              <w:rPr>
                <w:rFonts w:ascii="Arial" w:cs="Arial" w:eastAsia="Arial" w:hAnsi="Arial"/>
                <w:sz w:val="11"/>
                <w:szCs w:val="11"/>
                <w:b w:val="1"/>
                <w:bCs w:val="1"/>
                <w:color w:val="auto"/>
              </w:rPr>
              <w:t>Three Months Ending</w:t>
            </w:r>
          </w:p>
        </w:tc>
        <w:tc>
          <w:tcPr>
            <w:tcW w:w="1880" w:type="dxa"/>
            <w:vAlign w:val="bottom"/>
            <w:gridSpan w:val="4"/>
          </w:tcPr>
          <w:p>
            <w:pPr>
              <w:ind w:left="140"/>
              <w:spacing w:after="0" w:line="102" w:lineRule="exact"/>
              <w:rPr>
                <w:sz w:val="20"/>
                <w:szCs w:val="20"/>
                <w:color w:val="auto"/>
              </w:rPr>
            </w:pPr>
            <w:r>
              <w:rPr>
                <w:rFonts w:ascii="Arial" w:cs="Arial" w:eastAsia="Arial" w:hAnsi="Arial"/>
                <w:sz w:val="11"/>
                <w:szCs w:val="11"/>
                <w:b w:val="1"/>
                <w:bCs w:val="1"/>
                <w:color w:val="auto"/>
              </w:rPr>
              <w:t>Twelve Months Ending</w:t>
            </w:r>
          </w:p>
        </w:tc>
        <w:tc>
          <w:tcPr>
            <w:tcW w:w="60" w:type="dxa"/>
            <w:vAlign w:val="bottom"/>
          </w:tcPr>
          <w:p>
            <w:pPr>
              <w:spacing w:after="0"/>
              <w:rPr>
                <w:sz w:val="8"/>
                <w:szCs w:val="8"/>
                <w:color w:val="auto"/>
              </w:rPr>
            </w:pPr>
          </w:p>
        </w:tc>
      </w:t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September 30, 2006</w:t>
            </w:r>
          </w:p>
        </w:tc>
        <w:tc>
          <w:tcPr>
            <w:tcW w:w="2160" w:type="dxa"/>
            <w:vAlign w:val="bottom"/>
            <w:gridSpan w:val="7"/>
          </w:tcPr>
          <w:p>
            <w:pPr>
              <w:ind w:left="260"/>
              <w:spacing w:after="0"/>
              <w:rPr>
                <w:sz w:val="20"/>
                <w:szCs w:val="20"/>
                <w:color w:val="auto"/>
              </w:rPr>
            </w:pPr>
            <w:r>
              <w:rPr>
                <w:rFonts w:ascii="Arial" w:cs="Arial" w:eastAsia="Arial" w:hAnsi="Arial"/>
                <w:sz w:val="14"/>
                <w:szCs w:val="14"/>
                <w:b w:val="1"/>
                <w:bCs w:val="1"/>
                <w:color w:val="auto"/>
              </w:rPr>
              <w:t>December 31, 2006</w:t>
            </w:r>
          </w:p>
        </w:tc>
        <w:tc>
          <w:tcPr>
            <w:tcW w:w="194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 2006</w:t>
            </w:r>
          </w:p>
        </w:tc>
      </w:tr>
      <w:tr>
        <w:trPr>
          <w:trHeight w:val="129"/>
        </w:trPr>
        <w:tc>
          <w:tcPr>
            <w:tcW w:w="50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rPr>
              <w:t>Low</w:t>
            </w:r>
          </w:p>
        </w:tc>
        <w:tc>
          <w:tcPr>
            <w:tcW w:w="780" w:type="dxa"/>
            <w:vAlign w:val="bottom"/>
            <w:tcBorders>
              <w:top w:val="single" w:sz="8" w:color="auto"/>
              <w:bottom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gridSpan w:val="3"/>
          </w:tcPr>
          <w:p>
            <w:pPr>
              <w:ind w:left="140"/>
              <w:spacing w:after="0" w:line="129" w:lineRule="exact"/>
              <w:rPr>
                <w:sz w:val="20"/>
                <w:szCs w:val="20"/>
                <w:color w:val="auto"/>
              </w:rPr>
            </w:pPr>
            <w:r>
              <w:rPr>
                <w:rFonts w:ascii="Arial" w:cs="Arial" w:eastAsia="Arial" w:hAnsi="Arial"/>
                <w:sz w:val="14"/>
                <w:szCs w:val="14"/>
                <w:b w:val="1"/>
                <w:bCs w:val="1"/>
                <w:color w:val="auto"/>
              </w:rPr>
              <w:t>Low</w:t>
            </w:r>
          </w:p>
        </w:tc>
        <w:tc>
          <w:tcPr>
            <w:tcW w:w="660" w:type="dxa"/>
            <w:vAlign w:val="bottom"/>
            <w:tcBorders>
              <w:top w:val="single" w:sz="8" w:color="auto"/>
              <w:bottom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6"/>
              </w:rPr>
              <w:t>High</w:t>
            </w:r>
          </w:p>
        </w:tc>
        <w:tc>
          <w:tcPr>
            <w:tcW w:w="14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gridSpan w:val="2"/>
          </w:tcPr>
          <w:p>
            <w:pPr>
              <w:ind w:left="160"/>
              <w:spacing w:after="0" w:line="129" w:lineRule="exact"/>
              <w:rPr>
                <w:sz w:val="20"/>
                <w:szCs w:val="20"/>
                <w:color w:val="auto"/>
              </w:rPr>
            </w:pPr>
            <w:r>
              <w:rPr>
                <w:rFonts w:ascii="Arial" w:cs="Arial" w:eastAsia="Arial" w:hAnsi="Arial"/>
                <w:sz w:val="14"/>
                <w:szCs w:val="14"/>
                <w:b w:val="1"/>
                <w:bCs w:val="1"/>
                <w:color w:val="auto"/>
              </w:rPr>
              <w:t>Low</w:t>
            </w:r>
          </w:p>
        </w:tc>
        <w:tc>
          <w:tcPr>
            <w:tcW w:w="800" w:type="dxa"/>
            <w:vAlign w:val="bottom"/>
            <w:tcBorders>
              <w:top w:val="single" w:sz="8" w:color="auto"/>
              <w:bottom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1"/>
                <w:szCs w:val="11"/>
                <w:color w:val="auto"/>
              </w:rPr>
            </w:pPr>
          </w:p>
        </w:tc>
      </w:tr>
      <w:tr>
        <w:trPr>
          <w:trHeight w:val="129"/>
        </w:trPr>
        <w:tc>
          <w:tcPr>
            <w:tcW w:w="5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7"/>
          </w:tcPr>
          <w:p>
            <w:pPr>
              <w:jc w:val="center"/>
              <w:ind w:right="42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to Net Income</w:t>
            </w: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51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EBITDA</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$106.0</w:t>
            </w:r>
          </w:p>
        </w:tc>
        <w:tc>
          <w:tcPr>
            <w:tcW w:w="4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$116.0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$106.4</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$116.4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$432.3</w:t>
            </w:r>
          </w:p>
        </w:tc>
        <w:tc>
          <w:tcPr>
            <w:tcW w:w="5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$452.3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0"/>
        </w:trPr>
        <w:tc>
          <w:tcPr>
            <w:tcW w:w="518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Depreciation and</w:t>
            </w: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51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amortization</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(24.8)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(93.5)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(92.7)</w:t>
            </w:r>
          </w:p>
        </w:tc>
        <w:tc>
          <w:tcPr>
            <w:tcW w:w="60" w:type="dxa"/>
            <w:vAlign w:val="bottom"/>
            <w:shd w:val="clear" w:color="auto" w:fill="CCEEFF"/>
          </w:tcPr>
          <w:p>
            <w:pPr>
              <w:spacing w:after="0"/>
              <w:rPr>
                <w:sz w:val="14"/>
                <w:szCs w:val="14"/>
                <w:color w:val="auto"/>
              </w:rPr>
            </w:pPr>
          </w:p>
        </w:tc>
      </w:tr>
      <w:tr>
        <w:trPr>
          <w:trHeight w:val="142"/>
        </w:trPr>
        <w:tc>
          <w:tcPr>
            <w:tcW w:w="518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EBIT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81.2</w:t>
            </w:r>
          </w:p>
        </w:tc>
        <w:tc>
          <w:tcPr>
            <w:tcW w:w="48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91.6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80.6</w:t>
            </w: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91.0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338.8</w:t>
            </w:r>
          </w:p>
        </w:tc>
        <w:tc>
          <w:tcPr>
            <w:tcW w:w="5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359.6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51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(20.4)</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(74.1)</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(72.5)</w:t>
            </w:r>
          </w:p>
        </w:tc>
        <w:tc>
          <w:tcPr>
            <w:tcW w:w="60" w:type="dxa"/>
            <w:vAlign w:val="bottom"/>
            <w:shd w:val="clear" w:color="auto" w:fill="CCEEFF"/>
          </w:tcPr>
          <w:p>
            <w:pPr>
              <w:spacing w:after="0"/>
              <w:rPr>
                <w:sz w:val="12"/>
                <w:szCs w:val="12"/>
                <w:color w:val="auto"/>
              </w:rPr>
            </w:pPr>
          </w:p>
        </w:tc>
      </w:tr>
      <w:tr>
        <w:trPr>
          <w:trHeight w:val="142"/>
        </w:trPr>
        <w:tc>
          <w:tcPr>
            <w:tcW w:w="518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Net Income</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$60.8</w:t>
            </w:r>
          </w:p>
        </w:tc>
        <w:tc>
          <w:tcPr>
            <w:tcW w:w="4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$60.2</w:t>
            </w:r>
          </w:p>
        </w:tc>
        <w:tc>
          <w:tcPr>
            <w:tcW w:w="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$264.7</w:t>
            </w:r>
          </w:p>
        </w:tc>
        <w:tc>
          <w:tcPr>
            <w:tcW w:w="5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$287.1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12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50" w:lineRule="exact"/>
        <w:rPr>
          <w:sz w:val="20"/>
          <w:szCs w:val="20"/>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w:t>
      </w:r>
    </w:p>
    <w:p>
      <w:pPr>
        <w:spacing w:after="0" w:line="140" w:lineRule="exact"/>
        <w:rPr>
          <w:rFonts w:ascii="Arial" w:cs="Arial" w:eastAsia="Arial" w:hAnsi="Arial"/>
          <w:sz w:val="16"/>
          <w:szCs w:val="16"/>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volumes shipped on the Basin Pipeline, Capline Pipeline and our other pipelines by us and third party shippers;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demand for natural gas or various grades of crude oil and resulting changes in pricing conditions or transmission throughput requirements;</w:t>
      </w:r>
    </w:p>
    <w:p>
      <w:pPr>
        <w:spacing w:after="0" w:line="128" w:lineRule="exact"/>
        <w:rPr>
          <w:rFonts w:ascii="Arial" w:cs="Arial" w:eastAsia="Arial" w:hAnsi="Arial"/>
          <w:sz w:val="17"/>
          <w:szCs w:val="17"/>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transmission lines;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117" w:lineRule="exact"/>
        <w:rPr>
          <w:rFonts w:ascii="Arial" w:cs="Arial" w:eastAsia="Arial" w:hAnsi="Arial"/>
          <w:sz w:val="18"/>
          <w:szCs w:val="18"/>
          <w:color w:val="auto"/>
        </w:rPr>
      </w:pPr>
    </w:p>
    <w:p>
      <w:pPr>
        <w:ind w:left="540" w:right="32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integration and future performance of acquired assets or businesses and the risks associated with operating in lines of business that are distinct and separate from our historical operations;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and volatility (or lack thereof);</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current and future laws, rulings and governmental regulations;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interruptions in service and fluctuations in rates of third party pipelines;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crude oil and natural gas price fluctuations;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factors and uncertainties inherent in the marketing, transportation, terminalling, gathering and storage of crude oil and liquefied petroleum gas.</w:t>
      </w:r>
    </w:p>
    <w:p>
      <w:pPr>
        <w:spacing w:after="0" w:line="140"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4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5920" w:type="dxa"/>
            <w:vAlign w:val="bottom"/>
            <w:gridSpan w:val="3"/>
          </w:tcPr>
          <w:p>
            <w:pPr>
              <w:ind w:left="900"/>
              <w:spacing w:after="0"/>
              <w:rPr>
                <w:sz w:val="20"/>
                <w:szCs w:val="20"/>
                <w:color w:val="auto"/>
              </w:rPr>
            </w:pPr>
            <w:r>
              <w:rPr>
                <w:rFonts w:ascii="Arial" w:cs="Arial" w:eastAsia="Arial" w:hAnsi="Arial"/>
                <w:sz w:val="18"/>
                <w:szCs w:val="18"/>
                <w:color w:val="auto"/>
              </w:rPr>
              <w:t>PLAINS ALL AMERICAN PIPELINE, L.P.</w:t>
            </w:r>
          </w:p>
        </w:tc>
      </w:tr>
      <w:tr>
        <w:trPr>
          <w:trHeight w:val="324"/>
        </w:trPr>
        <w:tc>
          <w:tcPr>
            <w:tcW w:w="2440" w:type="dxa"/>
            <w:vAlign w:val="bottom"/>
          </w:tcPr>
          <w:p>
            <w:pPr>
              <w:spacing w:after="0"/>
              <w:rPr>
                <w:sz w:val="24"/>
                <w:szCs w:val="24"/>
                <w:color w:val="auto"/>
              </w:rPr>
            </w:pPr>
          </w:p>
        </w:tc>
        <w:tc>
          <w:tcPr>
            <w:tcW w:w="1460" w:type="dxa"/>
            <w:vAlign w:val="bottom"/>
          </w:tcPr>
          <w:p>
            <w:pPr>
              <w:ind w:left="90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rPr>
                <w:sz w:val="20"/>
                <w:szCs w:val="20"/>
                <w:color w:val="auto"/>
              </w:rPr>
            </w:pPr>
            <w:r>
              <w:rPr>
                <w:rFonts w:ascii="Arial" w:cs="Arial" w:eastAsia="Arial" w:hAnsi="Arial"/>
                <w:sz w:val="18"/>
                <w:szCs w:val="18"/>
                <w:color w:val="auto"/>
              </w:rPr>
              <w:t>PLAINS AAP, L. P., its general partner</w:t>
            </w:r>
          </w:p>
        </w:tc>
      </w:tr>
      <w:tr>
        <w:trPr>
          <w:trHeight w:val="324"/>
        </w:trPr>
        <w:tc>
          <w:tcPr>
            <w:tcW w:w="2440" w:type="dxa"/>
            <w:vAlign w:val="bottom"/>
          </w:tcPr>
          <w:p>
            <w:pPr>
              <w:spacing w:after="0"/>
              <w:rPr>
                <w:sz w:val="24"/>
                <w:szCs w:val="24"/>
                <w:color w:val="auto"/>
              </w:rPr>
            </w:pPr>
          </w:p>
        </w:tc>
        <w:tc>
          <w:tcPr>
            <w:tcW w:w="1460" w:type="dxa"/>
            <w:vAlign w:val="bottom"/>
          </w:tcPr>
          <w:p>
            <w:pPr>
              <w:ind w:left="90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324"/>
        </w:trPr>
        <w:tc>
          <w:tcPr>
            <w:tcW w:w="2440" w:type="dxa"/>
            <w:vAlign w:val="bottom"/>
          </w:tcPr>
          <w:p>
            <w:pPr>
              <w:spacing w:after="0"/>
              <w:rPr>
                <w:sz w:val="20"/>
                <w:szCs w:val="20"/>
                <w:color w:val="auto"/>
              </w:rPr>
            </w:pPr>
            <w:r>
              <w:rPr>
                <w:rFonts w:ascii="Arial" w:cs="Arial" w:eastAsia="Arial" w:hAnsi="Arial"/>
                <w:sz w:val="18"/>
                <w:szCs w:val="18"/>
                <w:color w:val="auto"/>
              </w:rPr>
              <w:t>Date: August 1, 2006</w:t>
            </w:r>
          </w:p>
        </w:tc>
        <w:tc>
          <w:tcPr>
            <w:tcW w:w="1460" w:type="dxa"/>
            <w:vAlign w:val="bottom"/>
          </w:tcPr>
          <w:p>
            <w:pPr>
              <w:ind w:left="90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 KRAMER</w:t>
            </w:r>
          </w:p>
        </w:tc>
      </w:tr>
      <w:tr>
        <w:trPr>
          <w:trHeight w:val="195"/>
        </w:trPr>
        <w:tc>
          <w:tcPr>
            <w:tcW w:w="2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20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2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i w:val="1"/>
                <w:iCs w:val="1"/>
                <w:color w:val="auto"/>
                <w:w w:val="99"/>
              </w:rPr>
              <w:t>Executive Vice President and Chief Financial</w:t>
            </w:r>
          </w:p>
        </w:tc>
      </w:tr>
      <w:tr>
        <w:trPr>
          <w:trHeight w:val="230"/>
        </w:trPr>
        <w:tc>
          <w:tcPr>
            <w:tcW w:w="2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80" w:type="dxa"/>
            <w:vAlign w:val="bottom"/>
          </w:tcPr>
          <w:p>
            <w:pPr>
              <w:ind w:left="200"/>
              <w:spacing w:after="0"/>
              <w:rPr>
                <w:sz w:val="20"/>
                <w:szCs w:val="20"/>
                <w:color w:val="auto"/>
              </w:rPr>
            </w:pPr>
            <w:r>
              <w:rPr>
                <w:rFonts w:ascii="Arial" w:cs="Arial" w:eastAsia="Arial" w:hAnsi="Arial"/>
                <w:sz w:val="18"/>
                <w:szCs w:val="18"/>
                <w:i w:val="1"/>
                <w:iCs w:val="1"/>
                <w:color w:val="auto"/>
              </w:rPr>
              <w:t>Officer</w:t>
            </w:r>
          </w:p>
        </w:tc>
      </w:tr>
    </w:tbl>
    <w:p>
      <w:pPr>
        <w:spacing w:after="0" w:line="200" w:lineRule="exact"/>
        <w:rPr>
          <w:sz w:val="20"/>
          <w:szCs w:val="20"/>
          <w:color w:val="auto"/>
        </w:rPr>
      </w:pPr>
    </w:p>
    <w:p>
      <w:pPr>
        <w:sectPr>
          <w:pgSz w:w="11900" w:h="16838" w:orient="portrait"/>
          <w:cols w:equalWidth="0" w:num="1">
            <w:col w:w="11280"/>
          </w:cols>
          <w:pgMar w:left="240" w:top="121" w:right="379" w:bottom="42" w:gutter="0" w:footer="0" w:header="0"/>
        </w:sectPr>
      </w:pP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1" w:right="379" w:bottom="42" w:gutter="0" w:footer="0" w:header="0"/>
          <w:type w:val="continuous"/>
        </w:sectPr>
      </w:pPr>
    </w:p>
    <w:bookmarkStart w:id="6" w:name="page7"/>
    <w:bookmarkEnd w:id="6"/>
    <w:p>
      <w:pPr>
        <w:ind w:left="10480"/>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121" w:right="239" w:bottom="0" w:gutter="0" w:footer="0" w:header="0"/>
        </w:sectPr>
      </w:pPr>
    </w:p>
    <w:p>
      <w:pPr>
        <w:spacing w:after="0" w:line="248"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b w:val="1"/>
          <w:bCs w:val="1"/>
          <w:color w:val="auto"/>
        </w:rPr>
        <w:t>Contacts:</w:t>
      </w:r>
      <w:r>
        <w:rPr>
          <w:sz w:val="20"/>
          <w:szCs w:val="20"/>
          <w:color w:val="auto"/>
        </w:rPr>
        <w:tab/>
      </w:r>
      <w:r>
        <w:rPr>
          <w:rFonts w:ascii="Arial" w:cs="Arial" w:eastAsia="Arial" w:hAnsi="Arial"/>
          <w:sz w:val="18"/>
          <w:szCs w:val="18"/>
          <w:b w:val="1"/>
          <w:bCs w:val="1"/>
          <w:color w:val="auto"/>
        </w:rPr>
        <w:t>Phillip D. Kramer</w:t>
      </w:r>
    </w:p>
    <w:p>
      <w:pPr>
        <w:spacing w:after="0" w:line="27"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Executive VP and CFO</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713/646-4560—800/564-3036</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 A. Thielemann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Manager, Special Projects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713/646-4222—800/564-3036</w:t>
      </w:r>
    </w:p>
    <w:p>
      <w:pPr>
        <w:spacing w:after="0" w:line="200" w:lineRule="exact"/>
        <w:rPr>
          <w:sz w:val="20"/>
          <w:szCs w:val="20"/>
          <w:color w:val="auto"/>
        </w:rPr>
      </w:pPr>
    </w:p>
    <w:p>
      <w:pPr>
        <w:sectPr>
          <w:pgSz w:w="11900" w:h="16838" w:orient="portrait"/>
          <w:cols w:equalWidth="0" w:num="2">
            <w:col w:w="6120" w:space="720"/>
            <w:col w:w="4580"/>
          </w:cols>
          <w:pgMar w:left="240" w:top="121" w:right="239" w:bottom="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Strong Financial Results for Second Quarter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Climbs 29%; Net Income Per Diluted Unit Increases 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EBITDA Up 25%</w:t>
      </w:r>
    </w:p>
    <w:p>
      <w:pPr>
        <w:spacing w:after="0" w:line="103"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(Houston—August 1, 2006) Plains All American Pipeline, L.P. (NYSE: PAA) reported second quarter 2006 net income of $80.3 million, equivalent to $0.81 per diluted limited partner unit. These financial results represent increases of 29% and 9%, respectively, over net income of $62.3 million, or $0.74 per diluted limited partner unit, for the second quarter of 2005. For the first six months of 2006, the Partnership reported net income of $143.7 million, or $1.53 per diluted limited partner unit, representing increases of 51% and 21%, respectively, over net income of $95.1 million, or $1.26 per diluted limited partner unit, for the first six months of 2005.</w:t>
      </w:r>
    </w:p>
    <w:p>
      <w:pPr>
        <w:spacing w:after="0" w:line="80"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As reported, earnings before interest, taxes, depreciation and amortization (“EBITDA”) for the second quarter of 2006 were $119.6 million, an increase of 25% as compared with EBITDA of $95.6 million for the second quarter of 2005. EBITDA for the first six months of 2006 was $219.9 million, an increase of 36% as compared with EBITDA of $162.1 million for the first six months of 2005. (See the section of this release entitled “Non-GAAP Financial Measures” and the attached tables for a discussion of EBITDA and other non-GAAP financial measures, and reconciliations of such measures to the comparable GAAP measures.)</w:t>
      </w:r>
    </w:p>
    <w:p>
      <w:pPr>
        <w:spacing w:after="0" w:line="80"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“Although we are only seven months into the year, 2006 has already been a very active and productive year for the Partnership,” said Greg L. Armstrong, Chairman and CEO of Plains All American. “We have achieved strong operating and financial results and made significant progress on our $275 million expansion capital program. In the last four months, we have announced or closed seven predominantly fee-based acquisitions for aggregate consideration of approximately $572 million. Of major significance, we entered into agreements to acquire Pacific Energy Partners in a transaction valued at approximately $2.4 billion. We believe these activities set the stage for continued growth in our fundamental business as well as in our distributions to unitholders.” Armstrong noted that the Partnership recently declared an increase in its quarterly cash distribution to $0.725 per unit ($2.90 per unit on an annualized basis), which marked the Partnership’s ninth consecutive quarterly distribution increase and the sixteenth increase in the last twenty-two quarters.</w:t>
      </w:r>
    </w:p>
    <w:p>
      <w:pPr>
        <w:spacing w:after="0" w:line="59" w:lineRule="exact"/>
        <w:rPr>
          <w:sz w:val="20"/>
          <w:szCs w:val="20"/>
          <w:color w:val="auto"/>
        </w:rPr>
      </w:pPr>
    </w:p>
    <w:p>
      <w:pPr>
        <w:ind w:right="160" w:firstLine="360"/>
        <w:spacing w:after="0" w:line="342" w:lineRule="auto"/>
        <w:rPr>
          <w:sz w:val="20"/>
          <w:szCs w:val="20"/>
          <w:color w:val="auto"/>
        </w:rPr>
      </w:pPr>
      <w:r>
        <w:rPr>
          <w:rFonts w:ascii="Arial" w:cs="Arial" w:eastAsia="Arial" w:hAnsi="Arial"/>
          <w:sz w:val="16"/>
          <w:szCs w:val="16"/>
          <w:color w:val="auto"/>
        </w:rPr>
        <w:t>Armstrong also commented, “The Partnership’s generation of cash flow in excess of distributions, coupled with proactive equity and debt financings to fund acquisitions and capital expenditures, has allowed us to maintain a strong capital structure and a high level of liquidity and financial flexibility.”</w:t>
      </w:r>
    </w:p>
    <w:p>
      <w:pPr>
        <w:spacing w:after="0" w:line="16"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The Partnership’s reported results include the impact of various items that affect comparability between reporting periods. Adjusting for selected items impacting comparability, the Partnership’s second quarter 2006 adjusted net income, adjusted net income per diluted limited partner unit and adjusted EBITDA were $88.9 million, $1.03 per diluted unit and $128.2 million, respectively. By way of comparison, the Partnership’s second quarter 2005 adjusted net income, adjusted net income per diluted limited partner unit and adjusted EBITDA were $82.1 million, $1.11 per diluted unit, and $115.4 million, respectively. On a comparable basis, second quarter 2006 adjusted net income increased 8%, adjusted net income per diluted limited partner unit decreased 7% and adjusted EBITDA increased 11% over second quarter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The Partnership’s adjusted net income, adjusted net income per diluted limited partner unit and adjusted EBITDA for the first six months of 2006 were $157.3 million, $1.85 per diluted unit and $233.5 million, respectively. Similarly, the Partnership’s adjusted net income, adjusted net income per diluted limited partner unit and adjusted EBITDA for the first six months of 2005 were $131.4 million, $1.78 per diluted unit and $198.4 million, respectively. On a comparable basis, adjusted net income, adjusted net income per diluted limited partner unit and adjusted EBITDA for the first six months of 2006 increased 20%, 4% and 18%, respectively, over the first six months of 2005.</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highlights selected items that the Partnership believes impact the comparability of financial results between reporting periods: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8"/>
          </w:tcPr>
          <w:p>
            <w:pPr>
              <w:ind w:left="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8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96"/>
              </w:rPr>
              <w:t>2006</w:t>
            </w: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rPr>
              <w:t>2006</w:t>
            </w: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29"/>
        </w:trPr>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8"/>
          </w:tcPr>
          <w:p>
            <w:pPr>
              <w:jc w:val="right"/>
              <w:ind w:right="20"/>
              <w:spacing w:after="0" w:line="129" w:lineRule="exact"/>
              <w:rPr>
                <w:sz w:val="20"/>
                <w:szCs w:val="20"/>
                <w:color w:val="auto"/>
              </w:rPr>
            </w:pPr>
            <w:r>
              <w:rPr>
                <w:rFonts w:ascii="Arial" w:cs="Arial" w:eastAsia="Arial" w:hAnsi="Arial"/>
                <w:sz w:val="14"/>
                <w:szCs w:val="14"/>
                <w:b w:val="1"/>
                <w:bCs w:val="1"/>
                <w:color w:val="auto"/>
                <w:w w:val="93"/>
              </w:rPr>
              <w:t>(in millions, except per unit data)</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146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Incentive Plan (“LTIP”) charge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 (16.8)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(10.2)</w:t>
            </w:r>
          </w:p>
        </w:tc>
        <w:tc>
          <w:tcPr>
            <w:tcW w:w="12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5060" w:type="dxa"/>
            <w:vAlign w:val="bottom"/>
            <w:gridSpan w:val="3"/>
          </w:tcPr>
          <w:p>
            <w:pPr>
              <w:spacing w:after="0" w:line="216" w:lineRule="exact"/>
              <w:rPr>
                <w:sz w:val="20"/>
                <w:szCs w:val="20"/>
                <w:color w:val="auto"/>
              </w:rPr>
            </w:pPr>
            <w:r>
              <w:rPr>
                <w:rFonts w:ascii="Arial" w:cs="Arial" w:eastAsia="Arial" w:hAnsi="Arial"/>
                <w:sz w:val="18"/>
                <w:szCs w:val="18"/>
                <w:color w:val="auto"/>
              </w:rPr>
              <w:t>Cumulative effect of change in accounting principle—LTIP</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1460" w:type="dxa"/>
            <w:vAlign w:val="bottom"/>
          </w:tcPr>
          <w:p>
            <w:pPr>
              <w:spacing w:after="0"/>
              <w:rPr>
                <w:sz w:val="18"/>
                <w:szCs w:val="18"/>
                <w:color w:val="auto"/>
              </w:rPr>
            </w:pPr>
          </w:p>
        </w:tc>
        <w:tc>
          <w:tcPr>
            <w:tcW w:w="506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Gain on foreign currency revaluation</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SFAS 133 mark-to-market adjustment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(12.9)</w:t>
            </w:r>
          </w:p>
        </w:tc>
        <w:tc>
          <w:tcPr>
            <w:tcW w:w="20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(26.3)</w:t>
            </w:r>
          </w:p>
        </w:tc>
        <w:tc>
          <w:tcPr>
            <w:tcW w:w="120" w:type="dxa"/>
            <w:vAlign w:val="bottom"/>
          </w:tcPr>
          <w:p>
            <w:pPr>
              <w:spacing w:after="0"/>
              <w:rPr>
                <w:sz w:val="18"/>
                <w:szCs w:val="18"/>
                <w:color w:val="auto"/>
              </w:rPr>
            </w:pPr>
          </w:p>
        </w:tc>
      </w:tr>
      <w:tr>
        <w:trPr>
          <w:trHeight w:val="210"/>
        </w:trPr>
        <w:tc>
          <w:tcPr>
            <w:tcW w:w="1460" w:type="dxa"/>
            <w:vAlign w:val="bottom"/>
          </w:tcPr>
          <w:p>
            <w:pPr>
              <w:spacing w:after="0"/>
              <w:rPr>
                <w:sz w:val="18"/>
                <w:szCs w:val="18"/>
                <w:color w:val="auto"/>
              </w:rPr>
            </w:pPr>
          </w:p>
        </w:tc>
        <w:tc>
          <w:tcPr>
            <w:tcW w:w="50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(13.6)</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84"/>
        </w:trPr>
        <w:tc>
          <w:tcPr>
            <w:tcW w:w="146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18"/>
                <w:szCs w:val="18"/>
                <w:i w:val="1"/>
                <w:iCs w:val="1"/>
                <w:color w:val="auto"/>
              </w:rPr>
              <w:t>Per Basic Limited Partner Unit</w:t>
            </w:r>
            <w:r>
              <w:rPr>
                <w:rFonts w:ascii="Arial" w:cs="Arial" w:eastAsia="Arial" w:hAnsi="Arial"/>
                <w:sz w:val="23"/>
                <w:szCs w:val="23"/>
                <w:i w:val="1"/>
                <w:iCs w:val="1"/>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5"/>
                <w:szCs w:val="15"/>
                <w:i w:val="1"/>
                <w:iCs w:val="1"/>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7"/>
              </w:rPr>
              <w:t>(0.22)</w:t>
            </w:r>
          </w:p>
        </w:tc>
        <w:tc>
          <w:tcPr>
            <w:tcW w:w="40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w w:val="97"/>
              </w:rPr>
              <w:t>(0.37)</w:t>
            </w:r>
          </w:p>
        </w:tc>
        <w:tc>
          <w:tcPr>
            <w:tcW w:w="20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i w:val="1"/>
                <w:iCs w:val="1"/>
                <w:color w:val="auto"/>
                <w:w w:val="99"/>
              </w:rPr>
              <w:t>$ (0.32)</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w w:val="97"/>
              </w:rPr>
              <w:t>(0.54)</w:t>
            </w:r>
          </w:p>
        </w:tc>
        <w:tc>
          <w:tcPr>
            <w:tcW w:w="120" w:type="dxa"/>
            <w:vAlign w:val="bottom"/>
          </w:tcPr>
          <w:p>
            <w:pPr>
              <w:spacing w:after="0"/>
              <w:rPr>
                <w:sz w:val="24"/>
                <w:szCs w:val="24"/>
                <w:color w:val="auto"/>
              </w:rPr>
            </w:pPr>
          </w:p>
        </w:tc>
      </w:tr>
      <w:tr>
        <w:trPr>
          <w:trHeight w:val="216"/>
        </w:trPr>
        <w:tc>
          <w:tcPr>
            <w:tcW w:w="1460" w:type="dxa"/>
            <w:vAlign w:val="bottom"/>
          </w:tcPr>
          <w:p>
            <w:pPr>
              <w:spacing w:after="0"/>
              <w:rPr>
                <w:sz w:val="18"/>
                <w:szCs w:val="18"/>
                <w:color w:val="auto"/>
              </w:rPr>
            </w:pPr>
          </w:p>
        </w:tc>
        <w:tc>
          <w:tcPr>
            <w:tcW w:w="506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i w:val="1"/>
                <w:iCs w:val="1"/>
                <w:color w:val="auto"/>
              </w:rPr>
              <w:t>Per Diluted Limited Partner Unit</w:t>
            </w:r>
            <w:r>
              <w:rPr>
                <w:rFonts w:ascii="Arial" w:cs="Arial" w:eastAsia="Arial" w:hAnsi="Arial"/>
                <w:sz w:val="23"/>
                <w:szCs w:val="23"/>
                <w:i w:val="1"/>
                <w:iCs w:val="1"/>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w w:val="97"/>
              </w:rPr>
              <w:t>(0.22)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w w:val="97"/>
              </w:rPr>
              <w:t>(0.37)</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i w:val="1"/>
                <w:iCs w:val="1"/>
                <w:color w:val="auto"/>
                <w:w w:val="99"/>
              </w:rPr>
              <w:t>$ (0.32)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w w:val="97"/>
              </w:rPr>
              <w:t>(0.52)</w:t>
            </w:r>
          </w:p>
        </w:tc>
        <w:tc>
          <w:tcPr>
            <w:tcW w:w="120" w:type="dxa"/>
            <w:vAlign w:val="bottom"/>
            <w:shd w:val="clear" w:color="auto" w:fill="CCEEFF"/>
          </w:tcPr>
          <w:p>
            <w:pPr>
              <w:spacing w:after="0"/>
              <w:rPr>
                <w:sz w:val="18"/>
                <w:szCs w:val="18"/>
                <w:color w:val="auto"/>
              </w:rPr>
            </w:pPr>
          </w:p>
        </w:tc>
      </w:tr>
      <w:tr>
        <w:trPr>
          <w:trHeight w:val="108"/>
        </w:trPr>
        <w:tc>
          <w:tcPr>
            <w:tcW w:w="14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Note: Figures may not sum due to rounding.</w:t>
      </w:r>
    </w:p>
    <w:p>
      <w:pPr>
        <w:spacing w:after="0" w:line="117" w:lineRule="exact"/>
        <w:rPr>
          <w:sz w:val="20"/>
          <w:szCs w:val="20"/>
          <w:color w:val="auto"/>
        </w:rPr>
      </w:pPr>
    </w:p>
    <w:p>
      <w:pPr>
        <w:jc w:val="both"/>
        <w:ind w:left="360" w:right="240" w:hanging="352"/>
        <w:spacing w:after="0" w:line="312" w:lineRule="auto"/>
        <w:tabs>
          <w:tab w:leader="none" w:pos="3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the first quarter of 2006, we adopted SFAS No. 123(R) (revised) “Share Based Payment,” which requires that the cost resulting from all share-based payment transactions be recognized in the financial statements at fair value. The cumulative effect adjustment represents a decrease to our LTIP life-to-date accrued expense and related liability, and therefore resulted in a non-cash gain of $6.3 million in the first quarter of 2006.</w:t>
      </w:r>
    </w:p>
    <w:p>
      <w:pPr>
        <w:spacing w:after="0" w:line="38" w:lineRule="exact"/>
        <w:rPr>
          <w:rFonts w:ascii="Arial" w:cs="Arial" w:eastAsia="Arial" w:hAnsi="Arial"/>
          <w:sz w:val="16"/>
          <w:szCs w:val="16"/>
          <w:color w:val="auto"/>
        </w:rPr>
      </w:pPr>
    </w:p>
    <w:p>
      <w:pPr>
        <w:ind w:left="360" w:right="280" w:hanging="352"/>
        <w:spacing w:after="0" w:line="277" w:lineRule="auto"/>
        <w:tabs>
          <w:tab w:leader="none" w:pos="3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Selected items impacting comparability for the first six months of 2006 excludes a loss of approximately $0.9 million on foreign currency revaluation that was previously included in the first quarter 2006.</w:t>
      </w:r>
    </w:p>
    <w:p>
      <w:pPr>
        <w:spacing w:after="0" w:line="62" w:lineRule="exact"/>
        <w:rPr>
          <w:rFonts w:ascii="Arial" w:cs="Arial" w:eastAsia="Arial" w:hAnsi="Arial"/>
          <w:sz w:val="18"/>
          <w:szCs w:val="18"/>
          <w:color w:val="auto"/>
        </w:rPr>
      </w:pPr>
    </w:p>
    <w:p>
      <w:pPr>
        <w:ind w:left="360" w:right="20" w:hanging="352"/>
        <w:spacing w:after="0" w:line="255" w:lineRule="auto"/>
        <w:tabs>
          <w:tab w:leader="none" w:pos="3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For the quarter ended June 30, 2006, the Partnership’s net income exceeded the cash distribution paid during such periods, which required the application of </w:t>
      </w:r>
      <w:r>
        <w:rPr>
          <w:rFonts w:ascii="Arial" w:cs="Arial" w:eastAsia="Arial" w:hAnsi="Arial"/>
          <w:sz w:val="18"/>
          <w:szCs w:val="18"/>
          <w:i w:val="1"/>
          <w:iCs w:val="1"/>
          <w:color w:val="auto"/>
        </w:rPr>
        <w:t>Emerging Issues Task Force Issue No. 03-06: “Participating Securities and the Two-Class Method under FASB Statement No. 128”</w:t>
      </w:r>
      <w:r>
        <w:rPr>
          <w:rFonts w:ascii="Arial" w:cs="Arial" w:eastAsia="Arial" w:hAnsi="Arial"/>
          <w:sz w:val="18"/>
          <w:szCs w:val="18"/>
          <w:color w:val="auto"/>
        </w:rPr>
        <w:t xml:space="preserve"> (“EITF 03-06”). This calculation does not impact the Partnership’s aggregate net income or EBITDA, but does reduce the Partnership’s net income per limited partner unit. The application of EITF 03-06 negatively impacted basic and diluted earnings per limited partner unit by $0.11 and $0.09 for the second quarter and $0.15 and $0.01 for the first six months of 2006 and 2005, respectively. This impact is included as a selected item impacting net income per limited partner unit.</w:t>
      </w:r>
    </w:p>
    <w:p>
      <w:pPr>
        <w:sectPr>
          <w:pgSz w:w="11900" w:h="16838" w:orient="portrait"/>
          <w:cols w:equalWidth="0" w:num="1">
            <w:col w:w="11420"/>
          </w:cols>
          <w:pgMar w:left="240" w:top="121" w:right="239" w:bottom="0" w:gutter="0" w:footer="0" w:header="0"/>
          <w:type w:val="continuous"/>
        </w:sectPr>
      </w:pPr>
    </w:p>
    <w:bookmarkStart w:id="7" w:name="page8"/>
    <w:bookmarkEnd w:id="7"/>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certain selected financial information by segment for the second quarter reporting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2"/>
              </w:rPr>
              <w:t>June 30, 2006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0"/>
              </w:rPr>
              <w:t>June 30, 2005</w:t>
            </w:r>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3"/>
          </w:tcPr>
          <w:p>
            <w:pPr>
              <w:jc w:val="center"/>
              <w:ind w:right="140"/>
              <w:spacing w:after="0" w:line="102" w:lineRule="exact"/>
              <w:rPr>
                <w:sz w:val="20"/>
                <w:szCs w:val="20"/>
                <w:color w:val="auto"/>
              </w:rPr>
            </w:pPr>
            <w:r>
              <w:rPr>
                <w:rFonts w:ascii="Arial" w:cs="Arial" w:eastAsia="Arial" w:hAnsi="Arial"/>
                <w:sz w:val="11"/>
                <w:szCs w:val="11"/>
                <w:b w:val="1"/>
                <w:bCs w:val="1"/>
                <w:color w:val="auto"/>
              </w:rPr>
              <w:t>Gathering,</w:t>
            </w:r>
          </w:p>
        </w:tc>
        <w:tc>
          <w:tcPr>
            <w:tcW w:w="2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3"/>
          </w:tcPr>
          <w:p>
            <w:pPr>
              <w:jc w:val="center"/>
              <w:ind w:right="60"/>
              <w:spacing w:after="0" w:line="102" w:lineRule="exact"/>
              <w:rPr>
                <w:sz w:val="20"/>
                <w:szCs w:val="20"/>
                <w:color w:val="auto"/>
              </w:rPr>
            </w:pPr>
            <w:r>
              <w:rPr>
                <w:rFonts w:ascii="Arial" w:cs="Arial" w:eastAsia="Arial" w:hAnsi="Arial"/>
                <w:sz w:val="11"/>
                <w:szCs w:val="11"/>
                <w:b w:val="1"/>
                <w:bCs w:val="1"/>
                <w:color w:val="auto"/>
              </w:rPr>
              <w:t>Gathering,</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tcPr>
          <w:p>
            <w:pPr>
              <w:jc w:val="center"/>
              <w:ind w:right="360"/>
              <w:spacing w:after="0" w:line="135" w:lineRule="exact"/>
              <w:rPr>
                <w:sz w:val="20"/>
                <w:szCs w:val="20"/>
                <w:color w:val="auto"/>
              </w:rPr>
            </w:pPr>
            <w:r>
              <w:rPr>
                <w:rFonts w:ascii="Arial" w:cs="Arial" w:eastAsia="Arial" w:hAnsi="Arial"/>
                <w:sz w:val="14"/>
                <w:szCs w:val="14"/>
                <w:b w:val="1"/>
                <w:bCs w:val="1"/>
                <w:color w:val="auto"/>
                <w:w w:val="97"/>
              </w:rPr>
              <w:t>Marketing,</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9"/>
              </w:rPr>
              <w:t>Marketing,</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Pipeline</w:t>
            </w:r>
          </w:p>
        </w:tc>
        <w:tc>
          <w:tcPr>
            <w:tcW w:w="136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98"/>
              </w:rPr>
              <w:t>Terminalling &amp;</w:t>
            </w:r>
          </w:p>
        </w:tc>
        <w:tc>
          <w:tcPr>
            <w:tcW w:w="40" w:type="dxa"/>
            <w:vAlign w:val="bottom"/>
          </w:tcPr>
          <w:p>
            <w:pPr>
              <w:spacing w:after="0"/>
              <w:rPr>
                <w:sz w:val="11"/>
                <w:szCs w:val="11"/>
                <w:color w:val="auto"/>
              </w:rPr>
            </w:pPr>
          </w:p>
        </w:tc>
        <w:tc>
          <w:tcPr>
            <w:tcW w:w="8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Pipeline</w:t>
            </w:r>
          </w:p>
        </w:tc>
        <w:tc>
          <w:tcPr>
            <w:tcW w:w="1280" w:type="dxa"/>
            <w:vAlign w:val="bottom"/>
            <w:gridSpan w:val="5"/>
          </w:tcPr>
          <w:p>
            <w:pPr>
              <w:jc w:val="center"/>
              <w:ind w:right="20"/>
              <w:spacing w:after="0" w:line="135" w:lineRule="exact"/>
              <w:rPr>
                <w:sz w:val="20"/>
                <w:szCs w:val="20"/>
                <w:color w:val="auto"/>
              </w:rPr>
            </w:pPr>
            <w:r>
              <w:rPr>
                <w:rFonts w:ascii="Arial" w:cs="Arial" w:eastAsia="Arial" w:hAnsi="Arial"/>
                <w:sz w:val="14"/>
                <w:szCs w:val="14"/>
                <w:b w:val="1"/>
                <w:bCs w:val="1"/>
                <w:color w:val="auto"/>
                <w:w w:val="96"/>
              </w:rPr>
              <w:t>Terminalling &amp;</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480"/>
              <w:spacing w:after="0" w:line="135" w:lineRule="exact"/>
              <w:rPr>
                <w:sz w:val="20"/>
                <w:szCs w:val="20"/>
                <w:color w:val="auto"/>
              </w:rPr>
            </w:pPr>
            <w:r>
              <w:rPr>
                <w:rFonts w:ascii="Arial" w:cs="Arial" w:eastAsia="Arial" w:hAnsi="Arial"/>
                <w:sz w:val="14"/>
                <w:szCs w:val="14"/>
                <w:b w:val="1"/>
                <w:bCs w:val="1"/>
                <w:color w:val="auto"/>
                <w:w w:val="91"/>
              </w:rPr>
              <w:t>Storage</w:t>
            </w:r>
          </w:p>
        </w:tc>
        <w:tc>
          <w:tcPr>
            <w:tcW w:w="4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Storage</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Operations</w:t>
            </w:r>
          </w:p>
        </w:tc>
        <w:tc>
          <w:tcPr>
            <w:tcW w:w="13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Operations</w:t>
            </w:r>
            <w:r>
              <w:rPr>
                <w:rFonts w:ascii="Arial" w:cs="Arial" w:eastAsia="Arial" w:hAnsi="Arial"/>
                <w:sz w:val="8"/>
                <w:szCs w:val="8"/>
                <w:b w:val="1"/>
                <w:bCs w:val="1"/>
                <w:color w:val="auto"/>
                <w:w w:val="95"/>
              </w:rPr>
              <w:t>(4)</w:t>
            </w:r>
          </w:p>
        </w:tc>
        <w:tc>
          <w:tcPr>
            <w:tcW w:w="900" w:type="dxa"/>
            <w:vAlign w:val="bottom"/>
            <w:gridSpan w:val="4"/>
          </w:tcPr>
          <w:p>
            <w:pPr>
              <w:ind w:left="40"/>
              <w:spacing w:after="0"/>
              <w:rPr>
                <w:sz w:val="20"/>
                <w:szCs w:val="20"/>
                <w:color w:val="auto"/>
              </w:rPr>
            </w:pPr>
            <w:r>
              <w:rPr>
                <w:rFonts w:ascii="Arial" w:cs="Arial" w:eastAsia="Arial" w:hAnsi="Arial"/>
                <w:sz w:val="14"/>
                <w:szCs w:val="14"/>
                <w:b w:val="1"/>
                <w:bCs w:val="1"/>
                <w:color w:val="auto"/>
              </w:rPr>
              <w:t>Operations</w:t>
            </w:r>
          </w:p>
        </w:tc>
        <w:tc>
          <w:tcPr>
            <w:tcW w:w="220" w:type="dxa"/>
            <w:vAlign w:val="bottom"/>
          </w:tcPr>
          <w:p>
            <w:pPr>
              <w:spacing w:after="0"/>
              <w:rPr>
                <w:sz w:val="15"/>
                <w:szCs w:val="15"/>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Operations</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6"/>
          </w:tcPr>
          <w:p>
            <w:pPr>
              <w:jc w:val="center"/>
              <w:ind w:right="18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6"/>
          </w:tcPr>
          <w:p>
            <w:pPr>
              <w:jc w:val="center"/>
              <w:ind w:right="12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1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Revenues</w:t>
            </w:r>
            <w:r>
              <w:rPr>
                <w:rFonts w:ascii="Arial" w:cs="Arial" w:eastAsia="Arial" w:hAnsi="Arial"/>
                <w:sz w:val="23"/>
                <w:szCs w:val="23"/>
                <w:color w:val="auto"/>
                <w:vertAlign w:val="superscript"/>
              </w:rPr>
              <w:t>(1)</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160" w:type="dxa"/>
            <w:vAlign w:val="bottom"/>
            <w:gridSpan w:val="2"/>
          </w:tcPr>
          <w:p>
            <w:pPr>
              <w:spacing w:after="0" w:line="216" w:lineRule="exact"/>
              <w:rPr>
                <w:sz w:val="20"/>
                <w:szCs w:val="20"/>
                <w:color w:val="auto"/>
              </w:rPr>
            </w:pPr>
            <w:r>
              <w:rPr>
                <w:rFonts w:ascii="Arial" w:cs="Arial" w:eastAsia="Arial" w:hAnsi="Arial"/>
                <w:sz w:val="18"/>
                <w:szCs w:val="18"/>
                <w:color w:val="auto"/>
              </w:rPr>
              <w:t>Purchases and related costs</w:t>
            </w:r>
            <w:r>
              <w:rPr>
                <w:rFonts w:ascii="Arial" w:cs="Arial" w:eastAsia="Arial" w:hAnsi="Arial"/>
                <w:sz w:val="23"/>
                <w:szCs w:val="23"/>
                <w:color w:val="auto"/>
                <w:vertAlign w:val="superscript"/>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(165.6)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(4,532.2)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(6,834.7)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 (excluding LTIP charge)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LTIP charge—operations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1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Segment G&amp;A expenses (excluding LTIP charge)</w:t>
            </w:r>
            <w:r>
              <w:rPr>
                <w:rFonts w:ascii="Arial" w:cs="Arial" w:eastAsia="Arial" w:hAnsi="Arial"/>
                <w:sz w:val="23"/>
                <w:szCs w:val="23"/>
                <w:color w:val="auto"/>
                <w:vertAlign w:val="superscript"/>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LTIP charge—general and administrative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16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SFAS 133 mark-to-market impact</w:t>
            </w:r>
            <w:r>
              <w:rPr>
                <w:rFonts w:ascii="Arial" w:cs="Arial" w:eastAsia="Arial" w:hAnsi="Arial"/>
                <w:sz w:val="23"/>
                <w:szCs w:val="23"/>
                <w:color w:val="auto"/>
                <w:vertAlign w:val="superscript"/>
              </w:rPr>
              <w:t>(3)</w:t>
            </w: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p>
        </w:tc>
        <w:tc>
          <w:tcPr>
            <w:tcW w:w="4160" w:type="dxa"/>
            <w:vAlign w:val="bottom"/>
            <w:tcBorders>
              <w:bottom w:val="single" w:sz="8" w:color="CCEEFF"/>
            </w:tcBorders>
            <w:gridSpan w:val="2"/>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140" w:hanging="352"/>
        <w:spacing w:after="0" w:line="264" w:lineRule="auto"/>
        <w:tabs>
          <w:tab w:leader="none" w:pos="3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inter-segment amounts. We have adopted EITF 04-13, which impacts the comparability of our revenues, effective April 1, 2006. Revenues for the three months ended June 30, 2005 include buy/sell transactions of $40 million and $3,706.1 million in the Pipeline segment and the Gathering, Marketing, Terminalling &amp; Storage segment, respectively.</w:t>
      </w:r>
    </w:p>
    <w:p>
      <w:pPr>
        <w:spacing w:after="0" w:line="73" w:lineRule="exact"/>
        <w:rPr>
          <w:rFonts w:ascii="Arial" w:cs="Arial" w:eastAsia="Arial" w:hAnsi="Arial"/>
          <w:sz w:val="18"/>
          <w:szCs w:val="18"/>
          <w:color w:val="auto"/>
        </w:rPr>
      </w:pPr>
    </w:p>
    <w:p>
      <w:pPr>
        <w:ind w:left="360" w:hanging="352"/>
        <w:spacing w:after="0" w:line="264" w:lineRule="auto"/>
        <w:tabs>
          <w:tab w:leader="none" w:pos="3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73" w:lineRule="exact"/>
        <w:rPr>
          <w:rFonts w:ascii="Arial" w:cs="Arial" w:eastAsia="Arial" w:hAnsi="Arial"/>
          <w:sz w:val="18"/>
          <w:szCs w:val="18"/>
          <w:color w:val="auto"/>
        </w:rPr>
      </w:pPr>
    </w:p>
    <w:p>
      <w:pPr>
        <w:ind w:left="360" w:right="40" w:hanging="352"/>
        <w:spacing w:after="0" w:line="259" w:lineRule="auto"/>
        <w:tabs>
          <w:tab w:leader="none" w:pos="3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related to SFAS 133 are included in revenues and impact segment profit. The SFAS 133 mark-to-market adjustment is primarily based upon crude oil prices at the end of the period and is related to the non-effective portion of our cash flow hedges, as well as certain derivative contracts that do not qualify under SFAS 133 as cash flow hedges. The net gain or loss related to these derivative instruments is principally offset by physical positions in future periods.</w:t>
      </w:r>
    </w:p>
    <w:p>
      <w:pPr>
        <w:spacing w:after="0" w:line="78"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Gains/losses on foreign currency revaluation are included in the Gathering, Marketing, Terminalling &amp; Storage segment.</w:t>
      </w:r>
    </w:p>
    <w:p>
      <w:pPr>
        <w:spacing w:after="0" w:line="117"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Excluding selected items impacting comparability in both periods, adjusted segment profit from pipeline operations in the second quarter of 2006 was $55.6 million versus $45.8 million for the second quarter of 2005 on average daily volumes of 2.0 million barrels per day versus 1.8 million barrels per day. This increase is primarily a result of increased throughput volumes on certain major pipeline systems. Adjusted segment profit from gathering, marketing, terminalling and storage operations for the second quarter of 2006 was $71.4 million, up approximately 3% over the corresponding period in 2005. Segment performance was predominantly driven by favorable market conditions, successful execution of our risk management strategies and the contributions from recent acquisitions.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certain selected financial information by segment for the first six-month reporting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2"/>
              </w:rPr>
              <w:t>Six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2"/>
              </w:rPr>
              <w:t>June 30, 2006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June 30, 2005</w:t>
            </w: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3"/>
          </w:tcPr>
          <w:p>
            <w:pPr>
              <w:jc w:val="center"/>
              <w:ind w:right="120"/>
              <w:spacing w:after="0" w:line="102" w:lineRule="exact"/>
              <w:rPr>
                <w:sz w:val="20"/>
                <w:szCs w:val="20"/>
                <w:color w:val="auto"/>
              </w:rPr>
            </w:pPr>
            <w:r>
              <w:rPr>
                <w:rFonts w:ascii="Arial" w:cs="Arial" w:eastAsia="Arial" w:hAnsi="Arial"/>
                <w:sz w:val="11"/>
                <w:szCs w:val="11"/>
                <w:b w:val="1"/>
                <w:bCs w:val="1"/>
                <w:color w:val="auto"/>
              </w:rPr>
              <w:t>Gathering,</w:t>
            </w:r>
          </w:p>
        </w:tc>
        <w:tc>
          <w:tcPr>
            <w:tcW w:w="2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Gathering,</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jc w:val="center"/>
              <w:ind w:right="340"/>
              <w:spacing w:after="0" w:line="135" w:lineRule="exact"/>
              <w:rPr>
                <w:sz w:val="20"/>
                <w:szCs w:val="20"/>
                <w:color w:val="auto"/>
              </w:rPr>
            </w:pPr>
            <w:r>
              <w:rPr>
                <w:rFonts w:ascii="Arial" w:cs="Arial" w:eastAsia="Arial" w:hAnsi="Arial"/>
                <w:sz w:val="14"/>
                <w:szCs w:val="14"/>
                <w:b w:val="1"/>
                <w:bCs w:val="1"/>
                <w:color w:val="auto"/>
                <w:w w:val="99"/>
              </w:rPr>
              <w:t>Marketing,</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9"/>
              </w:rPr>
              <w:t>Marketing,</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Pipeline</w:t>
            </w:r>
          </w:p>
        </w:tc>
        <w:tc>
          <w:tcPr>
            <w:tcW w:w="1360" w:type="dxa"/>
            <w:vAlign w:val="bottom"/>
            <w:gridSpan w:val="5"/>
          </w:tcPr>
          <w:p>
            <w:pPr>
              <w:jc w:val="center"/>
              <w:ind w:right="140"/>
              <w:spacing w:after="0" w:line="135" w:lineRule="exact"/>
              <w:rPr>
                <w:sz w:val="20"/>
                <w:szCs w:val="20"/>
                <w:color w:val="auto"/>
              </w:rPr>
            </w:pPr>
            <w:r>
              <w:rPr>
                <w:rFonts w:ascii="Arial" w:cs="Arial" w:eastAsia="Arial" w:hAnsi="Arial"/>
                <w:sz w:val="14"/>
                <w:szCs w:val="14"/>
                <w:b w:val="1"/>
                <w:bCs w:val="1"/>
                <w:color w:val="auto"/>
                <w:w w:val="96"/>
              </w:rPr>
              <w:t>Terminalling &amp;</w:t>
            </w:r>
          </w:p>
        </w:tc>
        <w:tc>
          <w:tcPr>
            <w:tcW w:w="40" w:type="dxa"/>
            <w:vAlign w:val="bottom"/>
          </w:tcPr>
          <w:p>
            <w:pPr>
              <w:spacing w:after="0"/>
              <w:rPr>
                <w:sz w:val="11"/>
                <w:szCs w:val="11"/>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Pipeline</w:t>
            </w:r>
          </w:p>
        </w:tc>
        <w:tc>
          <w:tcPr>
            <w:tcW w:w="1280" w:type="dxa"/>
            <w:vAlign w:val="bottom"/>
            <w:gridSpan w:val="5"/>
          </w:tcPr>
          <w:p>
            <w:pPr>
              <w:jc w:val="center"/>
              <w:ind w:right="20"/>
              <w:spacing w:after="0" w:line="135" w:lineRule="exact"/>
              <w:rPr>
                <w:sz w:val="20"/>
                <w:szCs w:val="20"/>
                <w:color w:val="auto"/>
              </w:rPr>
            </w:pPr>
            <w:r>
              <w:rPr>
                <w:rFonts w:ascii="Arial" w:cs="Arial" w:eastAsia="Arial" w:hAnsi="Arial"/>
                <w:sz w:val="14"/>
                <w:szCs w:val="14"/>
                <w:b w:val="1"/>
                <w:bCs w:val="1"/>
                <w:color w:val="auto"/>
                <w:w w:val="96"/>
              </w:rPr>
              <w:t>Terminalling &amp;</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88"/>
              </w:rPr>
              <w:t>Storage</w:t>
            </w:r>
          </w:p>
        </w:tc>
        <w:tc>
          <w:tcPr>
            <w:tcW w:w="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Storage</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Operations</w:t>
            </w:r>
          </w:p>
        </w:tc>
        <w:tc>
          <w:tcPr>
            <w:tcW w:w="200" w:type="dxa"/>
            <w:vAlign w:val="bottom"/>
          </w:tcPr>
          <w:p>
            <w:pPr>
              <w:spacing w:after="0"/>
              <w:rPr>
                <w:sz w:val="15"/>
                <w:szCs w:val="15"/>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Operations</w:t>
            </w:r>
            <w:r>
              <w:rPr>
                <w:rFonts w:ascii="Arial" w:cs="Arial" w:eastAsia="Arial" w:hAnsi="Arial"/>
                <w:sz w:val="8"/>
                <w:szCs w:val="8"/>
                <w:b w:val="1"/>
                <w:bCs w:val="1"/>
                <w:color w:val="auto"/>
                <w:w w:val="93"/>
              </w:rPr>
              <w:t>(4)</w:t>
            </w: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Operations</w:t>
            </w:r>
          </w:p>
        </w:tc>
        <w:tc>
          <w:tcPr>
            <w:tcW w:w="200" w:type="dxa"/>
            <w:vAlign w:val="bottom"/>
          </w:tcPr>
          <w:p>
            <w:pPr>
              <w:spacing w:after="0"/>
              <w:rPr>
                <w:sz w:val="15"/>
                <w:szCs w:val="15"/>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Operations</w:t>
            </w:r>
            <w:r>
              <w:rPr>
                <w:rFonts w:ascii="Arial" w:cs="Arial" w:eastAsia="Arial" w:hAnsi="Arial"/>
                <w:sz w:val="8"/>
                <w:szCs w:val="8"/>
                <w:b w:val="1"/>
                <w:bCs w:val="1"/>
                <w:color w:val="auto"/>
                <w:w w:val="95"/>
              </w:rPr>
              <w:t>(4)</w:t>
            </w: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6"/>
          </w:tcPr>
          <w:p>
            <w:pPr>
              <w:jc w:val="center"/>
              <w:ind w:right="20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6"/>
          </w:tcPr>
          <w:p>
            <w:pPr>
              <w:jc w:val="center"/>
              <w:ind w:right="16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Revenues</w:t>
            </w:r>
            <w:r>
              <w:rPr>
                <w:rFonts w:ascii="Arial" w:cs="Arial" w:eastAsia="Arial" w:hAnsi="Arial"/>
                <w:sz w:val="23"/>
                <w:szCs w:val="23"/>
                <w:color w:val="auto"/>
                <w:vertAlign w:val="superscript"/>
              </w:rPr>
              <w:t>(1)</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13,043.9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gridSpan w:val="2"/>
          </w:tcPr>
          <w:p>
            <w:pPr>
              <w:spacing w:after="0" w:line="216" w:lineRule="exact"/>
              <w:rPr>
                <w:sz w:val="20"/>
                <w:szCs w:val="20"/>
                <w:color w:val="auto"/>
              </w:rPr>
            </w:pPr>
            <w:r>
              <w:rPr>
                <w:rFonts w:ascii="Arial" w:cs="Arial" w:eastAsia="Arial" w:hAnsi="Arial"/>
                <w:sz w:val="18"/>
                <w:szCs w:val="18"/>
                <w:color w:val="auto"/>
              </w:rPr>
              <w:t>Purchases and related costs</w:t>
            </w:r>
            <w:r>
              <w:rPr>
                <w:rFonts w:ascii="Arial" w:cs="Arial" w:eastAsia="Arial" w:hAnsi="Arial"/>
                <w:sz w:val="23"/>
                <w:szCs w:val="23"/>
                <w:color w:val="auto"/>
                <w:vertAlign w:val="superscript"/>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(354.2)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(12,809.2)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(319.5)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(13,204.1)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 (excluding LTIP charge)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LTIP charge—operations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Segment G&amp;A expenses (excluding LTIP charge)</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LTIP charge—general and administrative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4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14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SFAS 133 mark-to-market impact</w:t>
            </w:r>
            <w:r>
              <w:rPr>
                <w:rFonts w:ascii="Arial" w:cs="Arial" w:eastAsia="Arial" w:hAnsi="Arial"/>
                <w:sz w:val="23"/>
                <w:szCs w:val="23"/>
                <w:color w:val="auto"/>
                <w:vertAlign w:val="superscript"/>
              </w:rPr>
              <w:t>(3)</w:t>
            </w: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4140" w:type="dxa"/>
            <w:vAlign w:val="bottom"/>
            <w:tcBorders>
              <w:bottom w:val="single" w:sz="8" w:color="CCEEFF"/>
            </w:tcBorders>
            <w:gridSpan w:val="2"/>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440" w:type="dxa"/>
            <w:vAlign w:val="bottom"/>
          </w:tcPr>
          <w:p>
            <w:pPr>
              <w:spacing w:after="0"/>
              <w:rPr>
                <w:sz w:val="22"/>
                <w:szCs w:val="22"/>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100" w:hanging="352"/>
        <w:spacing w:after="0" w:line="312" w:lineRule="auto"/>
        <w:tabs>
          <w:tab w:leader="none" w:pos="3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inter-segment amounts. We have adopted EITF 04-13, which impacts the comparability of our revenues, effective April 1, 2006. Revenues include buy/sell transactions in the six months ended June 30, 2006 of $45.3 million and $4,717.7 million and in the six months ended June 30, 2005 of $73.6 million and $7,125.2 million in the Pipeline segment and the Gathering, Marketing, Terminalling &amp; Storage segment, respectively.</w:t>
      </w:r>
    </w:p>
    <w:p>
      <w:pPr>
        <w:spacing w:after="0" w:line="38" w:lineRule="exact"/>
        <w:rPr>
          <w:rFonts w:ascii="Arial" w:cs="Arial" w:eastAsia="Arial" w:hAnsi="Arial"/>
          <w:sz w:val="16"/>
          <w:szCs w:val="16"/>
          <w:color w:val="auto"/>
        </w:rPr>
      </w:pPr>
    </w:p>
    <w:p>
      <w:pPr>
        <w:ind w:left="360" w:hanging="352"/>
        <w:spacing w:after="0" w:line="264" w:lineRule="auto"/>
        <w:tabs>
          <w:tab w:leader="none" w:pos="3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73" w:lineRule="exact"/>
        <w:rPr>
          <w:rFonts w:ascii="Arial" w:cs="Arial" w:eastAsia="Arial" w:hAnsi="Arial"/>
          <w:sz w:val="18"/>
          <w:szCs w:val="18"/>
          <w:color w:val="auto"/>
        </w:rPr>
      </w:pPr>
    </w:p>
    <w:p>
      <w:pPr>
        <w:ind w:left="360" w:right="80" w:hanging="352"/>
        <w:spacing w:after="0" w:line="342" w:lineRule="auto"/>
        <w:tabs>
          <w:tab w:leader="none" w:pos="3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Amounts related to SFAS 133 are included in revenues and impact segment profit. The SFAS 133 mark-to-market adjustment is primarily based upon crude oil prices at the end of the period and is related to the non-effective portion of our cash flow hedges, as well as certain derivative contracts that do</w:t>
      </w:r>
    </w:p>
    <w:p>
      <w:pPr>
        <w:sectPr>
          <w:pgSz w:w="11900" w:h="16838" w:orient="portrait"/>
          <w:cols w:equalWidth="0" w:num="1">
            <w:col w:w="11380"/>
          </w:cols>
          <w:pgMar w:left="240" w:top="125" w:right="279" w:bottom="0" w:gutter="0" w:footer="0" w:header="0"/>
        </w:sectPr>
      </w:pPr>
    </w:p>
    <w:bookmarkStart w:id="8" w:name="page9"/>
    <w:bookmarkEnd w:id="8"/>
    <w:p>
      <w:pPr>
        <w:spacing w:after="0" w:line="40" w:lineRule="exact"/>
        <w:rPr>
          <w:sz w:val="20"/>
          <w:szCs w:val="20"/>
          <w:color w:val="auto"/>
        </w:rPr>
      </w:pPr>
    </w:p>
    <w:p>
      <w:pPr>
        <w:ind w:left="360" w:right="80"/>
        <w:spacing w:after="0" w:line="277" w:lineRule="auto"/>
        <w:rPr>
          <w:sz w:val="20"/>
          <w:szCs w:val="20"/>
          <w:color w:val="auto"/>
        </w:rPr>
      </w:pPr>
      <w:r>
        <w:rPr>
          <w:rFonts w:ascii="Arial" w:cs="Arial" w:eastAsia="Arial" w:hAnsi="Arial"/>
          <w:sz w:val="18"/>
          <w:szCs w:val="18"/>
          <w:color w:val="auto"/>
        </w:rPr>
        <w:t>not qualify under SFAS 133 as cash flow hedges. The net gain or loss related to these derivative instruments is principally offset by physical positions in future periods.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(4)  Gains/losses on foreign currency revaluation are included in the Gathering, Marketing, Terminalling &amp; Storage segment.</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Partnership’s basic weighted average units outstanding for the second quarter of 2006 totaled 77.0 million (77.8 million diluted) as compared to 67.9 million (69.3 million diluted) in last year’s second quarter. At June 30, 2006, the Partnership had approximately 77.3 million units outstanding, long-term debt of $1,255.1 million and a long-term debt to total capitalization ratio of approximately 45%. Including its recent direct equity placement, the Partnership has approximately 81 million common units outstanding.</w:t>
      </w:r>
    </w:p>
    <w:p>
      <w:pPr>
        <w:spacing w:after="0" w:line="7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On July 14, 2006, the Partnership declared a cash distribution of $0.725 per unit ($2.90 per unit on an annualized basis) on its outstanding limited partner units. The distribution will be payable on August 14, 2006, to holders of record of such units at the close of business on August 4, 2006. The distribution represents an increase of 11.5% over the August 2005 distribution and 2.5% over the May 2006 distribution.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firstLine="360"/>
        <w:spacing w:after="0" w:line="308" w:lineRule="auto"/>
        <w:rPr>
          <w:sz w:val="20"/>
          <w:szCs w:val="20"/>
          <w:color w:val="auto"/>
        </w:rPr>
      </w:pPr>
      <w:r>
        <w:rPr>
          <w:rFonts w:ascii="Arial" w:cs="Arial" w:eastAsia="Arial" w:hAnsi="Arial"/>
          <w:sz w:val="17"/>
          <w:szCs w:val="17"/>
          <w:color w:val="auto"/>
        </w:rPr>
        <w:t xml:space="preserve">The Partnership today furnished a current report on Form 8-K, which included material in this press release and financial and operational guidance for the third quarter and full year 2006. A copy of the Form 8-K is available on the Partnership’s website at </w:t>
      </w:r>
      <w:r>
        <w:rPr>
          <w:rFonts w:ascii="Arial" w:cs="Arial" w:eastAsia="Arial" w:hAnsi="Arial"/>
          <w:sz w:val="17"/>
          <w:szCs w:val="17"/>
          <w:u w:val="single" w:color="auto"/>
          <w:color w:val="auto"/>
        </w:rPr>
        <w:t>www.paalp.com</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In this release, the Partnership’s EBITDA disclosure is not presented in accordance with generally accepted accounting principles and is not intended to be used in lieu of GAAP presentations of results of operations or cash provided by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our evaluation of our operating results and prospects. 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in management’s discussion and analysis of operating results in our Quarterly Report on Form 10-Q.</w:t>
      </w:r>
    </w:p>
    <w:p>
      <w:pPr>
        <w:spacing w:after="0" w:line="6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 reconciliation of EBITDA to net income and cash flow from operating activities for the periods presented is included in the tables attached to this release. In addition, the Partnership maintains on its website (</w:t>
      </w:r>
      <w:r>
        <w:rPr>
          <w:rFonts w:ascii="Arial" w:cs="Arial" w:eastAsia="Arial" w:hAnsi="Arial"/>
          <w:sz w:val="18"/>
          <w:szCs w:val="18"/>
          <w:u w:val="single" w:color="auto"/>
          <w:color w:val="auto"/>
        </w:rPr>
        <w:t>www.paalp.com</w:t>
      </w:r>
      <w:r>
        <w:rPr>
          <w:rFonts w:ascii="Arial" w:cs="Arial" w:eastAsia="Arial" w:hAnsi="Arial"/>
          <w:sz w:val="18"/>
          <w:szCs w:val="18"/>
          <w:color w:val="auto"/>
        </w:rPr>
        <w:t>) a reconciliation of all non-GAAP financial information, such as EBITDA, that it reconciles to the most comparable GAAP measures. To access the information, investors should click on the “Investor Relations” link on the Partnership’s home page and then the “Non-GAAP Reconciliation” link on the Investor Relations page.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117"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The Partnership will host a conference call to discuss the results and other forward-looking items on Tuesday, August 1, 2006. Specific items to be addressed in this call include:</w:t>
      </w:r>
    </w:p>
    <w:p>
      <w:pPr>
        <w:spacing w:after="0" w:line="62" w:lineRule="exact"/>
        <w:rPr>
          <w:sz w:val="20"/>
          <w:szCs w:val="20"/>
          <w:color w:val="auto"/>
        </w:rPr>
      </w:pPr>
    </w:p>
    <w:p>
      <w:pPr>
        <w:ind w:left="720" w:hanging="35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brief review of the Partnership’s second quarter performance;</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status report on major expansion projects and recent acquisition activity;</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discussion of capitalization and liquidity;</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review of financial and operating guidance for the third quarter and full year 2006; and</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Comments regarding the Partnership’s outlook for the future.</w:t>
      </w:r>
    </w:p>
    <w:p>
      <w:pPr>
        <w:spacing w:after="0" w:line="117" w:lineRule="exact"/>
        <w:rPr>
          <w:sz w:val="20"/>
          <w:szCs w:val="20"/>
          <w:color w:val="auto"/>
        </w:rPr>
      </w:pPr>
    </w:p>
    <w:p>
      <w:pPr>
        <w:ind w:right="1000" w:firstLine="360"/>
        <w:spacing w:after="0" w:line="277" w:lineRule="auto"/>
        <w:rPr>
          <w:sz w:val="20"/>
          <w:szCs w:val="20"/>
          <w:color w:val="auto"/>
        </w:rPr>
      </w:pPr>
      <w:r>
        <w:rPr>
          <w:rFonts w:ascii="Arial" w:cs="Arial" w:eastAsia="Arial" w:hAnsi="Arial"/>
          <w:sz w:val="18"/>
          <w:szCs w:val="18"/>
          <w:color w:val="auto"/>
        </w:rPr>
        <w:t>The call will begin at 10:00 AM (Central). To participate in the call, please dial 877-709-8150, or, for international callers, 201-689-8354 at approximately 9:55 AM (Central). No password or reservation number is required.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Webcast Instructions</w:t>
      </w:r>
    </w:p>
    <w:p>
      <w:pPr>
        <w:spacing w:after="0" w:line="117"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 xml:space="preserve">To access the Internet webcast, please go to the Partnership’s website at </w:t>
      </w:r>
      <w:r>
        <w:rPr>
          <w:rFonts w:ascii="Arial" w:cs="Arial" w:eastAsia="Arial" w:hAnsi="Arial"/>
          <w:sz w:val="18"/>
          <w:szCs w:val="18"/>
          <w:u w:val="single" w:color="auto"/>
          <w:color w:val="auto"/>
        </w:rPr>
        <w:t>www.paalp.com</w:t>
      </w:r>
      <w:r>
        <w:rPr>
          <w:rFonts w:ascii="Arial" w:cs="Arial" w:eastAsia="Arial" w:hAnsi="Arial"/>
          <w:sz w:val="18"/>
          <w:szCs w:val="18"/>
          <w:color w:val="auto"/>
        </w:rPr>
        <w:t>, choose “Investor Relations”, and then choose “Conference Calls”. Following the live webcast, the call will be archived for a period of sixty (60) days on the Partnership’s website.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117"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To listen to a telephonic replay of the conference call, please dial 877-660-6853, or, for international callers, 201-612-7415, and enter acct # 232 and replay # 207308. The replay will be available beginning Tuesday, August 1, 2006, at approximately 1:00 PM (Central) and continue until 10:59 PM (Central) Monday, August 7,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Except for the historical information contained herein, the matters discussed in this news release are forward-looking statements that involve certain risks and uncertainties that could cause actual results to differ materially from results anticipated in the forward-looking statements. These risks and uncertainties include, among other things: the success of our risk management activities; environmental liabilities or events that are not covered by an indemnity, insurance or existing reserves; maintenance of our credit rating and ability to receive open credit from our suppliers and trade counterparties; abrupt or severe declines or interruptions in outer continental shelf production located offshore California and transported on our pipeline system; declines in volumes shipped on the Basin Pipeline, Capline Pipeline and our other pipelines by us and third party shippers; the availability of adequate third party production volumes for transportation and marketing in the areas in which we operate; demand for natural gas or various grades of crude oil and resulting changes in pricing</w:t>
      </w:r>
    </w:p>
    <w:p>
      <w:pPr>
        <w:sectPr>
          <w:pgSz w:w="11900" w:h="16878" w:orient="portrait"/>
          <w:cols w:equalWidth="0" w:num="1">
            <w:col w:w="11420"/>
          </w:cols>
          <w:pgMar w:left="240" w:top="125" w:right="239" w:bottom="0" w:gutter="0" w:footer="0" w:header="0"/>
        </w:sectPr>
      </w:pPr>
    </w:p>
    <w:bookmarkStart w:id="9" w:name="page10"/>
    <w:bookmarkEnd w:id="9"/>
    <w:p>
      <w:pPr>
        <w:ind w:right="20"/>
        <w:spacing w:after="0" w:line="269" w:lineRule="auto"/>
        <w:rPr>
          <w:sz w:val="20"/>
          <w:szCs w:val="20"/>
          <w:color w:val="auto"/>
        </w:rPr>
      </w:pPr>
      <w:r>
        <w:rPr>
          <w:rFonts w:ascii="Arial" w:cs="Arial" w:eastAsia="Arial" w:hAnsi="Arial"/>
          <w:sz w:val="17"/>
          <w:szCs w:val="17"/>
          <w:color w:val="auto"/>
        </w:rPr>
        <w:t>conditions or transmission throughput requirements; fluctuations in refinery capacity in areas supplied by our transmission lines; the availability of, and our ability to consummate, acquisition or combination opportunities; our access to capital to fund additional acquisitions and our ability to obtain debt or equity financing on satisfactory terms; successful integration and future performance of acquired assets or businesses and the risks associated with operating in lines of business that are distinct and separate from our historical operations; unanticipated changes in crude oil market structure and volatility (or lack thereof); the impact of current and future laws, rulings and governmental regulations; the effects of competition; continued creditworthiness of, and performance by, counterparties; interruptions in service and fluctuations in rates of third party pipelines; increased costs or lack of availability of insurance; fluctuations in the debt and equity markets, including the price of our units at the time of vesting under our Long-Term Incentive Plans; the currency exchange rate of the Canadian dollar; the impact of crude oil and natural gas price fluctuations; shortages or cost increases of power supplies, materials or labor; weather interference with business operations or project construction; general economic, market or business conditions; and other factors and uncertainties inherent in the marketing, transportation, terminalling, gathering and storage of crude oil and liquefied petroleum gas discussed in the Partnership’s filings with the Securities and Exchange Commission.</w:t>
      </w:r>
    </w:p>
    <w:p>
      <w:pPr>
        <w:spacing w:after="0" w:line="75" w:lineRule="exact"/>
        <w:rPr>
          <w:sz w:val="20"/>
          <w:szCs w:val="20"/>
          <w:color w:val="auto"/>
        </w:rPr>
      </w:pPr>
    </w:p>
    <w:p>
      <w:pPr>
        <w:ind w:right="340" w:firstLine="360"/>
        <w:spacing w:after="0" w:line="302" w:lineRule="auto"/>
        <w:rPr>
          <w:sz w:val="20"/>
          <w:szCs w:val="20"/>
          <w:color w:val="auto"/>
        </w:rPr>
      </w:pPr>
      <w:r>
        <w:rPr>
          <w:rFonts w:ascii="Arial" w:cs="Arial" w:eastAsia="Arial" w:hAnsi="Arial"/>
          <w:sz w:val="16"/>
          <w:szCs w:val="16"/>
          <w:color w:val="auto"/>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SUMMARY (unaudited)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00" w:type="dxa"/>
            <w:vAlign w:val="bottom"/>
            <w:tcBorders>
              <w:bottom w:val="single" w:sz="8" w:color="CCEEFF"/>
            </w:tcBorders>
          </w:tcPr>
          <w:p>
            <w:pPr>
              <w:spacing w:after="0"/>
              <w:rPr>
                <w:sz w:val="11"/>
                <w:szCs w:val="11"/>
                <w:color w:val="auto"/>
              </w:rPr>
            </w:pPr>
          </w:p>
        </w:tc>
        <w:tc>
          <w:tcPr>
            <w:tcW w:w="43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5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REVENUES</w:t>
            </w:r>
            <w:r>
              <w:rPr>
                <w:rFonts w:ascii="Arial" w:cs="Arial" w:eastAsia="Arial" w:hAnsi="Arial"/>
                <w:sz w:val="21"/>
                <w:szCs w:val="21"/>
                <w:b w:val="1"/>
                <w:bCs w:val="1"/>
                <w:color w:val="auto"/>
                <w:vertAlign w:val="superscript"/>
              </w:rPr>
              <w:t>(1)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4,892.4</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7,160.7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13,527.8</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13,799.2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Purchases and related costs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4,660.0</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6,971.7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13,087.4</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13,457.9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gridSpan w:val="2"/>
          </w:tcPr>
          <w:p>
            <w:pPr>
              <w:spacing w:after="0" w:line="189" w:lineRule="exact"/>
              <w:rPr>
                <w:sz w:val="20"/>
                <w:szCs w:val="20"/>
                <w:color w:val="auto"/>
              </w:rPr>
            </w:pPr>
            <w:r>
              <w:rPr>
                <w:rFonts w:ascii="Arial" w:cs="Arial" w:eastAsia="Arial" w:hAnsi="Arial"/>
                <w:sz w:val="18"/>
                <w:szCs w:val="18"/>
                <w:color w:val="auto"/>
              </w:rPr>
              <w:t>Field operating costs</w:t>
            </w: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86.6</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67.8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168.9</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131.6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59.2</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21.3</w:t>
            </w: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19.1</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42.9</w:t>
            </w:r>
          </w:p>
        </w:tc>
        <w:tc>
          <w:tcPr>
            <w:tcW w:w="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4,795.3</w:t>
            </w:r>
          </w:p>
        </w:tc>
        <w:tc>
          <w:tcPr>
            <w:tcW w:w="3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7,084.7</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13,358.4</w:t>
            </w:r>
          </w:p>
        </w:tc>
        <w:tc>
          <w:tcPr>
            <w:tcW w:w="3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13,675.9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97.1</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520" w:type="dxa"/>
            <w:vAlign w:val="bottom"/>
            <w:gridSpan w:val="2"/>
          </w:tcPr>
          <w:p>
            <w:pPr>
              <w:spacing w:after="0" w:line="189" w:lineRule="exact"/>
              <w:rPr>
                <w:sz w:val="20"/>
                <w:szCs w:val="20"/>
                <w:color w:val="auto"/>
              </w:rPr>
            </w:pPr>
            <w:r>
              <w:rPr>
                <w:rFonts w:ascii="Arial" w:cs="Arial" w:eastAsia="Arial" w:hAnsi="Arial"/>
                <w:sz w:val="18"/>
                <w:szCs w:val="18"/>
                <w:color w:val="auto"/>
              </w:rPr>
              <w:t>Equity earnings in PAA/Vulcan Gas Storage, LLC</w:t>
            </w: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0.9</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(33.3)</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Interest income and other income (expense), net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0.4</w:t>
            </w:r>
          </w:p>
        </w:tc>
        <w:tc>
          <w:tcPr>
            <w:tcW w:w="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3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Cumulative effect of change in accounting principle</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INCOME—LIMITED PARTNERS</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520" w:type="dxa"/>
            <w:vAlign w:val="bottom"/>
            <w:tcBorders>
              <w:bottom w:val="single" w:sz="8" w:color="CCEEFF"/>
            </w:tcBorders>
            <w:gridSpan w:val="2"/>
            <w:vMerge w:val="continue"/>
          </w:tcPr>
          <w:p>
            <w:pPr>
              <w:spacing w:after="0"/>
              <w:rPr>
                <w:sz w:val="24"/>
                <w:szCs w:val="24"/>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3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3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INCOME—GENERAL PARTNER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BASIC NET INCOME PER LIMITED PARTNER UNIT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Cumulative effect of change in accounting principle</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Cumulative effect of change in accounting principle</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BASIC WEIGHTED AVERAGE UNITS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77.0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75.5</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65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UNITS OUTSTANDING</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320" w:hanging="352"/>
        <w:spacing w:after="0" w:line="227" w:lineRule="auto"/>
        <w:tabs>
          <w:tab w:leader="none" w:pos="352"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Revenues include buy/sell transactions of $3.7 billion in the three months ended June 30, 2005 and $4.8 billion and $7.2 billion for six months ended June 30, 2006 and 2005, respectively.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SUMMARY (unaudited)</w:t>
      </w:r>
    </w:p>
    <w:p>
      <w:pPr>
        <w:sectPr>
          <w:pgSz w:w="11900" w:h="16838" w:orient="portrait"/>
          <w:cols w:equalWidth="0" w:num="1">
            <w:col w:w="11420"/>
          </w:cols>
          <w:pgMar w:left="240" w:top="125"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62"/>
        </w:trPr>
        <w:tc>
          <w:tcPr>
            <w:tcW w:w="7280" w:type="dxa"/>
            <w:vAlign w:val="bottom"/>
            <w:gridSpan w:val="3"/>
          </w:tcPr>
          <w:p>
            <w:pPr>
              <w:spacing w:after="0" w:line="262" w:lineRule="exact"/>
              <w:rPr>
                <w:sz w:val="20"/>
                <w:szCs w:val="20"/>
                <w:color w:val="auto"/>
              </w:rPr>
            </w:pPr>
            <w:r>
              <w:rPr>
                <w:rFonts w:ascii="Arial" w:cs="Arial" w:eastAsia="Arial" w:hAnsi="Arial"/>
                <w:sz w:val="18"/>
                <w:szCs w:val="18"/>
                <w:b w:val="1"/>
                <w:bCs w:val="1"/>
                <w:color w:val="auto"/>
              </w:rPr>
              <w:t>OPERATING DATA (in thousands)</w:t>
            </w:r>
            <w:r>
              <w:rPr>
                <w:rFonts w:ascii="Arial" w:cs="Arial" w:eastAsia="Arial" w:hAnsi="Arial"/>
                <w:sz w:val="23"/>
                <w:szCs w:val="23"/>
                <w:b w:val="1"/>
                <w:bCs w:val="1"/>
                <w:color w:val="auto"/>
                <w:vertAlign w:val="superscript"/>
              </w:rPr>
              <w:t>(1)</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7280" w:type="dxa"/>
            <w:vAlign w:val="bottom"/>
            <w:gridSpan w:val="3"/>
          </w:tcPr>
          <w:p>
            <w:pPr>
              <w:spacing w:after="0"/>
              <w:rPr>
                <w:sz w:val="20"/>
                <w:szCs w:val="20"/>
                <w:color w:val="auto"/>
              </w:rPr>
            </w:pPr>
            <w:r>
              <w:rPr>
                <w:rFonts w:ascii="Arial" w:cs="Arial" w:eastAsia="Arial" w:hAnsi="Arial"/>
                <w:sz w:val="18"/>
                <w:szCs w:val="18"/>
                <w:b w:val="1"/>
                <w:bCs w:val="1"/>
                <w:color w:val="auto"/>
              </w:rPr>
              <w:t>Average Daily Volumes (barrels)</w:t>
            </w:r>
          </w:p>
        </w:tc>
        <w:tc>
          <w:tcPr>
            <w:tcW w:w="2200" w:type="dxa"/>
            <w:vAlign w:val="bottom"/>
            <w:gridSpan w:val="8"/>
            <w:vMerge w:val="restart"/>
          </w:tcPr>
          <w:p>
            <w:pPr>
              <w:jc w:val="center"/>
              <w:ind w:right="520"/>
              <w:spacing w:after="0"/>
              <w:rPr>
                <w:sz w:val="20"/>
                <w:szCs w:val="20"/>
                <w:color w:val="auto"/>
              </w:rPr>
            </w:pPr>
            <w:r>
              <w:rPr>
                <w:rFonts w:ascii="Arial" w:cs="Arial" w:eastAsia="Arial" w:hAnsi="Arial"/>
                <w:sz w:val="14"/>
                <w:szCs w:val="14"/>
                <w:b w:val="1"/>
                <w:bCs w:val="1"/>
                <w:color w:val="auto"/>
                <w:w w:val="95"/>
              </w:rPr>
              <w:t>Three Months Ended</w:t>
            </w:r>
          </w:p>
        </w:tc>
        <w:tc>
          <w:tcPr>
            <w:tcW w:w="1940" w:type="dxa"/>
            <w:vAlign w:val="bottom"/>
            <w:gridSpan w:val="7"/>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gridSpan w:val="8"/>
            <w:vMerge w:val="continue"/>
          </w:tcPr>
          <w:p>
            <w:pPr>
              <w:spacing w:after="0"/>
              <w:rPr>
                <w:sz w:val="3"/>
                <w:szCs w:val="3"/>
                <w:color w:val="auto"/>
              </w:rPr>
            </w:pPr>
          </w:p>
        </w:tc>
        <w:tc>
          <w:tcPr>
            <w:tcW w:w="19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2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gridSpan w:val="7"/>
          </w:tcPr>
          <w:p>
            <w:pPr>
              <w:jc w:val="center"/>
              <w:ind w:right="1100"/>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Pr>
          <w:p>
            <w:pPr>
              <w:spacing w:after="0"/>
              <w:rPr>
                <w:sz w:val="14"/>
                <w:szCs w:val="14"/>
                <w:color w:val="auto"/>
              </w:rPr>
            </w:pPr>
          </w:p>
        </w:tc>
        <w:tc>
          <w:tcPr>
            <w:tcW w:w="132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2006</w:t>
            </w:r>
          </w:p>
        </w:tc>
        <w:tc>
          <w:tcPr>
            <w:tcW w:w="1120" w:type="dxa"/>
            <w:vAlign w:val="bottom"/>
            <w:tcBorders>
              <w:top w:val="single" w:sz="8" w:color="auto"/>
            </w:tcBorders>
            <w:gridSpan w:val="4"/>
          </w:tcPr>
          <w:p>
            <w:pPr>
              <w:jc w:val="right"/>
              <w:ind w:right="70"/>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2006</w:t>
            </w:r>
          </w:p>
        </w:tc>
        <w:tc>
          <w:tcPr>
            <w:tcW w:w="1140" w:type="dxa"/>
            <w:vAlign w:val="bottom"/>
            <w:tcBorders>
              <w:top w:val="single" w:sz="8" w:color="auto"/>
            </w:tcBorders>
            <w:gridSpan w:val="4"/>
          </w:tcPr>
          <w:p>
            <w:pPr>
              <w:jc w:val="right"/>
              <w:ind w:right="70"/>
              <w:spacing w:after="0" w:line="129"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160" w:type="dxa"/>
            <w:vAlign w:val="bottom"/>
            <w:tcBorders>
              <w:top w:val="single" w:sz="8" w:color="CCEEFF"/>
            </w:tcBorders>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rPr>
              <w:t>Pipeline activities:</w:t>
            </w: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3"/>
          </w:tcPr>
          <w:p>
            <w:pPr>
              <w:ind w:left="540"/>
              <w:spacing w:after="0"/>
              <w:rPr>
                <w:sz w:val="20"/>
                <w:szCs w:val="20"/>
                <w:color w:val="auto"/>
              </w:rPr>
            </w:pPr>
            <w:r>
              <w:rPr>
                <w:rFonts w:ascii="Arial" w:cs="Arial" w:eastAsia="Arial" w:hAnsi="Arial"/>
                <w:sz w:val="18"/>
                <w:szCs w:val="18"/>
                <w:color w:val="auto"/>
              </w:rPr>
              <w:t>Tariff activities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All American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3"/>
          </w:tcPr>
          <w:p>
            <w:pPr>
              <w:ind w:left="720"/>
              <w:spacing w:after="0"/>
              <w:rPr>
                <w:sz w:val="20"/>
                <w:szCs w:val="20"/>
                <w:color w:val="auto"/>
              </w:rPr>
            </w:pPr>
            <w:r>
              <w:rPr>
                <w:rFonts w:ascii="Arial" w:cs="Arial" w:eastAsia="Arial" w:hAnsi="Arial"/>
                <w:sz w:val="18"/>
                <w:szCs w:val="18"/>
                <w:color w:val="auto"/>
              </w:rPr>
              <w:t>Basin</w:t>
            </w: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Capline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3"/>
          </w:tcPr>
          <w:p>
            <w:pPr>
              <w:ind w:left="720"/>
              <w:spacing w:after="0"/>
              <w:rPr>
                <w:sz w:val="20"/>
                <w:szCs w:val="20"/>
                <w:color w:val="auto"/>
              </w:rPr>
            </w:pPr>
            <w:r>
              <w:rPr>
                <w:rFonts w:ascii="Arial" w:cs="Arial" w:eastAsia="Arial" w:hAnsi="Arial"/>
                <w:sz w:val="18"/>
                <w:szCs w:val="18"/>
                <w:color w:val="auto"/>
              </w:rPr>
              <w:t>Cushing to Broome</w:t>
            </w: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North Dakota/Trenton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3"/>
          </w:tcPr>
          <w:p>
            <w:pPr>
              <w:ind w:left="720"/>
              <w:spacing w:after="0" w:line="216" w:lineRule="exact"/>
              <w:rPr>
                <w:sz w:val="20"/>
                <w:szCs w:val="20"/>
                <w:color w:val="auto"/>
              </w:rPr>
            </w:pPr>
            <w:r>
              <w:rPr>
                <w:rFonts w:ascii="Arial" w:cs="Arial" w:eastAsia="Arial" w:hAnsi="Arial"/>
                <w:sz w:val="18"/>
                <w:szCs w:val="18"/>
                <w:color w:val="auto"/>
              </w:rPr>
              <w:t>West Texas/New Mexico Area Systems</w:t>
            </w:r>
            <w:r>
              <w:rPr>
                <w:rFonts w:ascii="Arial" w:cs="Arial" w:eastAsia="Arial" w:hAnsi="Arial"/>
                <w:sz w:val="23"/>
                <w:szCs w:val="23"/>
                <w:color w:val="auto"/>
                <w:vertAlign w:val="superscript"/>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478</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460</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Canada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3"/>
          </w:tcPr>
          <w:p>
            <w:pPr>
              <w:ind w:left="720"/>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458</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452</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Pipeline margin activities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gridSpan w:val="3"/>
          </w:tcPr>
          <w:p>
            <w:pPr>
              <w:ind w:left="540"/>
              <w:spacing w:after="0"/>
              <w:rPr>
                <w:sz w:val="20"/>
                <w:szCs w:val="20"/>
                <w:color w:val="auto"/>
              </w:rPr>
            </w:pPr>
            <w:r>
              <w:rPr>
                <w:rFonts w:ascii="Arial" w:cs="Arial" w:eastAsia="Arial" w:hAnsi="Arial"/>
                <w:sz w:val="18"/>
                <w:szCs w:val="18"/>
                <w:color w:val="auto"/>
              </w:rPr>
              <w:t>Pipeline activities 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7280" w:type="dxa"/>
            <w:vAlign w:val="bottom"/>
            <w:gridSpan w:val="3"/>
            <w:shd w:val="clear" w:color="auto" w:fill="CCEEFF"/>
          </w:tcPr>
          <w:p>
            <w:pPr>
              <w:ind w:left="180"/>
              <w:spacing w:after="0" w:line="170" w:lineRule="exact"/>
              <w:rPr>
                <w:sz w:val="20"/>
                <w:szCs w:val="20"/>
                <w:color w:val="auto"/>
              </w:rPr>
            </w:pPr>
            <w:r>
              <w:rPr>
                <w:rFonts w:ascii="Arial" w:cs="Arial" w:eastAsia="Arial" w:hAnsi="Arial"/>
                <w:sz w:val="18"/>
                <w:szCs w:val="18"/>
                <w:color w:val="auto"/>
              </w:rPr>
              <w:t>GMT&amp;S activities:</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280" w:type="dxa"/>
            <w:vAlign w:val="bottom"/>
            <w:gridSpan w:val="3"/>
          </w:tcPr>
          <w:p>
            <w:pPr>
              <w:ind w:left="360"/>
              <w:spacing w:after="0"/>
              <w:rPr>
                <w:sz w:val="20"/>
                <w:szCs w:val="20"/>
                <w:color w:val="auto"/>
              </w:rPr>
            </w:pPr>
            <w:r>
              <w:rPr>
                <w:rFonts w:ascii="Arial" w:cs="Arial" w:eastAsia="Arial" w:hAnsi="Arial"/>
                <w:sz w:val="18"/>
                <w:szCs w:val="18"/>
                <w:color w:val="auto"/>
              </w:rPr>
              <w:t>Crude oil lease gathering</w:t>
            </w:r>
          </w:p>
        </w:tc>
        <w:tc>
          <w:tcPr>
            <w:tcW w:w="580" w:type="dxa"/>
            <w:vAlign w:val="bottom"/>
          </w:tcPr>
          <w:p>
            <w:pPr>
              <w:jc w:val="right"/>
              <w:spacing w:after="0"/>
              <w:rPr>
                <w:sz w:val="20"/>
                <w:szCs w:val="20"/>
                <w:color w:val="auto"/>
              </w:rPr>
            </w:pPr>
            <w:r>
              <w:rPr>
                <w:rFonts w:ascii="Arial" w:cs="Arial" w:eastAsia="Arial" w:hAnsi="Arial"/>
                <w:sz w:val="18"/>
                <w:szCs w:val="18"/>
                <w:color w:val="auto"/>
              </w:rPr>
              <w:t>652</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637</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LPG sales and third party processing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3"/>
          </w:tcPr>
          <w:p>
            <w:pPr>
              <w:ind w:left="360"/>
              <w:spacing w:after="0"/>
              <w:rPr>
                <w:sz w:val="20"/>
                <w:szCs w:val="20"/>
                <w:color w:val="auto"/>
              </w:rPr>
            </w:pPr>
            <w:r>
              <w:rPr>
                <w:rFonts w:ascii="Arial" w:cs="Arial" w:eastAsia="Arial" w:hAnsi="Arial"/>
                <w:sz w:val="18"/>
                <w:szCs w:val="18"/>
                <w:color w:val="auto"/>
              </w:rPr>
              <w:t>Waterborne foreign crude imported</w:t>
            </w: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GMT&amp;S activities total</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4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160" w:hanging="352"/>
        <w:spacing w:after="0" w:line="227" w:lineRule="auto"/>
        <w:tabs>
          <w:tab w:leader="none" w:pos="352"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Volumes associated with acquisitions represent total volumes transported for the number of days we actually owned the assets divided by the number of days in the period.</w:t>
      </w:r>
    </w:p>
    <w:p>
      <w:pPr>
        <w:ind w:left="360" w:hanging="352"/>
        <w:spacing w:after="0" w:line="196" w:lineRule="auto"/>
        <w:tabs>
          <w:tab w:leader="none" w:pos="36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The aggregate of multiple systems in the West Texas/New Mexico area.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 DATA</w:t>
            </w: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June 30,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20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39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3,176.4</w:t>
            </w:r>
          </w:p>
        </w:tc>
        <w:tc>
          <w:tcPr>
            <w:tcW w:w="620" w:type="dxa"/>
            <w:vAlign w:val="bottom"/>
            <w:gridSpan w:val="3"/>
          </w:tcPr>
          <w:p>
            <w:pPr>
              <w:jc w:val="right"/>
              <w:ind w:right="16"/>
              <w:spacing w:after="0" w:line="18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1,805.2</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Property and equipment, net</w:t>
            </w:r>
          </w:p>
        </w:tc>
        <w:tc>
          <w:tcPr>
            <w:tcW w:w="3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2,147.5</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1,857.2</w:t>
            </w:r>
          </w:p>
        </w:tc>
        <w:tc>
          <w:tcPr>
            <w:tcW w:w="1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line="189" w:lineRule="exact"/>
              <w:rPr>
                <w:sz w:val="20"/>
                <w:szCs w:val="20"/>
                <w:color w:val="auto"/>
              </w:rPr>
            </w:pPr>
            <w:r>
              <w:rPr>
                <w:rFonts w:ascii="Arial" w:cs="Arial" w:eastAsia="Arial" w:hAnsi="Arial"/>
                <w:sz w:val="18"/>
                <w:szCs w:val="18"/>
                <w:color w:val="auto"/>
              </w:rPr>
              <w:t>Pipeline linefill in owned assets</w:t>
            </w: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200.4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180.2</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Inventory in third party assets</w:t>
            </w:r>
          </w:p>
        </w:tc>
        <w:tc>
          <w:tcPr>
            <w:tcW w:w="3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80.4</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71.5</w:t>
            </w:r>
          </w:p>
        </w:tc>
        <w:tc>
          <w:tcPr>
            <w:tcW w:w="1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line="189" w:lineRule="exact"/>
              <w:rPr>
                <w:sz w:val="20"/>
                <w:szCs w:val="20"/>
                <w:color w:val="auto"/>
              </w:rPr>
            </w:pPr>
            <w:r>
              <w:rPr>
                <w:rFonts w:ascii="Arial" w:cs="Arial" w:eastAsia="Arial" w:hAnsi="Arial"/>
                <w:sz w:val="18"/>
                <w:szCs w:val="18"/>
                <w:color w:val="auto"/>
              </w:rPr>
              <w:t>Investment in PAA/Vulcan Gas Storage, LLC</w:t>
            </w: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124.4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113.5</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Goodwill</w:t>
            </w:r>
          </w:p>
        </w:tc>
        <w:tc>
          <w:tcPr>
            <w:tcW w:w="3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179.6</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47.4</w:t>
            </w:r>
          </w:p>
        </w:tc>
        <w:tc>
          <w:tcPr>
            <w:tcW w:w="1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long-term assets, net</w:t>
            </w:r>
          </w:p>
        </w:tc>
        <w:tc>
          <w:tcPr>
            <w:tcW w:w="3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109.6</w:t>
            </w: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45.3</w:t>
            </w:r>
          </w:p>
        </w:tc>
        <w:tc>
          <w:tcPr>
            <w:tcW w:w="180" w:type="dxa"/>
            <w:vAlign w:val="bottom"/>
            <w:tcBorders>
              <w:bottom w:val="single" w:sz="8" w:color="CCEE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assets</w:t>
            </w:r>
          </w:p>
        </w:tc>
        <w:tc>
          <w:tcPr>
            <w:tcW w:w="3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6,018.3</w:t>
            </w: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6"/>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4,120.3</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00" w:type="dxa"/>
            <w:vAlign w:val="bottom"/>
            <w:vMerge w:val="continue"/>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3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3,179.4</w:t>
            </w:r>
          </w:p>
        </w:tc>
        <w:tc>
          <w:tcPr>
            <w:tcW w:w="620" w:type="dxa"/>
            <w:vAlign w:val="bottom"/>
            <w:gridSpan w:val="3"/>
            <w:shd w:val="clear" w:color="auto" w:fill="CCEEFF"/>
          </w:tcPr>
          <w:p>
            <w:pPr>
              <w:jc w:val="right"/>
              <w:ind w:right="16"/>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1,793.3</w:t>
            </w:r>
          </w:p>
        </w:tc>
        <w:tc>
          <w:tcPr>
            <w:tcW w:w="1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line="189" w:lineRule="exact"/>
              <w:rPr>
                <w:sz w:val="20"/>
                <w:szCs w:val="20"/>
                <w:color w:val="auto"/>
              </w:rPr>
            </w:pPr>
            <w:r>
              <w:rPr>
                <w:rFonts w:ascii="Arial" w:cs="Arial" w:eastAsia="Arial" w:hAnsi="Arial"/>
                <w:sz w:val="18"/>
                <w:szCs w:val="18"/>
                <w:color w:val="auto"/>
              </w:rPr>
              <w:t>Long-term debt under credit facilities and other</w:t>
            </w: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58.4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4.7</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Senior notes, net of unamortized discount</w:t>
            </w:r>
          </w:p>
        </w:tc>
        <w:tc>
          <w:tcPr>
            <w:tcW w:w="3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1,196.7</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947.0</w:t>
            </w:r>
          </w:p>
        </w:tc>
        <w:tc>
          <w:tcPr>
            <w:tcW w:w="1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long-term liabilities and deferred credits</w:t>
            </w:r>
          </w:p>
        </w:tc>
        <w:tc>
          <w:tcPr>
            <w:tcW w:w="3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57.7</w:t>
            </w: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44.6</w:t>
            </w:r>
          </w:p>
        </w:tc>
        <w:tc>
          <w:tcPr>
            <w:tcW w:w="180" w:type="dxa"/>
            <w:vAlign w:val="bottom"/>
            <w:tcBorders>
              <w:bottom w:val="single" w:sz="8" w:color="CCEE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liabilities</w:t>
            </w:r>
          </w:p>
        </w:tc>
        <w:tc>
          <w:tcPr>
            <w:tcW w:w="3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4,492.2</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2,789.6</w:t>
            </w:r>
          </w:p>
        </w:tc>
        <w:tc>
          <w:tcPr>
            <w:tcW w:w="18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Partners’ capital</w:t>
            </w:r>
          </w:p>
        </w:tc>
        <w:tc>
          <w:tcPr>
            <w:tcW w:w="3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1,526.1</w:t>
            </w: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1,330.7</w:t>
            </w:r>
          </w:p>
        </w:tc>
        <w:tc>
          <w:tcPr>
            <w:tcW w:w="180" w:type="dxa"/>
            <w:vAlign w:val="bottom"/>
            <w:tcBorders>
              <w:bottom w:val="single" w:sz="8" w:color="CCEE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liabilities and partners’ capital</w:t>
            </w:r>
          </w:p>
        </w:tc>
        <w:tc>
          <w:tcPr>
            <w:tcW w:w="3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6,018.3</w:t>
            </w: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6"/>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4,120.3</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780" w:type="dxa"/>
            <w:vAlign w:val="bottom"/>
            <w:vMerge w:val="restart"/>
          </w:tcPr>
          <w:p>
            <w:pPr>
              <w:jc w:val="right"/>
              <w:ind w:right="313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52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5200" w:type="dxa"/>
            <w:vAlign w:val="bottom"/>
            <w:tcBorders>
              <w:bottom w:val="single" w:sz="8" w:color="010101"/>
            </w:tcBorders>
          </w:tcPr>
          <w:p>
            <w:pPr>
              <w:spacing w:after="0"/>
              <w:rPr>
                <w:sz w:val="24"/>
                <w:szCs w:val="24"/>
                <w:color w:val="auto"/>
              </w:rPr>
            </w:pPr>
          </w:p>
        </w:tc>
        <w:tc>
          <w:tcPr>
            <w:tcW w:w="37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SUMMARY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20"/>
                <w:szCs w:val="20"/>
                <w:color w:val="auto"/>
              </w:rPr>
            </w:pPr>
            <w:r>
              <w:rPr>
                <w:rFonts w:ascii="Arial" w:cs="Arial" w:eastAsia="Arial" w:hAnsi="Arial"/>
                <w:sz w:val="18"/>
                <w:szCs w:val="18"/>
                <w:b w:val="1"/>
                <w:bCs w:val="1"/>
                <w:color w:val="auto"/>
              </w:rPr>
              <w:t>COMPUTATION OF BASIC AND DILUTED EARNINGS PER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7400" w:type="dxa"/>
            <w:vAlign w:val="bottom"/>
          </w:tcPr>
          <w:p>
            <w:pPr>
              <w:spacing w:after="0" w:line="135" w:lineRule="exact"/>
              <w:rPr>
                <w:sz w:val="20"/>
                <w:szCs w:val="20"/>
                <w:color w:val="auto"/>
              </w:rPr>
            </w:pPr>
            <w:r>
              <w:rPr>
                <w:rFonts w:ascii="Arial" w:cs="Arial" w:eastAsia="Arial" w:hAnsi="Arial"/>
                <w:sz w:val="15"/>
                <w:szCs w:val="15"/>
                <w:b w:val="1"/>
                <w:bCs w:val="1"/>
                <w:color w:val="auto"/>
              </w:rPr>
              <w:t>LIMITED PARTNER UNIT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7400" w:type="dxa"/>
            <w:vAlign w:val="bottom"/>
          </w:tcPr>
          <w:p>
            <w:pPr>
              <w:spacing w:after="0"/>
              <w:rPr>
                <w:sz w:val="20"/>
                <w:szCs w:val="20"/>
                <w:color w:val="auto"/>
              </w:rPr>
            </w:pPr>
            <w:r>
              <w:rPr>
                <w:rFonts w:ascii="Arial" w:cs="Arial" w:eastAsia="Arial" w:hAnsi="Arial"/>
                <w:sz w:val="18"/>
                <w:szCs w:val="18"/>
                <w:b w:val="1"/>
                <w:bCs w:val="1"/>
                <w:color w:val="auto"/>
              </w:rPr>
              <w:t>(in millions, except per unit data)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9"/>
            <w:vMerge w:val="restart"/>
          </w:tcPr>
          <w:p>
            <w:pPr>
              <w:jc w:val="center"/>
              <w:ind w:right="5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20"/>
                <w:szCs w:val="20"/>
                <w:color w:val="auto"/>
              </w:rPr>
            </w:pPr>
          </w:p>
        </w:tc>
        <w:tc>
          <w:tcPr>
            <w:tcW w:w="1560" w:type="dxa"/>
            <w:vAlign w:val="bottom"/>
            <w:gridSpan w:val="6"/>
            <w:vMerge w:val="restart"/>
          </w:tcPr>
          <w:p>
            <w:pPr>
              <w:jc w:val="right"/>
              <w:ind w:right="36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22"/>
        </w:trPr>
        <w:tc>
          <w:tcPr>
            <w:tcW w:w="7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9"/>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and diluted earnings per limited partner unit: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143.7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Less: General partner’s incentive distribution paid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partner 2% ownership</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Arial" w:cs="Arial" w:eastAsia="Arial" w:hAnsi="Arial"/>
                <w:sz w:val="18"/>
                <w:szCs w:val="18"/>
                <w:color w:val="auto"/>
              </w:rPr>
              <w:t>Net income available to limited partners</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additional general partner’s distribution</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7"/>
        </w:trPr>
        <w:tc>
          <w:tcPr>
            <w:tcW w:w="7400" w:type="dxa"/>
            <w:vAlign w:val="bottom"/>
          </w:tcPr>
          <w:p>
            <w:pPr>
              <w:ind w:left="180"/>
              <w:spacing w:after="0"/>
              <w:rPr>
                <w:sz w:val="20"/>
                <w:szCs w:val="20"/>
                <w:color w:val="auto"/>
              </w:rPr>
            </w:pPr>
            <w:r>
              <w:rPr>
                <w:rFonts w:ascii="Arial" w:cs="Arial" w:eastAsia="Arial" w:hAnsi="Arial"/>
                <w:sz w:val="18"/>
                <w:szCs w:val="18"/>
                <w:color w:val="auto"/>
              </w:rPr>
              <w:t>Net income available for limited partners under EITF 03-06</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Limited partner 98% portion of cumulative effect of change in accounting principle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Limited partner net income before cumulative effect of change in accounting principle</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Weighted average 2005 Long-Term Incentive Plan (“LTIP”) units</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number of limited partner units outstanding</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0" w:right="199" w:bottom="0" w:gutter="0" w:footer="0" w:header="0"/>
        </w:sectPr>
      </w:pPr>
    </w:p>
    <w:bookmarkStart w:id="11" w:name="page12"/>
    <w:bookmarkEnd w:id="1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4933950</wp:posOffset>
            </wp:positionH>
            <wp:positionV relativeFrom="page">
              <wp:posOffset>88900</wp:posOffset>
            </wp:positionV>
            <wp:extent cx="24009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93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w w:val="99"/>
              </w:rPr>
              <w:t>Basic net income per limited partner unit before cumulative effect of change in accounting</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00" w:type="dxa"/>
            <w:vAlign w:val="bottom"/>
            <w:gridSpan w:val="2"/>
          </w:tcPr>
          <w:p>
            <w:pPr>
              <w:ind w:left="180"/>
              <w:spacing w:after="0" w:line="231" w:lineRule="exact"/>
              <w:rPr>
                <w:sz w:val="20"/>
                <w:szCs w:val="20"/>
                <w:color w:val="auto"/>
              </w:rPr>
            </w:pPr>
            <w:r>
              <w:rPr>
                <w:rFonts w:ascii="Arial" w:cs="Arial" w:eastAsia="Arial" w:hAnsi="Arial"/>
                <w:sz w:val="18"/>
                <w:szCs w:val="18"/>
                <w:color w:val="auto"/>
              </w:rPr>
              <w:t>principle</w:t>
            </w:r>
            <w:r>
              <w:rPr>
                <w:rFonts w:ascii="Arial" w:cs="Arial" w:eastAsia="Arial" w:hAnsi="Arial"/>
                <w:sz w:val="23"/>
                <w:szCs w:val="23"/>
                <w:color w:val="auto"/>
                <w:vertAlign w:val="superscript"/>
              </w:rPr>
              <w:t>(1)</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0.82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0.76</w:t>
            </w:r>
          </w:p>
        </w:tc>
        <w:tc>
          <w:tcPr>
            <w:tcW w:w="4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r>
      <w:tr>
        <w:trPr>
          <w:trHeight w:val="284"/>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 per limited partner unit</w:t>
            </w:r>
          </w:p>
        </w:tc>
        <w:tc>
          <w:tcPr>
            <w:tcW w:w="4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r>
      <w:tr>
        <w:trPr>
          <w:trHeight w:val="317"/>
        </w:trPr>
        <w:tc>
          <w:tcPr>
            <w:tcW w:w="7100" w:type="dxa"/>
            <w:vAlign w:val="bottom"/>
            <w:gridSpan w:val="2"/>
          </w:tcPr>
          <w:p>
            <w:pPr>
              <w:spacing w:after="0"/>
              <w:rPr>
                <w:sz w:val="20"/>
                <w:szCs w:val="20"/>
                <w:color w:val="auto"/>
              </w:rPr>
            </w:pPr>
            <w:r>
              <w:rPr>
                <w:rFonts w:ascii="Arial" w:cs="Arial" w:eastAsia="Arial" w:hAnsi="Arial"/>
                <w:sz w:val="18"/>
                <w:szCs w:val="18"/>
                <w:color w:val="auto"/>
              </w:rPr>
              <w:t>Basic net income per limited partner unit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0.82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0.76</w:t>
            </w:r>
          </w:p>
        </w:tc>
        <w:tc>
          <w:tcPr>
            <w:tcW w:w="4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4"/>
                <w:szCs w:val="24"/>
                <w:color w:val="auto"/>
              </w:rPr>
            </w:pPr>
          </w:p>
        </w:tc>
      </w:tr>
      <w:tr>
        <w:trPr>
          <w:trHeight w:val="223"/>
        </w:trPr>
        <w:tc>
          <w:tcPr>
            <w:tcW w:w="7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Diluted net income per limited partner unit before cumulative effect of change in accounting</w:t>
            </w:r>
          </w:p>
        </w:tc>
        <w:tc>
          <w:tcPr>
            <w:tcW w:w="4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710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principle</w:t>
            </w:r>
            <w:r>
              <w:rPr>
                <w:rFonts w:ascii="Arial" w:cs="Arial" w:eastAsia="Arial" w:hAnsi="Arial"/>
                <w:sz w:val="23"/>
                <w:szCs w:val="23"/>
                <w:color w:val="auto"/>
                <w:vertAlign w:val="superscript"/>
              </w:rPr>
              <w:t>(1)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0"/>
                <w:szCs w:val="20"/>
                <w:color w:val="auto"/>
              </w:rPr>
            </w:pPr>
          </w:p>
        </w:tc>
      </w:tr>
      <w:tr>
        <w:trPr>
          <w:trHeight w:val="284"/>
        </w:trPr>
        <w:tc>
          <w:tcPr>
            <w:tcW w:w="7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Cumulative effect of change in accounting principle per limited partner unit</w:t>
            </w:r>
          </w:p>
        </w:tc>
        <w:tc>
          <w:tcPr>
            <w:tcW w:w="4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r>
      <w:tr>
        <w:trPr>
          <w:trHeight w:val="277"/>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4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4"/>
                <w:szCs w:val="24"/>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4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94" w:lineRule="exact"/>
        <w:rPr>
          <w:sz w:val="20"/>
          <w:szCs w:val="20"/>
          <w:color w:val="auto"/>
        </w:rPr>
      </w:pPr>
    </w:p>
    <w:p>
      <w:pPr>
        <w:ind w:left="360" w:right="80" w:hanging="352"/>
        <w:spacing w:after="0" w:line="234" w:lineRule="auto"/>
        <w:tabs>
          <w:tab w:leader="none" w:pos="352"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Reflects pro forma full distribution of earnings under EITF 03-06. The application of EITF 03-06 negatively impacted basic and diluted earnings per limited partner unit by approximately $0.11 and $0.09 for the three months ended and $0.15 and $0.01 for the six months ended June 30, 2006 and 2005, respectively.</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SUMMARY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20"/>
                <w:szCs w:val="20"/>
                <w:color w:val="auto"/>
              </w:rPr>
            </w:pPr>
            <w:r>
              <w:rPr>
                <w:rFonts w:ascii="Arial" w:cs="Arial" w:eastAsia="Arial" w:hAnsi="Arial"/>
                <w:sz w:val="18"/>
                <w:szCs w:val="18"/>
                <w:b w:val="1"/>
                <w:bCs w:val="1"/>
                <w:color w:val="auto"/>
              </w:rPr>
              <w:t>FINANCIAL DATA RECONCILIATIONS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(in millions, except per unit data)</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10"/>
            <w:vMerge w:val="restart"/>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10"/>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6"/>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6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w w:val="83"/>
              </w:rPr>
              <w:t>2006</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w w:val="89"/>
              </w:rPr>
              <w:t>2006</w:t>
            </w:r>
          </w:p>
        </w:tc>
        <w:tc>
          <w:tcPr>
            <w:tcW w:w="26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w w:val="96"/>
              </w:rPr>
              <w:t>2005</w:t>
            </w:r>
          </w:p>
        </w:tc>
        <w:tc>
          <w:tcPr>
            <w:tcW w:w="120" w:type="dxa"/>
            <w:vAlign w:val="bottom"/>
            <w:tcBorders>
              <w:bottom w:val="single" w:sz="8" w:color="CCEEFF"/>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interest, taxes, depreciation and amortization (“EBITDA”)</w:t>
            </w: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8"/>
                <w:szCs w:val="18"/>
                <w:b w:val="1"/>
                <w:bCs w:val="1"/>
                <w:color w:val="auto"/>
              </w:rPr>
              <w:t>Net income reconciliation</w:t>
            </w: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EBITDA</w:t>
            </w:r>
          </w:p>
        </w:tc>
        <w:tc>
          <w:tcPr>
            <w:tcW w:w="8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219.9</w:t>
            </w: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162.1</w:t>
            </w: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(42.9)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 before interest and taxes (“EBIT”)</w:t>
            </w: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177.0</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123.9</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(33.3)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60" w:type="dxa"/>
            <w:vAlign w:val="bottom"/>
            <w:vMerge w:val="continue"/>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60" w:type="dxa"/>
            <w:vAlign w:val="bottom"/>
            <w:tcBorders>
              <w:right w:val="single" w:sz="8" w:color="CCEEFF"/>
            </w:tcBorders>
            <w:shd w:val="clear" w:color="auto" w:fill="CCEEFF"/>
          </w:tcPr>
          <w:p>
            <w:pPr>
              <w:spacing w:after="0"/>
              <w:rPr>
                <w:sz w:val="22"/>
                <w:szCs w:val="22"/>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left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flow from operating activities reconciliation</w:t>
            </w: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(33.3)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change in assets and liabilities, net of acquisitions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(295.3)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1"/>
              </w:rPr>
              <w:t>(281.9)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(844.6)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(622.1)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Other items to reconcile to cash flows from operating activities: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earnings in PAA/Vulcan Gas Storage, LLC</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Net cash paid for terminated interest rate hedging instruments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(gain) / loss on foreign currency revaluation</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2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SFAS 133 mark-to-market adjustment</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Cumulative effect of change in accounting principle</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LTIP charge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Non-cash amortization of terminated interest rate hedging instruments</w:t>
            </w:r>
          </w:p>
        </w:tc>
        <w:tc>
          <w:tcPr>
            <w:tcW w:w="6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260" w:type="dxa"/>
            <w:vAlign w:val="bottom"/>
            <w:tcBorders>
              <w:right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(184.9)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(181.6)</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(642.7)</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(453.3)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10"/>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center"/>
              <w:ind w:left="434"/>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6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CCEEFF"/>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Funds flow from operations (“FFO”)</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9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143.7</w:t>
            </w:r>
          </w:p>
        </w:tc>
        <w:tc>
          <w:tcPr>
            <w:tcW w:w="260" w:type="dxa"/>
            <w:vAlign w:val="bottom"/>
          </w:tcPr>
          <w:p>
            <w:pPr>
              <w:spacing w:after="0"/>
              <w:rPr>
                <w:sz w:val="17"/>
                <w:szCs w:val="17"/>
                <w:color w:val="auto"/>
              </w:rPr>
            </w:pPr>
          </w:p>
        </w:tc>
        <w:tc>
          <w:tcPr>
            <w:tcW w:w="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95.1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earnings in PAA/Vulcan Gas Storage, LLC</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38.2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Non-cash amortization of terminated interest rate hedging instruments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2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Pr>
          <w:p>
            <w:pPr>
              <w:spacing w:after="0" w:line="196" w:lineRule="exact"/>
              <w:rPr>
                <w:sz w:val="20"/>
                <w:szCs w:val="20"/>
                <w:color w:val="auto"/>
              </w:rPr>
            </w:pPr>
            <w:r>
              <w:rPr>
                <w:rFonts w:ascii="Arial" w:cs="Arial" w:eastAsia="Arial" w:hAnsi="Arial"/>
                <w:sz w:val="18"/>
                <w:szCs w:val="18"/>
                <w:color w:val="auto"/>
              </w:rPr>
              <w:t>FFO</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186.5</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134.1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Maintenance capital expenditures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FFO after maintenance capital expenditures</w:t>
            </w: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60" w:type="dxa"/>
            <w:vAlign w:val="bottom"/>
            <w:vMerge w:val="continue"/>
          </w:tcPr>
          <w:p>
            <w:pPr>
              <w:spacing w:after="0"/>
              <w:rPr>
                <w:sz w:val="22"/>
                <w:szCs w:val="22"/>
                <w:color w:val="auto"/>
              </w:rPr>
            </w:pPr>
          </w:p>
        </w:tc>
        <w:tc>
          <w:tcPr>
            <w:tcW w:w="840" w:type="dxa"/>
            <w:vAlign w:val="bottom"/>
            <w:gridSpan w:val="3"/>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177.4</w:t>
            </w:r>
          </w:p>
        </w:tc>
        <w:tc>
          <w:tcPr>
            <w:tcW w:w="26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4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46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SUMMARY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FINANCIAL DATA RECONCILIATIONS (Continued)</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940" w:type="dxa"/>
            <w:vAlign w:val="bottom"/>
            <w:gridSpan w:val="2"/>
          </w:tcPr>
          <w:p>
            <w:pPr>
              <w:spacing w:after="0" w:line="135" w:lineRule="exact"/>
              <w:rPr>
                <w:sz w:val="20"/>
                <w:szCs w:val="20"/>
                <w:color w:val="auto"/>
              </w:rPr>
            </w:pPr>
            <w:r>
              <w:rPr>
                <w:rFonts w:ascii="Arial" w:cs="Arial" w:eastAsia="Arial" w:hAnsi="Arial"/>
                <w:sz w:val="15"/>
                <w:szCs w:val="15"/>
                <w:b w:val="1"/>
                <w:bCs w:val="1"/>
                <w:color w:val="auto"/>
              </w:rPr>
              <w:t>(in millions, except per unit data)</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22"/>
        </w:trPr>
        <w:tc>
          <w:tcPr>
            <w:tcW w:w="7260" w:type="dxa"/>
            <w:vAlign w:val="bottom"/>
          </w:tcPr>
          <w:p>
            <w:pPr>
              <w:spacing w:after="0"/>
              <w:rPr>
                <w:sz w:val="10"/>
                <w:szCs w:val="10"/>
                <w:color w:val="auto"/>
              </w:rPr>
            </w:pPr>
          </w:p>
        </w:tc>
        <w:tc>
          <w:tcPr>
            <w:tcW w:w="2320" w:type="dxa"/>
            <w:vAlign w:val="bottom"/>
            <w:gridSpan w:val="5"/>
          </w:tcPr>
          <w:p>
            <w:pPr>
              <w:jc w:val="center"/>
              <w:ind w:right="260"/>
              <w:spacing w:after="0" w:line="122" w:lineRule="exact"/>
              <w:rPr>
                <w:sz w:val="20"/>
                <w:szCs w:val="20"/>
                <w:color w:val="auto"/>
              </w:rPr>
            </w:pPr>
            <w:r>
              <w:rPr>
                <w:rFonts w:ascii="Arial" w:cs="Arial" w:eastAsia="Arial" w:hAnsi="Arial"/>
                <w:sz w:val="14"/>
                <w:szCs w:val="14"/>
                <w:b w:val="1"/>
                <w:bCs w:val="1"/>
                <w:color w:val="auto"/>
                <w:w w:val="93"/>
              </w:rPr>
              <w:t>Three Months Ended</w:t>
            </w:r>
          </w:p>
        </w:tc>
        <w:tc>
          <w:tcPr>
            <w:tcW w:w="1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4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1180" w:type="dxa"/>
            <w:vAlign w:val="bottom"/>
            <w:gridSpan w:val="3"/>
          </w:tcPr>
          <w:p>
            <w:pPr>
              <w:jc w:val="center"/>
              <w:ind w:right="46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29"/>
        </w:trPr>
        <w:tc>
          <w:tcPr>
            <w:tcW w:w="72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bl>
    <w:p>
      <w:pPr>
        <w:sectPr>
          <w:pgSz w:w="11900" w:h="16870" w:orient="portrait"/>
          <w:cols w:equalWidth="0" w:num="1">
            <w:col w:w="11460"/>
          </w:cols>
          <w:pgMar w:left="240" w:top="206" w:right="19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items impacting comparability</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49"/>
        </w:trPr>
        <w:tc>
          <w:tcPr>
            <w:tcW w:w="6960" w:type="dxa"/>
            <w:vAlign w:val="bottom"/>
            <w:gridSpan w:val="2"/>
          </w:tcPr>
          <w:p>
            <w:pPr>
              <w:spacing w:after="0" w:line="149" w:lineRule="exact"/>
              <w:rPr>
                <w:sz w:val="20"/>
                <w:szCs w:val="20"/>
                <w:color w:val="auto"/>
              </w:rPr>
            </w:pPr>
            <w:r>
              <w:rPr>
                <w:rFonts w:ascii="Arial" w:cs="Arial" w:eastAsia="Arial" w:hAnsi="Arial"/>
                <w:sz w:val="17"/>
                <w:szCs w:val="17"/>
                <w:color w:val="auto"/>
              </w:rPr>
              <w:t>LTIP charge</w:t>
            </w:r>
          </w:p>
        </w:tc>
        <w:tc>
          <w:tcPr>
            <w:tcW w:w="300" w:type="dxa"/>
            <w:vAlign w:val="bottom"/>
          </w:tcPr>
          <w:p>
            <w:pPr>
              <w:spacing w:after="0"/>
              <w:rPr>
                <w:sz w:val="12"/>
                <w:szCs w:val="12"/>
                <w:color w:val="auto"/>
              </w:rPr>
            </w:pPr>
          </w:p>
        </w:tc>
        <w:tc>
          <w:tcPr>
            <w:tcW w:w="260" w:type="dxa"/>
            <w:vAlign w:val="bottom"/>
            <w:gridSpan w:val="2"/>
          </w:tcPr>
          <w:p>
            <w:pPr>
              <w:jc w:val="right"/>
              <w:ind w:right="10"/>
              <w:spacing w:after="0" w:line="149" w:lineRule="exact"/>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(6.2)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ind w:right="11"/>
              <w:spacing w:after="0" w:line="14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(7.9)</w:t>
            </w:r>
          </w:p>
        </w:tc>
        <w:tc>
          <w:tcPr>
            <w:tcW w:w="460" w:type="dxa"/>
            <w:vAlign w:val="bottom"/>
            <w:gridSpan w:val="2"/>
          </w:tcPr>
          <w:p>
            <w:pPr>
              <w:jc w:val="right"/>
              <w:ind w:right="10"/>
              <w:spacing w:after="0" w:line="149"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7"/>
                <w:szCs w:val="17"/>
                <w:color w:val="auto"/>
              </w:rPr>
              <w:t>(16.8)</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jc w:val="right"/>
              <w:ind w:right="45"/>
              <w:spacing w:after="0" w:line="149"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7"/>
                <w:szCs w:val="17"/>
                <w:color w:val="auto"/>
              </w:rPr>
              <w:t>(10.2)</w:t>
            </w:r>
          </w:p>
        </w:tc>
        <w:tc>
          <w:tcPr>
            <w:tcW w:w="120" w:type="dxa"/>
            <w:vAlign w:val="bottom"/>
          </w:tcPr>
          <w:p>
            <w:pPr>
              <w:spacing w:after="0"/>
              <w:rPr>
                <w:sz w:val="12"/>
                <w:szCs w:val="12"/>
                <w:color w:val="auto"/>
              </w:rPr>
            </w:pPr>
          </w:p>
        </w:tc>
      </w:tr>
      <w:tr>
        <w:trPr>
          <w:trHeight w:val="203"/>
        </w:trPr>
        <w:tc>
          <w:tcPr>
            <w:tcW w:w="6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Cumulative effect of change in accounting principle—LTIP</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gridSpan w:val="2"/>
          </w:tcPr>
          <w:p>
            <w:pPr>
              <w:spacing w:after="0" w:line="202" w:lineRule="exact"/>
              <w:rPr>
                <w:sz w:val="20"/>
                <w:szCs w:val="20"/>
                <w:color w:val="auto"/>
              </w:rPr>
            </w:pPr>
            <w:r>
              <w:rPr>
                <w:rFonts w:ascii="Arial" w:cs="Arial" w:eastAsia="Arial" w:hAnsi="Arial"/>
                <w:sz w:val="18"/>
                <w:szCs w:val="18"/>
                <w:color w:val="auto"/>
              </w:rPr>
              <w:t>Gain on foreign currency revaluation</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4"/>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120" w:type="dxa"/>
            <w:vAlign w:val="bottom"/>
          </w:tcPr>
          <w:p>
            <w:pPr>
              <w:spacing w:after="0"/>
              <w:rPr>
                <w:sz w:val="17"/>
                <w:szCs w:val="17"/>
                <w:color w:val="auto"/>
              </w:rPr>
            </w:pPr>
          </w:p>
        </w:tc>
      </w:tr>
      <w:tr>
        <w:trPr>
          <w:trHeight w:val="203"/>
        </w:trPr>
        <w:tc>
          <w:tcPr>
            <w:tcW w:w="6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SFAS 133 mark-to-market adjustment</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r>
      <w:tr>
        <w:trPr>
          <w:trHeight w:val="196"/>
        </w:trPr>
        <w:tc>
          <w:tcPr>
            <w:tcW w:w="6960" w:type="dxa"/>
            <w:vAlign w:val="bottom"/>
            <w:gridSpan w:val="2"/>
          </w:tcPr>
          <w:p>
            <w:pPr>
              <w:spacing w:after="0" w:line="196" w:lineRule="exact"/>
              <w:rPr>
                <w:sz w:val="20"/>
                <w:szCs w:val="20"/>
                <w:color w:val="auto"/>
              </w:rPr>
            </w:pPr>
            <w:r>
              <w:rPr>
                <w:rFonts w:ascii="Arial" w:cs="Arial" w:eastAsia="Arial" w:hAnsi="Arial"/>
                <w:sz w:val="18"/>
                <w:szCs w:val="18"/>
                <w:color w:val="auto"/>
              </w:rPr>
              <w:t>Selected items impacting comparability</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(36.3)</w:t>
            </w:r>
          </w:p>
        </w:tc>
        <w:tc>
          <w:tcPr>
            <w:tcW w:w="120" w:type="dxa"/>
            <w:vAlign w:val="bottom"/>
          </w:tcPr>
          <w:p>
            <w:pPr>
              <w:spacing w:after="0"/>
              <w:rPr>
                <w:sz w:val="17"/>
                <w:szCs w:val="17"/>
                <w:color w:val="auto"/>
              </w:rPr>
            </w:pPr>
          </w:p>
        </w:tc>
      </w:tr>
      <w:tr>
        <w:trPr>
          <w:trHeight w:val="203"/>
        </w:trPr>
        <w:tc>
          <w:tcPr>
            <w:tcW w:w="6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GP 2% portion of selected items impacting comparability</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7"/>
                <w:szCs w:val="17"/>
                <w:color w:val="auto"/>
              </w:rPr>
            </w:pPr>
          </w:p>
        </w:tc>
      </w:tr>
      <w:tr>
        <w:trPr>
          <w:trHeight w:val="236"/>
        </w:trPr>
        <w:tc>
          <w:tcPr>
            <w:tcW w:w="696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LP 98% portion of selected items impacting comparability</w:t>
            </w:r>
          </w:p>
        </w:tc>
        <w:tc>
          <w:tcPr>
            <w:tcW w:w="360" w:type="dxa"/>
            <w:vAlign w:val="bottom"/>
            <w:tcBorders>
              <w:bottom w:val="single" w:sz="8" w:color="CCEEFF"/>
            </w:tcBorders>
            <w:gridSpan w:val="2"/>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w:t>
            </w:r>
          </w:p>
        </w:tc>
        <w:tc>
          <w:tcPr>
            <w:tcW w:w="300" w:type="dxa"/>
            <w:vAlign w:val="bottom"/>
            <w:tcBorders>
              <w:bottom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1"/>
        </w:trPr>
        <w:tc>
          <w:tcPr>
            <w:tcW w:w="6960" w:type="dxa"/>
            <w:vAlign w:val="bottom"/>
            <w:gridSpan w:val="2"/>
            <w:shd w:val="clear" w:color="auto" w:fill="CCEEFF"/>
          </w:tcPr>
          <w:p>
            <w:pPr>
              <w:spacing w:after="0" w:line="251" w:lineRule="exact"/>
              <w:rPr>
                <w:sz w:val="20"/>
                <w:szCs w:val="20"/>
                <w:color w:val="auto"/>
              </w:rPr>
            </w:pPr>
            <w:r>
              <w:rPr>
                <w:rFonts w:ascii="Arial" w:cs="Arial" w:eastAsia="Arial" w:hAnsi="Arial"/>
                <w:sz w:val="18"/>
                <w:szCs w:val="18"/>
                <w:color w:val="auto"/>
              </w:rPr>
              <w:t>Impact to basic net income per limited partner unit</w:t>
            </w:r>
            <w:r>
              <w:rPr>
                <w:rFonts w:ascii="Arial" w:cs="Arial" w:eastAsia="Arial" w:hAnsi="Arial"/>
                <w:sz w:val="23"/>
                <w:szCs w:val="23"/>
                <w:color w:val="auto"/>
                <w:vertAlign w:val="superscript"/>
              </w:rPr>
              <w:t>(1)</w:t>
            </w:r>
          </w:p>
        </w:tc>
        <w:tc>
          <w:tcPr>
            <w:tcW w:w="360" w:type="dxa"/>
            <w:vAlign w:val="bottom"/>
            <w:gridSpan w:val="2"/>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51"/>
        </w:trPr>
        <w:tc>
          <w:tcPr>
            <w:tcW w:w="6960" w:type="dxa"/>
            <w:vAlign w:val="bottom"/>
            <w:gridSpan w:val="2"/>
          </w:tcPr>
          <w:p>
            <w:pPr>
              <w:spacing w:after="0" w:line="251" w:lineRule="exact"/>
              <w:rPr>
                <w:sz w:val="20"/>
                <w:szCs w:val="20"/>
                <w:color w:val="auto"/>
              </w:rPr>
            </w:pPr>
            <w:r>
              <w:rPr>
                <w:rFonts w:ascii="Arial" w:cs="Arial" w:eastAsia="Arial" w:hAnsi="Arial"/>
                <w:sz w:val="18"/>
                <w:szCs w:val="18"/>
                <w:color w:val="auto"/>
              </w:rPr>
              <w:t>Impact to diluted net income per limited partner unit</w:t>
            </w:r>
            <w:r>
              <w:rPr>
                <w:rFonts w:ascii="Arial" w:cs="Arial" w:eastAsia="Arial" w:hAnsi="Arial"/>
                <w:sz w:val="23"/>
                <w:szCs w:val="23"/>
                <w:color w:val="auto"/>
                <w:vertAlign w:val="superscript"/>
              </w:rPr>
              <w:t>(1)</w:t>
            </w:r>
          </w:p>
        </w:tc>
        <w:tc>
          <w:tcPr>
            <w:tcW w:w="5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(0.37)</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(0.52)</w:t>
            </w:r>
          </w:p>
        </w:tc>
      </w:tr>
      <w:tr>
        <w:trPr>
          <w:trHeight w:val="20"/>
        </w:trPr>
        <w:tc>
          <w:tcPr>
            <w:tcW w:w="22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4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94" w:lineRule="exact"/>
        <w:rPr>
          <w:sz w:val="20"/>
          <w:szCs w:val="20"/>
          <w:color w:val="auto"/>
        </w:rPr>
      </w:pPr>
    </w:p>
    <w:p>
      <w:pPr>
        <w:ind w:left="360" w:right="320" w:hanging="352"/>
        <w:spacing w:after="0" w:line="227" w:lineRule="auto"/>
        <w:tabs>
          <w:tab w:leader="none" w:pos="352"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The application of EITF 03-06 negatively impacted basic and diluted earnings per limited partner unit by approximately $0.11 and $0.09 for the three months ended and $0.15 and $0.01 for the six months ended June 30, 2006 and 2005,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46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2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Net income and earnings per limited partner unit excluding selected items impacting</w:t>
            </w:r>
          </w:p>
        </w:tc>
        <w:tc>
          <w:tcPr>
            <w:tcW w:w="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comparability</w:t>
            </w: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jc w:val="right"/>
              <w:ind w:right="434"/>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80.3</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62.3</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143.7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Selected items impacting comparability</w:t>
            </w:r>
          </w:p>
        </w:tc>
        <w:tc>
          <w:tcPr>
            <w:tcW w:w="6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w:t>
            </w: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88.9</w:t>
            </w: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limited partners under EITF 03-06</w:t>
            </w: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63.2</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200" w:type="dxa"/>
            <w:vAlign w:val="bottom"/>
          </w:tcPr>
          <w:p>
            <w:pPr>
              <w:spacing w:after="0" w:line="201" w:lineRule="exact"/>
              <w:rPr>
                <w:sz w:val="20"/>
                <w:szCs w:val="20"/>
                <w:color w:val="auto"/>
              </w:rPr>
            </w:pPr>
            <w:r>
              <w:rPr>
                <w:rFonts w:ascii="Arial" w:cs="Arial" w:eastAsia="Arial" w:hAnsi="Arial"/>
                <w:sz w:val="18"/>
                <w:szCs w:val="18"/>
                <w:color w:val="auto"/>
              </w:rPr>
              <w:t>Limited partners 98% of selected items impacting</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180"/>
              <w:spacing w:after="0"/>
              <w:rPr>
                <w:sz w:val="20"/>
                <w:szCs w:val="20"/>
                <w:color w:val="auto"/>
              </w:rPr>
            </w:pPr>
            <w:r>
              <w:rPr>
                <w:rFonts w:ascii="Arial" w:cs="Arial" w:eastAsia="Arial" w:hAnsi="Arial"/>
                <w:sz w:val="18"/>
                <w:szCs w:val="18"/>
                <w:color w:val="auto"/>
              </w:rPr>
              <w:t>comparability</w:t>
            </w: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 forma additional general partner distribution under EITF 03-06</w:t>
            </w:r>
          </w:p>
        </w:tc>
        <w:tc>
          <w:tcPr>
            <w:tcW w:w="6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limited partners net income</w:t>
            </w: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79.8</w:t>
            </w: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basic net income per limited partner unit</w:t>
            </w: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1.04</w:t>
            </w:r>
          </w:p>
        </w:tc>
        <w:tc>
          <w:tcPr>
            <w:tcW w:w="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Adjusted diluted net income per limited partner unit</w:t>
            </w: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0" w:type="dxa"/>
            <w:vAlign w:val="bottom"/>
            <w:vMerge w:val="continue"/>
          </w:tcPr>
          <w:p>
            <w:pPr>
              <w:spacing w:after="0"/>
              <w:rPr>
                <w:sz w:val="24"/>
                <w:szCs w:val="24"/>
                <w:color w:val="auto"/>
              </w:rPr>
            </w:pPr>
          </w:p>
        </w:tc>
        <w:tc>
          <w:tcPr>
            <w:tcW w:w="620" w:type="dxa"/>
            <w:vAlign w:val="bottom"/>
          </w:tcPr>
          <w:p>
            <w:pPr>
              <w:jc w:val="right"/>
              <w:ind w:right="434"/>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1.03</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weighted average units outstanding</w:t>
            </w:r>
          </w:p>
        </w:tc>
        <w:tc>
          <w:tcPr>
            <w:tcW w:w="620" w:type="dxa"/>
            <w:vAlign w:val="bottom"/>
            <w:tcBorders>
              <w:top w:val="single" w:sz="8" w:color="auto"/>
              <w:bottom w:val="single" w:sz="8" w:color="auto"/>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77.0</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Diluted weighted average units outstanding</w:t>
            </w: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77.8</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69.3</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76.3</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5620"/>
              <w:spacing w:after="0"/>
              <w:rPr>
                <w:sz w:val="20"/>
                <w:szCs w:val="20"/>
                <w:color w:val="auto"/>
              </w:rPr>
            </w:pPr>
            <w:r>
              <w:rPr>
                <w:rFonts w:ascii="Arial" w:cs="Arial" w:eastAsia="Arial" w:hAnsi="Arial"/>
                <w:sz w:val="18"/>
                <w:szCs w:val="18"/>
                <w:color w:val="auto"/>
              </w:rPr>
              <w:t>11</w:t>
            </w: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72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2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SUMMARY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FINANCIAL DATA RECONCILIATIONS (Continued)</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unit data)</w:t>
            </w:r>
          </w:p>
        </w:tc>
        <w:tc>
          <w:tcPr>
            <w:tcW w:w="160" w:type="dxa"/>
            <w:vAlign w:val="bottom"/>
          </w:tcPr>
          <w:p>
            <w:pPr>
              <w:spacing w:after="0"/>
              <w:rPr>
                <w:sz w:val="20"/>
                <w:szCs w:val="20"/>
                <w:color w:val="auto"/>
              </w:rPr>
            </w:pPr>
          </w:p>
        </w:tc>
        <w:tc>
          <w:tcPr>
            <w:tcW w:w="1840" w:type="dxa"/>
            <w:vAlign w:val="bottom"/>
            <w:gridSpan w:val="7"/>
            <w:vMerge w:val="restart"/>
          </w:tcPr>
          <w:p>
            <w:pPr>
              <w:jc w:val="center"/>
              <w:ind w:right="94"/>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7"/>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 excluding selected items impacting comparability</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95.6</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219.9</w:t>
            </w:r>
          </w:p>
        </w:tc>
        <w:tc>
          <w:tcPr>
            <w:tcW w:w="3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Selected items impacting comparability</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r>
              <w:rPr>
                <w:rFonts w:ascii="Arial" w:cs="Arial" w:eastAsia="Arial" w:hAnsi="Arial"/>
                <w:sz w:val="18"/>
                <w:szCs w:val="18"/>
                <w:u w:val="single" w:color="auto"/>
                <w:color w:val="auto"/>
              </w:rPr>
              <w:t>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9"/>
          </w:tcPr>
          <w:p>
            <w:pPr>
              <w:jc w:val="center"/>
              <w:ind w:right="7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74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5"/>
          </w:tcPr>
          <w:p>
            <w:pPr>
              <w:jc w:val="center"/>
              <w:ind w:left="156"/>
              <w:spacing w:after="0"/>
              <w:rPr>
                <w:sz w:val="20"/>
                <w:szCs w:val="20"/>
                <w:color w:val="auto"/>
              </w:rPr>
            </w:pPr>
            <w:r>
              <w:rPr>
                <w:rFonts w:ascii="Arial" w:cs="Arial" w:eastAsia="Arial" w:hAnsi="Arial"/>
                <w:sz w:val="14"/>
                <w:szCs w:val="14"/>
                <w:b w:val="1"/>
                <w:bCs w:val="1"/>
                <w:color w:val="auto"/>
                <w:w w:val="92"/>
              </w:rPr>
              <w:t>June 30, 2006</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2"/>
              </w:rPr>
              <w:t>June 30, 2006</w:t>
            </w:r>
          </w:p>
        </w:tc>
      </w:tr>
      <w:tr>
        <w:trPr>
          <w:trHeight w:val="129"/>
        </w:trPr>
        <w:tc>
          <w:tcPr>
            <w:tcW w:w="69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5"/>
          </w:tcPr>
          <w:p>
            <w:pPr>
              <w:ind w:left="40"/>
              <w:spacing w:after="0" w:line="129" w:lineRule="exact"/>
              <w:rPr>
                <w:sz w:val="20"/>
                <w:szCs w:val="20"/>
                <w:color w:val="auto"/>
              </w:rPr>
            </w:pPr>
            <w:r>
              <w:rPr>
                <w:rFonts w:ascii="Arial" w:cs="Arial" w:eastAsia="Arial" w:hAnsi="Arial"/>
                <w:sz w:val="14"/>
                <w:szCs w:val="14"/>
                <w:b w:val="1"/>
                <w:bCs w:val="1"/>
                <w:color w:val="auto"/>
              </w:rPr>
              <w:t>Pipeline</w:t>
            </w:r>
          </w:p>
        </w:tc>
        <w:tc>
          <w:tcPr>
            <w:tcW w:w="7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GMT&amp;S</w:t>
            </w:r>
          </w:p>
        </w:tc>
        <w:tc>
          <w:tcPr>
            <w:tcW w:w="3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5"/>
          </w:tcPr>
          <w:p>
            <w:pPr>
              <w:ind w:left="60"/>
              <w:spacing w:after="0" w:line="129" w:lineRule="exact"/>
              <w:rPr>
                <w:sz w:val="20"/>
                <w:szCs w:val="20"/>
                <w:color w:val="auto"/>
              </w:rPr>
            </w:pPr>
            <w:r>
              <w:rPr>
                <w:rFonts w:ascii="Arial" w:cs="Arial" w:eastAsia="Arial" w:hAnsi="Arial"/>
                <w:sz w:val="14"/>
                <w:szCs w:val="14"/>
                <w:b w:val="1"/>
                <w:bCs w:val="1"/>
                <w:color w:val="auto"/>
              </w:rPr>
              <w:t>Pipeline</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GMT&amp;S</w:t>
            </w:r>
          </w:p>
        </w:tc>
        <w:tc>
          <w:tcPr>
            <w:tcW w:w="60" w:type="dxa"/>
            <w:vAlign w:val="bottom"/>
          </w:tcPr>
          <w:p>
            <w:pPr>
              <w:spacing w:after="0"/>
              <w:rPr>
                <w:sz w:val="11"/>
                <w:szCs w:val="11"/>
                <w:color w:val="auto"/>
              </w:rPr>
            </w:pPr>
          </w:p>
        </w:tc>
      </w:tr>
      <w:tr>
        <w:trPr>
          <w:trHeight w:val="196"/>
        </w:trPr>
        <w:tc>
          <w:tcPr>
            <w:tcW w:w="6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2006 Segment profit excluding selected items impacting comparability</w:t>
            </w: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Selected items impacting comparability of segment profit: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LTIP charge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SFAS 133 mark-to-market adjustment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Segment profit excluding selected items impacting comparability</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9"/>
          </w:tcPr>
          <w:p>
            <w:pPr>
              <w:jc w:val="center"/>
              <w:ind w:right="7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82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r>
      <w:tr>
        <w:trPr>
          <w:trHeight w:val="162"/>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5"/>
          </w:tcPr>
          <w:p>
            <w:pPr>
              <w:jc w:val="center"/>
              <w:ind w:left="175"/>
              <w:spacing w:after="0"/>
              <w:rPr>
                <w:sz w:val="20"/>
                <w:szCs w:val="20"/>
                <w:color w:val="auto"/>
              </w:rPr>
            </w:pPr>
            <w:r>
              <w:rPr>
                <w:rFonts w:ascii="Arial" w:cs="Arial" w:eastAsia="Arial" w:hAnsi="Arial"/>
                <w:sz w:val="14"/>
                <w:szCs w:val="14"/>
                <w:b w:val="1"/>
                <w:bCs w:val="1"/>
                <w:color w:val="auto"/>
                <w:w w:val="92"/>
              </w:rPr>
              <w:t>June 30, 2005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2"/>
              </w:rPr>
              <w:t>June 30, 2005</w:t>
            </w:r>
          </w:p>
        </w:tc>
      </w:tr>
      <w:tr>
        <w:trPr>
          <w:trHeight w:val="129"/>
        </w:trPr>
        <w:tc>
          <w:tcPr>
            <w:tcW w:w="68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Pipeline</w:t>
            </w:r>
          </w:p>
        </w:tc>
        <w:tc>
          <w:tcPr>
            <w:tcW w:w="1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GMT&amp;S</w:t>
            </w:r>
          </w:p>
        </w:tc>
        <w:tc>
          <w:tcPr>
            <w:tcW w:w="3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Pipeline</w:t>
            </w:r>
          </w:p>
        </w:tc>
        <w:tc>
          <w:tcPr>
            <w:tcW w:w="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GMT&amp;S</w:t>
            </w:r>
          </w:p>
        </w:tc>
        <w:tc>
          <w:tcPr>
            <w:tcW w:w="100" w:type="dxa"/>
            <w:vAlign w:val="bottom"/>
            <w:tcBorders>
              <w:bottom w:val="single" w:sz="8" w:color="CCEEFF"/>
            </w:tcBorders>
          </w:tcPr>
          <w:p>
            <w:pPr>
              <w:spacing w:after="0"/>
              <w:rPr>
                <w:sz w:val="11"/>
                <w:szCs w:val="11"/>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2005 Segment profit excluding selected items impacting comparability</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41.4</w:t>
            </w:r>
          </w:p>
        </w:tc>
        <w:tc>
          <w:tcPr>
            <w:tcW w:w="84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91.4</w:t>
            </w: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Selected items impacting comparability of segment profit: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ind w:left="180"/>
              <w:spacing w:after="0"/>
              <w:rPr>
                <w:sz w:val="20"/>
                <w:szCs w:val="20"/>
                <w:color w:val="auto"/>
              </w:rPr>
            </w:pPr>
            <w:r>
              <w:rPr>
                <w:rFonts w:ascii="Arial" w:cs="Arial" w:eastAsia="Arial" w:hAnsi="Arial"/>
                <w:sz w:val="18"/>
                <w:szCs w:val="18"/>
                <w:color w:val="auto"/>
              </w:rPr>
              <w:t>LTIP charge</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foreign currency revaluation</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SFAS 133 mark-to-market adjustment</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profit excluding selected items impacting comparability</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 # #</w:t>
      </w:r>
    </w:p>
    <w:p>
      <w:pPr>
        <w:sectPr>
          <w:pgSz w:w="11900" w:h="16838" w:orient="portrait"/>
          <w:cols w:equalWidth="0" w:num="1">
            <w:col w:w="11460"/>
          </w:cols>
          <w:pgMar w:left="240" w:top="120" w:right="199" w:bottom="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8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o"/>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4"/>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2020-02-09T18:15:12Z</dcterms:created>
  <dcterms:modified xsi:type="dcterms:W3CDTF">2020-02-09T18:15:12Z</dcterms:modified>
</cp:coreProperties>
</file>