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43563b3e424b3.htm"/>
        <w:bookmarkStart w:id="1" w:name="ksh43563b3e424b3"/>
        <w:bookmarkEnd w:id="0"/>
        <w:bookmarkEnd w:id="1"/>
        <w:r>
          <w:rPr>
            <w:rStyle w:val="InternetLink"/>
          </w:rPr>
          <w:t>Table of Contents</w:t>
        </w:r>
      </w:hyperlink>
    </w:p>
    <w:p>
      <w:pPr>
        <w:pStyle w:val="TextBody"/>
        <w:spacing w:before="0" w:after="0"/>
        <w:jc w:val="right"/>
        <w:rPr>
          <w:rFonts w:ascii="Times New Roman;Times" w:hAnsi="Times New Roman;Times"/>
          <w:color w:val="000000"/>
          <w:sz w:val="17"/>
          <w:highlight w:val="white"/>
        </w:rPr>
      </w:pPr>
      <w:r>
        <w:rPr>
          <w:rFonts w:ascii="Times New Roman;Times" w:hAnsi="Times New Roman;Times"/>
          <w:color w:val="000000"/>
          <w:sz w:val="17"/>
          <w:highlight w:val="white"/>
        </w:rPr>
        <w:t>Filed pursuant to Rule 424(b)(3)</w:t>
        <w:br/>
        <w:t xml:space="preserve">Registration No. 333-141557 </w:t>
      </w:r>
    </w:p>
    <w:p>
      <w:pPr>
        <w:pStyle w:val="TextBody"/>
        <w:spacing w:before="0" w:after="0"/>
        <w:jc w:val="left"/>
        <w:rPr>
          <w:rFonts w:ascii="Times New Roman;Times" w:hAnsi="Times New Roman;Times"/>
          <w:color w:val="000000"/>
          <w:sz w:val="15"/>
          <w:highlight w:val="white"/>
        </w:rPr>
      </w:pPr>
      <w:r>
        <w:rPr>
          <w:rFonts w:ascii="Times New Roman;Times" w:hAnsi="Times New Roman;Times"/>
          <w:color w:val="000000"/>
          <w:sz w:val="15"/>
          <w:highlight w:val="white"/>
        </w:rPr>
        <w:t xml:space="preserve">Prospectus </w:t>
      </w:r>
    </w:p>
    <w:p>
      <w:pPr>
        <w:pStyle w:val="TextBody"/>
        <w:spacing w:before="40" w:after="283"/>
        <w:rPr/>
      </w:pPr>
      <w:r>
        <w:rPr/>
        <w:t>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Plains All American Pipeline, L.P.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PAA Finance Corp. </w:t>
      </w:r>
    </w:p>
    <w:p>
      <w:pPr>
        <w:pStyle w:val="TextBody"/>
        <w:spacing w:before="40" w:after="283"/>
        <w:rPr/>
      </w:pPr>
      <w:r>
        <w:rPr/>
        <w:t>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Offer to Exchange up to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$400,000,000 of 6.125% Senior Notes due 2017 </w:t>
      </w:r>
    </w:p>
    <w:p>
      <w:pPr>
        <w:pStyle w:val="TextBody"/>
        <w:spacing w:before="40" w:after="283"/>
        <w:rPr/>
      </w:pPr>
      <w:r>
        <w:rPr/>
        <w:t>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for </w:t>
      </w:r>
    </w:p>
    <w:p>
      <w:pPr>
        <w:pStyle w:val="TextBody"/>
        <w:spacing w:before="40" w:after="283"/>
        <w:rPr/>
      </w:pPr>
      <w:r>
        <w:rPr/>
        <w:t>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$400,000,000 of 6.125% Senior Notes due 2017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that have been Registered under the Securities Act of 1933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and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Offer to Exchange up to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$600,000,000 of 6.650% Senior Notes due 2037 </w:t>
      </w:r>
    </w:p>
    <w:p>
      <w:pPr>
        <w:pStyle w:val="TextBody"/>
        <w:spacing w:before="40" w:after="283"/>
        <w:rPr/>
      </w:pPr>
      <w:r>
        <w:rPr/>
        <w:t>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for </w:t>
      </w:r>
    </w:p>
    <w:p>
      <w:pPr>
        <w:pStyle w:val="TextBody"/>
        <w:spacing w:before="40" w:after="283"/>
        <w:rPr/>
      </w:pPr>
      <w:r>
        <w:rPr/>
        <w:t>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$600,000,000 of 6.650% Senior Notes due 2037 </w:t>
      </w:r>
    </w:p>
    <w:p>
      <w:pPr>
        <w:pStyle w:val="TextBody"/>
        <w:spacing w:before="0" w:after="0"/>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that have been Registered under the Securities Act of 1933 </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Terms of the Exchange Offer</w:t>
      </w:r>
      <w:r>
        <w:rPr>
          <w:rFonts w:ascii="Arial;Helvetica" w:hAnsi="Arial;Helvetica"/>
          <w:color w:val="000000"/>
          <w:sz w:val="17"/>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0"/>
        <w:gridCol w:w="269"/>
        <w:gridCol w:w="9536"/>
      </w:tblGrid>
      <w:tr>
        <w:trPr/>
        <w:tc>
          <w:tcPr>
            <w:tcW w:w="40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We are offering to exchange up to $400,000,000 of our outstanding 6.125% Senior Notes due 2017 (the 2017 Notes) and up to $600,000,000 of our outstanding 6.650% Senior Notes due 2037 (the 2037 Notes, and together with the 2017 Notes, the outstanding Notes) for new notes with substantially identical terms that have been registered under the Securities Act and are freely tradable.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We will exchange for an equal principal amount of new Notes all outstanding Notes of the same series that you validly tender and do not validly withdraw before the exchange offer expires. </w:t>
            </w:r>
          </w:p>
        </w:tc>
      </w:tr>
    </w:tbl>
    <w:p>
      <w:pPr>
        <w:pStyle w:val="TextBody"/>
        <w:spacing w:before="40" w:after="283"/>
        <w:rPr/>
      </w:pPr>
      <w:r>
        <w:rPr/>
        <w:t> </w:t>
      </w:r>
    </w:p>
    <w:tbl>
      <w:tblPr>
        <w:tblW w:w="5000" w:type="pct"/>
        <w:jc w:val="left"/>
        <w:tblInd w:w="0" w:type="dxa"/>
        <w:tblCellMar>
          <w:top w:w="0" w:type="dxa"/>
          <w:left w:w="0" w:type="dxa"/>
          <w:bottom w:w="0" w:type="dxa"/>
          <w:right w:w="0" w:type="dxa"/>
        </w:tblCellMar>
      </w:tblPr>
      <w:tblGrid>
        <w:gridCol w:w="412"/>
        <w:gridCol w:w="260"/>
        <w:gridCol w:w="9533"/>
      </w:tblGrid>
      <w:tr>
        <w:trPr/>
        <w:tc>
          <w:tcPr>
            <w:tcW w:w="41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12"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Each exchange offer expires at 5:00 p.m., New York City time, on July 18, 2007 unless extended. We do not currently intend to extend either exchange offer. </w:t>
            </w:r>
          </w:p>
        </w:tc>
      </w:tr>
    </w:tbl>
    <w:p>
      <w:pPr>
        <w:pStyle w:val="TextBody"/>
        <w:spacing w:before="40" w:after="283"/>
        <w:rPr/>
      </w:pPr>
      <w:r>
        <w:rPr/>
        <w:t> </w:t>
      </w:r>
    </w:p>
    <w:tbl>
      <w:tblPr>
        <w:tblW w:w="5000" w:type="pct"/>
        <w:jc w:val="left"/>
        <w:tblInd w:w="0" w:type="dxa"/>
        <w:tblCellMar>
          <w:top w:w="0" w:type="dxa"/>
          <w:left w:w="0" w:type="dxa"/>
          <w:bottom w:w="0" w:type="dxa"/>
          <w:right w:w="0" w:type="dxa"/>
        </w:tblCellMar>
      </w:tblPr>
      <w:tblGrid>
        <w:gridCol w:w="407"/>
        <w:gridCol w:w="271"/>
        <w:gridCol w:w="9527"/>
      </w:tblGrid>
      <w:tr>
        <w:trPr/>
        <w:tc>
          <w:tcPr>
            <w:tcW w:w="40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Tenders of outstanding Notes may be withdrawn at any time prior to the expiration of the exchange offer.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The exchange of outstanding Notes for new Notes will not be a taxable event for U.S. federal income tax purposes. </w:t>
            </w:r>
          </w:p>
        </w:tc>
      </w:tr>
    </w:tbl>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Terms of the 6.125% Senior Notes Offered in the Exchange Offer</w:t>
      </w:r>
      <w:r>
        <w:rPr>
          <w:rFonts w:ascii="Arial;Helvetica" w:hAnsi="Arial;Helvetica"/>
          <w:color w:val="000000"/>
          <w:sz w:val="17"/>
          <w:highlight w:val="white"/>
        </w:rPr>
        <w:t xml:space="preserve"> </w:t>
      </w:r>
    </w:p>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Maturity</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2017 Notes will mature on January 15, 2017. </w:t>
            </w:r>
          </w:p>
        </w:tc>
      </w:tr>
    </w:tbl>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Interest</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8"/>
        <w:gridCol w:w="270"/>
        <w:gridCol w:w="9527"/>
      </w:tblGrid>
      <w:tr>
        <w:trPr/>
        <w:tc>
          <w:tcPr>
            <w:tcW w:w="40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Interest on the 2017 Notes is payable on January 15 and July 15 of each year, beginning July 15, 2007.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Interest will accrue from October 30, 2006. </w:t>
            </w:r>
          </w:p>
        </w:tc>
      </w:tr>
    </w:tbl>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Redemption</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6"/>
        <w:gridCol w:w="272"/>
        <w:gridCol w:w="9527"/>
      </w:tblGrid>
      <w:tr>
        <w:trPr/>
        <w:tc>
          <w:tcPr>
            <w:tcW w:w="4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We may redeem the 2017 Notes, in whole or in part, at any time at a price equal to the greater of (1) 100% of the principal amount of the 2017 Notes to be redeemed or (2) a make-whole amount described in this prospectus plus 25 basis points together with accrued interest, if any, to the redemption date. </w:t>
            </w:r>
          </w:p>
        </w:tc>
      </w:tr>
    </w:tbl>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Ranking</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5"/>
        <w:gridCol w:w="274"/>
        <w:gridCol w:w="9526"/>
      </w:tblGrid>
      <w:tr>
        <w:trPr/>
        <w:tc>
          <w:tcPr>
            <w:tcW w:w="4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The 2017 Notes are unsecured. The 2017 Notes rank equally in right of payment with all of our other existing and future senior unsecured debt and senior in right of payment to all of our future subordinated debt. </w:t>
            </w:r>
          </w:p>
        </w:tc>
      </w:tr>
    </w:tbl>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Terms of the 6.650% Senior Notes Offered in the Exchange Offer</w:t>
      </w:r>
      <w:r>
        <w:rPr>
          <w:rFonts w:ascii="Arial;Helvetica" w:hAnsi="Arial;Helvetica"/>
          <w:color w:val="000000"/>
          <w:sz w:val="17"/>
          <w:highlight w:val="white"/>
        </w:rPr>
        <w:t xml:space="preserve"> </w:t>
      </w:r>
    </w:p>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Maturity</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2037 Notes will mature on January 15, 2037. </w:t>
            </w:r>
          </w:p>
        </w:tc>
      </w:tr>
    </w:tbl>
    <w:p>
      <w:pPr>
        <w:pStyle w:val="TextBody"/>
        <w:spacing w:before="16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Interest</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8"/>
        <w:gridCol w:w="270"/>
        <w:gridCol w:w="9527"/>
      </w:tblGrid>
      <w:tr>
        <w:trPr/>
        <w:tc>
          <w:tcPr>
            <w:tcW w:w="40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Interest on the 2037 Notes is payable on January 15 and July 15 of each year, beginning July 15, 2007.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Interest will accrue from October 30, 2006. </w:t>
            </w:r>
          </w:p>
        </w:tc>
      </w:tr>
    </w:tbl>
    <w:p>
      <w:pPr>
        <w:pStyle w:val="TextBody"/>
        <w:spacing w:before="16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Redemption</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6"/>
        <w:gridCol w:w="272"/>
        <w:gridCol w:w="9527"/>
      </w:tblGrid>
      <w:tr>
        <w:trPr/>
        <w:tc>
          <w:tcPr>
            <w:tcW w:w="4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We may redeem the 2037 Notes, in whole or in part, at any time at a price equal to the greater of (1) 100% of the principal amount of the 2037 Notes to be redeemed or (2) a make-whole amount described in this prospectus plus 30 basis points together with accrued interest, if any, to the redemption date. </w:t>
            </w:r>
          </w:p>
        </w:tc>
      </w:tr>
    </w:tbl>
    <w:p>
      <w:pPr>
        <w:pStyle w:val="TextBody"/>
        <w:spacing w:before="16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Ranking</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5"/>
        <w:gridCol w:w="274"/>
        <w:gridCol w:w="9526"/>
      </w:tblGrid>
      <w:tr>
        <w:trPr/>
        <w:tc>
          <w:tcPr>
            <w:tcW w:w="4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The 2037 Notes are unsecured. The 2037 Notes rank equally in right of payment with all of our other existing and future senior unsecured debt and senior in right of payment to all of our future subordinated debt. </w:t>
            </w:r>
          </w:p>
        </w:tc>
      </w:tr>
    </w:tbl>
    <w:p>
      <w:pPr>
        <w:pStyle w:val="TextBody"/>
        <w:spacing w:before="80" w:after="283"/>
        <w:rPr/>
      </w:pPr>
      <w:r>
        <w:rPr/>
        <w:t> </w:t>
      </w:r>
    </w:p>
    <w:p>
      <w:pPr>
        <w:pStyle w:val="TextBody"/>
        <w:spacing w:before="0" w:after="0"/>
        <w:jc w:val="left"/>
        <w:rPr>
          <w:rFonts w:ascii="Times New Roman;Times" w:hAnsi="Times New Roman;Times"/>
          <w:color w:val="000000"/>
          <w:sz w:val="15"/>
          <w:highlight w:val="white"/>
        </w:rPr>
      </w:pPr>
      <w:r>
        <w:rPr>
          <w:rFonts w:ascii="Times New Roman;Times" w:hAnsi="Times New Roman;Times"/>
          <w:b/>
          <w:color w:val="000000"/>
          <w:sz w:val="15"/>
          <w:highlight w:val="white"/>
        </w:rPr>
        <w:t>Please read Risk Factors on page 6 for a discussion of factors you should consider before participating in the exchange offer.</w:t>
      </w:r>
      <w:r>
        <w:rPr>
          <w:rFonts w:ascii="Times New Roman;Times" w:hAnsi="Times New Roman;Times"/>
          <w:color w:val="000000"/>
          <w:sz w:val="15"/>
          <w:highlight w:val="white"/>
        </w:rPr>
        <w:t xml:space="preserve"> </w:t>
      </w:r>
    </w:p>
    <w:p>
      <w:pPr>
        <w:pStyle w:val="TextBody"/>
        <w:spacing w:before="80" w:after="283"/>
        <w:rPr/>
      </w:pPr>
      <w:r>
        <w:rPr/>
        <w:t> </w:t>
      </w:r>
    </w:p>
    <w:p>
      <w:pPr>
        <w:pStyle w:val="TextBody"/>
        <w:spacing w:before="0" w:after="0"/>
        <w:jc w:val="left"/>
        <w:rPr>
          <w:rFonts w:ascii="Times New Roman;Times" w:hAnsi="Times New Roman;Times"/>
          <w:color w:val="000000"/>
          <w:sz w:val="15"/>
          <w:highlight w:val="white"/>
        </w:rPr>
      </w:pPr>
      <w:r>
        <w:rPr>
          <w:rFonts w:ascii="Times New Roman;Times" w:hAnsi="Times New Roman;Times"/>
          <w:b/>
          <w:color w:val="000000"/>
          <w:sz w:val="15"/>
          <w:highlight w:val="white"/>
        </w:rPr>
        <w:t>These securities have not been approved or disapproved by the Securities and Exchange Commission or any state securities commission nor has the Securities and Exchange Commission passed upon the accuracy or adequacy of this prospectus. Any representation to the contrary is a criminal offense.</w:t>
      </w:r>
      <w:r>
        <w:rPr>
          <w:rFonts w:ascii="Times New Roman;Times" w:hAnsi="Times New Roman;Times"/>
          <w:color w:val="000000"/>
          <w:sz w:val="15"/>
          <w:highlight w:val="white"/>
        </w:rPr>
        <w:t xml:space="preserve"> </w:t>
      </w:r>
    </w:p>
    <w:p>
      <w:pPr>
        <w:pStyle w:val="TextBody"/>
        <w:spacing w:before="60" w:after="283"/>
        <w:rPr/>
      </w:pPr>
      <w:r>
        <w:rPr/>
        <w:t> </w:t>
      </w:r>
    </w:p>
    <w:p>
      <w:pPr>
        <w:pStyle w:val="TextBody"/>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The date of this prospectus is June 5, 2007.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rPr/>
      </w:pPr>
      <w:bookmarkStart w:id="2" w:name="tocpage"/>
      <w:bookmarkEnd w:id="2"/>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is part of a registration statement we filed with the Securities and Exchange Commission. In making your investment decision, you should rely only on the information contained or incorporated by reference in this prospectus and in the accompanying letter of transmittal. We have not authorized anyone to provide you with any other information. If you receive any unauthorized information, you must not rely on it. We are not making an offer to sell these securities in any state where the offer is not permitted. You should not assume that the information contained in this prospectus, or the documents incorporated by reference into this prospectus, is accurate as of any date other than the date on the front cover of this prospectus or the date of such document, as the case may be.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broker-dealer that receives the notes for its own account pursuant to this exchange offer must acknowledge in the letter of transmittal that it will deliver a prospectus in connection with any resale of the notes. This prospectus, as it may be amended or supplemented from time to time, may be used by a broker dealer in connection with resales of the notes received in exchange for outstanding notes where such outstanding notes were acquired by such broker-dealer as a result of market-making activities or other trading activities. We have agreed to make this prospectus available for a period of one year from the expiration date of this exchange offer to any broker-dealer for use in connection with any such resale. See Plan of Distribution. </w:t>
      </w:r>
    </w:p>
    <w:p>
      <w:pPr>
        <w:pStyle w:val="TextBody"/>
        <w:spacing w:before="240" w:after="283"/>
        <w:rPr/>
      </w:pPr>
      <w:r>
        <w:rPr/>
        <w:t> </w:t>
      </w:r>
    </w:p>
    <w:p>
      <w:pPr>
        <w:pStyle w:val="TextBody"/>
        <w:spacing w:before="24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9518"/>
        <w:gridCol w:w="194"/>
        <w:gridCol w:w="97"/>
        <w:gridCol w:w="335"/>
        <w:gridCol w:w="61"/>
      </w:tblGrid>
      <w:tr>
        <w:trPr/>
        <w:tc>
          <w:tcPr>
            <w:tcW w:w="9518"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97"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r>
      <w:tr>
        <w:trPr/>
        <w:tc>
          <w:tcPr>
            <w:tcW w:w="9518" w:type="dxa"/>
            <w:tcBorders/>
            <w:shd w:fill="FFFFFF" w:val="clear"/>
            <w:vAlign w:val="bottom"/>
          </w:tcPr>
          <w:p>
            <w:pPr>
              <w:pStyle w:val="TableContents"/>
              <w:spacing w:before="0" w:after="0"/>
              <w:ind w:left="200" w:right="0" w:hanging="200"/>
              <w:jc w:val="left"/>
              <w:rPr/>
            </w:pPr>
            <w:hyperlink w:anchor="101">
              <w:r>
                <w:rPr>
                  <w:rStyle w:val="InternetLink"/>
                  <w:sz w:val="17"/>
                </w:rPr>
                <w:t>Prospectus Summary</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02">
              <w:r>
                <w:rPr>
                  <w:rStyle w:val="InternetLink"/>
                  <w:sz w:val="17"/>
                </w:rPr>
                <w:t>Risk Factors</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6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03">
              <w:r>
                <w:rPr>
                  <w:rStyle w:val="InternetLink"/>
                  <w:sz w:val="17"/>
                </w:rPr>
                <w:t>Exchange Offers</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7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04">
              <w:r>
                <w:rPr>
                  <w:rStyle w:val="InternetLink"/>
                  <w:sz w:val="17"/>
                </w:rPr>
                <w:t>Ratio of Earnings to Fixed Charges</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15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05">
              <w:r>
                <w:rPr>
                  <w:rStyle w:val="InternetLink"/>
                  <w:sz w:val="17"/>
                </w:rPr>
                <w:t>Use of Proceeds</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15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06">
              <w:r>
                <w:rPr>
                  <w:rStyle w:val="InternetLink"/>
                  <w:sz w:val="17"/>
                </w:rPr>
                <w:t>Description of the Notes</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16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07">
              <w:r>
                <w:rPr>
                  <w:rStyle w:val="InternetLink"/>
                  <w:sz w:val="17"/>
                </w:rPr>
                <w:t>Material U.S. Federal Income Tax Consequences</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29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08">
              <w:r>
                <w:rPr>
                  <w:rStyle w:val="InternetLink"/>
                  <w:sz w:val="17"/>
                </w:rPr>
                <w:t>Plan of Distribution</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30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09">
              <w:r>
                <w:rPr>
                  <w:rStyle w:val="InternetLink"/>
                  <w:sz w:val="17"/>
                </w:rPr>
                <w:t>Legal Matters</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10">
              <w:r>
                <w:rPr>
                  <w:rStyle w:val="InternetLink"/>
                  <w:sz w:val="17"/>
                </w:rPr>
                <w:t>Experts</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11">
              <w:r>
                <w:rPr>
                  <w:rStyle w:val="InternetLink"/>
                  <w:sz w:val="17"/>
                </w:rPr>
                <w:t>Where You Can Find More Information</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32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12">
              <w:r>
                <w:rPr>
                  <w:rStyle w:val="InternetLink"/>
                  <w:sz w:val="17"/>
                </w:rPr>
                <w:t>Forward-Looking Statements</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33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13">
              <w:r>
                <w:rPr>
                  <w:rStyle w:val="InternetLink"/>
                  <w:sz w:val="17"/>
                </w:rPr>
                <w:t>Letter of Transmittal (2017 Notes)</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A-1 </w:t>
            </w:r>
          </w:p>
        </w:tc>
        <w:tc>
          <w:tcPr>
            <w:tcW w:w="61" w:type="dxa"/>
            <w:tcBorders/>
            <w:shd w:fill="FFFFFF" w:val="clear"/>
            <w:vAlign w:val="bottom"/>
          </w:tcPr>
          <w:p>
            <w:pPr>
              <w:pStyle w:val="TableContents"/>
              <w:spacing w:before="0" w:after="283"/>
              <w:rPr>
                <w:sz w:val="4"/>
                <w:szCs w:val="4"/>
              </w:rPr>
            </w:pPr>
            <w:r>
              <w:rPr>
                <w:sz w:val="4"/>
                <w:szCs w:val="4"/>
              </w:rPr>
            </w:r>
          </w:p>
        </w:tc>
      </w:tr>
      <w:tr>
        <w:trPr/>
        <w:tc>
          <w:tcPr>
            <w:tcW w:w="9518" w:type="dxa"/>
            <w:tcBorders/>
            <w:shd w:fill="FFFFFF" w:val="clear"/>
            <w:vAlign w:val="bottom"/>
          </w:tcPr>
          <w:p>
            <w:pPr>
              <w:pStyle w:val="TableContents"/>
              <w:spacing w:before="0" w:after="0"/>
              <w:ind w:left="200" w:right="0" w:hanging="200"/>
              <w:jc w:val="left"/>
              <w:rPr/>
            </w:pPr>
            <w:hyperlink w:anchor="114">
              <w:r>
                <w:rPr>
                  <w:rStyle w:val="InternetLink"/>
                  <w:sz w:val="17"/>
                </w:rPr>
                <w:t>Letter of Transmittal (2037 Notes)</w:t>
              </w:r>
            </w:hyperlink>
            <w:r>
              <w:rPr/>
              <w:t xml:space="preserve"> </w:t>
            </w:r>
          </w:p>
        </w:tc>
        <w:tc>
          <w:tcPr>
            <w:tcW w:w="194"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B-1 </w:t>
            </w:r>
          </w:p>
        </w:tc>
        <w:tc>
          <w:tcPr>
            <w:tcW w:w="61" w:type="dxa"/>
            <w:tcBorders/>
            <w:shd w:fill="FFFFFF" w:val="clear"/>
            <w:vAlign w:val="bottom"/>
          </w:tcPr>
          <w:p>
            <w:pPr>
              <w:pStyle w:val="TableContents"/>
              <w:spacing w:before="0" w:after="283"/>
              <w:rPr>
                <w:sz w:val="4"/>
                <w:szCs w:val="4"/>
              </w:rPr>
            </w:pPr>
            <w:r>
              <w:rPr>
                <w:sz w:val="4"/>
                <w:szCs w:val="4"/>
              </w:rPr>
            </w:r>
          </w:p>
        </w:tc>
      </w:tr>
    </w:tbl>
    <w:p>
      <w:pPr>
        <w:pStyle w:val="TextBody"/>
        <w:spacing w:before="240" w:after="283"/>
        <w:rPr/>
      </w:pPr>
      <w:r>
        <w:rPr/>
        <w:t> </w:t>
      </w:r>
    </w:p>
    <w:p>
      <w:pPr>
        <w:pStyle w:val="TextBody"/>
        <w:spacing w:before="240" w:after="283"/>
        <w:rPr/>
      </w:pPr>
      <w:r>
        <w:rPr/>
        <w:t>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ind w:left="0" w:right="0" w:firstLine="240"/>
        <w:jc w:val="center"/>
        <w:rPr>
          <w:rFonts w:ascii="Arial;Helvetica" w:hAnsi="Arial;Helvetica"/>
          <w:color w:val="000000"/>
          <w:sz w:val="17"/>
          <w:highlight w:val="white"/>
          <w:bdr w:val="single" w:sz="2" w:space="12" w:color="000000"/>
        </w:rPr>
      </w:pPr>
      <w:bookmarkStart w:id="3" w:name="101"/>
      <w:bookmarkEnd w:id="3"/>
      <w:r>
        <w:rPr>
          <w:rFonts w:ascii="Times New Roman;Times" w:hAnsi="Times New Roman;Times"/>
          <w:b/>
          <w:color w:val="000000"/>
          <w:sz w:val="17"/>
          <w:highlight w:val="white"/>
          <w:bdr w:val="single" w:sz="2" w:space="12" w:color="000000"/>
        </w:rPr>
        <w:t>PROSPECTUS SUMMARY</w:t>
      </w:r>
      <w:r>
        <w:rPr>
          <w:rFonts w:ascii="Arial;Helvetica" w:hAnsi="Arial;Helvetica"/>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This summary may not contain all the information that may be important to you. You should read this entire prospectus and the documents we have incorporated into this prospectus by reference before making an investment decision. You should carefully consider the information set forth under Risk Factors. In addition, certain statements include forward-looking information which involves risks and uncertainties. Please read Forward-Looking Statements. References to the notes in this prospectus include both the outstanding notes and the new notes. </w:t>
      </w:r>
    </w:p>
    <w:p>
      <w:pPr>
        <w:pStyle w:val="TextBody"/>
        <w:spacing w:before="24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Plains All American Pipeline, L.P.</w:t>
      </w:r>
      <w:r>
        <w:rPr>
          <w:rFonts w:ascii="Arial;Helvetica" w:hAnsi="Arial;Helvetica"/>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We are a Delaware limited partnership formed in September 1998. We are engaged in the transportation, storage, terminalling and marketing of crude oil, refined products and liquefied petroleum gas and other natural gas related petroleum products. We refer to liquefied petroleum gas and other natural gas related petroleum products as LPG. We own an extensive network of pipeline transportation, terminalling and storage assets at major market hubs and in key oil producing basins and crude oil, refined product and LPG transportation corridors in the United States and Canada. In addition, through our 50% equity ownership in PAA/Vulcan Gas Storage, LLC, we develop and operate natural gas storage facilities.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Our executive offices are located at 333 Clay Street, Suite 1600, Houston, Texas 77002 and our telephone number is (713) 646-4100. </w:t>
      </w:r>
    </w:p>
    <w:p>
      <w:pPr>
        <w:pStyle w:val="TextBody"/>
        <w:spacing w:before="360" w:after="283"/>
        <w:rPr>
          <w:bdr w:val="single" w:sz="2" w:space="12" w:color="000000"/>
        </w:rPr>
      </w:pPr>
      <w:r>
        <w:rPr>
          <w:bdr w:val="single" w:sz="2" w:space="12" w:color="000000"/>
        </w:rPr>
        <w:t> </w:t>
      </w:r>
    </w:p>
    <w:p>
      <w:pPr>
        <w:pStyle w:val="TextBody"/>
        <w:spacing w:before="0" w:after="0"/>
        <w:jc w:val="center"/>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The Exchange Offers</w:t>
      </w:r>
      <w:r>
        <w:rPr>
          <w:rFonts w:ascii="Arial;Helvetica" w:hAnsi="Arial;Helvetica"/>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On October 30, 2006, we completed private offerings of the 2017 Notes and the 2037 Notes. We entered into registration rights agreements with the initial purchasers in those offerings in which we agreed to deliver this prospectus and to use our reasonable best efforts to consummate the exchange offers within 300 days after the date we issued the outstanding Notes.</w:t>
      </w:r>
      <w:r>
        <w:rPr>
          <w:rFonts w:ascii="Times New Roman;Times" w:hAnsi="Times New Roman;Times"/>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5"/>
        <w:gridCol w:w="98"/>
        <w:gridCol w:w="6432"/>
      </w:tblGrid>
      <w:tr>
        <w:trPr/>
        <w:tc>
          <w:tcPr>
            <w:tcW w:w="3675" w:type="dxa"/>
            <w:tcBorders/>
            <w:shd w:fill="FFFFFF" w:val="clear"/>
            <w:vAlign w:val="center"/>
          </w:tcPr>
          <w:p>
            <w:pPr>
              <w:pStyle w:val="TableContents"/>
              <w:spacing w:before="0" w:after="283"/>
              <w:rPr>
                <w:sz w:val="4"/>
                <w:szCs w:val="4"/>
              </w:rPr>
            </w:pPr>
            <w:r>
              <w:rPr>
                <w:sz w:val="4"/>
                <w:szCs w:val="4"/>
              </w:rPr>
            </w:r>
          </w:p>
        </w:tc>
        <w:tc>
          <w:tcPr>
            <w:tcW w:w="98" w:type="dxa"/>
            <w:tcBorders/>
            <w:shd w:fill="FFFFFF" w:val="clear"/>
            <w:vAlign w:val="center"/>
          </w:tcPr>
          <w:p>
            <w:pPr>
              <w:pStyle w:val="TableContents"/>
              <w:spacing w:before="0" w:after="283"/>
              <w:rPr>
                <w:sz w:val="4"/>
                <w:szCs w:val="4"/>
              </w:rPr>
            </w:pPr>
            <w:r>
              <w:rPr>
                <w:sz w:val="4"/>
                <w:szCs w:val="4"/>
              </w:rPr>
            </w:r>
          </w:p>
        </w:tc>
        <w:tc>
          <w:tcPr>
            <w:tcW w:w="6432" w:type="dxa"/>
            <w:tcBorders/>
            <w:shd w:fill="FFFFFF" w:val="clear"/>
            <w:vAlign w:val="cente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283"/>
              <w:rPr/>
            </w:pPr>
            <w:r>
              <w:rPr/>
              <w:t>Exchange Offers</w:t>
            </w:r>
          </w:p>
        </w:tc>
        <w:tc>
          <w:tcPr>
            <w:tcW w:w="98" w:type="dxa"/>
            <w:tcBorders/>
            <w:shd w:fill="FFFFFF" w:val="clear"/>
            <w:vAlign w:val="center"/>
          </w:tcPr>
          <w:p>
            <w:pPr>
              <w:pStyle w:val="TableContents"/>
              <w:spacing w:before="0" w:after="283"/>
              <w:rPr>
                <w:sz w:val="4"/>
                <w:szCs w:val="4"/>
              </w:rPr>
            </w:pPr>
            <w:r>
              <w:rPr>
                <w:sz w:val="4"/>
                <w:szCs w:val="4"/>
              </w:rPr>
            </w:r>
          </w:p>
        </w:tc>
        <w:tc>
          <w:tcPr>
            <w:tcW w:w="6432" w:type="dxa"/>
            <w:tcBorders/>
            <w:shd w:fill="FFFFFF" w:val="clear"/>
            <w:vAlign w:val="bottom"/>
          </w:tcPr>
          <w:p>
            <w:pPr>
              <w:pStyle w:val="TableContents"/>
              <w:spacing w:before="0" w:after="283"/>
              <w:rPr/>
            </w:pPr>
            <w:r>
              <w:rPr/>
              <w:t>We are offering to exchange new notes for:</w:t>
            </w:r>
          </w:p>
        </w:tc>
      </w:tr>
      <w:tr>
        <w:trPr/>
        <w:tc>
          <w:tcPr>
            <w:tcW w:w="3675" w:type="dxa"/>
            <w:tcBorders/>
            <w:shd w:fill="FFFFFF" w:val="clear"/>
            <w:vAlign w:val="center"/>
          </w:tcPr>
          <w:p>
            <w:pPr>
              <w:pStyle w:val="TableContents"/>
              <w:spacing w:before="0" w:after="283"/>
              <w:rPr/>
            </w:pPr>
            <w:r>
              <w:rPr/>
              <w:t> </w:t>
            </w:r>
          </w:p>
        </w:tc>
        <w:tc>
          <w:tcPr>
            <w:tcW w:w="6530" w:type="dxa"/>
            <w:gridSpan w:val="2"/>
            <w:tcBorders/>
            <w:shd w:fill="FFFFFF" w:val="clea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283"/>
              <w:rPr>
                <w:sz w:val="4"/>
                <w:szCs w:val="4"/>
              </w:rPr>
            </w:pPr>
            <w:r>
              <w:rPr>
                <w:sz w:val="4"/>
                <w:szCs w:val="4"/>
              </w:rPr>
            </w:r>
          </w:p>
        </w:tc>
        <w:tc>
          <w:tcPr>
            <w:tcW w:w="98" w:type="dxa"/>
            <w:tcBorders/>
            <w:shd w:fill="FFFFFF" w:val="clear"/>
            <w:vAlign w:val="center"/>
          </w:tcPr>
          <w:p>
            <w:pPr>
              <w:pStyle w:val="TableContents"/>
              <w:spacing w:before="0" w:after="283"/>
              <w:rPr>
                <w:sz w:val="4"/>
                <w:szCs w:val="4"/>
              </w:rPr>
            </w:pPr>
            <w:r>
              <w:rPr>
                <w:sz w:val="4"/>
                <w:szCs w:val="4"/>
              </w:rPr>
            </w:r>
          </w:p>
        </w:tc>
        <w:tc>
          <w:tcPr>
            <w:tcW w:w="6432" w:type="dxa"/>
            <w:tcBorders/>
            <w:shd w:fill="FFFFFF" w:val="clear"/>
            <w:vAlign w:val="bottom"/>
          </w:tcPr>
          <w:p>
            <w:pPr>
              <w:pStyle w:val="TableContents"/>
              <w:spacing w:before="0" w:after="0"/>
              <w:ind w:left="180" w:right="0" w:hanging="180"/>
              <w:rPr/>
            </w:pPr>
            <w:r>
              <w:rPr/>
              <w:t> up to $400 million principal amount of our 6.125% 2017 Notes that have been registered under the Securities Act of 1933 (the Securities Act) for an equal amount of our outstanding 2017 Notes; and</w:t>
            </w:r>
          </w:p>
        </w:tc>
      </w:tr>
      <w:tr>
        <w:trPr/>
        <w:tc>
          <w:tcPr>
            <w:tcW w:w="3675" w:type="dxa"/>
            <w:tcBorders/>
            <w:shd w:fill="FFFFFF" w:val="clear"/>
            <w:vAlign w:val="center"/>
          </w:tcPr>
          <w:p>
            <w:pPr>
              <w:pStyle w:val="TableContents"/>
              <w:spacing w:before="0" w:after="283"/>
              <w:rPr/>
            </w:pPr>
            <w:r>
              <w:rPr/>
              <w:t> </w:t>
            </w:r>
          </w:p>
        </w:tc>
        <w:tc>
          <w:tcPr>
            <w:tcW w:w="6530" w:type="dxa"/>
            <w:gridSpan w:val="2"/>
            <w:tcBorders/>
            <w:shd w:fill="FFFFFF" w:val="clea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283"/>
              <w:rPr>
                <w:sz w:val="4"/>
                <w:szCs w:val="4"/>
              </w:rPr>
            </w:pPr>
            <w:r>
              <w:rPr>
                <w:sz w:val="4"/>
                <w:szCs w:val="4"/>
              </w:rPr>
            </w:r>
          </w:p>
        </w:tc>
        <w:tc>
          <w:tcPr>
            <w:tcW w:w="98" w:type="dxa"/>
            <w:tcBorders/>
            <w:shd w:fill="FFFFFF" w:val="clear"/>
            <w:vAlign w:val="center"/>
          </w:tcPr>
          <w:p>
            <w:pPr>
              <w:pStyle w:val="TableContents"/>
              <w:spacing w:before="0" w:after="283"/>
              <w:rPr>
                <w:sz w:val="4"/>
                <w:szCs w:val="4"/>
              </w:rPr>
            </w:pPr>
            <w:r>
              <w:rPr>
                <w:sz w:val="4"/>
                <w:szCs w:val="4"/>
              </w:rPr>
            </w:r>
          </w:p>
        </w:tc>
        <w:tc>
          <w:tcPr>
            <w:tcW w:w="6432" w:type="dxa"/>
            <w:tcBorders/>
            <w:shd w:fill="FFFFFF" w:val="clear"/>
            <w:vAlign w:val="bottom"/>
          </w:tcPr>
          <w:p>
            <w:pPr>
              <w:pStyle w:val="TableContents"/>
              <w:spacing w:before="0" w:after="0"/>
              <w:ind w:left="180" w:right="0" w:hanging="180"/>
              <w:rPr/>
            </w:pPr>
            <w:r>
              <w:rPr/>
              <w:t> up to $600 million principal amount of our 6.650% 2037 Notes that have been registered under the Securities Act for an equal amount of our outstanding 2037 Notes</w:t>
            </w:r>
          </w:p>
        </w:tc>
      </w:tr>
      <w:tr>
        <w:trPr/>
        <w:tc>
          <w:tcPr>
            <w:tcW w:w="3675" w:type="dxa"/>
            <w:tcBorders/>
            <w:shd w:fill="FFFFFF" w:val="clear"/>
            <w:vAlign w:val="center"/>
          </w:tcPr>
          <w:p>
            <w:pPr>
              <w:pStyle w:val="TableContents"/>
              <w:spacing w:before="0" w:after="283"/>
              <w:rPr/>
            </w:pPr>
            <w:r>
              <w:rPr/>
              <w:t> </w:t>
            </w:r>
          </w:p>
        </w:tc>
        <w:tc>
          <w:tcPr>
            <w:tcW w:w="6530" w:type="dxa"/>
            <w:gridSpan w:val="2"/>
            <w:tcBorders/>
            <w:shd w:fill="FFFFFF" w:val="clea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283"/>
              <w:rPr>
                <w:sz w:val="4"/>
                <w:szCs w:val="4"/>
              </w:rPr>
            </w:pPr>
            <w:r>
              <w:rPr>
                <w:sz w:val="4"/>
                <w:szCs w:val="4"/>
              </w:rPr>
            </w:r>
          </w:p>
        </w:tc>
        <w:tc>
          <w:tcPr>
            <w:tcW w:w="98" w:type="dxa"/>
            <w:tcBorders/>
            <w:shd w:fill="FFFFFF" w:val="clear"/>
            <w:vAlign w:val="center"/>
          </w:tcPr>
          <w:p>
            <w:pPr>
              <w:pStyle w:val="TableContents"/>
              <w:spacing w:before="0" w:after="283"/>
              <w:rPr>
                <w:sz w:val="4"/>
                <w:szCs w:val="4"/>
              </w:rPr>
            </w:pPr>
            <w:r>
              <w:rPr>
                <w:sz w:val="4"/>
                <w:szCs w:val="4"/>
              </w:rPr>
            </w:r>
          </w:p>
        </w:tc>
        <w:tc>
          <w:tcPr>
            <w:tcW w:w="6432" w:type="dxa"/>
            <w:tcBorders/>
            <w:shd w:fill="FFFFFF" w:val="clear"/>
            <w:vAlign w:val="bottom"/>
          </w:tcPr>
          <w:p>
            <w:pPr>
              <w:pStyle w:val="TableContents"/>
              <w:spacing w:before="0" w:after="283"/>
              <w:rPr/>
            </w:pPr>
            <w:r>
              <w:rPr/>
              <w:t>to satisfy our obligations under the registration rights agreements that we entered into when we issued the outstanding Notes in transactions exempt from registration under the Securities Act.</w:t>
            </w:r>
          </w:p>
        </w:tc>
      </w:tr>
      <w:tr>
        <w:trPr/>
        <w:tc>
          <w:tcPr>
            <w:tcW w:w="3675" w:type="dxa"/>
            <w:tcBorders/>
            <w:shd w:fill="FFFFFF" w:val="clear"/>
            <w:vAlign w:val="center"/>
          </w:tcPr>
          <w:p>
            <w:pPr>
              <w:pStyle w:val="TableContents"/>
              <w:spacing w:before="0" w:after="283"/>
              <w:rPr/>
            </w:pPr>
            <w:r>
              <w:rPr/>
              <w:t> </w:t>
            </w:r>
          </w:p>
        </w:tc>
        <w:tc>
          <w:tcPr>
            <w:tcW w:w="6530" w:type="dxa"/>
            <w:gridSpan w:val="2"/>
            <w:tcBorders/>
            <w:shd w:fill="FFFFFF" w:val="clea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283"/>
              <w:rPr>
                <w:sz w:val="4"/>
                <w:szCs w:val="4"/>
              </w:rPr>
            </w:pPr>
            <w:r>
              <w:rPr>
                <w:sz w:val="4"/>
                <w:szCs w:val="4"/>
              </w:rPr>
            </w:r>
          </w:p>
        </w:tc>
        <w:tc>
          <w:tcPr>
            <w:tcW w:w="98" w:type="dxa"/>
            <w:tcBorders/>
            <w:shd w:fill="FFFFFF" w:val="clear"/>
            <w:vAlign w:val="center"/>
          </w:tcPr>
          <w:p>
            <w:pPr>
              <w:pStyle w:val="TableContents"/>
              <w:spacing w:before="0" w:after="283"/>
              <w:rPr>
                <w:sz w:val="4"/>
                <w:szCs w:val="4"/>
              </w:rPr>
            </w:pPr>
            <w:r>
              <w:rPr>
                <w:sz w:val="4"/>
                <w:szCs w:val="4"/>
              </w:rPr>
            </w:r>
          </w:p>
        </w:tc>
        <w:tc>
          <w:tcPr>
            <w:tcW w:w="6432" w:type="dxa"/>
            <w:tcBorders/>
            <w:shd w:fill="FFFFFF" w:val="clear"/>
            <w:vAlign w:val="bottom"/>
          </w:tcPr>
          <w:p>
            <w:pPr>
              <w:pStyle w:val="TableContents"/>
              <w:spacing w:before="0" w:after="283"/>
              <w:rPr/>
            </w:pPr>
            <w:r>
              <w:rPr/>
              <w:t>The terms of each series of the new Notes are substantially identical to those terms of each series of the outstanding Notes, except that the transfer restrictions, registration rights and provisions for additional interest relating to the outstanding Notes do not apply to the new Notes.</w:t>
            </w:r>
          </w:p>
        </w:tc>
      </w:tr>
    </w:tbl>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Expiration Date</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Each exchange offer will expire at 5:00 p.m. New York City time, on July 18, 2007, unless we decide to extend either exchange offer. We may extend one exchange offer without extending the other.</w:t>
            </w:r>
          </w:p>
        </w:tc>
      </w:tr>
    </w:tbl>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4"/>
        <w:gridCol w:w="98"/>
        <w:gridCol w:w="6433"/>
      </w:tblGrid>
      <w:tr>
        <w:trPr/>
        <w:tc>
          <w:tcPr>
            <w:tcW w:w="3674" w:type="dxa"/>
            <w:tcBorders/>
            <w:shd w:fill="FFFFFF" w:val="clear"/>
            <w:vAlign w:val="center"/>
          </w:tcPr>
          <w:p>
            <w:pPr>
              <w:pStyle w:val="TableContents"/>
              <w:spacing w:before="0" w:after="283"/>
              <w:rPr>
                <w:sz w:val="4"/>
                <w:szCs w:val="4"/>
              </w:rPr>
            </w:pPr>
            <w:r>
              <w:rPr>
                <w:sz w:val="4"/>
                <w:szCs w:val="4"/>
              </w:rPr>
            </w:r>
          </w:p>
        </w:tc>
        <w:tc>
          <w:tcPr>
            <w:tcW w:w="98" w:type="dxa"/>
            <w:tcBorders/>
            <w:shd w:fill="FFFFFF" w:val="clear"/>
            <w:vAlign w:val="center"/>
          </w:tcPr>
          <w:p>
            <w:pPr>
              <w:pStyle w:val="TableContents"/>
              <w:spacing w:before="0" w:after="283"/>
              <w:rPr>
                <w:sz w:val="4"/>
                <w:szCs w:val="4"/>
              </w:rPr>
            </w:pPr>
            <w:r>
              <w:rPr>
                <w:sz w:val="4"/>
                <w:szCs w:val="4"/>
              </w:rPr>
            </w:r>
          </w:p>
        </w:tc>
        <w:tc>
          <w:tcPr>
            <w:tcW w:w="6433" w:type="dxa"/>
            <w:tcBorders/>
            <w:shd w:fill="FFFFFF" w:val="clear"/>
            <w:vAlign w:val="cente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pPr>
            <w:r>
              <w:rPr/>
              <w:t>Condition to the Exchange Offers</w:t>
            </w:r>
          </w:p>
        </w:tc>
        <w:tc>
          <w:tcPr>
            <w:tcW w:w="98" w:type="dxa"/>
            <w:tcBorders/>
            <w:shd w:fill="FFFFFF" w:val="clear"/>
            <w:vAlign w:val="center"/>
          </w:tcPr>
          <w:p>
            <w:pPr>
              <w:pStyle w:val="TableContents"/>
              <w:spacing w:before="0" w:after="283"/>
              <w:rPr>
                <w:sz w:val="4"/>
                <w:szCs w:val="4"/>
              </w:rPr>
            </w:pPr>
            <w:r>
              <w:rPr>
                <w:sz w:val="4"/>
                <w:szCs w:val="4"/>
              </w:rPr>
            </w:r>
          </w:p>
        </w:tc>
        <w:tc>
          <w:tcPr>
            <w:tcW w:w="6433" w:type="dxa"/>
            <w:tcBorders/>
            <w:shd w:fill="FFFFFF" w:val="clear"/>
            <w:vAlign w:val="bottom"/>
          </w:tcPr>
          <w:p>
            <w:pPr>
              <w:pStyle w:val="TableContents"/>
              <w:spacing w:before="0" w:after="283"/>
              <w:rPr/>
            </w:pPr>
            <w:r>
              <w:rPr/>
              <w:t xml:space="preserve">The registration rights agreements do not require us to accept outstanding Notes for exchange if the applicable exchange offer or the making of any exchange by a holder of the outstanding Notes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would violate any applicable law or interpretation of the staff of the SEC. A minimum aggregate principal amount of outstanding Notes being tendered is not a condition to either exchange offer.</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Procedures for Tendering Outstanding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To participate in an exchange offer, you must follow the procedures established by The Depository Trust Company, which we call DTC, for tendering notes held in book-entry form. These procedures, which we call ATOP, require that (1) the exchange agent receive, prior to the expiration date of the applicable exchange offer, a computer generated message known as an agents message that is transmitted through DTCs automated tender offer program, and (2) DTC confirms that:</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0"/>
              <w:ind w:left="180" w:right="0" w:hanging="180"/>
              <w:rPr/>
            </w:pPr>
            <w:r>
              <w:rPr/>
              <w:t> DTC has received your instructions to exchange your Notes, and</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0"/>
              <w:ind w:left="180" w:right="0" w:hanging="180"/>
              <w:rPr/>
            </w:pPr>
            <w:r>
              <w:rPr/>
              <w:t> you agree to be bound by the terms of the letter of transmittal.</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For more information on tendering your outstanding Notes, please refer to the sections in this prospectus entitled Exchange Offers  Terms of the Exchange Offers and  Procedures for Tendering.</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Guaranteed Delivery Procedures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None.</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Withdrawal of Tenders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You may withdraw your tender of outstanding Notes under either exchange offer at any time prior to the expiration date. To withdraw, you must submit a notice of withdrawal to the exchange agent using ATOP procedures before 5:00 p.m. New York City time on the expiration date of the exchange offer. Please read Exchange Offers  Withdrawal of Tenders.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Acceptance of Outstanding Notes and Delivery of New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If you fulfill all conditions required for proper acceptance of outstanding Notes, we will accept any and all outstanding Notes that you properly tender in the applicable exchange offer before 5:00 p.m. New York City time on the expiration date. We will return to you, without expense as promptly as practicable after the expiration date, any outstanding Note that we do not accept for exchange. We will deliver the new Notes as promptly as practicable after the expiration date and acceptance of the outstanding Notes for exchange. Please refer to the section in this prospectus entitled Exchange Offers  Terms of the Exchange Offers.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Fees and Expenses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will bear all expenses related to each exchange offer. Please refer to the section in this prospectus entitled Exchange Offers  Fees and Expenses.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Use of Proceeds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issuance of the new Notes will not provide us with any new proceeds. We are making these exchange offers solely to satisfy our obligations under our registration rights agreements.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Consequences of Failure to Exchange Outstanding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xml:space="preserve">If you do not exchange your outstanding Notes in the applicable exchange offer, you will no longer be able to require us to register the outstanding Notes under the Securities Act except in the limited circumstances provided under the applicable registration rights agreement. In addition, you will not be able to resell, offer to resell or otherwise transfer the outstanding Notes unless we have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registered the outstanding Notes under the Securities Act, or unless you resell, offer to resell or otherwise transfer them under an exemption from the registration requirements of, or in a transaction not subject to, the Securities Act.</w:t>
            </w:r>
          </w:p>
        </w:tc>
      </w:tr>
    </w:tbl>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4"/>
        <w:gridCol w:w="102"/>
        <w:gridCol w:w="6429"/>
      </w:tblGrid>
      <w:tr>
        <w:trPr/>
        <w:tc>
          <w:tcPr>
            <w:tcW w:w="3674"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29" w:type="dxa"/>
            <w:tcBorders/>
            <w:shd w:fill="FFFFFF" w:val="clear"/>
            <w:vAlign w:val="center"/>
          </w:tcPr>
          <w:p>
            <w:pPr>
              <w:pStyle w:val="TableContents"/>
              <w:spacing w:before="0" w:after="283"/>
              <w:rPr>
                <w:sz w:val="4"/>
                <w:szCs w:val="4"/>
              </w:rPr>
            </w:pPr>
            <w:r>
              <w:rPr>
                <w:sz w:val="4"/>
                <w:szCs w:val="4"/>
              </w:rPr>
            </w:r>
          </w:p>
        </w:tc>
      </w:tr>
      <w:tr>
        <w:trPr/>
        <w:tc>
          <w:tcPr>
            <w:tcW w:w="3674" w:type="dxa"/>
            <w:tcBorders/>
            <w:shd w:fill="FFFFFF" w:val="clear"/>
          </w:tcPr>
          <w:p>
            <w:pPr>
              <w:pStyle w:val="TableContents"/>
              <w:spacing w:before="0" w:after="283"/>
              <w:rPr/>
            </w:pPr>
            <w:r>
              <w:rPr/>
              <w:t>Federal Income Tax Considerations</w:t>
            </w:r>
          </w:p>
        </w:tc>
        <w:tc>
          <w:tcPr>
            <w:tcW w:w="102" w:type="dxa"/>
            <w:tcBorders/>
            <w:shd w:fill="FFFFFF" w:val="clear"/>
            <w:vAlign w:val="center"/>
          </w:tcPr>
          <w:p>
            <w:pPr>
              <w:pStyle w:val="TableContents"/>
              <w:spacing w:before="0" w:after="283"/>
              <w:rPr>
                <w:sz w:val="4"/>
                <w:szCs w:val="4"/>
              </w:rPr>
            </w:pPr>
            <w:r>
              <w:rPr>
                <w:sz w:val="4"/>
                <w:szCs w:val="4"/>
              </w:rPr>
            </w:r>
          </w:p>
        </w:tc>
        <w:tc>
          <w:tcPr>
            <w:tcW w:w="6429" w:type="dxa"/>
            <w:tcBorders/>
            <w:shd w:fill="FFFFFF" w:val="clear"/>
            <w:vAlign w:val="bottom"/>
          </w:tcPr>
          <w:p>
            <w:pPr>
              <w:pStyle w:val="TableContents"/>
              <w:spacing w:before="0" w:after="283"/>
              <w:rPr/>
            </w:pPr>
            <w:r>
              <w:rPr/>
              <w:t>The exchange of new Notes for 2017 Notes and the exchange of new Notes for 2037 Notes will not be a taxable event for U.S. federal income tax purposes. Please read Material U.S. Federal Income Tax Consequences.</w:t>
            </w:r>
          </w:p>
        </w:tc>
      </w:tr>
    </w:tbl>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5"/>
        <w:gridCol w:w="99"/>
        <w:gridCol w:w="6431"/>
      </w:tblGrid>
      <w:tr>
        <w:trPr/>
        <w:tc>
          <w:tcPr>
            <w:tcW w:w="3675" w:type="dxa"/>
            <w:tcBorders/>
            <w:shd w:fill="FFFFFF" w:val="clear"/>
            <w:vAlign w:val="center"/>
          </w:tcPr>
          <w:p>
            <w:pPr>
              <w:pStyle w:val="TableContents"/>
              <w:spacing w:before="0" w:after="283"/>
              <w:rPr>
                <w:sz w:val="4"/>
                <w:szCs w:val="4"/>
              </w:rPr>
            </w:pPr>
            <w:r>
              <w:rPr>
                <w:sz w:val="4"/>
                <w:szCs w:val="4"/>
              </w:rPr>
            </w:r>
          </w:p>
        </w:tc>
        <w:tc>
          <w:tcPr>
            <w:tcW w:w="99"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5" w:type="dxa"/>
            <w:tcBorders/>
            <w:shd w:fill="FFFFFF" w:val="clear"/>
          </w:tcPr>
          <w:p>
            <w:pPr>
              <w:pStyle w:val="TableContents"/>
              <w:spacing w:before="0" w:after="283"/>
              <w:rPr/>
            </w:pPr>
            <w:r>
              <w:rPr/>
              <w:t>Exchange Agent</w:t>
            </w:r>
          </w:p>
        </w:tc>
        <w:tc>
          <w:tcPr>
            <w:tcW w:w="99"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have appointed U.S. Bank National Association as exchange agent for the exchange offers. You should direct questions and requests for assistance, requests for additional copies of this prospectus or the letter of transmittal to the exchange agent addressed as follows: Attn: Brandi Steward, U.S. Bank Corporate Trust Services, Specialized Finance Dept., 60 Livingston Avenue, St. Paul, Minnesota, 55107, telephone number (651) 495-4738. Eligible institutions may make requests by facsimile at (651) 495-8138.</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ind w:left="0" w:right="0" w:firstLine="240"/>
        <w:jc w:val="center"/>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Terms of the Notes</w:t>
      </w:r>
      <w:r>
        <w:rPr>
          <w:rFonts w:ascii="Arial;Helvetica" w:hAnsi="Arial;Helvetica"/>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The new Notes will be identical to the outstanding Notes except that the new Notes will be registered under the Securities Act and will not have restrictions on transfer, registration rights or provisions for additional interest and will contain different administrative terms. The new Notes will evidence the same debt as the outstanding Notes, and the same indenture will govern the new Notes and the outstanding Notes.</w:t>
      </w:r>
      <w:r>
        <w:rPr>
          <w:rFonts w:ascii="Times New Roman;Times" w:hAnsi="Times New Roman;Times"/>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The following summary contains basic information about the new Notes and is not intended to be complete. It does not contain all the information that is important to you. For a more complete understanding of the Notes, please refer to the section of this prospectus entitled Description of the Notes.</w:t>
      </w:r>
      <w:r>
        <w:rPr>
          <w:rFonts w:ascii="Times New Roman;Times" w:hAnsi="Times New Roman;Times"/>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Issuers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Plains All American Pipeline, L.P. and PAA Finance Corp.</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PAA Finance Corp., a Delaware corporation, is an indirect wholly owned subsidiary of Plains All American Pipeline, L.P. that has been organized for the purpose of co-issuing our existing notes, the Notes offered hereby, and the notes issued in any future offerings. PAA Finance Corp. does not have any operations of any kind and will not have any revenue other than as may be incidental to its activities as a co-issuer of the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Notes Offered</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$400 million aggregate principal amount of the 2017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$600 million aggregate principal amount of the 2037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Maturity Date</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January 15, 2017 for the 2017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January 15, 2037 for the 2037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Interest Payment Dates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will pay interest on the Notes of each series on January 15 and July 15 of each year, beginning on July 15, 2007.</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Optional Redemption</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may redeem the Notes of either series, in whole or in part, at any time and from time to time at a price equal to the greater of (i) 100% of the principal amount of the Notes to be redeemed or (ii) the sum of the present values of the remaining scheduled payments of principal of and interest on the Notes to be redeemed, discounted to the redemption date on a semi annual basis at the Adjusted Treasury Rate (as defined herein) plus 25 basis points in the case of the 2017 Notes and 30 basis points in the case of the 2037 Notes, together with accrued interest to the date of redemption. Please read the section of this prospectus entitled Description of the Notes  Optional Redemption.</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Guarantees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Initially, all payments with respect to the Notes (including principal and interest) are fully and unconditionally guaranteed, jointly and severally, by substantially all of our existing subsidiaries. In the future, our subsidiaries that guarantee other indebtedness of ours or another subsidiary must also guarantee the Notes. The guarantees are also subject to release in certain circumstances. The guarantees of each series are general unsecured obligations of the subsidiary guarantors and rank equally with the existing and future senior unsecured indebtedness of the subsidiary guarantors.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Ranking</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Notes are general senior unsecured obligations of the issuers and rank equally with the Notes of the other series and with the existing and future senior unsecured indebtedness of the issuers.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3"/>
        <w:gridCol w:w="102"/>
        <w:gridCol w:w="6430"/>
      </w:tblGrid>
      <w:tr>
        <w:trPr/>
        <w:tc>
          <w:tcPr>
            <w:tcW w:w="3673"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Certain Covenants</w:t>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The indenture governing the Notes contains covenants that limit our ability, with certain exceptions, to:</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0"/>
              <w:ind w:left="180" w:right="0" w:hanging="180"/>
              <w:rPr/>
            </w:pPr>
            <w:r>
              <w:rPr/>
              <w:t> incur liens on principal properties to secure debt;</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0"/>
              <w:ind w:left="180" w:right="0" w:hanging="180"/>
              <w:rPr/>
            </w:pPr>
            <w:r>
              <w:rPr/>
              <w:t> engage in sale-leaseback transactions; and</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0"/>
              <w:ind w:left="180" w:right="0" w:hanging="180"/>
              <w:rPr/>
            </w:pPr>
            <w:r>
              <w:rPr/>
              <w:t> merge or consolidate with another entity or sell, lease or transfer substantially all of our properties or assets to another entity.</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Transfer Restrictions; Absence of a Public Market for the Notes</w:t>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The new Notes generally will be freely transferable, but will also be new securities for which there will not initially be a market. There can be no assurance as to the development or liquidity of any market for the new Notes.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4" w:name="102"/>
      <w:bookmarkEnd w:id="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RISK FACTORS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the other information set forth elsewhere or incorporated by reference in this prospectus (including the risk factors included in our 2006 Annual Report on Form 10-K) the following factors relating to our partnership and the exchange offers and the Notes should be considered carefully in deciding whether to participate in the exchange offers.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the Exchange Offer and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you do not properly tender your outstanding Notes, you will continue to hold unregistered outstanding Notes and your ability to transfer outstanding Notes will be adversely affected.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only issue new Notes in exchange for outstanding Notes that you timely and properly tender. Therefore, you should allow sufficient time to ensure timely delivery of the outstanding Notes and you should carefully follow the instructions on how to tender your outstanding Notes. Neither we nor the exchange agent is required to tell you of any defects or irregularities with respect to your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do not exchange your outstanding Notes for new Notes pursuant to the applicable exchange offer, the outstanding Notes you hold will continue to be subject to the existing transfer restrictions. In general, you may not offer or sell the outstanding Notes except under an exemption from, or in a transaction not subject to, the Securities Act and applicable state securities laws. We do not plan to register outstanding Notes under the Securities Act unless our registration rights agreement with the initial purchaser of the outstanding Notes requires us to do so. Further, if you continue to hold any outstanding Notes after the applicable exchange offer is consummated, you may have trouble selling them because there will be fewer Notes outstanding.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Your right to receive payments on the Notes and the subsidiary guarantees is unsecured and will be effectively subordinated to our and our subsidiary guarantors existing and future secured indebtedness as well as to any existing and future indebtedness of our subsidiaries that do not guarantee the Notes.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are effectively subordinated to claims of our secured creditors, and the guarantees are effectively subordinated to the claims of our secured creditors as well as the secured creditors of our subsidiary guarantors. Although substantially all of our subsidiaries, other than PAA Finance Corp., the co-issuer of the Notes, will initially guarantee the Notes, the guarantees are subject to release under certain circumstances, and we may have subsidiaries that are not guarantors. In that case, the Notes would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5" w:name="103"/>
      <w:bookmarkEnd w:id="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EXCHANGE OFFERS</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Purpose and Effect of the Exchange Offers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the issuance of the outstanding Notes, we entered into registration rights agreements with respect to each series of Notes. Under the registration rights agreements, we agreed to use our reasonable best efforts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within 180 days after the original issuance of the outstanding Notes on October 30, 2006, file a registration statement with the SEC with respect to a registered offer to exchange each outstanding Note for a new Note having terms substantially identical in all material respects to such Note of such series except that the new Note will not contain terms with respect to transfer restrictions, registration rights or additional interest;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cause the registration statement to be declared effective under the Securities Act within 270 days after the original issuance of the outstanding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consummate the exchange of the outstanding Notes for new Notes within 300 days after the original issuance of the outstanding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promptly following the effectiveness of the registration statement, offer the new Notes in exchange for surrender of the outstanding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keep the exchange offers open for not less than 20 business days (or longer if required by applicable law) after the date notice of the exchange offers is mailed to the holders of the outstanding Notes;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exchange new Notes for all outstanding Notes validly tendered and not withdrawn before the expiration date.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fulfilled the agreements described in the first two preceding bullet points and are now offering eligible holders of the outstanding Notes the opportunity to exchange their outstanding Notes for new Notes registered under the Securities Act. Holders are eligible if they are not prohibited by any law or policy of the SEC from participating in this exchange offer. The new Notes will be substantially identical to the outstanding Notes except that the new Notes will not contain terms with respect to transfer restrictions, registration rights or additional interest.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limited circumstances, we agreed to use our reasonable best efforts to cause the SEC to declare effective a shelf registration statement for the resale of the outstanding Notes. We also agreed to use our reasonable best efforts to keep the shelf registration statement effective for up to two years after its effective date. The circumstances include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2"/>
        <w:gridCol w:w="9539"/>
      </w:tblGrid>
      <w:tr>
        <w:trPr/>
        <w:tc>
          <w:tcPr>
            <w:tcW w:w="40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 change in law or in applicable interpretations thereof by the staff of the SEC do not permit us to effect the exchange offer;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for any other reason the exchange offer is not consummated within 300 days from October 30, 2006, the date of the original issuance of the outstanding Notes;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an initial purchaser notifies us following consummation of the applicable exchange offer that outstanding Notes held by it are not eligible to be exchanged for new Notes in the exchange offer; or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any holder other than an initial purchaser is not eligible to participate in the applicable exchange offer.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certain exceptions, we will pay additional cash interest on the applicable outstanding Notes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0"/>
        <w:gridCol w:w="9538"/>
      </w:tblGrid>
      <w:tr>
        <w:trPr/>
        <w:tc>
          <w:tcPr>
            <w:tcW w:w="40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exchange offer registration statement is not filed with the SEC on or before the 180th day after the original issuance of the outstanding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exchange offer registration statement is not declared effective by the SEC on or before the 270th day after the original issuance of the outstanding Notes;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9"/>
        <w:gridCol w:w="9531"/>
      </w:tblGrid>
      <w:tr>
        <w:trPr/>
        <w:tc>
          <w:tcPr>
            <w:tcW w:w="40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exchange offers are not consummated on or before the 270th day after October 30, 2006, the date of the original issuance of the outstanding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being obligated to file a shelf registration statement, we fail to file the shelf registration statement with the SEC on or prior to the 180th day after the date on which the obligation to file a shelf registration statement arises;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being obligated to file a shelf registration statement, the shelf registration statement is not declared effective on or prior to the 270th day after the date on which the obligation to file a shelf registration statement arises;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after this registration statement or the shelf registration statement, as the case may be, is declared effective, such registration statement thereafter ceases to be effective (subject to certain exceptions) (each such event referred to in the preceding clauses being a registration default).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Such additional interest will be payable from and including the date on which any such registration default occurs to the date on which all registration defaults have been cured.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rate of the additional interest on the applicable Notes will be 0.25% per year for the first 90-day period immediately following the occurrence of a registration default, and such rate will increase by an additional 0.25% per year with respect to each subsequent 90-day period until all registration defaults have been cured, up to a maximum additional interest rate of 0.50% per year. We will pay such additional interest on regular interest payment dates. Such additional interest will be in addition to any other interest payable from time to time with respect to the outstanding Notes and the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the filing or effectiveness of this registration statement, the consummation of the exchange offer, the filing or effectiveness of a shelf registration statement, or the effectiveness of a succeeding registration statement, as the case may be, the interest rate borne by the Notes from the date of such filing, effectiveness or consummation, as the case may be, will be reduced to the original interest rate. However, if after any such reduction in interest rate, a different event specified in the clauses above occurs, the interest rate may again be increased pursuant to the preceding provisions.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exchange your outstanding Notes for transferable new Notes in the exchange offer, you will be required to make the following representations: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7"/>
        <w:gridCol w:w="9534"/>
      </w:tblGrid>
      <w:tr>
        <w:trPr/>
        <w:tc>
          <w:tcPr>
            <w:tcW w:w="4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any new Notes will be acquired in the ordinary course of your business;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you have no arrangement or understanding with any person or entity to participate in the distribution of the new Notes;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you are not a broker-dealer, you are not engaged in and do not intend to engage in the distribution of the new Notes within the meaning of the Securities Act;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you are not our affiliate, as defined in Rule 405 of the Securities Act.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may require you to provide information to be used in connection with the shelf registration statement to have your outstanding Notes included in the shelf registration statement. A holder who sells outstanding Notes under the shelf registration statement generally will be required to be named as a selling securityholder in the related prospectus and to deliver a prospectus to purchasers. Such a holder will also be subject to the civil liability provisions under the Securities Act in connection with such sales and will be bound by the provisions of the registration rights agreement that are applicable to such a holder, including indemnification obligations.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description of the registration rights agreement contained in this section is a summary only. For more information, you should review the provisions of the registration rights agreement that we filed with the SEC as an exhibit to the registration statement of which this prospectus is a part.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Resale of New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no-action letters of the SEC staff issued to third parties, we believe that new Notes may be offered for resale, resold and otherwise transferred by you without further compliance with the registration and prospectus delivery provisions of the Securities Act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4"/>
        <w:gridCol w:w="9523"/>
      </w:tblGrid>
      <w:tr>
        <w:trPr/>
        <w:tc>
          <w:tcPr>
            <w:tcW w:w="40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3"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you are not our affiliate within the meaning of Rule 405 under the Securities Act;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such new Notes are acquired in the ordinary course of your business;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you do not intend to participate in a distribution of the new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SEC, however, has not considered the exchange offer for the new Notes in the context of a no-action letter, and the SEC may not make a similar determination as in the no-action letters issued to these third parties.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tender in the exchange offer with the intention of participating in any manner in a distribution of the new Notes, you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cannot rely on such interpretations by the SEC staff;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must comply with the registration and prospectus delivery requirements of the Securities Act in connection with a secondary resale transaction.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an exemption from registration is otherwise available, any security holder intending to distribute new Notes should be covered by an effective registration statement under the Securities Act. The registration statement should contain the selling security holders information required by Item 507 of Regulation S-K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may be used for an offer to resell, resale or other retransfer of new Notes only as specifically described in this prospectus. Failure to comply with the registration and prospectus delivery requirements by a holder subject to these requirements could result in that holder incurring liability for which it is not indemnified by us. If you are a broker-dealer, you may participate in the exchange offer only if you acquired the outstanding Notes as a result of market-making activities or other trading activities. Each broker-dealer that receives new Notes for its own account in exchange for outstanding Notes, where such outstanding Notes were acquired by such broker-dealer as a result of market-making activities or other trading activities, must acknowledge in the letter of transmittal that it will deliver a prospectus in connection with any resale of the new Notes. Please read the section captioned Plan of Distribution for more details regarding the transfer of new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Terms of the Exchange Offers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the terms and conditions described in this prospectus and in the applicable letter of transmittal, we will accept for exchange any outstanding Notes properly tendered and not withdrawn prior to 5:00 p.m. New York City time on the expiration date. We will issue new Notes in principal amount equal to the principal amount of outstanding Notes surrendered under the exchange offer. Outstanding Notes may be tendered only for new Notes and only in integral multiples of $1,000.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Neither exchange offer is conditioned upon any minimum aggregate principal amount of outstanding Notes being tendered for exchange. Each exchange offer will be conducted independently from the other exchange offer, and consummation of one exchange offer will not be conditioned upon consummation of the other.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the date of this prospectus, $400 million in aggregate principal amount of the 2017 Notes are outstanding and $600 million in aggregate principal amount of the 2037 Notes are outstanding. This prospectus is being sent to DTC, the sole registered holder of the outstanding Notes, and to all persons that we can identify as beneficial owners of the outstanding Notes. There will be no fixed record date for determining registered holders of outstanding Notes entitled to participate in either exchange offer.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conduct each exchange offer in accordance with the provisions of the applicable registration rights agreement and the applicable requirements of the Securities Act, the Securities Exchange Act of 1934 and the rules and regulations of the SEC. Outstanding Notes that the holders thereof do not tender for exchange in the applicable exchange offer will remain outstanding and continue to accrue interest. These outstanding Notes will be entitled to the rights and benefits such holders have under the indenture relating to the Notes and the applicable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be deemed to have accepted for exchange properly tendered outstanding Notes when we have given oral or written notice of the acceptance to the exchange agent and complied with the applicable provisions of the applicable registration rights agreement. The exchange agent will act as agent for the tendering holders for the purposes of receiving the new Notes from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tender outstanding Notes in the exchange offer, you will not be required to pay brokerage commissions or fees or, subject to the letter of transmittal, transfer taxes with respect to the exchange of outstanding Notes. We will pay all charges and expenses, other than certain applicable taxes described below, in connection with the exchange offer. It is important that you read the section labeled  Fees and Expenses for more details regarding fees and expenses incurred in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return any outstanding Notes that we do not accept for exchange for any reason without expense to their tendering holder as promptly as practicable after the expiration or termination of the applicable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Expiration Date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exchange offer will expire at 5:00 p.m. New York City time on July 18, 2007, unless, in our sole discretion, we extend it. We may extend one exchange offer without extending the other.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Extensions, Delays in Acceptance, Termination or Amendment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expressly reserve the right, at any time or various times, to extend the period of time during which either exchange offer is open. During any such extensions, all outstanding Notes previously tendered will remain subject to the applicable exchange offer, and we may accept them for exchange.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extend the exchange offer, we will notify the exchange agent orally or in writing of any extension. We will notify the registered holders of outstanding Notes of the extension no later than 9:00 a.m., New York City time, on the business day after the previously scheduled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any of the conditions described below under  Conditions to the Exchange Offers have not been satisfied, we reserve the right, in our sole discretion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0"/>
        <w:gridCol w:w="9538"/>
      </w:tblGrid>
      <w:tr>
        <w:trPr/>
        <w:tc>
          <w:tcPr>
            <w:tcW w:w="40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delay accepting for exchange any outstanding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extend the exchange offer, or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terminate the exchange offer,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giving oral or written notice of such delay, extension or termination to the exchange agent. Subject to the terms of the registration rights agreement, we also reserve the right to amend the terms of either exchange offer in any manner.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such delay in acceptance, extension, termination or amendment will be followed as promptly as practicable by oral or written notice thereof to the registered holders of outstanding Notes. If we amend the exchange offer in a manner that we determine to constitute a material change, we will promptly disclose such amendment by means of a prospectus supplement. The supplement will be distributed to the registered holders of the outstanding Notes. Depending upon the significance of the amendment and the manner of disclosure to the registered holders, we will extend such exchange offer if such exchange offer would otherwise expire during such period.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Conditions to the Exchange Offers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be required to accept for exchange, or exchange any new Notes for, any outstanding Notes if the applicable exchange offer, or the making of any exchange by a holder of outstanding Notes, would violate applicable law or any applicable interpretation of the staff of the SEC. Similarly, we may terminate either exchange offer as provided in this prospectus before accepting outstanding Notes for exchange in the event of such a potential violation.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will not be obligated to accept for exchange the outstanding Notes of any holder that has not made to us the representations described under  Purpose and Effect of the Exchange Offers,  Procedures for Tendering and Plan of Distribution and such other representations as may be reasonably necessary under applicable SEC rules, regulations or interpretations to allow us to use an appropriate form to register the new Notes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Furthermore, we will not accept for exchange any outstanding Notes tendered, and will not issue new Notes in exchange for any such outstanding Notes, if at such time any stop order has been threatened or is in effect with respect to (1) the registration statement of which this prospectus constitutes a part or (2) the qualification of the applicable indenture relating to the Notes under the Trust Indenture Act of 1939.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expressly reserve the right to amend or terminate either exchange offer, and to reject for exchange any outstanding Notes not previously accepted for exchange, upon the occurrence of any of the conditions to the exchange offers specified above. We will give oral or written notice of any extension, amendment, non-acceptance or termination to the holders of the outstanding Notes as promptly as practicable.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These conditions are for our sole benefit, and we may assert them or waive them in whole or in part at any time or at various times in our sole discretion. If we fail at any time to exercise any of these rights, this failure will not mean that we have waived our rights. Each such right will be deemed an ongoing right that we may assert at any time or at various times.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exchange offer is independent of the other, and the closing of one exchange offer is not conditioned upon the closing of the other.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Procedures for Tendering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participate in an exchange offer, you must properly tender your outstanding Notes to the exchange agent as described below. It is your responsibility to properly tender your Notes. We have the right to waive any defects. However, we are not required to waive defects and are not required to notify you of defects in your tender.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have any questions or need help in exchanging your Notes, please call the exchange agent, whose address and phone number are set forth in Prospectus Summary  The Exchange Offers  Exchange Agent.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of the outstanding Notes were issued in book-entry form, and all of the outstanding Notes are currently represented by global certificates held for the account of DTC. We have confirmed with DTC that the outstanding Notes may be tendered using the ATOP procedures instituted by DTC. The exchange agent will establish an account with DTC for purposes of the exchange offers promptly after the commencement of the exchange offers and DTC participants may electronically transmit their acceptance of the exchange offer by causing DTC to transfer their outstanding Notes to the exchange agent using the ATOP procedures. In connection with the transfer, DTC will send an agents message to the exchange agent. The agents message will state that DTC has received instructions from the participant to tender outstanding Notes and that the participant agrees to be bound by the terms of the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exchange outstanding Notes, you will not be required to deliver a letter of transmittal to the exchange agent. However, you will be bound by its terms just as if you had signed it.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guaranteed late delivery of the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Determinations Under the Exchange Offers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determine in our sole discretion all questions as to the validity, form, eligibility, time of receipt, acceptance of tendered outstanding Notes and withdrawal of tendered outstanding Notes. Our determination will be final and binding. We reserve the absolute right to reject any outstanding Notes not properly tendered or any outstanding Notes our acceptance of which would, in the opinion of our counsel, be unlawful. We also reserve the right to waive any defect, irregularities or conditions of tender as to particular outstanding Notes. Our interpretation of the terms and conditions of either exchange offer, including the instructions in the applicable letter of transmittal, will be final and binding on all parties. Unless waived, all defects or irregularities in connection with tenders of outstanding Notes must be cured within such time as we shall determine. Although we intend to notify holders of defects or irregularities with respect to tenders of outstanding Notes, neither we, the exchange agent nor any other person will incur any liability for failure to give such notification. Tenders of outstanding Notes will not be deemed made until such defects or irregularities have been cured or waived. Any outstanding Notes received by the exchange agent that are not properly tendered and as to which the defects or irregularities have not been cured or waived will be returned to the tendering holder, unless otherwise provided in the applicable letter of transmittal, as soon as practicable following the expiration date.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When We Will Issue New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all cases, we will issue new Notes for outstanding Notes that we have accepted for exchange under the exchange offer only after the exchange agent timely receives: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a book-entry confirmation of such outstanding Notes into the exchange agents account at DTC;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a properly transmitted agents message.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Return of Outstanding Notes Not Accepted or Exchanged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do not accept any tendered outstanding Notes for exchange or if outstanding Notes are submitted for a greater principal amount than the holder desires to exchange, the unaccepted or non-exchanged outstanding Notes will be returned without expense to their tendering holder. Such non-exchanged outstanding Notes will be credited to an account maintained with DTC. These actions will occur as promptly as practicable after the expiration or termination of the applicable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Your Representations to 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agreeing to be bound by the letter of transmittal, you will represent to us that, among other things: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7"/>
        <w:gridCol w:w="9534"/>
      </w:tblGrid>
      <w:tr>
        <w:trPr/>
        <w:tc>
          <w:tcPr>
            <w:tcW w:w="4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any new Notes that you receive will be acquired in the ordinary course of your business;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you have no arrangement or understanding with any person or entity to participate in the distribution of the outstanding Notes or the new Notes within the meaning of the Securities Act;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you are not a broker-dealer, you are not engaged in and do not intend to engage in the distribution of the new Notes;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you are not our affiliate, as defined in Rule 405 of the Securities Act.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Withdrawal of Tenders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otherwise provided in this prospectus, you may withdraw your tender at any time prior to 5:00 p.m. New York City time on the expiration date. For a withdrawal to be effective you must comply with the appropriate procedures of DTCs ATOP system. Any notice of withdrawal must specify the name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number of the account at DTC to be credited with withdrawn outstanding Notes and otherwise comply with the procedures of DTC.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determine all questions as to the validity, form, eligibility and time of receipt of notice of withdrawal. Our determination shall be final and binding on all parties. We will deem any outstanding Notes so withdrawn not to have been validly tendered for exchange for purposes of the applicable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outstanding Notes that have been tendered for exchange but are not exchanged for any reason will be credited to an account maintained with DTC for the outstanding Notes. This return or crediting will take place as soon as practicable after withdrawal, rejection of tender or termination of the exchange offer. You may retender properly withdrawn outstanding Notes by following the procedures described under  Procedures for Tendering above at any time prior to 5:00 p.m., New York City time, on the expiration date.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Fees and Expenses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bear the expenses of soliciting tenders with respect to each exchange offer. The principal solicitation is being made by mail; however, we may make additional solicitation by telegraph, telephone or in person by our officers and regular employees and those of our affiliates.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not retained any dealer manager in connection with the exchange offers and will not make any payments to broker-dealers or others soliciting acceptances of the exchange offers. We will, however, pay the exchange agent reasonable and customary fees for its services and reimburse it for its related reasonable out of pocket expenses.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the cash expenses to be incurred in connection with the exchange offer. They include: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2"/>
        <w:gridCol w:w="9525"/>
      </w:tblGrid>
      <w:tr>
        <w:trPr/>
        <w:tc>
          <w:tcPr>
            <w:tcW w:w="4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SEC registration fees;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fees and expenses of the exchange agent and trustee;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accounting and legal fees and printing costs;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related fees and expenses.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Transfer Taxes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all transfer taxes, if any, applicable to the exchange of outstanding Notes under the exchange offer. The tendering holder, however, will be required to pay any transfer taxes, whether imposed on the registered holder or any other person, if a transfer tax is imposed for any reason other than the exchange of outstanding Notes under the applicable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Consequences of Failure to Exchange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do not exchange new Notes for your outstanding Notes under the applicable exchange offer, you will remain subject to the existing restrictions on transfer of the outstanding Notes. In general, you may not offer or sell the outstanding Notes unless the offer or sale is either registered under the Securities Act or exempt from registration under the Securities Act and applicable state securities laws. Except as required by the registration rights agreements, we do not intend to register resales of the outstanding Notes under the Securities Act.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Accounting Treatment</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record the new Notes in our accounting records at the same carrying value as the outstanding Notes of the same series. This carrying value is the aggregate principal amount of the outstanding Notes less any bond discount, as reflected in our accounting records on the date of exchange. Accordingly, we will not recognize any gain or loss for accounting purposes in connection with either exchange offer.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Other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Participation in an exchange offer is voluntary, and you should carefully consider whether to accept. You are urged to consult your financial and tax advisors in making your own decision on what action to take.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in the future seek to acquire untendered outstanding Notes in open market or privately negotiated transactions, through subsequent exchange offers or otherwise. We have no present plans to acquire any outstanding Notes that are not tendered in the exchange offers or to file a registration statement to permit resales of any untendered outstanding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6" w:name="104"/>
      <w:bookmarkEnd w:id="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RATIO OF EARNINGS TO FIXED CHARGES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441"/>
        <w:gridCol w:w="134"/>
        <w:gridCol w:w="270"/>
        <w:gridCol w:w="1646"/>
        <w:gridCol w:w="143"/>
        <w:gridCol w:w="176"/>
        <w:gridCol w:w="143"/>
        <w:gridCol w:w="650"/>
        <w:gridCol w:w="143"/>
        <w:gridCol w:w="176"/>
        <w:gridCol w:w="143"/>
        <w:gridCol w:w="650"/>
        <w:gridCol w:w="143"/>
        <w:gridCol w:w="176"/>
        <w:gridCol w:w="143"/>
        <w:gridCol w:w="650"/>
        <w:gridCol w:w="143"/>
        <w:gridCol w:w="176"/>
        <w:gridCol w:w="143"/>
        <w:gridCol w:w="650"/>
        <w:gridCol w:w="142"/>
        <w:gridCol w:w="176"/>
        <w:gridCol w:w="143"/>
        <w:gridCol w:w="650"/>
        <w:gridCol w:w="155"/>
      </w:tblGrid>
      <w:tr>
        <w:trPr/>
        <w:tc>
          <w:tcPr>
            <w:tcW w:w="2441"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270" w:type="dxa"/>
            <w:tcBorders/>
            <w:shd w:fill="FFFFFF" w:val="clear"/>
            <w:vAlign w:val="bottom"/>
          </w:tcPr>
          <w:p>
            <w:pPr>
              <w:pStyle w:val="TableContents"/>
              <w:spacing w:before="0" w:after="283"/>
              <w:jc w:val="right"/>
              <w:rPr/>
            </w:pPr>
            <w:r>
              <w:rPr/>
              <w:t> </w:t>
            </w:r>
          </w:p>
        </w:tc>
        <w:tc>
          <w:tcPr>
            <w:tcW w:w="1646"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pPr>
            <w:r>
              <w:rPr/>
              <w:t> </w:t>
            </w:r>
          </w:p>
        </w:tc>
        <w:tc>
          <w:tcPr>
            <w:tcW w:w="650"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pPr>
            <w:r>
              <w:rPr/>
              <w:t> </w:t>
            </w:r>
          </w:p>
        </w:tc>
        <w:tc>
          <w:tcPr>
            <w:tcW w:w="650"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pPr>
            <w:r>
              <w:rPr/>
              <w:t> </w:t>
            </w:r>
          </w:p>
        </w:tc>
        <w:tc>
          <w:tcPr>
            <w:tcW w:w="650"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pPr>
            <w:r>
              <w:rPr/>
              <w:t> </w:t>
            </w:r>
          </w:p>
        </w:tc>
        <w:tc>
          <w:tcPr>
            <w:tcW w:w="650"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76"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right"/>
              <w:rPr/>
            </w:pPr>
            <w:r>
              <w:rPr/>
              <w:t> </w:t>
            </w:r>
          </w:p>
        </w:tc>
        <w:tc>
          <w:tcPr>
            <w:tcW w:w="65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r>
      <w:tr>
        <w:trPr/>
        <w:tc>
          <w:tcPr>
            <w:tcW w:w="2441"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7475" w:type="dxa"/>
            <w:gridSpan w:val="22"/>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2441"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916" w:type="dxa"/>
            <w:gridSpan w:val="2"/>
            <w:tcBorders/>
            <w:shd w:fill="FFFFFF" w:val="clear"/>
            <w:vAlign w:val="bottom"/>
          </w:tcPr>
          <w:p>
            <w:pPr>
              <w:pStyle w:val="TableContents"/>
              <w:spacing w:before="0" w:after="283"/>
              <w:jc w:val="center"/>
              <w:rPr>
                <w:b/>
              </w:rPr>
            </w:pPr>
            <w:r>
              <w:rPr>
                <w:b/>
              </w:rPr>
              <w:t>Three Months</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2441"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916" w:type="dxa"/>
            <w:gridSpan w:val="2"/>
            <w:tcBorders/>
            <w:shd w:fill="FFFFFF" w:val="clear"/>
            <w:vAlign w:val="bottom"/>
          </w:tcPr>
          <w:p>
            <w:pPr>
              <w:pStyle w:val="TableContents"/>
              <w:spacing w:before="0" w:after="283"/>
              <w:jc w:val="center"/>
              <w:rPr>
                <w:b/>
              </w:rPr>
            </w:pPr>
            <w:r>
              <w:rPr>
                <w:b/>
              </w:rPr>
              <w:t>Ended</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shd w:fill="FFFFFF" w:val="clear"/>
            <w:vAlign w:val="bottom"/>
          </w:tcPr>
          <w:p>
            <w:pPr>
              <w:pStyle w:val="TableContents"/>
              <w:spacing w:before="0" w:after="283"/>
              <w:jc w:val="center"/>
              <w:rPr/>
            </w:pP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2441"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916"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March 31, 2007</w:t>
            </w: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43"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2003</w:t>
            </w:r>
            <w:r>
              <w:rPr/>
              <w:t xml:space="preserve"> </w:t>
            </w:r>
          </w:p>
        </w:tc>
        <w:tc>
          <w:tcPr>
            <w:tcW w:w="142" w:type="dxa"/>
            <w:tcBorders/>
            <w:shd w:fill="FFFFFF" w:val="clear"/>
            <w:vAlign w:val="bottom"/>
          </w:tcPr>
          <w:p>
            <w:pPr>
              <w:pStyle w:val="TableContents"/>
              <w:spacing w:before="0" w:after="283"/>
              <w:jc w:val="center"/>
              <w:rPr/>
            </w:pP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7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2002</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2441" w:type="dxa"/>
            <w:tcBorders/>
            <w:shd w:fill="FFFFFF" w:val="clear"/>
            <w:vAlign w:val="center"/>
          </w:tcPr>
          <w:p>
            <w:pPr>
              <w:pStyle w:val="TableContents"/>
              <w:spacing w:before="0" w:after="283"/>
              <w:rPr/>
            </w:pPr>
            <w:r>
              <w:rPr/>
              <w:t xml:space="preserve">  </w:t>
            </w:r>
          </w:p>
        </w:tc>
        <w:tc>
          <w:tcPr>
            <w:tcW w:w="7764" w:type="dxa"/>
            <w:gridSpan w:val="24"/>
            <w:tcBorders/>
            <w:shd w:fill="FFFFFF" w:val="clear"/>
          </w:tcPr>
          <w:p>
            <w:pPr>
              <w:pStyle w:val="TableContents"/>
              <w:spacing w:before="0" w:after="283"/>
              <w:rPr>
                <w:sz w:val="4"/>
                <w:szCs w:val="4"/>
              </w:rPr>
            </w:pPr>
            <w:r>
              <w:rPr>
                <w:sz w:val="4"/>
                <w:szCs w:val="4"/>
              </w:rPr>
            </w:r>
          </w:p>
        </w:tc>
      </w:tr>
      <w:tr>
        <w:trPr/>
        <w:tc>
          <w:tcPr>
            <w:tcW w:w="2441" w:type="dxa"/>
            <w:tcBorders/>
            <w:shd w:fill="FFFFFF" w:val="clear"/>
            <w:vAlign w:val="bottom"/>
          </w:tcPr>
          <w:p>
            <w:pPr>
              <w:pStyle w:val="TableContents"/>
              <w:spacing w:before="0" w:after="0"/>
              <w:ind w:left="200" w:right="0" w:hanging="200"/>
              <w:jc w:val="left"/>
              <w:rPr>
                <w:sz w:val="17"/>
              </w:rPr>
            </w:pPr>
            <w:r>
              <w:rPr>
                <w:sz w:val="17"/>
              </w:rPr>
              <w:t xml:space="preserve">RATIO OF EARNINGS TO FIXED CHARGES(1) </w:t>
            </w:r>
          </w:p>
        </w:tc>
        <w:tc>
          <w:tcPr>
            <w:tcW w:w="134" w:type="dxa"/>
            <w:tcBorders/>
            <w:shd w:fill="FFFFFF" w:val="clear"/>
            <w:vAlign w:val="bottom"/>
          </w:tcPr>
          <w:p>
            <w:pPr>
              <w:pStyle w:val="TableContents"/>
              <w:spacing w:before="0" w:after="283"/>
              <w:rPr/>
            </w:pPr>
            <w:r>
              <w:rPr/>
              <w:t xml:space="preserve">  </w:t>
            </w:r>
          </w:p>
        </w:tc>
        <w:tc>
          <w:tcPr>
            <w:tcW w:w="270" w:type="dxa"/>
            <w:tcBorders/>
            <w:shd w:fill="FFFFFF" w:val="clear"/>
            <w:vAlign w:val="bottom"/>
          </w:tcPr>
          <w:p>
            <w:pPr>
              <w:pStyle w:val="TableContents"/>
              <w:spacing w:before="0" w:after="283"/>
              <w:jc w:val="left"/>
              <w:rPr/>
            </w:pPr>
            <w:r>
              <w:rPr/>
              <w:t xml:space="preserve">  </w:t>
            </w:r>
          </w:p>
        </w:tc>
        <w:tc>
          <w:tcPr>
            <w:tcW w:w="1646" w:type="dxa"/>
            <w:tcBorders/>
            <w:shd w:fill="FFFFFF" w:val="clear"/>
            <w:vAlign w:val="bottom"/>
          </w:tcPr>
          <w:p>
            <w:pPr>
              <w:pStyle w:val="TableContents"/>
              <w:spacing w:before="0" w:after="283"/>
              <w:jc w:val="right"/>
              <w:rPr/>
            </w:pPr>
            <w:r>
              <w:rPr/>
              <w:t xml:space="preserve">2.36x </w:t>
            </w:r>
          </w:p>
        </w:tc>
        <w:tc>
          <w:tcPr>
            <w:tcW w:w="143" w:type="dxa"/>
            <w:tcBorders/>
            <w:shd w:fill="FFFFFF" w:val="clear"/>
            <w:vAlign w:val="bottom"/>
          </w:tcPr>
          <w:p>
            <w:pPr>
              <w:pStyle w:val="TableContents"/>
              <w:spacing w:before="0" w:after="283"/>
              <w:jc w:val="left"/>
              <w:rPr/>
            </w:pPr>
            <w:r>
              <w:rPr/>
              <w:t xml:space="preserve">  </w:t>
            </w:r>
          </w:p>
        </w:tc>
        <w:tc>
          <w:tcPr>
            <w:tcW w:w="176"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2.83x </w:t>
            </w:r>
          </w:p>
        </w:tc>
        <w:tc>
          <w:tcPr>
            <w:tcW w:w="143" w:type="dxa"/>
            <w:tcBorders/>
            <w:shd w:fill="FFFFFF" w:val="clear"/>
            <w:vAlign w:val="bottom"/>
          </w:tcPr>
          <w:p>
            <w:pPr>
              <w:pStyle w:val="TableContents"/>
              <w:spacing w:before="0" w:after="283"/>
              <w:jc w:val="left"/>
              <w:rPr/>
            </w:pPr>
            <w:r>
              <w:rPr/>
              <w:t xml:space="preserve">  </w:t>
            </w:r>
          </w:p>
        </w:tc>
        <w:tc>
          <w:tcPr>
            <w:tcW w:w="176"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3.34x </w:t>
            </w:r>
          </w:p>
        </w:tc>
        <w:tc>
          <w:tcPr>
            <w:tcW w:w="143" w:type="dxa"/>
            <w:tcBorders/>
            <w:shd w:fill="FFFFFF" w:val="clear"/>
            <w:vAlign w:val="bottom"/>
          </w:tcPr>
          <w:p>
            <w:pPr>
              <w:pStyle w:val="TableContents"/>
              <w:spacing w:before="0" w:after="283"/>
              <w:jc w:val="left"/>
              <w:rPr/>
            </w:pPr>
            <w:r>
              <w:rPr/>
              <w:t xml:space="preserve">  </w:t>
            </w:r>
          </w:p>
        </w:tc>
        <w:tc>
          <w:tcPr>
            <w:tcW w:w="176"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3.37x </w:t>
            </w:r>
          </w:p>
        </w:tc>
        <w:tc>
          <w:tcPr>
            <w:tcW w:w="143" w:type="dxa"/>
            <w:tcBorders/>
            <w:shd w:fill="FFFFFF" w:val="clear"/>
            <w:vAlign w:val="bottom"/>
          </w:tcPr>
          <w:p>
            <w:pPr>
              <w:pStyle w:val="TableContents"/>
              <w:spacing w:before="0" w:after="283"/>
              <w:jc w:val="left"/>
              <w:rPr/>
            </w:pPr>
            <w:r>
              <w:rPr/>
              <w:t xml:space="preserve">  </w:t>
            </w:r>
          </w:p>
        </w:tc>
        <w:tc>
          <w:tcPr>
            <w:tcW w:w="176"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2.36x </w:t>
            </w:r>
          </w:p>
        </w:tc>
        <w:tc>
          <w:tcPr>
            <w:tcW w:w="142" w:type="dxa"/>
            <w:tcBorders/>
            <w:shd w:fill="FFFFFF" w:val="clear"/>
            <w:vAlign w:val="bottom"/>
          </w:tcPr>
          <w:p>
            <w:pPr>
              <w:pStyle w:val="TableContents"/>
              <w:spacing w:before="0" w:after="283"/>
              <w:jc w:val="left"/>
              <w:rPr/>
            </w:pPr>
            <w:r>
              <w:rPr/>
              <w:t xml:space="preserve">  </w:t>
            </w:r>
          </w:p>
        </w:tc>
        <w:tc>
          <w:tcPr>
            <w:tcW w:w="176" w:type="dxa"/>
            <w:tcBorders/>
            <w:shd w:fill="FFFFFF" w:val="clear"/>
            <w:vAlign w:val="bottom"/>
          </w:tcPr>
          <w:p>
            <w:pPr>
              <w:pStyle w:val="TableContents"/>
              <w:spacing w:before="0" w:after="283"/>
              <w:rPr/>
            </w:pPr>
            <w:r>
              <w:rPr/>
              <w:t xml:space="preserve">  </w:t>
            </w:r>
          </w:p>
        </w:tc>
        <w:tc>
          <w:tcPr>
            <w:tcW w:w="143" w:type="dxa"/>
            <w:tcBorders/>
            <w:shd w:fill="FFFFFF" w:val="clear"/>
            <w:vAlign w:val="bottom"/>
          </w:tcPr>
          <w:p>
            <w:pPr>
              <w:pStyle w:val="TableContents"/>
              <w:spacing w:before="0" w:after="283"/>
              <w:jc w:val="left"/>
              <w:rPr/>
            </w:pPr>
            <w:r>
              <w:rPr/>
              <w:t xml:space="preserve">  </w:t>
            </w:r>
          </w:p>
        </w:tc>
        <w:tc>
          <w:tcPr>
            <w:tcW w:w="650" w:type="dxa"/>
            <w:tcBorders/>
            <w:shd w:fill="FFFFFF" w:val="clear"/>
            <w:vAlign w:val="bottom"/>
          </w:tcPr>
          <w:p>
            <w:pPr>
              <w:pStyle w:val="TableContents"/>
              <w:spacing w:before="0" w:after="283"/>
              <w:jc w:val="right"/>
              <w:rPr/>
            </w:pPr>
            <w:r>
              <w:rPr/>
              <w:t xml:space="preserve">2.64x </w:t>
            </w:r>
          </w:p>
        </w:tc>
        <w:tc>
          <w:tcPr>
            <w:tcW w:w="155"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1"/>
        <w:gridCol w:w="9698"/>
      </w:tblGrid>
      <w:tr>
        <w:trPr/>
        <w:tc>
          <w:tcPr>
            <w:tcW w:w="406"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Includes interest costs attributable to borrowings for inventory stored in a contango market of $11.2 million for the three months ended March 31, 2007, and $49.2 million, $23.7 million, $2.0 million, $1.0 million and $3.0 million for each of the years ended December 31, 2006, 2005, 2004, 2003 and 2002, respectively.</w:t>
            </w:r>
          </w:p>
        </w:tc>
      </w:tr>
    </w:tbl>
    <w:p>
      <w:pPr>
        <w:pStyle w:val="TextBody"/>
        <w:spacing w:before="360" w:after="283"/>
        <w:rPr/>
      </w:pPr>
      <w:bookmarkStart w:id="7" w:name="105"/>
      <w:bookmarkEnd w:id="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USE OF PROCEEDS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exchange offer is intended to satisfy our obligations under the registration rights agreement. We will not receive any cash proceeds from the issuance of the new Notes in the exchange offer. In consideration for issuing the new Notes as contemplated by this prospectus, we will receive outstanding Notes in a like principal amount. The form and terms of the new Notes are identical in all respects to the form and terms of the outstanding Notes, except the new Notes do not include certain transfer restrictions. Outstanding Notes surrendered in exchange for the new Notes will be retired and cancelled and will not be reissued. Accordingly, the issuance of the new Notes will not result in any change in our outstanding indebtedness.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8" w:name="106"/>
      <w:bookmarkEnd w:id="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used in this description, the terms we, us and our refer to Plains All American Pipeline, L.P. and PAA Finance Corp. as co-issuers of the Notes and not to any of their subsidiaries or affiliates, and references to Plains All American Pipeline are to Plains All American Pipeline, L.P.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issued the outstanding Notes, and will issue the new Notes, under an indenture (the Base Indenture) dated September 25, 2002, among us, the subsidiary guarantors and U.S. Bank National Association, as successor trustee, and two supplemental indentures thereto (each applicable to one of the series of the Notes) dated as of October 30, 2006 (each supplemental indenture, together with the Base Indenture, the Indenture). We refer to both the new Notes and the outstanding Notes in this description as the Notes. The Notes constituted two new series of debt securities under the Indenture, and six other series are now outstanding under the Base Indenture, each issued under a separate supplemental indenture.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 Capitalized terms that are used in this prospectus have the meanings assigned to them in the Indenture, and we have included some of those definitions at the end of this section. See  Definitions.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summarized some of the material provisions of the Notes and the Indenture below. The following description of the Notes is not complete and is subject to, and is qualified in its entirety by reference to, all the provisions of the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General Description of the Notes and the Guarantees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of each series are: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72"/>
        <w:gridCol w:w="9531"/>
      </w:tblGrid>
      <w:tr>
        <w:trPr/>
        <w:tc>
          <w:tcPr>
            <w:tcW w:w="4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our senior unsecured indebtedness ranking equally in right of payment with the Notes of the other series and with all of our existing and future unsubordinated debt;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unconditionally guaranteed by the subsidiary guarantors;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non-recourse to our general partner;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senior in right of payment to any of our future subordinated debt;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effectively junior to any of our existing and future secured debt, to the extent of the security for that debt;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effectively junior to any existing and future debt of our subsidiaries that do not guarantee the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Initially our obligations under the Notes will be jointly and severally guaranteed by all of the existing subsidiaries of Plains All American Pipeline other than PAA Finance Corp., Atchafalaya Pipeline, L.L.C., Andrews Partners, LLC, Pacific Energy Management LLC, Pacific Energy GP LP, Pacific Pipeline System LLC and Pacific Terminals LLC, which we sometimes refer to collectively as the non-guarantor subsidiaries. Each guarantee by a subsidiary guarantor of the Notes is: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 general unsecured obligation of that subsidiary guarantor;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equal in right of payment with all other existing and future unsubordinated debt of that subsidiary guarantor;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senior in right of payment to any future subordinated debt of that subsidiary guarantor;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effectively junior to any secured debt of that subsidiary guarantor, to the extent of the security for that debt.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March 31, 2007, the Notes and the guarantees would have been effectively subordinated to approximately $803 million of short-term secured indebtedness. See Risk Factors  Risks Related to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Exchange Offer and the Notes  Your right to receive payments on the Notes and the subsidiary guarantees is unsecured and will be effectively subordinated to our and our subsidiary guarantors existing and future secured indebtedness as well as to any existing and future indebtedness of our subsidiaries that do not guarantee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of our current subsidiaries are guarantors except subsidiaries that are not significant. Our subsidiaries that are not subsidiary guarantors held approximately 12.6% of our consolidated assets as of March 31, 2007. These subsidiaries will not have any debt or guarantee any other indebtedness.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does not limit the aggregate principal amount of debt securities that may be issued thereunder and provides that debt securities may be issued thereunder from time to time in one or more additional series. Except to the extent described under  Covenants, the Indenture does not limit our ability or the ability of our subsidiaries to incur additional indebtedness.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Further Issuances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from time to time, without notice to or the consent of the holders of the Notes, create and issue additional notes ranking equally and ratably with the Notes offered hereby in all respects, so that such additional notes form a single series with either series of the Notes and have the same terms as to status, redemption or otherwise as that series of Notes (except for the issue date, the initial payment date, if applicable, and the payment of interest accruing prior to the issue date of such additional notes). If we issue such additional notes of either series prior to the completion of the exchange offer for the Notes of the same series described under the caption Exchange Offers, the period of the resale restrictions applicable to any Notes of that series previously offered and sold in reliance on Rule 144A under the Securities Act will be automatically extended to the last day of the period of any resale restrictions imposed on any such additional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Principal, Maturity and Interest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issued the Notes in an initial aggregate principal amount of $1.0 billion, with the 2017 Notes having an aggregate principal amount of $400 million and the 2037 Notes having an aggregate principal amount of $600 million. The 2017 Notes will mature on January 15, 2017, and the 2037 Notes will mature on January 15, 2037. The 2017 Notes and the 2037 Notes will bear interest at the annual rate of 6.125% and 6.650%, respectively. Additional interest may also accrue on the Notes of either series in the circumstances described under Exchange Offers. All references to interest in this description of Notes include any such additional interest. Interest on the Notes will accrue from October 30, 2006 and will be payable semi-annually in arrears on January 15 and July 15 of each year, commencing July 15, 2007. We will make each interest payment to the holders of record at the close of business on the January 1 and July 1 preceding such interest payment dates. Interest will be computed on the basis of a 360-day year consisting of twelve 30-day months. We will issue the Notes in minimum denominations of $2,000 and integral multiples of $1,000.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Liability of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Pipelines general partner and its directors, officers, employees and partners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The Guarantees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Initially, our payment obligations under the Notes are jointly and severally guaranteed by all existing Subsidiaries of Plains All American Pipeline other than the non-guarantor subsidiaries. The obligations of each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subsidiary guarantor under its guarantee are limited to the maximum amount that will, after giving effect to all other contingent and fixed liabilities of the subsidiary guarantor and to any collections from or payments made by or on behalf of any other subsidiary guarantor in respect of the obligations of the other subsidiary guarantor under its guarantee, result in the obligations of the subsidiary guarantor under the guarantee not constituting a fraudulent conveyance or fraudulent transfer under federal or state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Provided that no default shall have occurred and shall be continuing under the Indenture, a subsidiary guarantor will be unconditionally released and discharged from its guarantee: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upon any sale or other disposition of all or substantially all of the assets of that subsidiary guarantor, including by way of merger, consolidation or otherwise, to any person that is not our affiliate (provided such sale or other disposition is not prohibited by the Indenture);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upon any sale or other disposition of all of our direct or indirect equity interests in that subsidiary guarantor to any person that is not our affiliate; or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following the release of all guarantees by the subsidiary guarantor of any debt of ours and any Subsidiary of Plains All American Pipeline (other than debt securities issued under the Indenture), upon delivery by us to the trustee of a written notice of such release.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after the issuance of the Notes, including following any release of a subsidiary guarantor from its guarantee under the Indenture, a Subsidiary of Plains All American Pipeline (including any future Subsidiary) guarantees any of our debt or any debt of Plains All American Pipelines other Subsidiaries, we will cause such Subsidiary to guarantee the Notes in accordance with the Indenture by simultaneously executing and delivering a supplemental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Optional Redemption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are redeemable, in whole or in part, at our option at any time and from time to time prior to maturity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25 basis points in the case of the 2017 Notes and 30 basis points in the case of the 2037 Notes, in each case together with accrued interest to the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Quotation Agent means UBS Securities LLC or another Reference Treasury Dealer appointed by us.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Reference Treasury Dealer means (a) UBS Securities LLC and its successors; provided, however, that if the foregoing shall cease to be a primary U.S. Government securities dealer in the United States (a Primary Treasury Dealer), we shall substitute another Primary Treasury Dealer; and (b) any other Primary Treasury Dealer selected by us.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we default in payment of the redemption price, on and after the date of redemption, interest will cease to accrue on the Notes or portions thereof called for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or before a redemption date, we will deposit with a paying agent (or with the trustee) sufficient money to pay the redemption price and accrued interest on the Notes to be redeemed.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less than all of the Notes are to be redeemed at any time, the trustee will select Notes (or any portion of Notes in integral multiples of $1,000) for redemption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6"/>
        <w:gridCol w:w="9534"/>
      </w:tblGrid>
      <w:tr>
        <w:trPr/>
        <w:tc>
          <w:tcPr>
            <w:tcW w:w="40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the Notes are listed, in compliance with the requirements of the principal national securities exchange on which the Notes are listed;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the Notes are not so listed or there are no such requirements, on a pro rata basis, by lot or by such method as the trustee shall deem fair and appropriate.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However, no Note with a principal amount of $2,000 or less will be redeemed in part. Notice of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Events of Default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of the following is an Event of Default with respect to each series of Notes: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5"/>
        <w:gridCol w:w="9540"/>
      </w:tblGrid>
      <w:tr>
        <w:trPr/>
        <w:tc>
          <w:tcPr>
            <w:tcW w:w="40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default in payment when due of the principal of or any premium on any Note of that series at maturity, upon redemption or otherwise;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default for 60 days in the payment when due of interest on any Note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by us or, so long as the Notes of that series are guaranteed by a subsidiary guarantor, by such subsidiary guarantor, for 30 days after receipt of notice from the trustee or the holders to comply with any other term, covenant or warranty in the Indenture or the Notes of that series (provided that notice need not be given, and an Event of Default will occur, 30 days after any breach of the covenants described under  Consolidation, Merger or Sale);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specified events in bankruptcy, insolvency or reorganization of us or, so long as the Notes of that series are guaranteed by a subsidiary guarantor, by such subsidiary guarantor;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so long as the Notes of that series are guaranteed by a subsidiary guarantor: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599"/>
        <w:gridCol w:w="261"/>
        <w:gridCol w:w="9345"/>
      </w:tblGrid>
      <w:tr>
        <w:trPr/>
        <w:tc>
          <w:tcPr>
            <w:tcW w:w="59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345" w:type="dxa"/>
            <w:tcBorders/>
            <w:shd w:fill="auto" w:val="clear"/>
            <w:vAlign w:val="center"/>
          </w:tcPr>
          <w:p>
            <w:pPr>
              <w:pStyle w:val="TableContents"/>
              <w:spacing w:before="0" w:after="283"/>
              <w:rPr>
                <w:sz w:val="4"/>
                <w:szCs w:val="4"/>
              </w:rPr>
            </w:pPr>
            <w:r>
              <w:rPr>
                <w:sz w:val="4"/>
                <w:szCs w:val="4"/>
              </w:rPr>
            </w:r>
          </w:p>
        </w:tc>
      </w:tr>
      <w:tr>
        <w:trPr/>
        <w:tc>
          <w:tcPr>
            <w:tcW w:w="599"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345" w:type="dxa"/>
            <w:tcBorders/>
            <w:shd w:fill="FFFFFF" w:val="clear"/>
          </w:tcPr>
          <w:p>
            <w:pPr>
              <w:pStyle w:val="TableContents"/>
              <w:spacing w:before="0" w:after="283"/>
              <w:jc w:val="left"/>
              <w:rPr/>
            </w:pPr>
            <w:r>
              <w:rPr/>
              <w:t xml:space="preserve">the guarantee by such subsidiary guarantor ceases to be in full force and effect, except as otherwise provided in the Indenture; </w:t>
            </w:r>
          </w:p>
        </w:tc>
      </w:tr>
      <w:tr>
        <w:trPr/>
        <w:tc>
          <w:tcPr>
            <w:tcW w:w="599" w:type="dxa"/>
            <w:tcBorders/>
            <w:shd w:fill="auto" w:val="clear"/>
            <w:vAlign w:val="center"/>
          </w:tcPr>
          <w:p>
            <w:pPr>
              <w:pStyle w:val="TableContents"/>
              <w:spacing w:before="0" w:after="283"/>
              <w:rPr/>
            </w:pPr>
            <w:r>
              <w:rPr/>
              <w:t> </w:t>
            </w:r>
          </w:p>
        </w:tc>
        <w:tc>
          <w:tcPr>
            <w:tcW w:w="9606" w:type="dxa"/>
            <w:gridSpan w:val="2"/>
            <w:tcBorders/>
            <w:shd w:fill="auto" w:val="clear"/>
          </w:tcPr>
          <w:p>
            <w:pPr>
              <w:pStyle w:val="TableContents"/>
              <w:spacing w:before="0" w:after="283"/>
              <w:rPr>
                <w:sz w:val="4"/>
                <w:szCs w:val="4"/>
              </w:rPr>
            </w:pPr>
            <w:r>
              <w:rPr>
                <w:sz w:val="4"/>
                <w:szCs w:val="4"/>
              </w:rPr>
            </w:r>
          </w:p>
        </w:tc>
      </w:tr>
      <w:tr>
        <w:trPr/>
        <w:tc>
          <w:tcPr>
            <w:tcW w:w="599"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345" w:type="dxa"/>
            <w:tcBorders/>
            <w:shd w:fill="FFFFFF" w:val="clear"/>
          </w:tcPr>
          <w:p>
            <w:pPr>
              <w:pStyle w:val="TableContents"/>
              <w:spacing w:before="0" w:after="283"/>
              <w:jc w:val="left"/>
              <w:rPr/>
            </w:pPr>
            <w:r>
              <w:rPr/>
              <w:t xml:space="preserve">the guarantee by such subsidiary guarantor is declared null and void in a judicial proceeding; or </w:t>
            </w:r>
          </w:p>
        </w:tc>
      </w:tr>
      <w:tr>
        <w:trPr/>
        <w:tc>
          <w:tcPr>
            <w:tcW w:w="599" w:type="dxa"/>
            <w:tcBorders/>
            <w:shd w:fill="auto" w:val="clear"/>
            <w:vAlign w:val="center"/>
          </w:tcPr>
          <w:p>
            <w:pPr>
              <w:pStyle w:val="TableContents"/>
              <w:spacing w:before="0" w:after="283"/>
              <w:rPr/>
            </w:pPr>
            <w:r>
              <w:rPr/>
              <w:t> </w:t>
            </w:r>
          </w:p>
        </w:tc>
        <w:tc>
          <w:tcPr>
            <w:tcW w:w="9606" w:type="dxa"/>
            <w:gridSpan w:val="2"/>
            <w:tcBorders/>
            <w:shd w:fill="auto" w:val="clear"/>
          </w:tcPr>
          <w:p>
            <w:pPr>
              <w:pStyle w:val="TableContents"/>
              <w:spacing w:before="0" w:after="283"/>
              <w:rPr>
                <w:sz w:val="4"/>
                <w:szCs w:val="4"/>
              </w:rPr>
            </w:pPr>
            <w:r>
              <w:rPr>
                <w:sz w:val="4"/>
                <w:szCs w:val="4"/>
              </w:rPr>
            </w:r>
          </w:p>
        </w:tc>
      </w:tr>
      <w:tr>
        <w:trPr/>
        <w:tc>
          <w:tcPr>
            <w:tcW w:w="599"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345" w:type="dxa"/>
            <w:tcBorders/>
            <w:shd w:fill="FFFFFF" w:val="clear"/>
          </w:tcPr>
          <w:p>
            <w:pPr>
              <w:pStyle w:val="TableContents"/>
              <w:spacing w:before="0" w:after="283"/>
              <w:jc w:val="left"/>
              <w:rPr/>
            </w:pPr>
            <w:r>
              <w:rPr/>
              <w:t xml:space="preserve">such subsidiary guarantor denies or disaffirms its obligations under the Indenture or its guarantee.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Event of Default for a particular series of Notes will not necessarily constitute an Event of Default for the other series of Notes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a series of Notes, the trustee or the holders of at least 25% in principal amount of the then outstanding Notes of that series may declare all the Notes of that series to be due and payable immediately.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Consolidation, Merger or Sale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9"/>
        <w:gridCol w:w="268"/>
        <w:gridCol w:w="9528"/>
      </w:tblGrid>
      <w:tr>
        <w:trPr/>
        <w:tc>
          <w:tcPr>
            <w:tcW w:w="4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9"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we are the surviving Person in the case of a merger, or the surviving Person: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595"/>
        <w:gridCol w:w="266"/>
        <w:gridCol w:w="9344"/>
      </w:tblGrid>
      <w:tr>
        <w:trPr/>
        <w:tc>
          <w:tcPr>
            <w:tcW w:w="59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44" w:type="dxa"/>
            <w:tcBorders/>
            <w:shd w:fill="auto" w:val="clear"/>
            <w:vAlign w:val="center"/>
          </w:tcPr>
          <w:p>
            <w:pPr>
              <w:pStyle w:val="TableContents"/>
              <w:spacing w:before="0" w:after="283"/>
              <w:rPr>
                <w:sz w:val="4"/>
                <w:szCs w:val="4"/>
              </w:rPr>
            </w:pPr>
            <w:r>
              <w:rPr>
                <w:sz w:val="4"/>
                <w:szCs w:val="4"/>
              </w:rPr>
            </w:r>
          </w:p>
        </w:tc>
      </w:tr>
      <w:tr>
        <w:trPr/>
        <w:tc>
          <w:tcPr>
            <w:tcW w:w="59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344" w:type="dxa"/>
            <w:tcBorders/>
            <w:shd w:fill="FFFFFF" w:val="clear"/>
          </w:tcPr>
          <w:p>
            <w:pPr>
              <w:pStyle w:val="TableContents"/>
              <w:spacing w:before="0" w:after="283"/>
              <w:jc w:val="left"/>
              <w:rPr/>
            </w:pPr>
            <w:r>
              <w:rPr/>
              <w:t xml:space="preserve">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 </w:t>
            </w:r>
          </w:p>
        </w:tc>
      </w:tr>
      <w:tr>
        <w:trPr/>
        <w:tc>
          <w:tcPr>
            <w:tcW w:w="595" w:type="dxa"/>
            <w:tcBorders/>
            <w:shd w:fill="auto" w:val="clear"/>
            <w:vAlign w:val="center"/>
          </w:tcPr>
          <w:p>
            <w:pPr>
              <w:pStyle w:val="TableContents"/>
              <w:spacing w:before="0" w:after="283"/>
              <w:rPr/>
            </w:pPr>
            <w:r>
              <w:rPr/>
              <w:t> </w:t>
            </w:r>
          </w:p>
        </w:tc>
        <w:tc>
          <w:tcPr>
            <w:tcW w:w="9610" w:type="dxa"/>
            <w:gridSpan w:val="2"/>
            <w:tcBorders/>
            <w:shd w:fill="auto" w:val="clear"/>
          </w:tcPr>
          <w:p>
            <w:pPr>
              <w:pStyle w:val="TableContents"/>
              <w:spacing w:before="0" w:after="283"/>
              <w:rPr>
                <w:sz w:val="4"/>
                <w:szCs w:val="4"/>
              </w:rPr>
            </w:pPr>
            <w:r>
              <w:rPr>
                <w:sz w:val="4"/>
                <w:szCs w:val="4"/>
              </w:rPr>
            </w:r>
          </w:p>
        </w:tc>
      </w:tr>
      <w:tr>
        <w:trPr/>
        <w:tc>
          <w:tcPr>
            <w:tcW w:w="59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344" w:type="dxa"/>
            <w:tcBorders/>
            <w:shd w:fill="FFFFFF" w:val="clear"/>
          </w:tcPr>
          <w:p>
            <w:pPr>
              <w:pStyle w:val="TableContents"/>
              <w:spacing w:before="0" w:after="283"/>
              <w:jc w:val="left"/>
              <w:rPr/>
            </w:pPr>
            <w:r>
              <w:rPr/>
              <w:t xml:space="preserve">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immediately after giving effect to the transaction or series of transactions, no Default or Event of Default has occurred and is continuing;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if we are not the surviving Person, then each subsidiary guarantor, unless such subsidiary guarantor is the Person with which we have consummated a transaction under this provision, shall have confirmed that its guarantee of the Notes shall continue to apply to the obligations under the Notes and the Indenture;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Modification of the Indenture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we, the subsidiary guarantors and the trustee may amend or supplement the Indenture, the guarantees and the Notes with the written consent of the holders of at least a majority in principal amount of the then outstanding Notes of the affected series. However, without the consent of each holder affected, an amendment, supplement or waiver may not (with respect to any Notes held by a nonconsenting holder):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reduce the principal amount of Notes whose holders must consent to an amendment, supplement or waiver;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reduce the principal of or change the fixed maturity of any note;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reduce or waive the premium payable upon redemption or alter or waive the other provisions with respect to the redemption of any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reduce the rate of or change the time for payment of interest on any note;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waive a Default or an Event of Default in the payment of principal of or premium, if any, or interest on, any Notes (except a rescission of acceleration of the Notes with respect to either series by the holders of at least a majority in aggregate principal amount of that series and a waiver of the payment default that resulted from such acceleration);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release any security that may have been granted with respect to the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make any note payable in currency other than that stated in the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make any change in the provisions of the Indenture relating to waivers of past Defaults or the rights of holders of Notes to receive payments of principal of or premium, if any, or interest on the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waive a redemption payment with respect to any note;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except as otherwise permitted in the Indenture, release any subsidiary guarantor from its obligations under its guarantee or the Indenture or change any guarantee in any manner that would adversely affect the rights of holders;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make any change in the preceding amendment, supplement and waiver provisions (except to increase any percentage set forth therein).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without the consent of any holder of Notes, we and the trustee may amend or supplement the Indenture or the Notes: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6"/>
        <w:gridCol w:w="9534"/>
      </w:tblGrid>
      <w:tr>
        <w:trPr/>
        <w:tc>
          <w:tcPr>
            <w:tcW w:w="40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cure any ambiguity, defect or inconsistency;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provide for uncertificated Notes in addition to or in place of certificated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provide for the assumption of our or the confirmation of a subsidiary guarantors obligations to holders of Notes in the case of a merger or consolidation or sale of all or substantially all of our assets;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add or release subsidiary guarantors as permitted pursuant to the terms of the Indenture (see  The Guarantees);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make any changes that would provide any additional rights or benefits to the holders of Notes that do not, taken as a whole, adversely affect the rights under the Indenture of any holder of the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comply with requirements of the SEC in order to effect or maintain the qualification of the Indenture under the Trust Indenture Act;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evidence or provide for the acceptance of appointment under the Indenture of a successor trustee;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add any additional Events of Default;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secure the Notes and/or the guarantees;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establish the form or terms of any other series of debt securities under the Base Indenture.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Covenants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Liens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0"/>
        <w:gridCol w:w="9542"/>
      </w:tblGrid>
      <w:tr>
        <w:trPr/>
        <w:tc>
          <w:tcPr>
            <w:tcW w:w="40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2"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Permitted Liens;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of our property or assets or the property or assets of any Restricted Subsidiary in existence on December 10, 2003 or provided for pursuant to agreements existing on December 10, 2003;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resulting from the deposit of moneys or evidence of indebtedness in trust for the purpose of defeasing our debt or debt of any Restricted Subsidiary.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Indebtedness from Sale-leaseback Transactions, excluding Sale-leaseback Transactions permitted in the first paragraph under  Limitations on Sale-Leasebacks, does not exceed 10% of Consolidated Net Tangible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Sale-Leasebacks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and will not permit any Subsidiary to, engage in a Sale-leaseback Transaction, unless: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0"/>
        <w:gridCol w:w="9542"/>
      </w:tblGrid>
      <w:tr>
        <w:trPr/>
        <w:tc>
          <w:tcPr>
            <w:tcW w:w="40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2"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the Sale-leaseback Transaction involves a lease for a period, including renewals, of not more than three years;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SEC Reports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Regardless of whether Plains All American Pipeline is required to remain subject to the reporting requirements of Section 13 or 15(d) of the Exchange Act, it will electronically file with the SEC, so long as either series of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will furnish to the holders of Notes and to prospective investors, upon the requests of holders of Notes, any information required to be delivered pursuant to Rule 144A(d)(4) under the Securities Act, so long as the Notes are not freely transferable under the Securities Act.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Defeasance and Discharge</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any time we may terminate all our obligations under the Indenture as they relate to either series of Notes (legal defeasance), except for certain obligations, including those respecting the defeasance trust and timely payments therefrom and obligations to register the transfer of or exchange the Notes of either series, to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replace mutilated, destroyed, lost or stolen Notes and to maintain a registrar and paying agent in respect of the Notes of the relevant series.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Also, at any time we may terminate our obligations under covenants described in the last paragraph of  The Guarantees, under  Covenants and under  SEC Reports with respect to the Notes of either series (covenant defeasance), and thereafter our failure to comply with any of such covenants would not constitute an Event of Default.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exercise our legal defeasance option notwithstanding our prior exercise of our covenant defeasance option. If we exercise our legal defeasance option, each guarantee obligation will be deemed to have been discharged with respect to the Notes of the relevant series.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relevant series to redemption or stated maturity, as the case may be, and must comply with certain other conditions, including delivery to the trustee of an opinion of counsel to the effect that holders of the Notes of the relevant series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the event of any legal defeasance, holders of the Notes of the relevant series would be entitled to look only to the trust for payment of principal of and any premium and interest on their Notes until maturity.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the amount of money and U.S. Government Obligations on deposit with the trustee would be intended to be sufficient to pay amounts due on the defeased Notes of the relevant series at the time of their stated maturity, if we exercise our covenant defeasance option for the Notes and the Notes are declared due and payable because of the occurrence of an Event of Default, such amount may not be sufficient to pay amounts due on the Notes of the relevant series at the time of the acceleration resulting from such Event of Default. We would remain liable for such payments, however.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may discharge all our obligations under the Indenture with respect to either series of Notes, other than certain obligations to the trustee and our obligation to register the transfer of and exchange Notes, provided that we either: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6"/>
        <w:gridCol w:w="9539"/>
      </w:tblGrid>
      <w:tr>
        <w:trPr/>
        <w:tc>
          <w:tcPr>
            <w:tcW w:w="40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deliver all outstanding Notes of the relevant series to the trustee for cancellation; or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all Notes of the relevant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of the relevant series, including interest and premium, if any, to the stated maturity or applicable redemption date.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Concerning the Trustee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U.S. Bank National Association will act as indenture trustee, security registrar and paying agent with respect to the Notes. The trustee makes no representation or warranty, express or implied, as to the accuracy or completeness of any information contained in this confidential offering memorandum, except for such information that specifically pertains to the trustee, or any information incorporated by reference.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Governing Law</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and the Notes will be governed by and construed in accordance with the law of the State of New York.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Definitions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Board of Directors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Consolidated Net Tangible Assets means, at any date of determination, the total amount of assets after deducting therefrom: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all current liabilities excluding: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current liabilities that by their terms are extendible or renewable at the option of the obligor thereon to a time more than 12 months after the time as of which the amount thereof is being computed;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current maturities of long-term debt;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the amount, net of any applicable reserves, of all goodwill, trade names, trademarks, patents and other like intangible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as set forth on the consolidated balance sheet of Plains All American Pipeline for its most recently completed fiscal quarter, prepared in accordance with generally accepted accounting principles.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Exchange Act means the Securities Exchange Act of 1934, as amended.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Issue Date means the date on which the Notes are initially issued.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Managing General Partner means Plains All American GP LLC, a Delaware limited liability company, and its successors and permitted assigns, as general partner of Plains AAP, L.P., a Delaware limited partnership (and its successors and permitted assigns, as general partner of Plains All American Pipeline) or as the business entity with the ultimate authority to manage the business and operations of Plains All American Pipeline.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Pari Passu Debt means any of our Funded Debt, whether outstanding on the Issue Date or thereafter created, incurred or assumed, unless, in the case of any particular Funded Debt, the instrument creating or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evidencing the same or pursuant to which the same is outstanding expressly provides that such Funded Debt shall be subordinated in right of payment to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Permitted Liens means: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liens upon rights-of-way for pipeline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liens of taxes and assessments which are: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for the then current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not at the time delinquent,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delinquent but the validity of which is being contested at the time by us or any Restricted Subsidiary in good faith;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liens of, or to secure performance of, leases, other than capital leases;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any lien upon, or deposits of, any assets in favor of any surety company or clerk of court for the purpose of obtaining indemnity or stay of judicial proceedings;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any lien upon property or assets acquired or sold by us or any Restricted Subsidiary resulting from the exercise of any rights arising out of defaults on receivables;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(9) any lien in favor of us or any Restricted Subsidiary;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(11) any lien securing industrial development, pollution control or similar revenue bonds;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(12) 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(14) any lien upon or deposits of any assets to secure performance of bids, trade contracts, leases or statutory obligations;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leases,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(16) 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(18) any obligations or duties to any municipality or public authority with respect to any lease, easement, right-of-way, license, franchise, privilege, permit or grant.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Person means any individual, corporation, partnership, joint venture, limited liability company, association, joint stock company, trust, other entity, unincorporated organization or government or any agency or political subdivision thereof.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Principal Property means, whether owned or leased on the Issue Date or thereafter acquired: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any processing or manufacturing plant or terminal owned or leased by Plains All American Pipeline or any Subsidiary of Plains All American Pipeline; except, in either case above: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such assets consisting of inventories, furniture, office fixtures and equipment, including data processing equipment, vehicles and equipment used on, or useful with, vehicles,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any such assets, plant or terminal which, in the good faith opinion of the Board of Directors, is not material in relation to the activities of Plains All American Pipeline or the activities of Plains All American Pipeline and its Subsidiaries, taken as a whole.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Restricted Subsidiary means any Subsidiary of Plains All American Pipeline owning or leasing, directly or indirectly through ownership in another Subsidiary, any Principal Property.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Sale-leaseback Transaction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Securities Act means the Securities Act of 1933, as amended.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Subsidiary means, with respect to any Person: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9" w:name="107"/>
      <w:bookmarkEnd w:id="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MATERIAL U.S. FEDERAL INCOME TAX CONSEQUENCES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is a summary of the material U.S. federal income tax consequences of the exchange of outstanding notes for new notes and is the opinion of Vinson &amp; Elkins L.L.P., counsel to the general partner and us, as it relates to legal conclusions with respect to matters of U.S. federal income tax law. In the opinion of Vinson &amp; Elkins L.L.P., the exchange of outstanding notes for new notes will not be an exchange or otherwise a taxable event to a holder for United States federal income tax purposes. Accordingly, a holder will have the same adjusted issue price, adjusted basis and holding period in the new notes as it had in the outstanding notes immediately before the exchange. The legal conclusions of Vinson &amp; Elkins L.L.P. are based upon the Internal Revenue Code of 1986, as amended, Treasury Regulations, Internal Revenue Service rulings and pronouncements and judicial decisions now in effect, all of which may be subject to change at any time by legislative, judicial or administrative action. These changes may be applied retroactively in a manner that could adversely affect a holder of new notes. The legal conclusions of Vinson &amp; Elkins L.L.P. do not consider the effect of any applicable foreign, state, local or other tax laws or estate or gift tax considerations. Each holder is encouraged to consult, and depend on, his own tax advisor in analyzing the particular tax consequences of exchanging such holders outstanding notes for new notes, including the applicability and effect of any federal, state, local and foreign tax laws.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0" w:name="108"/>
      <w:bookmarkEnd w:id="1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PLAN OF DISTRIBUTION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interpretations by the staff of the SEC in no-action letters issued to third parties, we believe that you may transfer new Notes issued under either exchange offer in exchange for the outstanding Notes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you acquire the new Notes in the ordinary course of your business;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you are not engaged in, and do not intend to engage in, and have no arrangement or understanding with any person to participate in, a distribution of such new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not participate in either exchange offer if you are: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our affiliate within the meaning of Rule 405 under the Securities Act;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 broker-dealer that acquired outstanding Notes directly from us.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broker-dealer that receives new Notes for its own account pursuant to either exchange offer must acknowledge that it will deliver a prospectus in connection with any resale of such new Notes. To date, the staff of the SEC has taken the position that broker-dealers may fulfill their prospectus delivery requirements with respect to transactions involving an exchange of securities such as these exchange offers, other than a resale of an unsold allotment from the original sale of the outstanding Notes, with a prospectus contained in a registration statement like this registration statement. This prospectus, as it may be amended or supplemented from time to time, may be used by a broker-dealer in connection with resales of new Notes received in exchange for outstanding Notes where such outstanding Notes were acquired as a result of market-making activities or other trading activities. We have agreed that, for a period of up to one year after the consummation of the exchange offers, we will make this prospectus, as amended or supplemented, promptly available to any broker-dealer for use in connection with any such resale.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wish to exchange your outstanding Notes for new Notes in the applicable exchange offer, you will be required to make representations to us as described in Exchange Offers  Purpose and Effect of the Exchange Offers and  Procedures for Tendering  Your Representations to Us in this prospectus and in the applicable letter of transmittal. In addition, if you are a broker-dealer who receives new Notes for your own account in exchange for outstanding Notes that were acquired by you as a result of market-making activities or other trading activities, you will be required to acknowledge that you will deliver a prospectus in connection with any resale by you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receive any proceeds from any sale of new Notes by broker-dealers. New Notes received by broker-dealers for their own account pursuant to the exchange offer may be sold from time to time in one or more transactions: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7"/>
        <w:gridCol w:w="9536"/>
      </w:tblGrid>
      <w:tr>
        <w:trPr/>
        <w:tc>
          <w:tcPr>
            <w:tcW w:w="40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the over-the-counter market; </w:t>
            </w:r>
          </w:p>
        </w:tc>
      </w:tr>
    </w:tbl>
    <w:p>
      <w:pPr>
        <w:pStyle w:val="TextBody"/>
        <w:spacing w:before="120" w:after="283"/>
        <w:rPr/>
      </w:pPr>
      <w:r>
        <w:rPr/>
        <w: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in negotiated transactions;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through the writing of options on the new Notes or a combination of the preceding methods of resale;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at market prices prevailing at the time of resale; and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at prices related to such prevailing market prices or negotiated prices.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such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offers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Each letter of transmittal states that by acknowledging that it will deliver and by delivering a prospectus, a broker-dealer will not be deemed to admit that it is an underwriter within the meaning of the Securities Act.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 period of one year after the consummation of each exchange offer, we will promptly send additional copies of this prospectus and any amendment or supplement to this prospectus to any broker-dealer that requests such documents in a letter of transmittal. We have agreed to pay all expenses incident to each exchange offer (including the expenses of one counsel for the holders of the outstanding Notes) other than commissions or concessions of any broker-dealers and will indemnify the holders of the outstanding Notes (including any broker-dealers) against certain liabilities, including liabilities under the Securities Act.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1" w:name="109"/>
      <w:bookmarkEnd w:id="1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LEGAL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validity of the new Notes and the related guarantees will be passed upon for us by Vinson &amp; Elkins L.L.P., Houston, Texas. </w:t>
      </w:r>
    </w:p>
    <w:p>
      <w:pPr>
        <w:pStyle w:val="TextBody"/>
        <w:spacing w:before="180" w:after="283"/>
        <w:rPr/>
      </w:pPr>
      <w:r>
        <w:rPr/>
        <w:t> </w:t>
      </w:r>
    </w:p>
    <w:p>
      <w:pPr>
        <w:pStyle w:val="TextBody"/>
        <w:spacing w:before="0" w:after="0"/>
        <w:jc w:val="center"/>
        <w:rPr>
          <w:rFonts w:ascii="Arial;Helvetica" w:hAnsi="Arial;Helvetica"/>
          <w:color w:val="000000"/>
          <w:sz w:val="17"/>
          <w:highlight w:val="white"/>
        </w:rPr>
      </w:pPr>
      <w:bookmarkStart w:id="12" w:name="110"/>
      <w:bookmarkEnd w:id="12"/>
      <w:r>
        <w:rPr>
          <w:rFonts w:ascii="Times New Roman;Times" w:hAnsi="Times New Roman;Times"/>
          <w:b/>
          <w:color w:val="000000"/>
          <w:sz w:val="17"/>
          <w:highlight w:val="white"/>
        </w:rPr>
        <w:t>EXPERTS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2006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balance sheet of Plains AAP, L.P. incorporated in this prospectus by reference to Plains All American Pipeline, L.P.s Current Report on Form 8-K filed May 2, 2007 has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consolidated financial statements of Pacific Energy Partners, L.P. (Pacific Energy Partners) as of December 31, 2005 and 2004, and for each of the years in the three-year period ended December 31, 2005 have been incorporated by reference herein in reliance upon the reports of KPMG LLP, an independent registered public accounting firm, and upon the authority of said firm as experts in accounting and auditing. </w:t>
      </w:r>
    </w:p>
    <w:p>
      <w:pPr>
        <w:pStyle w:val="TextBody"/>
        <w:spacing w:before="240" w:after="283"/>
        <w:rPr/>
      </w:pPr>
      <w:r>
        <w:rPr/>
        <w:t> </w:t>
      </w:r>
    </w:p>
    <w:p>
      <w:pPr>
        <w:pStyle w:val="TextBody"/>
        <w:spacing w:before="0" w:after="0"/>
        <w:jc w:val="center"/>
        <w:rPr>
          <w:rFonts w:ascii="Arial;Helvetica" w:hAnsi="Arial;Helvetica"/>
          <w:color w:val="000000"/>
          <w:sz w:val="17"/>
          <w:highlight w:val="white"/>
        </w:rPr>
      </w:pPr>
      <w:bookmarkStart w:id="13" w:name="111"/>
      <w:bookmarkEnd w:id="13"/>
      <w:r>
        <w:rPr>
          <w:rFonts w:ascii="Times New Roman;Times" w:hAnsi="Times New Roman;Times"/>
          <w:b/>
          <w:color w:val="000000"/>
          <w:sz w:val="17"/>
          <w:highlight w:val="white"/>
        </w:rPr>
        <w:t>WHERE YOU CAN FIND MORE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(Commission File No. 1-14569) with the SEC under Sections 13(a), 13(c), 14 or 15(d) of the Securities Exchange Act of 1934 (excluding any information furnished and not filed with the SEC) until the offering under this registration statement is completed: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Annual Report on Form 10-K for the year ended December 31, 2006;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9"/>
        <w:gridCol w:w="262"/>
        <w:gridCol w:w="9534"/>
      </w:tblGrid>
      <w:tr>
        <w:trPr/>
        <w:tc>
          <w:tcPr>
            <w:tcW w:w="4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9"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Quarterly Report on Form 10-Q for the quarter ended March 31, 2007;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Exhibit 99.3 to the Current Report on Form 8-K filed with the Commission on November 21, 2006 (audited financial statements of Pacific Energy Partners);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Current Report on Form 8-K filed with the Commission on May 2, 2007 (audited balance sheet of Plains AAP, L.P. dated December 31, 2006); and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Current Report on Form 8-K filed with the Commission on February 28, 2007 (LTIP grants to Named Executive Officers).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request a copy of these filings at no cost by making written or telephone requests for copies to: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333 Clay Street, Suite 1600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Texas 77002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Tim Moore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(713) 646-4100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www.sec.gov.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incorporated by reference or provided in this prospectus. We have not authorized anyone else to provide you with any information. You should not assume that the information provided in this prospectus or incorporated by reference is accurate as of any date other than the date on the front cover or the date of the incorporated material, as applicable. </w:t>
      </w:r>
    </w:p>
    <w:p>
      <w:pPr>
        <w:pStyle w:val="TextBody"/>
        <w:spacing w:before="360" w:after="283"/>
        <w:rPr/>
      </w:pPr>
      <w:bookmarkStart w:id="14" w:name="112"/>
      <w:bookmarkEnd w:id="1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included or incorporated by reference in this prospectus,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 absence of these words, however,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failure to realize the anticipated synergies and other benefits of the merger with Pacific Energy Partners;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success of our risk management activities;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abrupt or severe declines or interruptions in outer continental shelf production located offshore California and transported on our pipeline systems;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implement or capitalize on planned internal growth projects;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9"/>
        <w:gridCol w:w="268"/>
        <w:gridCol w:w="9528"/>
      </w:tblGrid>
      <w:tr>
        <w:trPr/>
        <w:tc>
          <w:tcPr>
            <w:tcW w:w="4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9"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shortages or cost increases of power supplies, materials or labor;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availability of adequate third party production volumes for transportation and marketing in the areas in which we operate, and other factors that could cause declines in volumes shipped on our pipelines by us and third party shippers;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fluctuations in refinery capacity in areas supplied by our mainlines, and other factors affecting demand for various grades of crude oil, refined products and natural gas and resulting changes in pricing conditions or transmission throughput requirements;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our access to capital to fund additional acquisitions and our ability to obtain debt or equity financing on satisfactory terms;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1"/>
        <w:gridCol w:w="9528"/>
      </w:tblGrid>
      <w:tr>
        <w:trPr/>
        <w:tc>
          <w:tcPr>
            <w:tcW w:w="4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successful integration and future performance of acquired assets or businesses and the risks associated with operating in lines of business that are distinct and separate from our historical operations;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unanticipated changes in crude oil market structure and volatility (or lack thereof);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impact of current and future laws, rulings and governmental regulations;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the effects of competition;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continued creditworthiness of, and performance by, our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interruptions in service and fluctuations in tariffs or volumes on third-party pipelines;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increased costs or lack of availability of insurance;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currency exchange rate of the Canadian dollar;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weather interference with business operations or project construction;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9"/>
        <w:gridCol w:w="9533"/>
      </w:tblGrid>
      <w:tr>
        <w:trPr/>
        <w:tc>
          <w:tcPr>
            <w:tcW w:w="403"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risks related to the development and operation of natural gas storage facilities;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general economic, market or business conditions;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3" w:type="dxa"/>
            <w:tcBorders/>
            <w:shd w:fill="FFFFFF" w:val="clear"/>
          </w:tcPr>
          <w:p>
            <w:pPr>
              <w:pStyle w:val="TableContents"/>
              <w:spacing w:before="0" w:after="283"/>
              <w:jc w:val="left"/>
              <w:rPr/>
            </w:pPr>
            <w:r>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2006. Except as required by securities laws applicable to the documents incorporated by reference, we do not intend to update these forward-looking statements and information.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right"/>
        <w:rPr>
          <w:rFonts w:ascii="Arial;Helvetica" w:hAnsi="Arial;Helvetica"/>
          <w:color w:val="000000"/>
          <w:sz w:val="17"/>
          <w:highlight w:val="white"/>
        </w:rPr>
      </w:pPr>
      <w:r>
        <w:rPr>
          <w:rFonts w:ascii="Times New Roman;Times" w:hAnsi="Times New Roman;Times"/>
          <w:b/>
          <w:color w:val="000000"/>
          <w:sz w:val="17"/>
          <w:highlight w:val="white"/>
        </w:rPr>
        <w:t>ANNEX A</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Arial;Helvetica" w:hAnsi="Arial;Helvetica"/>
          <w:color w:val="000000"/>
          <w:sz w:val="27"/>
          <w:highlight w:val="white"/>
        </w:rPr>
      </w:pPr>
      <w:bookmarkStart w:id="15" w:name="113"/>
      <w:bookmarkEnd w:id="15"/>
      <w:r>
        <w:rPr>
          <w:rFonts w:ascii="Times New Roman;Times" w:hAnsi="Times New Roman;Times"/>
          <w:b/>
          <w:color w:val="000000"/>
          <w:sz w:val="27"/>
          <w:highlight w:val="white"/>
        </w:rPr>
        <w:t>LETTER OF TRANSMITTAL</w:t>
        <w:br/>
      </w:r>
      <w:r>
        <w:rPr>
          <w:rFonts w:ascii="Times New Roman;Times" w:hAnsi="Times New Roman;Times"/>
          <w:b/>
          <w:color w:val="000000"/>
          <w:sz w:val="23"/>
          <w:highlight w:val="white"/>
        </w:rPr>
        <w:t>TO TENDER</w:t>
        <w:br/>
        <w:t>OUTSTANDING 6.125% SENIOR NOTES DUE 2017</w:t>
        <w:br/>
        <w:t>OF</w:t>
        <w:br/>
      </w:r>
      <w:r>
        <w:rPr>
          <w:rFonts w:ascii="Times New Roman;Times" w:hAnsi="Times New Roman;Times"/>
          <w:b/>
          <w:color w:val="000000"/>
          <w:sz w:val="27"/>
          <w:highlight w:val="white"/>
        </w:rPr>
        <w:t>PLAINS ALL AMERICAN PIPELINE, L.P.</w:t>
        <w:br/>
      </w:r>
      <w:r>
        <w:rPr>
          <w:rFonts w:ascii="Times New Roman;Times" w:hAnsi="Times New Roman;Times"/>
          <w:b/>
          <w:color w:val="000000"/>
          <w:sz w:val="23"/>
          <w:highlight w:val="white"/>
        </w:rPr>
        <w:t>AND</w:t>
        <w:br/>
      </w:r>
      <w:r>
        <w:rPr>
          <w:rFonts w:ascii="Times New Roman;Times" w:hAnsi="Times New Roman;Times"/>
          <w:b/>
          <w:color w:val="000000"/>
          <w:sz w:val="27"/>
          <w:highlight w:val="white"/>
        </w:rPr>
        <w:t>PAA FINANCE CORP.</w:t>
        <w:br/>
      </w:r>
      <w:r>
        <w:rPr>
          <w:rFonts w:ascii="Times New Roman;Times" w:hAnsi="Times New Roman;Times"/>
          <w:b/>
          <w:color w:val="000000"/>
          <w:sz w:val="23"/>
          <w:highlight w:val="white"/>
        </w:rPr>
        <w:t>PURSUANT TO THE EXCHANGE OFFER AND PROSPECTUS</w:t>
        <w:br/>
        <w:t>DATED JUNE 5, 2007</w:t>
      </w:r>
      <w:r>
        <w:rPr>
          <w:rFonts w:ascii="Arial;Helvetica" w:hAnsi="Arial;Helvetica"/>
          <w:color w:val="000000"/>
          <w:sz w:val="27"/>
          <w:highlight w:val="white"/>
        </w:rPr>
        <w:t xml:space="preserve"> </w:t>
      </w:r>
    </w:p>
    <w:p>
      <w:pPr>
        <w:pStyle w:val="TextBody"/>
        <w:spacing w:before="360" w:after="283"/>
        <w:rPr/>
      </w:pPr>
      <w:r>
        <w:rPr/>
        <w:t> </w:t>
      </w:r>
    </w:p>
    <w:p>
      <w:pPr>
        <w:pStyle w:val="TextBody"/>
        <w:spacing w:before="0" w:after="0"/>
        <w:ind w:left="0" w:right="0" w:firstLine="240"/>
        <w:jc w:val="left"/>
        <w:rPr>
          <w:rFonts w:ascii="Times New Roman;Times" w:hAnsi="Times New Roman;Times"/>
          <w:color w:val="000000"/>
          <w:sz w:val="17"/>
          <w:highlight w:val="white"/>
          <w:bdr w:val="single" w:sz="2" w:space="12" w:color="000000"/>
        </w:rPr>
      </w:pPr>
      <w:r>
        <w:rPr>
          <w:rFonts w:ascii="Times New Roman;Times" w:hAnsi="Times New Roman;Times"/>
          <w:b/>
          <w:color w:val="000000"/>
          <w:sz w:val="20"/>
          <w:highlight w:val="white"/>
          <w:bdr w:val="single" w:sz="2" w:space="12" w:color="000000"/>
        </w:rPr>
        <w:t>THE EXCHANGE OFFER AND WITHDRAWAL RIGHTS WILL EXPIRE AT 5:00 P.M., NEW YORK CITY TIME, ON JULY 18, 2007 (THE EXPIRATION DATE), UNLESS THE EXCHANGE OFFER IS EXTENDED BY THE ISSUERS.</w:t>
      </w:r>
      <w:r>
        <w:rPr>
          <w:rFonts w:ascii="Times New Roman;Times" w:hAnsi="Times New Roman;Times"/>
          <w:color w:val="000000"/>
          <w:sz w:val="17"/>
          <w:highlight w:val="white"/>
          <w:bdr w:val="single" w:sz="2" w:space="12" w:color="000000"/>
        </w:rPr>
        <w:t xml:space="preserve"> </w:t>
      </w:r>
    </w:p>
    <w:p>
      <w:pPr>
        <w:pStyle w:val="TextBody"/>
        <w:spacing w:before="3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7"/>
          <w:highlight w:val="white"/>
        </w:rPr>
        <w:t>The Exchange Agent for the Exchange Offer is: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U.S. Bank Corporate Trust Services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Specialized Finance Dept.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60 Livingston Avenue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St. Paul, MN 55107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Brandi Steward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651-495-4738 </w:t>
      </w:r>
    </w:p>
    <w:p>
      <w:pPr>
        <w:pStyle w:val="TextBody"/>
        <w:spacing w:before="1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If you wish to exchange currently outstanding 6.125% Senior Notes due 2017 (the outstanding notes) for an equal aggregate principal amount at maturity of new 6.125% Senior Notes due 2017 pursuant to the exchange offer, you must validly tender (and not withdraw) outstanding notes to the exchange agent prior to the expiration date.</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undersigned hereby acknowledges receipt of the Prospectus, dated June 5, 2007 (the Prospectus), of Plains All American Pipeline, L.P. and PAA Finance Corp. (the Issuers), and this Letter of Transmittal (the Letter of Transmittal), which together describe the Issuers offer (the Exchange Offer) to exchange their 6.125% Senior Notes due 2017 (the New Notes) that have been registered under the Securities Act of 1933, as amended (the Securities Act), for a like principal amount of their issued and outstanding 6.125% Senior Notes due 2017 (the Outstanding Notes). Capitalized terms used but not defined herein have the respective meaning given to them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right, at any time or from time to time, to extend the Exchange Offer at their discretion, in which event the term Expiration Date shall mean the latest date to which the Exchange Offer is extended. The Issuers shall notify the Exchange Agent and each registered holder of the Outstanding Notes of any extension by oral or written notice prior to 9:00 a.m., New York City time, on the next business day after the previously scheduled Expiration Date.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Letter of Transmittal is to be used by holders of the Outstanding Notes. Tender of Outstanding Notes is to be made according to the Automated Tender Offer Program (ATOP) of The Depository Trust Company (DTC) pursuant to the procedures set forth in the Prospectus under the caption Exchange Offers  Procedures for Tendering. DTC participants that are accepting the Exchange Offer must transmit their acceptance to DTC, which will verify the acceptance and execute a book-entry delivery to the Exchange Agents DTC account. DTC will then send a computer-generated message known as an agents message to the Exchange Agent for its acceptance. For you to validly tender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your Outstanding Notes in the Exchange Offer, the Exchange Agent must receive, prior to the Expiration Date, an agents message under the ATOP procedures confirming that: </w:t>
      </w:r>
    </w:p>
    <w:p>
      <w:pPr>
        <w:pStyle w:val="TextBody"/>
        <w:spacing w:before="120" w:after="283"/>
        <w:rPr/>
      </w:pPr>
      <w:r>
        <w:rPr/>
        <w:t> </w:t>
      </w:r>
    </w:p>
    <w:p>
      <w:pPr>
        <w:pStyle w:val="TextBody"/>
        <w:spacing w:before="0" w:after="0"/>
        <w:jc w:val="left"/>
        <w:rPr>
          <w:color w:val="000000"/>
          <w:highlight w:val="white"/>
        </w:rPr>
      </w:pPr>
      <w:r>
        <w:rPr>
          <w:color w:val="000000"/>
          <w:highlight w:val="white"/>
        </w:rPr>
        <w:t> </w:t>
      </w:r>
      <w:r>
        <w:rPr>
          <w:rFonts w:ascii="Times New Roman;Times" w:hAnsi="Times New Roman;Times"/>
          <w:color w:val="000000"/>
          <w:sz w:val="17"/>
          <w:highlight w:val="white"/>
        </w:rPr>
        <w:t xml:space="preserve"> DTC has received your instructions to tender your Outstanding Notes; and </w:t>
      </w:r>
    </w:p>
    <w:p>
      <w:pPr>
        <w:pStyle w:val="TextBody"/>
        <w:spacing w:before="120" w:after="283"/>
        <w:rPr/>
      </w:pPr>
      <w:r>
        <w:rPr/>
        <w:t> </w:t>
      </w:r>
    </w:p>
    <w:p>
      <w:pPr>
        <w:pStyle w:val="TextBody"/>
        <w:spacing w:before="0" w:after="0"/>
        <w:jc w:val="left"/>
        <w:rPr>
          <w:color w:val="000000"/>
          <w:highlight w:val="white"/>
        </w:rPr>
      </w:pPr>
      <w:r>
        <w:rPr>
          <w:color w:val="000000"/>
          <w:highlight w:val="white"/>
        </w:rPr>
        <w:t> </w:t>
      </w:r>
      <w:r>
        <w:rPr>
          <w:rFonts w:ascii="Times New Roman;Times" w:hAnsi="Times New Roman;Times"/>
          <w:color w:val="000000"/>
          <w:sz w:val="17"/>
          <w:highlight w:val="white"/>
        </w:rPr>
        <w:t xml:space="preserve"> You agree to be bound by the terms of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 </w:t>
      </w:r>
    </w:p>
    <w:p>
      <w:pPr>
        <w:pStyle w:val="TextBody"/>
        <w:spacing w:before="360" w:after="283"/>
        <w:rPr/>
      </w:pPr>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SIGNATURES MUST BE PROVIDED</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PLEASE READ THE ACCOMPANYING INSTRUCTIONS CAREFULLY.</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Ladies and Gentlemen:</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By tendering Outstanding Notes in the Exchange Offer, you acknowledge receipt of the Prospectus and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By tendering Outstanding Notes in the Exchange Offer, you represent and warrant that you have full authority to tender the Outstanding Notes described above and will, upon request, execute and deliver any additional documents deemed by the Issuers to be necessary or desirable to complete the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You understand that the tender of the Outstanding Notes pursuant to all of the procedures set forth in the Prospectus will constitute an agreement between the undersigned and the Issuers as to the terms and conditions set forth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By tendering Outstanding Notes in the Exchange Offer, you acknowledge that the Exchange Offer is being made in reliance upon interpretations contained in no-action letters issued to third parties by the staff of the Securities and Exchange Commission (the SEC), including Exxon Capital Holdings Corp., SEC No-Action Letter (available April 13, 1989), Morgan Stanley &amp; Co. Inc., SEC No-Action Letter (available June 5, 1991) and Shearman &amp; Sterling, SEC No-Action Letter (available July 2, 1993), that the New Notes issued in exchange for the Outstanding Notes pursuant to the Exchange Offer may be offered for resale, resold and otherwise transferred by holders thereof without compliance with the registration and prospectus delivery provisions of the Securities Act (other than a broker-dealer who purchased Outstanding Notes exchanged for such New Notes directly from the Issuers to resell pursuant to Rule 144A or any other available exemption under the Securities Act of 1933, as amended (the Securities Act) and any such holder that is an affiliate of the Issuers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By tendering Outstanding Notes in the Exchange Offer, you hereby represent and warrant that: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the New Notes acquired pursuant to the Exchange Offer are being obtained in the ordinary course of your business, whether or not you are the holder;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you have no arrangement or understanding with any person to participate in the distribution of Outstanding Notes or New Notes within the meaning of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you are not an affiliate, as such term is defined under Rule 405 promulgated under the Securities Act, of the Issuers;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 if you are not a broker-dealer, that you are not engaged in, and do not intend to engage in, the distribution of the New Notes; and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 if you are a broker-dealer, that you will receive the New Notes for your own account in exchange for Outstanding Notes that were acquired as a result of market-making activities or other trading activities and that you acknowledge that you will deliver a prospectus in connection with any resale of such New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You may, if you are unable to make all of the representations and warranties contained in Item 5 above and as otherwise permitted in the Registration Rights Agreement (as defined below), elect to have your Outstanding Notes registered in the shelf registration statement described in the Exchange and Registration Rights Agreement, dated as of October 30, 2006 (the Registration Rights Agreement), by and among the Issuers, the Guarantors (as defined therein) and the Initial Purchasers (as defined therein). Such election may be made by notifying the Issuers in writing at 333 Clay Street, Suite 1600, Houston, Texas 77002, Attention: Tim Moore. By making such election, you agree, as a holder of Outstanding Notes participating in a shelf registration, to indemnify and hold harmless the Issuers, each of the directors of the Issuers, each of the officers of the Issuers who signs such shelf registration statement, each person who controls the Issuers within the meaning of either the Securities Act or the Securities Exchange Act of 1934, as amended (the Exchange Act), and each other holder of Outstanding Notes, from and against any and all losses, claims, damages or liabilities caused by any untrue statement or alleged untrue statement of a material fact contained in any shelf registration statement or prospectus, or in any supplement thereto or amendment thereof, or caused by the omission or alleged omission to state therein a material fact required to be stated therein or necessary to make the statements therein, in the light of the circumstances under which they were made, not misleading; but only with respect to information relating to you furnished in writing by you or on your behalf expressly for use in a shelf registration statement, a prospectus or any amendments or supplements thereto.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If you are a broker-dealer that will receive New Notes for your own account in exchange for Outstanding Notes that were acquired as a result of market-making activities or other trading activities, you acknowledge by tendering Outstanding Notes in the Exchange Offer, that you will deliver a prospectus in connection with any resale of such New Notes; however, by so acknowledging and by delivering a prospectus, you will not be deemed to admit that you are an underwriter within the meaning of the Securities Act. If you are a broker-dealer and Outstanding Notes held for your own account were not acquired as a result of market-making or other trading activities, such Outstanding Notes cannot be exchanged pursuant to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of your obligations hereunder shall be binding upon your successors, assigns, executors, administrators, trustees in bankruptcy and legal and personal representatives. </w:t>
      </w:r>
    </w:p>
    <w:p>
      <w:pPr>
        <w:pStyle w:val="TextBody"/>
        <w:spacing w:before="360" w:after="283"/>
        <w:rPr/>
      </w:pPr>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INSTRUCTIONS</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FORMING PART OF THE TERMS AND CONDITIONS OF THE EXCHANGE OFFER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Book-Entry Confirmations.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confirmation of a book-entry transfer of Outstanding Notes to the Exchange Agents account at DTC (a Book-Entry Confirmation), as well as any agents message and any other documents required by this Letter of Transmittal, must be received by the Exchange Agent at its address set forth herein prior to 5:00 P.M., New York City time, on the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Partial Tenders.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of Outstanding Notes will be accepted only in integral multiples of $1,000. The entire principal amount of Outstanding Notes delivered to the Exchange Agent will be deemed to have been tendered unless otherwise communicated to the Exchange Agent. If the entire principal amount of all Outstanding Notes is not tendered, then Outstanding Notes for the principal amount of Outstanding Notes not tendered and New Notes issued in exchange for any Outstanding Notes accepted will be delivered to the holder via the facilities of DTC promptly after the Outstanding Notes are accepted for exchange.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Validity of Tenders.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questions as to the validity, form, eligibility (including time of receipt), acceptance, and withdrawal of tendered Outstanding Notes will be determined by the Issuers, in their sole discretion, which determination will be final and binding. The Issuers reserve the absolute right to reject any or all tenders not in proper form or the acceptance for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exchange of which may, in the opinion of counsel for the Issuers, be unlawful. The Issuers also reserve the absolute right to waive any of the conditions of the Exchange Offer or any defect or irregularity in the tender of any Outstanding Notes. The Issuers interpretation of the terms and conditions of the Exchange Offer (including the instructions on the Letter of Transmittal) will be final and binding on all parties. Unless waived, any defects or irregularities in connection with tenders of Outstanding Notes must be cured within such time as the Issuers shall determine. Although the Issuers intend to notify holders of defects or irregularities with respect to tenders of Outstanding Notes, neither the Issuers, the Exchange Agent, nor any other person shall be under any duty to give notification of any defects or irregularities in tenders or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Waiver of Conditions.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absolute right to waive, in whole or part, up to the expiration of the Exchange Offer, any of the conditions to the Exchange Offer set forth in the Prospectus or in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No Conditional Tender.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alternative, conditional, irregular or contingent tender of Outstanding Notes will be accepted.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Request for Assistance or Additional Copies.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Withdrawal.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may be withdrawn only pursuant to the limited withdrawal rights set forth in the Prospectus under the caption Exchange Offers  Withdrawal of Tenders.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No Guarantee of Late Delivery.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 of late delivery in the Exchange Offer.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IMPORTANT: BY USING THE ATOP PROCEDURES TO TENDER OUTSTANDING NOTES, YOU WILL NOT BE REQUIRED TO DELIVER THIS LETTER OF TRANSMITTAL TO THE EXCHANGE AGENT. YOU WILL, HOWEVER, BE BOUND BY ITS TERMS, AND YOU WILL BE DEEMED TO HAVE MADE THE ACKNOWLEDGMENTS AND THE REPRESENTATIONS AND WARRANTIES IT CONTAINS, JUST AS IF YOU HAD SIGNED IT.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right"/>
        <w:rPr>
          <w:rFonts w:ascii="Arial;Helvetica" w:hAnsi="Arial;Helvetica"/>
          <w:color w:val="000000"/>
          <w:sz w:val="17"/>
          <w:highlight w:val="white"/>
        </w:rPr>
      </w:pPr>
      <w:r>
        <w:rPr>
          <w:rFonts w:ascii="Times New Roman;Times" w:hAnsi="Times New Roman;Times"/>
          <w:b/>
          <w:color w:val="000000"/>
          <w:sz w:val="17"/>
          <w:highlight w:val="white"/>
        </w:rPr>
        <w:t>ANNEX B</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center"/>
        <w:rPr>
          <w:rFonts w:ascii="Arial;Helvetica" w:hAnsi="Arial;Helvetica"/>
          <w:color w:val="000000"/>
          <w:sz w:val="27"/>
          <w:highlight w:val="white"/>
        </w:rPr>
      </w:pPr>
      <w:bookmarkStart w:id="16" w:name="114"/>
      <w:bookmarkEnd w:id="16"/>
      <w:r>
        <w:rPr>
          <w:rFonts w:ascii="Times New Roman;Times" w:hAnsi="Times New Roman;Times"/>
          <w:b/>
          <w:color w:val="000000"/>
          <w:sz w:val="27"/>
          <w:highlight w:val="white"/>
        </w:rPr>
        <w:t>LETTER OF TRANSMITTAL</w:t>
      </w:r>
      <w:r>
        <w:rPr>
          <w:rFonts w:ascii="Arial;Helvetica" w:hAnsi="Arial;Helvetica"/>
          <w:color w:val="000000"/>
          <w:sz w:val="2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TO TENDER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OUTSTANDING 6.650% SENIOR NOTES DUE 2037</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OF</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7"/>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AND</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7"/>
          <w:highlight w:val="white"/>
        </w:rPr>
        <w:t>PAA FINANCE CORP.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PURSUANT TO THE EXCHANGE OFFER AND PROSPECTUS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DATED JUNE 5, 2007</w:t>
      </w:r>
      <w:r>
        <w:rPr>
          <w:rFonts w:ascii="Times New Roman;Times" w:hAnsi="Times New Roman;Times"/>
          <w:color w:val="000000"/>
          <w:sz w:val="17"/>
          <w:highlight w:val="white"/>
        </w:rPr>
        <w:t xml:space="preserve"> </w:t>
      </w:r>
    </w:p>
    <w:p>
      <w:pPr>
        <w:pStyle w:val="TextBody"/>
        <w:spacing w:before="320" w:after="283"/>
        <w:rPr/>
      </w:pPr>
      <w:r>
        <w:rPr/>
        <w:t> </w:t>
      </w:r>
    </w:p>
    <w:p>
      <w:pPr>
        <w:pStyle w:val="TextBody"/>
        <w:spacing w:before="0" w:after="0"/>
        <w:ind w:left="0" w:right="0" w:firstLine="240"/>
        <w:jc w:val="left"/>
        <w:rPr>
          <w:rFonts w:ascii="Times New Roman;Times" w:hAnsi="Times New Roman;Times"/>
          <w:color w:val="000000"/>
          <w:sz w:val="17"/>
          <w:highlight w:val="white"/>
          <w:bdr w:val="single" w:sz="2" w:space="12" w:color="000000"/>
        </w:rPr>
      </w:pPr>
      <w:r>
        <w:rPr>
          <w:rFonts w:ascii="Times New Roman;Times" w:hAnsi="Times New Roman;Times"/>
          <w:b/>
          <w:color w:val="000000"/>
          <w:sz w:val="20"/>
          <w:highlight w:val="white"/>
          <w:bdr w:val="single" w:sz="2" w:space="12" w:color="000000"/>
        </w:rPr>
        <w:t>THE EXCHANGE OFFER AND WITHDRAWAL RIGHTS WILL EXPIRE AT 5:00 P.M., NEW YORK CITY TIME, ON JULY 18, 2007 (THE EXPIRATION DATE), UNLESS THE EXCHANGE OFFER IS EXTENDED BY THE ISSUERS.</w:t>
      </w:r>
      <w:r>
        <w:rPr>
          <w:rFonts w:ascii="Times New Roman;Times" w:hAnsi="Times New Roman;Times"/>
          <w:color w:val="000000"/>
          <w:sz w:val="17"/>
          <w:highlight w:val="white"/>
          <w:bdr w:val="single" w:sz="2" w:space="12" w:color="000000"/>
        </w:rPr>
        <w:t xml:space="preserve"> </w:t>
      </w:r>
    </w:p>
    <w:p>
      <w:pPr>
        <w:pStyle w:val="TextBody"/>
        <w:spacing w:before="3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7"/>
          <w:highlight w:val="white"/>
        </w:rPr>
        <w:t>The Exchange Agent for the Exchange Offer is: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U.S. Bank Corporate Trust Services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Specialized Finance Dept.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60 Livingston Avenue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St. Paul, MN 55107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Brandi Steward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651-495-4738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If you wish to exchange currently outstanding 6.650% Senior Notes due 2037 (the outstanding notes) for an equal aggregate principal amount at maturity of new 6.650% Senior Notes due 2037 pursuant to the exchange offer, you must validly tender (and not withdraw) outstanding notes to the exchange agent prior to the expiration date.</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undersigned hereby acknowledges receipt of the Prospectus, dated June 5, 2007 (the Prospectus), of Plains All American Pipeline, L.P. and PAA Finance Corp. (the Issuers), and this Letter of Transmittal (the Letter of Transmittal), which together describe the Issuers offer (the Exchange Offer) to exchange their 6.650% Senior Notes due 2037 (the New Notes) that have been registered under the Securities Act of 1933, as amended (the Securities Act), for a like principal amount of their issued and outstanding 6.650% Senior Notes due 2037 (the Outstanding Notes). Capitalized terms used but not defined herein have the respective meaning given to them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right, at any time or from time to time, to extend the Exchange Offer at their discretion, in which event the term Expiration Date shall mean the latest date to which the Exchange Offer is extended. The Issuers shall notify the Exchange Agent and each registered holder of the Outstanding Notes of any extension by oral or written notice prior to 9:00 a.m., New York City time, on the next business day after the previously scheduled Expiration Date.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Letter of Transmittal is to be used by holders of the Outstanding Notes. Tender of Outstanding Notes is to be made according to the Automated Tender Offer Program (ATOP) of The Depository Trust Company (DTC) pursuant to the procedures set forth in the Prospectus under the caption Exchange Offers  Procedures for Tendering. DTC participants that are accepting the Exchange Offer must transmit their acceptance to DTC, which will verify the acceptance and execute a book-entry delivery to the Exchange Agents DTC account. DTC will then send a computer-generated message known as an agents message to the Exchange Agent for its acceptance. For you to validly tender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B-1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your Outstanding Notes in the Exchange Offer, the Exchange Agent must receive, prior to the Expiration Date, an agents message under the ATOP procedures confirming that: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 DTC has received your instructions to tender your Outstanding Notes;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 You agree to be bound by the terms of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SIGNATURES MUST BE PROVIDED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PLEASE READ THE ACCOMPANYING INSTRUCTIONS CAREFULLY.</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Ladies and Gentlemen: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By tendering Outstanding Notes in the Exchange Offer, you acknowledge receipt of the Prospectus and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By tendering Outstanding Notes in the Exchange Offer, you represent and warrant that you have full authority to tender the Outstanding Notes described above and will, upon request, execute and deliver any additional documents deemed by the Issuers to be necessary or desirable to complete the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You understand that the tender of the Outstanding Notes pursuant to all of the procedures set forth in the Prospectus will constitute an agreement between the undersigned and the Issuers as to the terms and conditions set forth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By tendering Outstanding Notes in the Exchange Offer, you acknowledge that the Exchange Offer is being made in reliance upon interpretations contained in no-action letters issued to third parties by the staff of the Securities and Exchange Commission (the SEC), including Exxon Capital Holdings Corp., SEC No-Action Letter (available April 13, 1989), Morgan Stanley &amp; Co. Inc., SEC No-Action Letter (available June 5, 1991) and Shearman &amp; Sterling, SEC No-Action Letter (available July 2, 1993), that the New Notes issued in exchange for the Outstanding Notes pursuant to the Exchange Offer may be offered for resale, resold and otherwise transferred by holders thereof without compliance with the registration and prospectus delivery provisions of the Securities Act (other than a broker-dealer who purchased Outstanding Notes exchanged for such New Notes directly from the Issuers to resell pursuant to Rule 144A or any other available exemption under the Securities Act of 1933, as amended (the Securities Act) and any such holder that is an affiliate of the Issuers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By tendering Outstanding Notes in the Exchange Offer, you hereby represent and warrant that: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the New Notes acquired pursuant to the Exchange Offer are being obtained in the ordinary course of your business, whether or not you are the holder;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you have no arrangement or understanding with any person to participate in the distribution of Outstanding Notes or New Notes within the meaning of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you are not an affiliate, as such term is defined under Rule 405 promulgated under the Securities Act, of the Issuers;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 if you are not a broker-dealer, that you are not engaged in, and do not intend to engage in, the distribution of the New Notes;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B-2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 if you are a broker-dealer, that you will receive the New Notes for your own account in exchange for Outstanding Notes that were acquired as a result of market-making activities or other trading activities and that you acknowledge that you will deliver a prospectus in connection with any resale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You may, if you are unable to make all of the representations and warranties contained in Item 5 above and as otherwise permitted in the Registration Rights Agreement (as defined below), elect to have your Outstanding Notes registered in the shelf registration statement described in the Exchange and Registration Rights Agreement, dated as of October 30, 2006 (the Registration Rights Agreement), by and among the Issuers, the Guarantors (as defined therein) and the Initial Purchasers (as defined therein). Such election may be made by notifying the Issuers in writing at 333 Clay Street, Suite 1600, Houston, Texas 77002, Attention: Tim Moore. By making such election, you agree, as a holder of Outstanding Notes participating in a shelf registration, to indemnify and hold harmless the Issuers, each of the directors of the Issuers, each of the officers of the Issuers who signs such shelf registration statement, each person who controls the Issuers within the meaning of either the Securities Act or the Securities Exchange Act of 1934, as amended (the Exchange Act), and each other holder of Outstanding Notes, from and against any and all losses, claims, damages or liabilities caused by any untrue statement or alleged untrue statement of a material fact contained in any shelf registration statement or prospectus, or in any supplement thereto or amendment thereof, or caused by the omission or alleged omission to state therein a material fact required to be stated therein or necessary to make the statements therein, in the light of the circumstances under which they were made, not misleading; but only with respect to information relating to you furnished in writing by you or on your behalf expressly for use in a shelf registration statement, a prospectus or any amendments or supplements thereto.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If you are a broker-dealer that will receive New Notes for your own account in exchange for Outstanding Notes that were acquired as a result of market-making activities or other trading activities, you acknowledge by tendering Outstanding Notes in the Exchange Offer, that you will deliver a prospectus in connection with any resale of such New Notes; however, by so acknowledging and by delivering a prospectus, you will not be deemed to admit that you are an underwriter within the meaning of the Securities Act. If you are a broker-dealer and Outstanding Notes held for your own account were not acquired as a result of market-making or other trading activities, such Outstanding Notes cannot be exchanged pursuant to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of your obligations hereunder shall be binding upon your successors, assigns, executors, administrators, trustees in bankruptcy and legal and personal representatives.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INSTRUCTIONS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FORMING PART OF THE TERMS AND CONDITIONS OF THE EXCHANGE OFFER</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Book-Entry Confirmations.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confirmation of a book-entry transfer of Outstanding Notes to the Exchange Agents account at DTC (a Book-Entry Confirmation), as well as any agents message and any other documents required by this Letter of Transmittal, must be received by the Exchange Agent at its address set forth herein prior to 5:00 P.M., New York City time, on the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Partial Tenders.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of Outstanding Notes will be accepted only in integral multiples of $1,000. The entire principal amount of Outstanding Notes delivered to the Exchange Agent will be deemed to have been tendered unless otherwise communicated to the Exchange Agent. If the entire principal amount of all Outstanding Notes is not tendered, then Outstanding Notes for the principal amount of Outstanding Notes not tendered and New Notes issued in exchange for any Outstanding Notes accepted will be delivered to the holder via the facilities of DTC promptly after the Outstanding Notes are accepted for exchange.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B-3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Validity of Tenders.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questions as to the validity, form, eligibility (including time of receipt), acceptance, and withdrawal of tendered Outstanding Notes will be determined by the Issuers, in their sole discretion, which determination will be final and binding. The Issuers reserve the absolute right to reject any or all tenders not in proper form or the acceptance for exchange of which may, in the opinion of counsel for the Issuers, be unlawful. The Issuers also reserve the absolute right to waive any of the conditions of the Exchange Offer or any defect or irregularity in the tender of any Outstanding Notes. The Issuers interpretation of the terms and conditions of the Exchange Offer (including the instructions on the Letter of Transmittal) will be final and binding on all parties. Unless waived, any defects or irregularities in connection with tenders of Outstanding Notes must be cured within such time as the Issuers shall determine. Although the Issuers intend to notify holders of defects or irregularities with respect to tenders of Outstanding Notes, neither the Issuers, the Exchange Agent, nor any other person shall be under any duty to give notification of any defects or irregularities in tenders or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Waiver of Conditions.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absolute right to waive, in whole or part, up to the expiration of the Exchange Offer, any of the conditions to the Exchange Offer set forth in the Prospectus or in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No Conditional Tender.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alternative, conditional, irregular or contingent tender of Outstanding Notes will be accepted.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Request for Assistance or Additional Copies.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Withdrawal.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may be withdrawn only pursuant to the limited withdrawal rights set forth in the Prospectus under the caption Exchange Offers  Withdrawal of Tenders.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No Guarantee of Late Delivery.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 of late delivery in the Exchange Offer.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IMPORTANT: BY USING THE ATOP PROCEDURES TO TENDER OUTSTANDING NOTES, YOU WILL NOT BE REQUIRED TO DELIVER THIS LETTER OF TRANSMITTAL TO THE EXCHANGE AGENT. YOU WILL, HOWEVER, BE BOUND BY ITS TERMS, AND YOU WILL BE DEEMED TO HAVE MADE THE ACKNOWLEDGMENTS AND THE REPRESENTATIONS AND WARRANTIES IT CONTAINS, JUST AS IF YOU HAD SIGNED IT. </w:t>
      </w:r>
    </w:p>
    <w:p>
      <w:pPr>
        <w:pStyle w:val="TextBody"/>
        <w:shd w:fill="FFFFFF" w:val="clear"/>
        <w:spacing w:before="0" w:after="0"/>
        <w:jc w:val="center"/>
        <w:rPr>
          <w:rFonts w:ascii="Times New Roman;Times" w:hAnsi="Times New Roman;Times"/>
          <w:color w:val="000000"/>
          <w:sz w:val="17"/>
        </w:rPr>
      </w:pPr>
      <w:r>
        <w:rPr>
          <w:rFonts w:ascii="Times New Roman;Times" w:hAnsi="Times New Roman;Times"/>
          <w:color w:val="000000"/>
          <w:sz w:val="17"/>
        </w:rPr>
        <w:br/>
        <w:t xml:space="preserve">B-4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44</Pages>
  <Words>22869</Words>
  <CharactersWithSpaces>139094</CharactersWithSpaces>
  <Paragraphs>1720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e424b3</dc:title>
</cp:coreProperties>
</file>