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2)*</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Plains GP Holdings, L.P.</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Class A Shares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72651A207</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December 31, 2018</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40" w:hanging="143"/>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X ]  Rule 13d-1(b)</w:t>
      </w:r>
    </w:p>
    <w:p>
      <w:pPr>
        <w:spacing w:after="0" w:line="23" w:lineRule="exact"/>
        <w:rPr>
          <w:rFonts w:ascii="Arial" w:cs="Arial" w:eastAsia="Arial" w:hAnsi="Arial"/>
          <w:sz w:val="18"/>
          <w:szCs w:val="18"/>
          <w:color w:val="auto"/>
        </w:rPr>
      </w:pPr>
    </w:p>
    <w:p>
      <w:pPr>
        <w:ind w:left="1580" w:hanging="383"/>
        <w:spacing w:after="0"/>
        <w:tabs>
          <w:tab w:leader="none" w:pos="1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13d-1(c)</w:t>
      </w:r>
    </w:p>
    <w:p>
      <w:pPr>
        <w:spacing w:after="0" w:line="9" w:lineRule="exact"/>
        <w:rPr>
          <w:rFonts w:ascii="Arial" w:cs="Arial" w:eastAsia="Arial" w:hAnsi="Arial"/>
          <w:sz w:val="18"/>
          <w:szCs w:val="18"/>
          <w:color w:val="auto"/>
        </w:rPr>
      </w:pPr>
    </w:p>
    <w:p>
      <w:pPr>
        <w:ind w:left="1580" w:hanging="383"/>
        <w:spacing w:after="0"/>
        <w:tabs>
          <w:tab w:leader="none" w:pos="1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21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60" w:type="dxa"/>
            <w:vAlign w:val="bottom"/>
            <w:tcBorders>
              <w:top w:val="single" w:sz="8" w:color="auto"/>
              <w:left w:val="single" w:sz="8" w:color="auto"/>
              <w:bottom w:val="single" w:sz="8" w:color="auto"/>
            </w:tcBorders>
          </w:tcPr>
          <w:p>
            <w:pPr>
              <w:spacing w:after="0"/>
              <w:rPr>
                <w:sz w:val="19"/>
                <w:szCs w:val="19"/>
                <w:color w:val="auto"/>
              </w:rPr>
            </w:pPr>
          </w:p>
        </w:tc>
        <w:tc>
          <w:tcPr>
            <w:tcW w:w="1900" w:type="dxa"/>
            <w:vAlign w:val="bottom"/>
            <w:tcBorders>
              <w:top w:val="single" w:sz="8" w:color="auto"/>
              <w:bottom w:val="single" w:sz="8" w:color="auto"/>
              <w:right w:val="single" w:sz="8" w:color="auto"/>
            </w:tcBorders>
            <w:gridSpan w:val="4"/>
          </w:tcPr>
          <w:p>
            <w:pPr>
              <w:jc w:val="right"/>
              <w:spacing w:after="0"/>
              <w:rPr>
                <w:sz w:val="20"/>
                <w:szCs w:val="20"/>
                <w:color w:val="auto"/>
              </w:rPr>
            </w:pPr>
            <w:r>
              <w:rPr>
                <w:rFonts w:ascii="Arial" w:cs="Arial" w:eastAsia="Arial" w:hAnsi="Arial"/>
                <w:sz w:val="18"/>
                <w:szCs w:val="18"/>
                <w:color w:val="auto"/>
                <w:w w:val="98"/>
              </w:rPr>
              <w:t>CUSIP No. 72651A207</w:t>
            </w:r>
          </w:p>
        </w:tc>
        <w:tc>
          <w:tcPr>
            <w:tcW w:w="260" w:type="dxa"/>
            <w:vAlign w:val="bottom"/>
          </w:tcPr>
          <w:p>
            <w:pPr>
              <w:spacing w:after="0"/>
              <w:rPr>
                <w:sz w:val="19"/>
                <w:szCs w:val="19"/>
                <w:color w:val="auto"/>
              </w:rPr>
            </w:pPr>
          </w:p>
        </w:tc>
        <w:tc>
          <w:tcPr>
            <w:tcW w:w="7600" w:type="dxa"/>
            <w:vAlign w:val="bottom"/>
            <w:tcBorders>
              <w:right w:val="single" w:sz="8" w:color="auto"/>
            </w:tcBorders>
          </w:tcPr>
          <w:p>
            <w:pPr>
              <w:spacing w:after="0"/>
              <w:rPr>
                <w:sz w:val="19"/>
                <w:szCs w:val="19"/>
                <w:color w:val="auto"/>
              </w:rPr>
            </w:pPr>
          </w:p>
        </w:tc>
        <w:tc>
          <w:tcPr>
            <w:tcW w:w="160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Page 2 of 6 Pages</w:t>
            </w:r>
          </w:p>
        </w:tc>
        <w:tc>
          <w:tcPr>
            <w:tcW w:w="0" w:type="dxa"/>
            <w:vAlign w:val="bottom"/>
          </w:tcPr>
          <w:p>
            <w:pPr>
              <w:spacing w:after="0"/>
              <w:rPr>
                <w:sz w:val="1"/>
                <w:szCs w:val="1"/>
                <w:color w:val="auto"/>
              </w:rPr>
            </w:pPr>
          </w:p>
        </w:tc>
      </w:tr>
      <w:tr>
        <w:trPr>
          <w:trHeight w:val="453"/>
        </w:trPr>
        <w:tc>
          <w:tcPr>
            <w:tcW w:w="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 w:type="dxa"/>
            <w:vAlign w:val="bottom"/>
            <w:tcBorders>
              <w:left w:val="single" w:sz="8" w:color="auto"/>
              <w:right w:val="single" w:sz="8" w:color="auto"/>
            </w:tcBorders>
          </w:tcPr>
          <w:p>
            <w:pPr>
              <w:spacing w:after="0"/>
              <w:rPr>
                <w:sz w:val="20"/>
                <w:szCs w:val="20"/>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w:t>
            </w:r>
          </w:p>
        </w:tc>
        <w:tc>
          <w:tcPr>
            <w:tcW w:w="140" w:type="dxa"/>
            <w:vAlign w:val="bottom"/>
          </w:tcPr>
          <w:p>
            <w:pPr>
              <w:spacing w:after="0"/>
              <w:rPr>
                <w:sz w:val="20"/>
                <w:szCs w:val="20"/>
                <w:color w:val="auto"/>
              </w:rPr>
            </w:pPr>
          </w:p>
        </w:tc>
        <w:tc>
          <w:tcPr>
            <w:tcW w:w="834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60" w:type="dxa"/>
            <w:vAlign w:val="bottom"/>
            <w:tcBorders>
              <w:left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34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Chickasaw Capital Management, LLC</w:t>
            </w:r>
          </w:p>
        </w:tc>
        <w:tc>
          <w:tcPr>
            <w:tcW w:w="1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0" w:type="dxa"/>
            <w:vAlign w:val="bottom"/>
            <w:tcBorders>
              <w:left w:val="single" w:sz="8" w:color="auto"/>
              <w:right w:val="single" w:sz="8" w:color="auto"/>
            </w:tcBorders>
          </w:tcPr>
          <w:p>
            <w:pPr>
              <w:spacing w:after="0"/>
              <w:rPr>
                <w:sz w:val="16"/>
                <w:szCs w:val="16"/>
                <w:color w:val="auto"/>
              </w:rPr>
            </w:pPr>
          </w:p>
        </w:tc>
        <w:tc>
          <w:tcPr>
            <w:tcW w:w="12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79"/>
              </w:rPr>
              <w:t>2</w:t>
            </w:r>
          </w:p>
        </w:tc>
        <w:tc>
          <w:tcPr>
            <w:tcW w:w="140" w:type="dxa"/>
            <w:vAlign w:val="bottom"/>
          </w:tcPr>
          <w:p>
            <w:pPr>
              <w:spacing w:after="0"/>
              <w:rPr>
                <w:sz w:val="16"/>
                <w:szCs w:val="16"/>
                <w:color w:val="auto"/>
              </w:rPr>
            </w:pPr>
          </w:p>
        </w:tc>
        <w:tc>
          <w:tcPr>
            <w:tcW w:w="8340" w:type="dxa"/>
            <w:vAlign w:val="bottom"/>
            <w:gridSpan w:val="4"/>
          </w:tcPr>
          <w:p>
            <w:pPr>
              <w:ind w:left="20"/>
              <w:spacing w:after="0" w:line="195" w:lineRule="exact"/>
              <w:rPr>
                <w:sz w:val="20"/>
                <w:szCs w:val="20"/>
                <w:color w:val="auto"/>
              </w:rPr>
            </w:pPr>
            <w:r>
              <w:rPr>
                <w:rFonts w:ascii="Arial" w:cs="Arial" w:eastAsia="Arial" w:hAnsi="Arial"/>
                <w:sz w:val="18"/>
                <w:szCs w:val="18"/>
                <w:b w:val="1"/>
                <w:bCs w:val="1"/>
                <w:color w:val="auto"/>
              </w:rPr>
              <w:t>CHECK THE APPROPRIATE BOX IF A MEMBER OF A GROUP</w:t>
            </w:r>
          </w:p>
        </w:tc>
        <w:tc>
          <w:tcPr>
            <w:tcW w:w="1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60" w:type="dxa"/>
            <w:vAlign w:val="bottom"/>
            <w:tcBorders>
              <w:left w:val="single" w:sz="8" w:color="auto"/>
              <w:right w:val="single" w:sz="8" w:color="auto"/>
            </w:tcBorders>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0" w:type="dxa"/>
            <w:vAlign w:val="bottom"/>
          </w:tcPr>
          <w:p>
            <w:pPr>
              <w:ind w:left="6080"/>
              <w:spacing w:after="0" w:line="256" w:lineRule="exact"/>
              <w:rPr>
                <w:sz w:val="20"/>
                <w:szCs w:val="20"/>
                <w:color w:val="auto"/>
              </w:rPr>
            </w:pPr>
            <w:r>
              <w:rPr>
                <w:rFonts w:ascii="Arial" w:cs="Arial" w:eastAsia="Arial" w:hAnsi="Arial"/>
                <w:sz w:val="13"/>
                <w:szCs w:val="13"/>
                <w:b w:val="1"/>
                <w:bCs w:val="1"/>
                <w:color w:val="auto"/>
              </w:rPr>
              <w:t xml:space="preserve">(a) </w:t>
            </w:r>
            <w:r>
              <w:rPr>
                <w:rFonts w:ascii="MS PGothic" w:cs="MS PGothic" w:eastAsia="MS PGothic" w:hAnsi="MS PGothic"/>
                <w:sz w:val="29"/>
                <w:szCs w:val="29"/>
                <w:color w:val="auto"/>
                <w:vertAlign w:val="subscript"/>
              </w:rPr>
              <w:t>☐</w:t>
            </w:r>
          </w:p>
        </w:tc>
        <w:tc>
          <w:tcPr>
            <w:tcW w:w="16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60" w:type="dxa"/>
            <w:vAlign w:val="bottom"/>
            <w:tcBorders>
              <w:left w:val="single" w:sz="8" w:color="auto"/>
              <w:right w:val="single" w:sz="8" w:color="auto"/>
            </w:tcBorders>
          </w:tcPr>
          <w:p>
            <w:pPr>
              <w:spacing w:after="0"/>
              <w:rPr>
                <w:sz w:val="23"/>
                <w:szCs w:val="23"/>
                <w:color w:val="auto"/>
              </w:rPr>
            </w:pPr>
          </w:p>
        </w:tc>
        <w:tc>
          <w:tcPr>
            <w:tcW w:w="1280" w:type="dxa"/>
            <w:vAlign w:val="bottom"/>
            <w:tcBorders>
              <w:bottom w:val="single" w:sz="8" w:color="auto"/>
              <w:right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600" w:type="dxa"/>
            <w:vAlign w:val="bottom"/>
            <w:tcBorders>
              <w:bottom w:val="single" w:sz="8" w:color="auto"/>
            </w:tcBorders>
          </w:tcPr>
          <w:p>
            <w:pPr>
              <w:ind w:left="6080"/>
              <w:spacing w:after="0" w:line="271" w:lineRule="exact"/>
              <w:rPr>
                <w:sz w:val="20"/>
                <w:szCs w:val="20"/>
                <w:color w:val="auto"/>
              </w:rPr>
            </w:pPr>
            <w:r>
              <w:rPr>
                <w:rFonts w:ascii="Arial" w:cs="Arial" w:eastAsia="Arial" w:hAnsi="Arial"/>
                <w:sz w:val="14"/>
                <w:szCs w:val="14"/>
                <w:b w:val="1"/>
                <w:bCs w:val="1"/>
                <w:color w:val="auto"/>
              </w:rPr>
              <w:t xml:space="preserve">(b) </w:t>
            </w:r>
            <w:r>
              <w:rPr>
                <w:rFonts w:ascii="MS PGothic" w:cs="MS PGothic" w:eastAsia="MS PGothic" w:hAnsi="MS PGothic"/>
                <w:sz w:val="31"/>
                <w:szCs w:val="31"/>
                <w:color w:val="auto"/>
                <w:vertAlign w:val="subscript"/>
              </w:rPr>
              <w:t>☐</w:t>
            </w:r>
          </w:p>
        </w:tc>
        <w:tc>
          <w:tcPr>
            <w:tcW w:w="16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60" w:type="dxa"/>
            <w:vAlign w:val="bottom"/>
            <w:tcBorders>
              <w:left w:val="single" w:sz="8" w:color="auto"/>
              <w:right w:val="single" w:sz="8" w:color="auto"/>
            </w:tcBorders>
          </w:tcPr>
          <w:p>
            <w:pPr>
              <w:spacing w:after="0"/>
              <w:rPr>
                <w:sz w:val="19"/>
                <w:szCs w:val="19"/>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140" w:type="dxa"/>
            <w:vAlign w:val="bottom"/>
          </w:tcPr>
          <w:p>
            <w:pPr>
              <w:spacing w:after="0"/>
              <w:rPr>
                <w:sz w:val="19"/>
                <w:szCs w:val="19"/>
                <w:color w:val="auto"/>
              </w:rPr>
            </w:pPr>
          </w:p>
        </w:tc>
        <w:tc>
          <w:tcPr>
            <w:tcW w:w="8340" w:type="dxa"/>
            <w:vAlign w:val="bottom"/>
            <w:gridSpan w:val="4"/>
          </w:tcPr>
          <w:p>
            <w:pPr>
              <w:ind w:left="20"/>
              <w:spacing w:after="0"/>
              <w:rPr>
                <w:sz w:val="20"/>
                <w:szCs w:val="20"/>
                <w:color w:val="auto"/>
              </w:rPr>
            </w:pPr>
            <w:r>
              <w:rPr>
                <w:rFonts w:ascii="Arial" w:cs="Arial" w:eastAsia="Arial" w:hAnsi="Arial"/>
                <w:sz w:val="18"/>
                <w:szCs w:val="18"/>
                <w:color w:val="auto"/>
              </w:rPr>
              <w:t>SEC USE ONLY</w:t>
            </w:r>
          </w:p>
        </w:tc>
        <w:tc>
          <w:tcPr>
            <w:tcW w:w="1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60" w:type="dxa"/>
            <w:vAlign w:val="bottom"/>
            <w:tcBorders>
              <w:left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0" w:type="dxa"/>
            <w:vAlign w:val="bottom"/>
            <w:tcBorders>
              <w:left w:val="single" w:sz="8" w:color="auto"/>
              <w:right w:val="single" w:sz="8" w:color="auto"/>
            </w:tcBorders>
          </w:tcPr>
          <w:p>
            <w:pPr>
              <w:spacing w:after="0"/>
              <w:rPr>
                <w:sz w:val="16"/>
                <w:szCs w:val="16"/>
                <w:color w:val="auto"/>
              </w:rPr>
            </w:pPr>
          </w:p>
        </w:tc>
        <w:tc>
          <w:tcPr>
            <w:tcW w:w="12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79"/>
              </w:rPr>
              <w:t>4</w:t>
            </w:r>
          </w:p>
        </w:tc>
        <w:tc>
          <w:tcPr>
            <w:tcW w:w="140" w:type="dxa"/>
            <w:vAlign w:val="bottom"/>
          </w:tcPr>
          <w:p>
            <w:pPr>
              <w:spacing w:after="0"/>
              <w:rPr>
                <w:sz w:val="16"/>
                <w:szCs w:val="16"/>
                <w:color w:val="auto"/>
              </w:rPr>
            </w:pPr>
          </w:p>
        </w:tc>
        <w:tc>
          <w:tcPr>
            <w:tcW w:w="8340" w:type="dxa"/>
            <w:vAlign w:val="bottom"/>
            <w:gridSpan w:val="4"/>
          </w:tcPr>
          <w:p>
            <w:pPr>
              <w:ind w:left="20"/>
              <w:spacing w:after="0" w:line="195" w:lineRule="exact"/>
              <w:rPr>
                <w:sz w:val="20"/>
                <w:szCs w:val="20"/>
                <w:color w:val="auto"/>
              </w:rPr>
            </w:pPr>
            <w:r>
              <w:rPr>
                <w:rFonts w:ascii="Arial" w:cs="Arial" w:eastAsia="Arial" w:hAnsi="Arial"/>
                <w:sz w:val="18"/>
                <w:szCs w:val="18"/>
                <w:b w:val="1"/>
                <w:bCs w:val="1"/>
                <w:color w:val="auto"/>
              </w:rPr>
              <w:t>CITIZENSHIP OR PLACE OF ORGANIZATION</w:t>
            </w:r>
          </w:p>
        </w:tc>
        <w:tc>
          <w:tcPr>
            <w:tcW w:w="1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 w:type="dxa"/>
            <w:vAlign w:val="bottom"/>
            <w:tcBorders>
              <w:left w:val="single" w:sz="8" w:color="auto"/>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3"/>
          </w:tcPr>
          <w:p>
            <w:pPr>
              <w:ind w:left="20"/>
              <w:spacing w:after="0"/>
              <w:rPr>
                <w:sz w:val="20"/>
                <w:szCs w:val="20"/>
                <w:color w:val="auto"/>
              </w:rPr>
            </w:pPr>
            <w:r>
              <w:rPr>
                <w:rFonts w:ascii="Arial" w:cs="Arial" w:eastAsia="Arial" w:hAnsi="Arial"/>
                <w:sz w:val="18"/>
                <w:szCs w:val="18"/>
                <w:color w:val="auto"/>
                <w:w w:val="89"/>
              </w:rPr>
              <w:t>Delaware</w:t>
            </w:r>
          </w:p>
        </w:tc>
        <w:tc>
          <w:tcPr>
            <w:tcW w:w="760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 w:type="dxa"/>
            <w:vAlign w:val="bottom"/>
            <w:tcBorders>
              <w:left w:val="single" w:sz="8" w:color="auto"/>
              <w:right w:val="single" w:sz="8" w:color="auto"/>
            </w:tcBorders>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5</w:t>
            </w:r>
          </w:p>
        </w:tc>
        <w:tc>
          <w:tcPr>
            <w:tcW w:w="260" w:type="dxa"/>
            <w:vAlign w:val="bottom"/>
            <w:tcBorders>
              <w:right w:val="single" w:sz="8" w:color="auto"/>
            </w:tcBorders>
          </w:tcPr>
          <w:p>
            <w:pPr>
              <w:spacing w:after="0"/>
              <w:rPr>
                <w:sz w:val="16"/>
                <w:szCs w:val="16"/>
                <w:color w:val="auto"/>
              </w:rPr>
            </w:pPr>
          </w:p>
        </w:tc>
        <w:tc>
          <w:tcPr>
            <w:tcW w:w="7600" w:type="dxa"/>
            <w:vAlign w:val="bottom"/>
          </w:tcPr>
          <w:p>
            <w:pPr>
              <w:ind w:left="160"/>
              <w:spacing w:after="0" w:line="195" w:lineRule="exact"/>
              <w:rPr>
                <w:sz w:val="20"/>
                <w:szCs w:val="20"/>
                <w:color w:val="auto"/>
              </w:rPr>
            </w:pPr>
            <w:r>
              <w:rPr>
                <w:rFonts w:ascii="Arial" w:cs="Arial" w:eastAsia="Arial" w:hAnsi="Arial"/>
                <w:sz w:val="18"/>
                <w:szCs w:val="18"/>
                <w:b w:val="1"/>
                <w:bCs w:val="1"/>
                <w:color w:val="auto"/>
              </w:rPr>
              <w:t>SOLE VOTING POWER</w:t>
            </w:r>
          </w:p>
        </w:tc>
        <w:tc>
          <w:tcPr>
            <w:tcW w:w="1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 w:type="dxa"/>
            <w:vAlign w:val="bottom"/>
            <w:tcBorders>
              <w:left w:val="single" w:sz="8" w:color="auto"/>
              <w:right w:val="single" w:sz="8" w:color="auto"/>
            </w:tcBorders>
          </w:tcPr>
          <w:p>
            <w:pPr>
              <w:spacing w:after="0"/>
              <w:rPr>
                <w:sz w:val="20"/>
                <w:szCs w:val="20"/>
                <w:color w:val="auto"/>
              </w:rPr>
            </w:pPr>
          </w:p>
        </w:tc>
        <w:tc>
          <w:tcPr>
            <w:tcW w:w="142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rPr>
              <w:t>NUMBER OF</w:t>
            </w:r>
          </w:p>
        </w:tc>
        <w:tc>
          <w:tcPr>
            <w:tcW w:w="6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7,400,736</w:t>
            </w:r>
          </w:p>
        </w:tc>
        <w:tc>
          <w:tcPr>
            <w:tcW w:w="1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right w:val="single" w:sz="8" w:color="auto"/>
            </w:tcBorders>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760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0" w:type="dxa"/>
            <w:vAlign w:val="bottom"/>
            <w:tcBorders>
              <w:left w:val="single" w:sz="8" w:color="auto"/>
              <w:right w:val="single" w:sz="8" w:color="auto"/>
            </w:tcBorders>
          </w:tcPr>
          <w:p>
            <w:pPr>
              <w:spacing w:after="0"/>
              <w:rPr>
                <w:sz w:val="16"/>
                <w:szCs w:val="16"/>
                <w:color w:val="auto"/>
              </w:rPr>
            </w:pPr>
          </w:p>
        </w:tc>
        <w:tc>
          <w:tcPr>
            <w:tcW w:w="14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5"/>
              </w:rPr>
              <w:t>SHARES</w:t>
            </w:r>
          </w:p>
        </w:tc>
        <w:tc>
          <w:tcPr>
            <w:tcW w:w="60" w:type="dxa"/>
            <w:vAlign w:val="bottom"/>
            <w:tcBorders>
              <w:right w:val="single" w:sz="8" w:color="auto"/>
            </w:tcBorders>
          </w:tcPr>
          <w:p>
            <w:pPr>
              <w:spacing w:after="0"/>
              <w:rPr>
                <w:sz w:val="16"/>
                <w:szCs w:val="16"/>
                <w:color w:val="auto"/>
              </w:rPr>
            </w:pPr>
          </w:p>
        </w:tc>
        <w:tc>
          <w:tcPr>
            <w:tcW w:w="4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6</w:t>
            </w:r>
          </w:p>
        </w:tc>
        <w:tc>
          <w:tcPr>
            <w:tcW w:w="260" w:type="dxa"/>
            <w:vAlign w:val="bottom"/>
            <w:tcBorders>
              <w:right w:val="single" w:sz="8" w:color="auto"/>
            </w:tcBorders>
          </w:tcPr>
          <w:p>
            <w:pPr>
              <w:spacing w:after="0"/>
              <w:rPr>
                <w:sz w:val="16"/>
                <w:szCs w:val="16"/>
                <w:color w:val="auto"/>
              </w:rPr>
            </w:pPr>
          </w:p>
        </w:tc>
        <w:tc>
          <w:tcPr>
            <w:tcW w:w="7600" w:type="dxa"/>
            <w:vAlign w:val="bottom"/>
          </w:tcPr>
          <w:p>
            <w:pPr>
              <w:ind w:left="160"/>
              <w:spacing w:after="0" w:line="191" w:lineRule="exact"/>
              <w:rPr>
                <w:sz w:val="20"/>
                <w:szCs w:val="20"/>
                <w:color w:val="auto"/>
              </w:rPr>
            </w:pPr>
            <w:r>
              <w:rPr>
                <w:rFonts w:ascii="Arial" w:cs="Arial" w:eastAsia="Arial" w:hAnsi="Arial"/>
                <w:sz w:val="18"/>
                <w:szCs w:val="18"/>
                <w:b w:val="1"/>
                <w:bCs w:val="1"/>
                <w:color w:val="auto"/>
              </w:rPr>
              <w:t>SHARED VOTING POWER</w:t>
            </w:r>
          </w:p>
        </w:tc>
        <w:tc>
          <w:tcPr>
            <w:tcW w:w="1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right w:val="single" w:sz="8" w:color="auto"/>
            </w:tcBorders>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0</w:t>
            </w:r>
          </w:p>
        </w:tc>
        <w:tc>
          <w:tcPr>
            <w:tcW w:w="1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Borders>
              <w:left w:val="single" w:sz="8" w:color="auto"/>
              <w:right w:val="single" w:sz="8" w:color="auto"/>
            </w:tcBorders>
          </w:tcPr>
          <w:p>
            <w:pPr>
              <w:spacing w:after="0"/>
              <w:rPr>
                <w:sz w:val="20"/>
                <w:szCs w:val="20"/>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rPr>
              <w:t>OWNED BY</w:t>
            </w:r>
          </w:p>
        </w:tc>
        <w:tc>
          <w:tcPr>
            <w:tcW w:w="60" w:type="dxa"/>
            <w:vAlign w:val="bottom"/>
            <w:tcBorders>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7600" w:type="dxa"/>
            <w:vAlign w:val="bottom"/>
            <w:tcBorders>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0" w:type="dxa"/>
            <w:vAlign w:val="bottom"/>
            <w:tcBorders>
              <w:left w:val="single" w:sz="8" w:color="auto"/>
              <w:right w:val="single" w:sz="8" w:color="auto"/>
            </w:tcBorders>
          </w:tcPr>
          <w:p>
            <w:pPr>
              <w:spacing w:after="0"/>
              <w:rPr>
                <w:sz w:val="15"/>
                <w:szCs w:val="15"/>
                <w:color w:val="auto"/>
              </w:rPr>
            </w:pPr>
          </w:p>
        </w:tc>
        <w:tc>
          <w:tcPr>
            <w:tcW w:w="1420" w:type="dxa"/>
            <w:vAlign w:val="bottom"/>
            <w:gridSpan w:val="2"/>
          </w:tcPr>
          <w:p>
            <w:pPr>
              <w:jc w:val="center"/>
              <w:spacing w:after="0" w:line="178" w:lineRule="exact"/>
              <w:rPr>
                <w:sz w:val="20"/>
                <w:szCs w:val="20"/>
                <w:color w:val="auto"/>
              </w:rPr>
            </w:pPr>
            <w:r>
              <w:rPr>
                <w:rFonts w:ascii="Arial" w:cs="Arial" w:eastAsia="Arial" w:hAnsi="Arial"/>
                <w:sz w:val="18"/>
                <w:szCs w:val="18"/>
                <w:b w:val="1"/>
                <w:bCs w:val="1"/>
                <w:color w:val="auto"/>
              </w:rPr>
              <w:t>EACH</w:t>
            </w:r>
          </w:p>
        </w:tc>
        <w:tc>
          <w:tcPr>
            <w:tcW w:w="60" w:type="dxa"/>
            <w:vAlign w:val="bottom"/>
            <w:tcBorders>
              <w:right w:val="single" w:sz="8" w:color="auto"/>
            </w:tcBorders>
          </w:tcPr>
          <w:p>
            <w:pPr>
              <w:spacing w:after="0"/>
              <w:rPr>
                <w:sz w:val="15"/>
                <w:szCs w:val="15"/>
                <w:color w:val="auto"/>
              </w:rPr>
            </w:pPr>
          </w:p>
        </w:tc>
        <w:tc>
          <w:tcPr>
            <w:tcW w:w="420" w:type="dxa"/>
            <w:vAlign w:val="bottom"/>
          </w:tcPr>
          <w:p>
            <w:pPr>
              <w:jc w:val="right"/>
              <w:spacing w:after="0" w:line="178" w:lineRule="exact"/>
              <w:rPr>
                <w:sz w:val="20"/>
                <w:szCs w:val="20"/>
                <w:color w:val="auto"/>
              </w:rPr>
            </w:pPr>
            <w:r>
              <w:rPr>
                <w:rFonts w:ascii="Arial" w:cs="Arial" w:eastAsia="Arial" w:hAnsi="Arial"/>
                <w:sz w:val="18"/>
                <w:szCs w:val="18"/>
                <w:b w:val="1"/>
                <w:bCs w:val="1"/>
                <w:color w:val="auto"/>
              </w:rPr>
              <w:t>7</w:t>
            </w:r>
          </w:p>
        </w:tc>
        <w:tc>
          <w:tcPr>
            <w:tcW w:w="260" w:type="dxa"/>
            <w:vAlign w:val="bottom"/>
            <w:tcBorders>
              <w:right w:val="single" w:sz="8" w:color="auto"/>
            </w:tcBorders>
          </w:tcPr>
          <w:p>
            <w:pPr>
              <w:spacing w:after="0"/>
              <w:rPr>
                <w:sz w:val="15"/>
                <w:szCs w:val="15"/>
                <w:color w:val="auto"/>
              </w:rPr>
            </w:pPr>
          </w:p>
        </w:tc>
        <w:tc>
          <w:tcPr>
            <w:tcW w:w="7600" w:type="dxa"/>
            <w:vAlign w:val="bottom"/>
          </w:tcPr>
          <w:p>
            <w:pPr>
              <w:ind w:left="160"/>
              <w:spacing w:after="0" w:line="178" w:lineRule="exact"/>
              <w:rPr>
                <w:sz w:val="20"/>
                <w:szCs w:val="20"/>
                <w:color w:val="auto"/>
              </w:rPr>
            </w:pPr>
            <w:r>
              <w:rPr>
                <w:rFonts w:ascii="Arial" w:cs="Arial" w:eastAsia="Arial" w:hAnsi="Arial"/>
                <w:sz w:val="18"/>
                <w:szCs w:val="18"/>
                <w:b w:val="1"/>
                <w:bCs w:val="1"/>
                <w:color w:val="auto"/>
              </w:rPr>
              <w:t>SOLE DISPOSITIVE POWER</w:t>
            </w:r>
          </w:p>
        </w:tc>
        <w:tc>
          <w:tcPr>
            <w:tcW w:w="1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right w:val="single" w:sz="8" w:color="auto"/>
            </w:tcBorders>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rPr>
              <w:t>REPORTING</w:t>
            </w:r>
          </w:p>
        </w:tc>
        <w:tc>
          <w:tcPr>
            <w:tcW w:w="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7,400,736</w:t>
            </w:r>
          </w:p>
        </w:tc>
        <w:tc>
          <w:tcPr>
            <w:tcW w:w="1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right w:val="single" w:sz="8" w:color="auto"/>
            </w:tcBorders>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PERSON</w:t>
            </w:r>
          </w:p>
        </w:tc>
        <w:tc>
          <w:tcPr>
            <w:tcW w:w="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760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60" w:type="dxa"/>
            <w:vAlign w:val="bottom"/>
            <w:tcBorders>
              <w:left w:val="single" w:sz="8" w:color="auto"/>
              <w:right w:val="single" w:sz="8" w:color="auto"/>
            </w:tcBorders>
          </w:tcPr>
          <w:p>
            <w:pPr>
              <w:spacing w:after="0"/>
              <w:rPr>
                <w:sz w:val="2"/>
                <w:szCs w:val="2"/>
                <w:color w:val="auto"/>
              </w:rPr>
            </w:pPr>
          </w:p>
        </w:tc>
        <w:tc>
          <w:tcPr>
            <w:tcW w:w="142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60" w:type="dxa"/>
            <w:vAlign w:val="bottom"/>
            <w:tcBorders>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7600" w:type="dxa"/>
            <w:vAlign w:val="bottom"/>
            <w:tcBorders>
              <w:bottom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0" w:type="dxa"/>
            <w:vAlign w:val="bottom"/>
            <w:tcBorders>
              <w:left w:val="single" w:sz="8" w:color="auto"/>
              <w:right w:val="single" w:sz="8" w:color="auto"/>
            </w:tcBorders>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8</w:t>
            </w:r>
          </w:p>
        </w:tc>
        <w:tc>
          <w:tcPr>
            <w:tcW w:w="260" w:type="dxa"/>
            <w:vAlign w:val="bottom"/>
            <w:tcBorders>
              <w:right w:val="single" w:sz="8" w:color="auto"/>
            </w:tcBorders>
          </w:tcPr>
          <w:p>
            <w:pPr>
              <w:spacing w:after="0"/>
              <w:rPr>
                <w:sz w:val="16"/>
                <w:szCs w:val="16"/>
                <w:color w:val="auto"/>
              </w:rPr>
            </w:pPr>
          </w:p>
        </w:tc>
        <w:tc>
          <w:tcPr>
            <w:tcW w:w="7600" w:type="dxa"/>
            <w:vAlign w:val="bottom"/>
          </w:tcPr>
          <w:p>
            <w:pPr>
              <w:ind w:left="160"/>
              <w:spacing w:after="0" w:line="195" w:lineRule="exact"/>
              <w:rPr>
                <w:sz w:val="20"/>
                <w:szCs w:val="20"/>
                <w:color w:val="auto"/>
              </w:rPr>
            </w:pPr>
            <w:r>
              <w:rPr>
                <w:rFonts w:ascii="Arial" w:cs="Arial" w:eastAsia="Arial" w:hAnsi="Arial"/>
                <w:sz w:val="18"/>
                <w:szCs w:val="18"/>
                <w:b w:val="1"/>
                <w:bCs w:val="1"/>
                <w:color w:val="auto"/>
              </w:rPr>
              <w:t>SHARED DISPOSITIVE POWER</w:t>
            </w:r>
          </w:p>
        </w:tc>
        <w:tc>
          <w:tcPr>
            <w:tcW w:w="1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 w:type="dxa"/>
            <w:vAlign w:val="bottom"/>
            <w:tcBorders>
              <w:left w:val="single" w:sz="8" w:color="auto"/>
              <w:right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7600" w:type="dxa"/>
            <w:vAlign w:val="bottom"/>
          </w:tcPr>
          <w:p>
            <w:pPr>
              <w:ind w:left="160"/>
              <w:spacing w:after="0"/>
              <w:rPr>
                <w:sz w:val="20"/>
                <w:szCs w:val="20"/>
                <w:color w:val="auto"/>
              </w:rPr>
            </w:pPr>
            <w:r>
              <w:rPr>
                <w:rFonts w:ascii="Arial" w:cs="Arial" w:eastAsia="Arial" w:hAnsi="Arial"/>
                <w:sz w:val="18"/>
                <w:szCs w:val="18"/>
                <w:color w:val="auto"/>
              </w:rPr>
              <w:t>0</w:t>
            </w:r>
          </w:p>
        </w:tc>
        <w:tc>
          <w:tcPr>
            <w:tcW w:w="1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gridSpan w:val="2"/>
          </w:tcPr>
          <w:p>
            <w:pPr>
              <w:spacing w:after="0"/>
              <w:rPr>
                <w:sz w:val="18"/>
                <w:szCs w:val="18"/>
                <w:color w:val="auto"/>
              </w:rPr>
            </w:pPr>
          </w:p>
        </w:tc>
        <w:tc>
          <w:tcPr>
            <w:tcW w:w="760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 w:type="dxa"/>
            <w:vAlign w:val="bottom"/>
            <w:tcBorders>
              <w:left w:val="single" w:sz="8" w:color="auto"/>
              <w:right w:val="single" w:sz="8" w:color="auto"/>
            </w:tcBorders>
          </w:tcPr>
          <w:p>
            <w:pPr>
              <w:spacing w:after="0"/>
              <w:rPr>
                <w:sz w:val="19"/>
                <w:szCs w:val="19"/>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9</w:t>
            </w:r>
          </w:p>
        </w:tc>
        <w:tc>
          <w:tcPr>
            <w:tcW w:w="140" w:type="dxa"/>
            <w:vAlign w:val="bottom"/>
          </w:tcPr>
          <w:p>
            <w:pPr>
              <w:spacing w:after="0"/>
              <w:rPr>
                <w:sz w:val="19"/>
                <w:szCs w:val="19"/>
                <w:color w:val="auto"/>
              </w:rPr>
            </w:pPr>
          </w:p>
        </w:tc>
        <w:tc>
          <w:tcPr>
            <w:tcW w:w="8340" w:type="dxa"/>
            <w:vAlign w:val="bottom"/>
            <w:gridSpan w:val="4"/>
          </w:tcPr>
          <w:p>
            <w:pPr>
              <w:ind w:left="20"/>
              <w:spacing w:after="0"/>
              <w:rPr>
                <w:sz w:val="20"/>
                <w:szCs w:val="20"/>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7,400,736*</w:t>
            </w:r>
          </w:p>
        </w:tc>
        <w:tc>
          <w:tcPr>
            <w:tcW w:w="16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0" w:type="dxa"/>
            <w:vAlign w:val="bottom"/>
            <w:tcBorders>
              <w:left w:val="single" w:sz="8" w:color="auto"/>
              <w:right w:val="single" w:sz="8" w:color="auto"/>
            </w:tcBorders>
          </w:tcPr>
          <w:p>
            <w:pPr>
              <w:spacing w:after="0"/>
              <w:rPr>
                <w:sz w:val="17"/>
                <w:szCs w:val="17"/>
                <w:color w:val="auto"/>
              </w:rPr>
            </w:pPr>
          </w:p>
        </w:tc>
        <w:tc>
          <w:tcPr>
            <w:tcW w:w="128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340" w:type="dxa"/>
            <w:vAlign w:val="bottom"/>
            <w:tcBorders>
              <w:bottom w:val="single" w:sz="8" w:color="auto"/>
            </w:tcBorders>
            <w:gridSpan w:val="4"/>
          </w:tcPr>
          <w:p>
            <w:pPr>
              <w:spacing w:after="0"/>
              <w:rPr>
                <w:sz w:val="17"/>
                <w:szCs w:val="17"/>
                <w:color w:val="auto"/>
              </w:rPr>
            </w:pPr>
          </w:p>
        </w:tc>
        <w:tc>
          <w:tcPr>
            <w:tcW w:w="16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60" w:type="dxa"/>
            <w:vAlign w:val="bottom"/>
            <w:tcBorders>
              <w:left w:val="single" w:sz="8" w:color="auto"/>
              <w:right w:val="single" w:sz="8" w:color="auto"/>
            </w:tcBorders>
          </w:tcPr>
          <w:p>
            <w:pPr>
              <w:spacing w:after="0"/>
              <w:rPr>
                <w:sz w:val="24"/>
                <w:szCs w:val="24"/>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140" w:type="dxa"/>
            <w:vAlign w:val="bottom"/>
          </w:tcPr>
          <w:p>
            <w:pPr>
              <w:spacing w:after="0"/>
              <w:rPr>
                <w:sz w:val="24"/>
                <w:szCs w:val="24"/>
                <w:color w:val="auto"/>
              </w:rPr>
            </w:pPr>
          </w:p>
        </w:tc>
        <w:tc>
          <w:tcPr>
            <w:tcW w:w="834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w:t>
            </w:r>
          </w:p>
        </w:tc>
        <w:tc>
          <w:tcPr>
            <w:tcW w:w="1600" w:type="dxa"/>
            <w:vAlign w:val="bottom"/>
            <w:tcBorders>
              <w:right w:val="single" w:sz="8" w:color="auto"/>
            </w:tcBorders>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9"/>
        </w:trPr>
        <w:tc>
          <w:tcPr>
            <w:tcW w:w="60" w:type="dxa"/>
            <w:vAlign w:val="bottom"/>
            <w:tcBorders>
              <w:left w:val="single" w:sz="8" w:color="auto"/>
              <w:right w:val="single" w:sz="8" w:color="auto"/>
            </w:tcBorders>
          </w:tcPr>
          <w:p>
            <w:pPr>
              <w:spacing w:after="0"/>
              <w:rPr>
                <w:sz w:val="12"/>
                <w:szCs w:val="12"/>
                <w:color w:val="auto"/>
              </w:rPr>
            </w:pPr>
          </w:p>
        </w:tc>
        <w:tc>
          <w:tcPr>
            <w:tcW w:w="1280" w:type="dxa"/>
            <w:vAlign w:val="bottom"/>
            <w:tcBorders>
              <w:bottom w:val="single" w:sz="8" w:color="auto"/>
              <w:right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340" w:type="dxa"/>
            <w:vAlign w:val="bottom"/>
            <w:tcBorders>
              <w:bottom w:val="single" w:sz="8" w:color="auto"/>
            </w:tcBorders>
            <w:gridSpan w:val="4"/>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0" w:type="dxa"/>
            <w:vAlign w:val="bottom"/>
            <w:tcBorders>
              <w:left w:val="single" w:sz="8" w:color="auto"/>
              <w:right w:val="single" w:sz="8" w:color="auto"/>
            </w:tcBorders>
          </w:tcPr>
          <w:p>
            <w:pPr>
              <w:spacing w:after="0"/>
              <w:rPr>
                <w:sz w:val="16"/>
                <w:szCs w:val="16"/>
                <w:color w:val="auto"/>
              </w:rPr>
            </w:pPr>
          </w:p>
        </w:tc>
        <w:tc>
          <w:tcPr>
            <w:tcW w:w="12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79"/>
              </w:rPr>
              <w:t>11</w:t>
            </w:r>
          </w:p>
        </w:tc>
        <w:tc>
          <w:tcPr>
            <w:tcW w:w="140" w:type="dxa"/>
            <w:vAlign w:val="bottom"/>
          </w:tcPr>
          <w:p>
            <w:pPr>
              <w:spacing w:after="0"/>
              <w:rPr>
                <w:sz w:val="16"/>
                <w:szCs w:val="16"/>
                <w:color w:val="auto"/>
              </w:rPr>
            </w:pPr>
          </w:p>
        </w:tc>
        <w:tc>
          <w:tcPr>
            <w:tcW w:w="8340" w:type="dxa"/>
            <w:vAlign w:val="bottom"/>
            <w:gridSpan w:val="4"/>
          </w:tcPr>
          <w:p>
            <w:pPr>
              <w:ind w:left="20"/>
              <w:spacing w:after="0" w:line="195" w:lineRule="exact"/>
              <w:rPr>
                <w:sz w:val="20"/>
                <w:szCs w:val="20"/>
                <w:color w:val="auto"/>
              </w:rPr>
            </w:pPr>
            <w:r>
              <w:rPr>
                <w:rFonts w:ascii="Arial" w:cs="Arial" w:eastAsia="Arial" w:hAnsi="Arial"/>
                <w:sz w:val="18"/>
                <w:szCs w:val="18"/>
                <w:b w:val="1"/>
                <w:bCs w:val="1"/>
                <w:color w:val="auto"/>
              </w:rPr>
              <w:t>PERCENT OF CLASS REPRESENTED BY AMOUNT IN ROW (9)</w:t>
            </w:r>
          </w:p>
        </w:tc>
        <w:tc>
          <w:tcPr>
            <w:tcW w:w="1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 w:type="dxa"/>
            <w:vAlign w:val="bottom"/>
            <w:tcBorders>
              <w:left w:val="single" w:sz="8" w:color="auto"/>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3"/>
          </w:tcPr>
          <w:p>
            <w:pPr>
              <w:ind w:left="20"/>
              <w:spacing w:after="0"/>
              <w:rPr>
                <w:sz w:val="20"/>
                <w:szCs w:val="20"/>
                <w:color w:val="auto"/>
              </w:rPr>
            </w:pPr>
            <w:r>
              <w:rPr>
                <w:rFonts w:ascii="Arial" w:cs="Arial" w:eastAsia="Arial" w:hAnsi="Arial"/>
                <w:sz w:val="18"/>
                <w:szCs w:val="18"/>
                <w:color w:val="auto"/>
              </w:rPr>
              <w:t>4.6%**</w:t>
            </w:r>
          </w:p>
        </w:tc>
        <w:tc>
          <w:tcPr>
            <w:tcW w:w="760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right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340" w:type="dxa"/>
            <w:vAlign w:val="bottom"/>
            <w:tcBorders>
              <w:bottom w:val="single" w:sz="8" w:color="auto"/>
            </w:tcBorders>
            <w:gridSpan w:val="4"/>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 w:type="dxa"/>
            <w:vAlign w:val="bottom"/>
            <w:tcBorders>
              <w:left w:val="single" w:sz="8" w:color="auto"/>
              <w:right w:val="single" w:sz="8" w:color="auto"/>
            </w:tcBorders>
          </w:tcPr>
          <w:p>
            <w:pPr>
              <w:spacing w:after="0"/>
              <w:rPr>
                <w:sz w:val="16"/>
                <w:szCs w:val="16"/>
                <w:color w:val="auto"/>
              </w:rPr>
            </w:pPr>
          </w:p>
        </w:tc>
        <w:tc>
          <w:tcPr>
            <w:tcW w:w="12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89"/>
              </w:rPr>
              <w:t>12</w:t>
            </w:r>
          </w:p>
        </w:tc>
        <w:tc>
          <w:tcPr>
            <w:tcW w:w="140" w:type="dxa"/>
            <w:vAlign w:val="bottom"/>
          </w:tcPr>
          <w:p>
            <w:pPr>
              <w:spacing w:after="0"/>
              <w:rPr>
                <w:sz w:val="16"/>
                <w:szCs w:val="16"/>
                <w:color w:val="auto"/>
              </w:rPr>
            </w:pPr>
          </w:p>
        </w:tc>
        <w:tc>
          <w:tcPr>
            <w:tcW w:w="8340" w:type="dxa"/>
            <w:vAlign w:val="bottom"/>
            <w:gridSpan w:val="4"/>
          </w:tcPr>
          <w:p>
            <w:pPr>
              <w:ind w:left="20"/>
              <w:spacing w:after="0" w:line="195" w:lineRule="exact"/>
              <w:rPr>
                <w:sz w:val="20"/>
                <w:szCs w:val="20"/>
                <w:color w:val="auto"/>
              </w:rPr>
            </w:pPr>
            <w:r>
              <w:rPr>
                <w:rFonts w:ascii="Arial" w:cs="Arial" w:eastAsia="Arial" w:hAnsi="Arial"/>
                <w:sz w:val="18"/>
                <w:szCs w:val="18"/>
                <w:b w:val="1"/>
                <w:bCs w:val="1"/>
                <w:color w:val="auto"/>
              </w:rPr>
              <w:t>TYPE OF REPORTING PERSON</w:t>
            </w:r>
          </w:p>
        </w:tc>
        <w:tc>
          <w:tcPr>
            <w:tcW w:w="1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 w:type="dxa"/>
            <w:vAlign w:val="bottom"/>
            <w:tcBorders>
              <w:left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IA</w:t>
            </w:r>
          </w:p>
        </w:tc>
        <w:tc>
          <w:tcPr>
            <w:tcW w:w="7600" w:type="dxa"/>
            <w:vAlign w:val="bottom"/>
            <w:tcBorders>
              <w:bottom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0" w:type="dxa"/>
            <w:vAlign w:val="bottom"/>
            <w:tcBorders>
              <w:left w:val="single" w:sz="8" w:color="auto"/>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340" w:type="dxa"/>
            <w:vAlign w:val="bottom"/>
            <w:gridSpan w:val="4"/>
          </w:tcPr>
          <w:p>
            <w:pPr>
              <w:ind w:left="20"/>
              <w:spacing w:after="0" w:line="191" w:lineRule="exact"/>
              <w:rPr>
                <w:sz w:val="20"/>
                <w:szCs w:val="20"/>
                <w:color w:val="auto"/>
              </w:rPr>
            </w:pPr>
            <w:r>
              <w:rPr>
                <w:rFonts w:ascii="Arial" w:cs="Arial" w:eastAsia="Arial" w:hAnsi="Arial"/>
                <w:sz w:val="18"/>
                <w:szCs w:val="18"/>
                <w:b w:val="1"/>
                <w:bCs w:val="1"/>
                <w:color w:val="auto"/>
              </w:rPr>
              <w:t>*See Item 4 of this Schedule 13G</w:t>
            </w:r>
          </w:p>
        </w:tc>
        <w:tc>
          <w:tcPr>
            <w:tcW w:w="16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9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89"/>
              </w:rPr>
              <w:t>** Based on 159,160,785 Class A Shares issued and outstanding as of October 31, 2018, as reported on Issuer’s Quarterly Report</w:t>
            </w:r>
          </w:p>
        </w:tc>
        <w:tc>
          <w:tcPr>
            <w:tcW w:w="0" w:type="dxa"/>
            <w:vAlign w:val="bottom"/>
          </w:tcPr>
          <w:p>
            <w:pPr>
              <w:spacing w:after="0"/>
              <w:rPr>
                <w:sz w:val="1"/>
                <w:szCs w:val="1"/>
                <w:color w:val="auto"/>
              </w:rPr>
            </w:pPr>
          </w:p>
        </w:tc>
      </w:tr>
      <w:tr>
        <w:trPr>
          <w:trHeight w:val="234"/>
        </w:trPr>
        <w:tc>
          <w:tcPr>
            <w:tcW w:w="60" w:type="dxa"/>
            <w:vAlign w:val="bottom"/>
            <w:tcBorders>
              <w:left w:val="single" w:sz="8" w:color="auto"/>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340" w:type="dxa"/>
            <w:vAlign w:val="bottom"/>
            <w:gridSpan w:val="4"/>
          </w:tcPr>
          <w:p>
            <w:pPr>
              <w:ind w:left="20"/>
              <w:spacing w:after="0"/>
              <w:rPr>
                <w:sz w:val="20"/>
                <w:szCs w:val="20"/>
                <w:color w:val="auto"/>
              </w:rPr>
            </w:pPr>
            <w:r>
              <w:rPr>
                <w:rFonts w:ascii="Arial" w:cs="Arial" w:eastAsia="Arial" w:hAnsi="Arial"/>
                <w:sz w:val="18"/>
                <w:szCs w:val="18"/>
                <w:b w:val="1"/>
                <w:bCs w:val="1"/>
                <w:color w:val="auto"/>
              </w:rPr>
              <w:t>on Form 10-Q filed on November 8, 2018.</w:t>
            </w:r>
          </w:p>
        </w:tc>
        <w:tc>
          <w:tcPr>
            <w:tcW w:w="16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2"/>
        </w:trPr>
        <w:tc>
          <w:tcPr>
            <w:tcW w:w="60" w:type="dxa"/>
            <w:vAlign w:val="bottom"/>
            <w:tcBorders>
              <w:left w:val="single" w:sz="8" w:color="auto"/>
              <w:bottom w:val="single" w:sz="8" w:color="auto"/>
              <w:right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71"/>
        </w:trPr>
        <w:tc>
          <w:tcPr>
            <w:tcW w:w="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5" w:right="239" w:bottom="1440" w:gutter="0" w:footer="0" w:header="0"/>
        </w:sectPr>
      </w:pPr>
    </w:p>
    <w:bookmarkStart w:id="2" w:name="page3"/>
    <w:bookmarkEnd w:id="2"/>
    <w:p>
      <w:pPr>
        <w:ind w:left="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1247775" cy="1587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7775" cy="158750"/>
                    </a:xfrm>
                    <a:prstGeom prst="rect">
                      <a:avLst/>
                    </a:prstGeom>
                    <a:noFill/>
                  </pic:spPr>
                </pic:pic>
              </a:graphicData>
            </a:graphic>
          </wp:anchor>
        </w:drawing>
        <w:drawing>
          <wp:anchor simplePos="0" relativeHeight="251657728" behindDoc="1" locked="0" layoutInCell="0" allowOverlap="1">
            <wp:simplePos x="0" y="0"/>
            <wp:positionH relativeFrom="page">
              <wp:posOffset>6372860</wp:posOffset>
            </wp:positionH>
            <wp:positionV relativeFrom="page">
              <wp:posOffset>378460</wp:posOffset>
            </wp:positionV>
            <wp:extent cx="1033145" cy="1587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3145" cy="158750"/>
                    </a:xfrm>
                    <a:prstGeom prst="rect">
                      <a:avLst/>
                    </a:prstGeom>
                    <a:noFill/>
                  </pic:spPr>
                </pic:pic>
              </a:graphicData>
            </a:graphic>
          </wp:anchor>
        </w:drawing>
        <w:t xml:space="preserve">CUSIP No. 72651A207 </w:t>
      </w:r>
      <w:r>
        <w:rPr>
          <w:sz w:val="1"/>
          <w:szCs w:val="1"/>
          <w:color w:val="auto"/>
        </w:rPr>
        <w:drawing>
          <wp:inline distT="0" distB="0" distL="0" distR="0">
            <wp:extent cx="12700" cy="158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158750"/>
                    </a:xfrm>
                    <a:prstGeom prst="rect">
                      <a:avLst/>
                    </a:prstGeom>
                    <a:noFill/>
                    <a:ln>
                      <a:noFill/>
                    </a:ln>
                  </pic:spPr>
                </pic:pic>
              </a:graphicData>
            </a:graphic>
          </wp:inline>
        </w:drawing>
        <w:drawing>
          <wp:inline distT="0" distB="0" distL="0" distR="0">
            <wp:extent cx="12700" cy="158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158750"/>
                    </a:xfrm>
                    <a:prstGeom prst="rect">
                      <a:avLst/>
                    </a:prstGeom>
                    <a:noFill/>
                    <a:ln>
                      <a:noFill/>
                    </a:ln>
                  </pic:spPr>
                </pic:pic>
              </a:graphicData>
            </a:graphic>
          </wp:inline>
        </w:drawing>
      </w:r>
      <w:r>
        <w:rPr>
          <w:rFonts w:ascii="Arial" w:cs="Arial" w:eastAsia="Arial" w:hAnsi="Arial"/>
          <w:sz w:val="18"/>
          <w:szCs w:val="18"/>
          <w:color w:val="auto"/>
        </w:rPr>
        <w:t xml:space="preserve"> Page 3 of 6 Pages</w:t>
      </w:r>
    </w:p>
    <w:p>
      <w:pPr>
        <w:sectPr>
          <w:pgSz w:w="11900" w:h="16838" w:orient="portrait"/>
          <w:cols w:equalWidth="0" w:num="1">
            <w:col w:w="11140"/>
          </w:cols>
          <w:pgMar w:left="240" w:top="557"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680" w:val="left"/>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Name of Issuer:</w:t>
      </w:r>
    </w:p>
    <w:p>
      <w:pPr>
        <w:spacing w:after="0" w:line="2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Plains GP Holdings, L.P.</w:t>
      </w:r>
    </w:p>
    <w:p>
      <w:pPr>
        <w:spacing w:after="0" w:line="200" w:lineRule="exact"/>
        <w:rPr>
          <w:sz w:val="20"/>
          <w:szCs w:val="20"/>
          <w:color w:val="auto"/>
        </w:rPr>
      </w:pPr>
    </w:p>
    <w:p>
      <w:pPr>
        <w:spacing w:after="0" w:line="227" w:lineRule="exact"/>
        <w:rPr>
          <w:sz w:val="20"/>
          <w:szCs w:val="20"/>
          <w:color w:val="auto"/>
        </w:rPr>
      </w:pPr>
    </w:p>
    <w:p>
      <w:pPr>
        <w:ind w:left="1160" w:right="6300" w:hanging="463"/>
        <w:spacing w:after="0" w:line="342" w:lineRule="auto"/>
        <w:tabs>
          <w:tab w:leader="none" w:pos="11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Address of Issuer’s Principal Executive Offices: 333 Clay Street, Suite 1600, Houston, Texas 77002</w:t>
      </w:r>
    </w:p>
    <w:p>
      <w:pPr>
        <w:spacing w:after="0" w:line="336" w:lineRule="exact"/>
        <w:rPr>
          <w:sz w:val="20"/>
          <w:szCs w:val="20"/>
          <w:color w:val="auto"/>
        </w:rPr>
      </w:pPr>
    </w:p>
    <w:p>
      <w:pPr>
        <w:spacing w:after="0"/>
        <w:tabs>
          <w:tab w:leader="none" w:pos="680" w:val="left"/>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Name of Person Filing:</w:t>
      </w:r>
    </w:p>
    <w:p>
      <w:pPr>
        <w:spacing w:after="0" w:line="2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Chickasaw Capital Management, LLC</w:t>
      </w:r>
    </w:p>
    <w:p>
      <w:pPr>
        <w:spacing w:after="0" w:line="200" w:lineRule="exact"/>
        <w:rPr>
          <w:sz w:val="20"/>
          <w:szCs w:val="20"/>
          <w:color w:val="auto"/>
        </w:rPr>
      </w:pPr>
    </w:p>
    <w:p>
      <w:pPr>
        <w:spacing w:after="0" w:line="227" w:lineRule="exact"/>
        <w:rPr>
          <w:sz w:val="20"/>
          <w:szCs w:val="20"/>
          <w:color w:val="auto"/>
        </w:rPr>
      </w:pPr>
    </w:p>
    <w:p>
      <w:pPr>
        <w:ind w:left="1160" w:right="5580" w:hanging="463"/>
        <w:spacing w:after="0" w:line="342" w:lineRule="auto"/>
        <w:tabs>
          <w:tab w:leader="none" w:pos="1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Address of Principal Business Offices or, if none, Residence: 6075 Poplar Ave., Suite 720, Memphis, TN 38119</w:t>
      </w:r>
    </w:p>
    <w:p>
      <w:pPr>
        <w:spacing w:after="0" w:line="339" w:lineRule="exact"/>
        <w:rPr>
          <w:rFonts w:ascii="Arial" w:cs="Arial" w:eastAsia="Arial" w:hAnsi="Arial"/>
          <w:sz w:val="16"/>
          <w:szCs w:val="16"/>
          <w:color w:val="auto"/>
        </w:rPr>
      </w:pPr>
    </w:p>
    <w:p>
      <w:pPr>
        <w:ind w:left="1160" w:hanging="463"/>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Delaware, United States</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160" w:right="8020" w:hanging="463"/>
        <w:spacing w:after="0" w:line="342" w:lineRule="auto"/>
        <w:tabs>
          <w:tab w:leader="none" w:pos="1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Title of Class of Securities: Class A Shares</w:t>
      </w:r>
    </w:p>
    <w:p>
      <w:pPr>
        <w:spacing w:after="0" w:line="339" w:lineRule="exact"/>
        <w:rPr>
          <w:rFonts w:ascii="Arial" w:cs="Arial" w:eastAsia="Arial" w:hAnsi="Arial"/>
          <w:sz w:val="16"/>
          <w:szCs w:val="16"/>
          <w:color w:val="auto"/>
        </w:rPr>
      </w:pPr>
    </w:p>
    <w:p>
      <w:pPr>
        <w:ind w:left="1160" w:right="8780" w:hanging="463"/>
        <w:spacing w:after="0" w:line="342" w:lineRule="auto"/>
        <w:tabs>
          <w:tab w:leader="none" w:pos="1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CUSIP Number: 72651A207</w:t>
      </w:r>
    </w:p>
    <w:p>
      <w:pPr>
        <w:spacing w:after="0" w:line="33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229" w:lineRule="exact"/>
        <w:rPr>
          <w:sz w:val="20"/>
          <w:szCs w:val="20"/>
          <w:color w:val="auto"/>
        </w:rPr>
      </w:pPr>
    </w:p>
    <w:p>
      <w:pPr>
        <w:ind w:left="1160" w:hanging="463"/>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Act (15 U.S.C. 78o)</w:t>
      </w:r>
    </w:p>
    <w:p>
      <w:pPr>
        <w:spacing w:after="0" w:line="23" w:lineRule="exact"/>
        <w:rPr>
          <w:rFonts w:ascii="Arial" w:cs="Arial" w:eastAsia="Arial" w:hAnsi="Arial"/>
          <w:sz w:val="18"/>
          <w:szCs w:val="18"/>
          <w:color w:val="auto"/>
        </w:rPr>
      </w:pPr>
    </w:p>
    <w:p>
      <w:pPr>
        <w:ind w:left="1160" w:hanging="463"/>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 Bank as defined in section 3(a)(6) of the Act (15 U.S.C. 78c)</w:t>
      </w:r>
    </w:p>
    <w:p>
      <w:pPr>
        <w:spacing w:after="0" w:line="9" w:lineRule="exact"/>
        <w:rPr>
          <w:rFonts w:ascii="Arial" w:cs="Arial" w:eastAsia="Arial" w:hAnsi="Arial"/>
          <w:sz w:val="18"/>
          <w:szCs w:val="18"/>
          <w:color w:val="auto"/>
        </w:rPr>
      </w:pPr>
    </w:p>
    <w:p>
      <w:pPr>
        <w:ind w:left="1160" w:hanging="463"/>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 Insurance company as defined in section 3(a)(19) of the Act (15 U.S.C. 78c)</w:t>
      </w:r>
    </w:p>
    <w:p>
      <w:pPr>
        <w:spacing w:after="0" w:line="9" w:lineRule="exact"/>
        <w:rPr>
          <w:rFonts w:ascii="Arial" w:cs="Arial" w:eastAsia="Arial" w:hAnsi="Arial"/>
          <w:sz w:val="18"/>
          <w:szCs w:val="18"/>
          <w:color w:val="auto"/>
        </w:rPr>
      </w:pPr>
    </w:p>
    <w:p>
      <w:pPr>
        <w:ind w:left="1160" w:hanging="463"/>
        <w:spacing w:after="0"/>
        <w:tabs>
          <w:tab w:leader="none" w:pos="1160" w:val="left"/>
        </w:tabs>
        <w:numPr>
          <w:ilvl w:val="0"/>
          <w:numId w:val="4"/>
        </w:numPr>
        <w:rPr>
          <w:rFonts w:ascii="Arial" w:cs="Arial" w:eastAsia="Arial" w:hAnsi="Arial"/>
          <w:sz w:val="16"/>
          <w:szCs w:val="16"/>
          <w:color w:val="auto"/>
        </w:rPr>
      </w:pPr>
      <w:r>
        <w:rPr>
          <w:rFonts w:ascii="Arial" w:cs="Arial" w:eastAsia="Arial" w:hAnsi="Arial"/>
          <w:sz w:val="16"/>
          <w:szCs w:val="16"/>
          <w:color w:val="auto"/>
        </w:rPr>
        <w:t>[   ] Investment company registered under section 8 of the Investment Company Act of 1940 (15 U.S.C. 80a-8)</w:t>
      </w:r>
    </w:p>
    <w:p>
      <w:pPr>
        <w:spacing w:after="0" w:line="32" w:lineRule="exact"/>
        <w:rPr>
          <w:rFonts w:ascii="Arial" w:cs="Arial" w:eastAsia="Arial" w:hAnsi="Arial"/>
          <w:sz w:val="16"/>
          <w:szCs w:val="16"/>
          <w:color w:val="auto"/>
        </w:rPr>
      </w:pPr>
    </w:p>
    <w:p>
      <w:pPr>
        <w:ind w:left="1160" w:hanging="463"/>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 ] An investment adviser in accordance with § 240.13d-1(b)(1)(ii)(E)</w:t>
      </w:r>
    </w:p>
    <w:p>
      <w:pPr>
        <w:spacing w:after="0" w:line="9" w:lineRule="exact"/>
        <w:rPr>
          <w:rFonts w:ascii="Arial" w:cs="Arial" w:eastAsia="Arial" w:hAnsi="Arial"/>
          <w:sz w:val="18"/>
          <w:szCs w:val="18"/>
          <w:color w:val="auto"/>
        </w:rPr>
      </w:pPr>
    </w:p>
    <w:p>
      <w:pPr>
        <w:ind w:left="1160" w:hanging="463"/>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 An employee benefit plan or endowment fund in accordance with § 240.13d-1(b)(1)(ii)(F)</w:t>
      </w:r>
    </w:p>
    <w:p>
      <w:pPr>
        <w:spacing w:after="0" w:line="9" w:lineRule="exact"/>
        <w:rPr>
          <w:rFonts w:ascii="Arial" w:cs="Arial" w:eastAsia="Arial" w:hAnsi="Arial"/>
          <w:sz w:val="18"/>
          <w:szCs w:val="18"/>
          <w:color w:val="auto"/>
        </w:rPr>
      </w:pPr>
    </w:p>
    <w:p>
      <w:pPr>
        <w:ind w:left="1160" w:hanging="463"/>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 A parent holding company or control person in accordance with § 240.13d-1(b)(ii)(G)</w:t>
      </w:r>
    </w:p>
    <w:p>
      <w:pPr>
        <w:spacing w:after="0" w:line="230" w:lineRule="exact"/>
        <w:rPr>
          <w:rFonts w:ascii="Arial" w:cs="Arial" w:eastAsia="Arial" w:hAnsi="Arial"/>
          <w:sz w:val="18"/>
          <w:szCs w:val="18"/>
          <w:color w:val="auto"/>
        </w:rPr>
      </w:pPr>
    </w:p>
    <w:p>
      <w:pPr>
        <w:ind w:left="5660" w:hanging="126"/>
        <w:spacing w:after="0"/>
        <w:tabs>
          <w:tab w:leader="none" w:pos="5660" w:val="left"/>
        </w:tabs>
        <w:numPr>
          <w:ilvl w:val="1"/>
          <w:numId w:val="4"/>
        </w:numPr>
        <w:rPr>
          <w:rFonts w:ascii="Arial" w:cs="Arial" w:eastAsia="Arial" w:hAnsi="Arial"/>
          <w:sz w:val="22"/>
          <w:szCs w:val="22"/>
          <w:color w:val="auto"/>
        </w:rPr>
      </w:pPr>
      <w:r>
        <w:rPr>
          <w:rFonts w:ascii="Arial" w:cs="Arial" w:eastAsia="Arial" w:hAnsi="Arial"/>
          <w:sz w:val="22"/>
          <w:szCs w:val="22"/>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240" w:top="557" w:right="519" w:bottom="1440" w:gutter="0" w:footer="0" w:header="0"/>
          <w:type w:val="continuous"/>
        </w:sectPr>
      </w:pPr>
    </w:p>
    <w:bookmarkStart w:id="3" w:name="page4"/>
    <w:bookmarkEnd w:id="3"/>
    <w:p>
      <w:pPr>
        <w:ind w:left="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1247775" cy="158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7775" cy="158750"/>
                    </a:xfrm>
                    <a:prstGeom prst="rect">
                      <a:avLst/>
                    </a:prstGeom>
                    <a:noFill/>
                  </pic:spPr>
                </pic:pic>
              </a:graphicData>
            </a:graphic>
          </wp:anchor>
        </w:drawing>
        <w:drawing>
          <wp:anchor simplePos="0" relativeHeight="251657728" behindDoc="1" locked="0" layoutInCell="0" allowOverlap="1">
            <wp:simplePos x="0" y="0"/>
            <wp:positionH relativeFrom="page">
              <wp:posOffset>6372860</wp:posOffset>
            </wp:positionH>
            <wp:positionV relativeFrom="page">
              <wp:posOffset>378460</wp:posOffset>
            </wp:positionV>
            <wp:extent cx="1033145" cy="158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33145" cy="158750"/>
                    </a:xfrm>
                    <a:prstGeom prst="rect">
                      <a:avLst/>
                    </a:prstGeom>
                    <a:noFill/>
                  </pic:spPr>
                </pic:pic>
              </a:graphicData>
            </a:graphic>
          </wp:anchor>
        </w:drawing>
        <w:t xml:space="preserve">CUSIP No. 72651A207 </w:t>
      </w:r>
      <w:r>
        <w:rPr>
          <w:sz w:val="1"/>
          <w:szCs w:val="1"/>
          <w:color w:val="auto"/>
        </w:rPr>
        <w:drawing>
          <wp:inline distT="0" distB="0" distL="0" distR="0">
            <wp:extent cx="12700" cy="1587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158750"/>
                    </a:xfrm>
                    <a:prstGeom prst="rect">
                      <a:avLst/>
                    </a:prstGeom>
                    <a:noFill/>
                    <a:ln>
                      <a:noFill/>
                    </a:ln>
                  </pic:spPr>
                </pic:pic>
              </a:graphicData>
            </a:graphic>
          </wp:inline>
        </w:drawing>
        <w:drawing>
          <wp:inline distT="0" distB="0" distL="0" distR="0">
            <wp:extent cx="12700" cy="1587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158750"/>
                    </a:xfrm>
                    <a:prstGeom prst="rect">
                      <a:avLst/>
                    </a:prstGeom>
                    <a:noFill/>
                    <a:ln>
                      <a:noFill/>
                    </a:ln>
                  </pic:spPr>
                </pic:pic>
              </a:graphicData>
            </a:graphic>
          </wp:inline>
        </w:drawing>
      </w:r>
      <w:r>
        <w:rPr>
          <w:rFonts w:ascii="Arial" w:cs="Arial" w:eastAsia="Arial" w:hAnsi="Arial"/>
          <w:sz w:val="18"/>
          <w:szCs w:val="18"/>
          <w:color w:val="auto"/>
        </w:rPr>
        <w:t xml:space="preserve"> Page 4 of 6 Pages</w:t>
      </w:r>
    </w:p>
    <w:p>
      <w:pPr>
        <w:sectPr>
          <w:pgSz w:w="11900" w:h="16838" w:orient="portrait"/>
          <w:cols w:equalWidth="0" w:num="1">
            <w:col w:w="11420"/>
          </w:cols>
          <w:pgMar w:left="240" w:top="557" w:right="2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1160" w:hanging="463"/>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60" w:hanging="463"/>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60" w:hanging="463"/>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160" w:hanging="463"/>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 A savings association as defined in Section 3(b) of the Federal Deposit Insurance Act (12 U.S.C. 1813)</w:t>
      </w:r>
    </w:p>
    <w:p>
      <w:pPr>
        <w:spacing w:after="0" w:line="23" w:lineRule="exact"/>
        <w:rPr>
          <w:sz w:val="20"/>
          <w:szCs w:val="20"/>
          <w:color w:val="auto"/>
        </w:rPr>
      </w:pPr>
    </w:p>
    <w:p>
      <w:pPr>
        <w:ind w:left="140" w:hanging="134"/>
        <w:spacing w:after="0" w:line="180" w:lineRule="auto"/>
        <w:tabs>
          <w:tab w:leader="none" w:pos="140" w:val="left"/>
        </w:tabs>
        <w:numPr>
          <w:ilvl w:val="0"/>
          <w:numId w:val="6"/>
        </w:numPr>
        <w:rPr>
          <w:rFonts w:ascii="Arial" w:cs="Arial" w:eastAsia="Arial" w:hAnsi="Arial"/>
          <w:sz w:val="33"/>
          <w:szCs w:val="33"/>
          <w:color w:val="auto"/>
          <w:vertAlign w:val="subscript"/>
        </w:rPr>
      </w:pPr>
      <w:r>
        <w:rPr>
          <w:rFonts w:ascii="Arial" w:cs="Arial" w:eastAsia="Arial" w:hAnsi="Arial"/>
          <w:sz w:val="17"/>
          <w:szCs w:val="17"/>
          <w:color w:val="auto"/>
        </w:rPr>
        <w:t>A church plan that is excluded from the definition of an investment company under section 3(c)(14) of the Investment Company Act of 1940 (15 U.S.C. 80a-3)</w:t>
      </w:r>
    </w:p>
    <w:p>
      <w:pPr>
        <w:spacing w:after="0" w:line="1" w:lineRule="exact"/>
        <w:rPr>
          <w:sz w:val="20"/>
          <w:szCs w:val="20"/>
          <w:color w:val="auto"/>
        </w:rPr>
      </w:pPr>
    </w:p>
    <w:p>
      <w:pPr>
        <w:ind w:left="140" w:hanging="134"/>
        <w:spacing w:after="0"/>
        <w:tabs>
          <w:tab w:leader="none" w:pos="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non-U.S. institution in accordance with § 240.13d-1(b)(1)(ii)(J)</w:t>
      </w:r>
    </w:p>
    <w:p>
      <w:pPr>
        <w:spacing w:after="0" w:line="9" w:lineRule="exact"/>
        <w:rPr>
          <w:rFonts w:ascii="Arial" w:cs="Arial" w:eastAsia="Arial" w:hAnsi="Arial"/>
          <w:sz w:val="18"/>
          <w:szCs w:val="18"/>
          <w:color w:val="auto"/>
        </w:rPr>
      </w:pPr>
    </w:p>
    <w:p>
      <w:pPr>
        <w:ind w:left="140" w:hanging="134"/>
        <w:spacing w:after="0"/>
        <w:tabs>
          <w:tab w:leader="none" w:pos="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Group, in accordance with § 240.13d-1(b)(1)(ii)(K)</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If filing as a non-U.S. institution in accordance with § 240.13d-1(b)(1)(ii)(J), please specify the type of institution: _______________</w:t>
      </w:r>
    </w:p>
    <w:p>
      <w:pPr>
        <w:spacing w:after="0" w:line="200" w:lineRule="exact"/>
        <w:rPr>
          <w:sz w:val="20"/>
          <w:szCs w:val="20"/>
          <w:color w:val="auto"/>
        </w:rPr>
      </w:pPr>
    </w:p>
    <w:p>
      <w:pPr>
        <w:sectPr>
          <w:pgSz w:w="11900" w:h="16838" w:orient="portrait"/>
          <w:cols w:equalWidth="0" w:num="2">
            <w:col w:w="1220" w:space="260"/>
            <w:col w:w="9940"/>
          </w:cols>
          <w:pgMar w:left="240" w:top="557" w:right="239" w:bottom="1440" w:gutter="0" w:footer="0" w:header="0"/>
          <w:type w:val="continuous"/>
        </w:sectPr>
      </w:pPr>
    </w:p>
    <w:p>
      <w:pPr>
        <w:spacing w:after="0" w:line="26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information in items 1 and 5-11 on the cover pages of this Schedule 13G is hereby incorporated by reference.</w:t>
      </w:r>
    </w:p>
    <w:p>
      <w:pPr>
        <w:spacing w:after="0" w:line="225" w:lineRule="exact"/>
        <w:rPr>
          <w:sz w:val="20"/>
          <w:szCs w:val="20"/>
          <w:color w:val="auto"/>
        </w:rPr>
      </w:pPr>
    </w:p>
    <w:p>
      <w:pPr>
        <w:jc w:val="both"/>
        <w:ind w:left="700"/>
        <w:spacing w:after="0" w:line="291" w:lineRule="auto"/>
        <w:rPr>
          <w:sz w:val="20"/>
          <w:szCs w:val="20"/>
          <w:color w:val="auto"/>
        </w:rPr>
      </w:pPr>
      <w:r>
        <w:rPr>
          <w:rFonts w:ascii="Arial" w:cs="Arial" w:eastAsia="Arial" w:hAnsi="Arial"/>
          <w:sz w:val="16"/>
          <w:szCs w:val="16"/>
          <w:color w:val="auto"/>
        </w:rPr>
        <w:t>Chickasaw Capital Management, LLC is a registered investment adviser which furnishes investment advice to individual clients by exercising trading authority over securities held in accounts on behalf of such clients (collectively, the “portfolios”). In its role as an investment adviser to the portfolios, Chickasaw Capital Management, LLC has sole dispositive power over the portfolios and, as a result, may be deemed to be the beneficial owner of the securities of the Issuer held by such portfolios. However, Chickasaw Capital Management, LLC does not have the right to receive any dividends from, or the proceeds from the sale of, the securities held in such portfolios and disclaims any ownership associated with such rights. In addition, the filing of this Schedule 13G shall not be construed as an admission that Chickasaw Capital Management, LLC is the beneficial owner of any securities covered by this Schedule 13G for any other purposes than Section 13(d) of the Securities Exchange Act of 1934.</w:t>
      </w:r>
    </w:p>
    <w:p>
      <w:pPr>
        <w:spacing w:after="0" w:line="37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229" w:lineRule="exact"/>
        <w:rPr>
          <w:sz w:val="20"/>
          <w:szCs w:val="20"/>
          <w:color w:val="auto"/>
        </w:rPr>
      </w:pPr>
    </w:p>
    <w:p>
      <w:pPr>
        <w:jc w:val="both"/>
        <w:ind w:left="700" w:right="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class of securities, check the following [ X ].</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type w:val="continuous"/>
        </w:sectPr>
      </w:pPr>
    </w:p>
    <w:bookmarkStart w:id="4" w:name="page5"/>
    <w:bookmarkEnd w:id="4"/>
    <w:p>
      <w:pPr>
        <w:ind w:left="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1247775" cy="158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47775" cy="158750"/>
                    </a:xfrm>
                    <a:prstGeom prst="rect">
                      <a:avLst/>
                    </a:prstGeom>
                    <a:noFill/>
                  </pic:spPr>
                </pic:pic>
              </a:graphicData>
            </a:graphic>
          </wp:anchor>
        </w:drawing>
        <w:drawing>
          <wp:anchor simplePos="0" relativeHeight="251657728" behindDoc="1" locked="0" layoutInCell="0" allowOverlap="1">
            <wp:simplePos x="0" y="0"/>
            <wp:positionH relativeFrom="page">
              <wp:posOffset>6372860</wp:posOffset>
            </wp:positionH>
            <wp:positionV relativeFrom="page">
              <wp:posOffset>378460</wp:posOffset>
            </wp:positionV>
            <wp:extent cx="1033145" cy="158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33145" cy="158750"/>
                    </a:xfrm>
                    <a:prstGeom prst="rect">
                      <a:avLst/>
                    </a:prstGeom>
                    <a:noFill/>
                  </pic:spPr>
                </pic:pic>
              </a:graphicData>
            </a:graphic>
          </wp:anchor>
        </w:drawing>
        <w:t xml:space="preserve">CUSIP No. 72651A207 </w:t>
      </w:r>
      <w:r>
        <w:rPr>
          <w:sz w:val="1"/>
          <w:szCs w:val="1"/>
          <w:color w:val="auto"/>
        </w:rPr>
        <w:drawing>
          <wp:inline distT="0" distB="0" distL="0" distR="0">
            <wp:extent cx="12700" cy="1587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158750"/>
                    </a:xfrm>
                    <a:prstGeom prst="rect">
                      <a:avLst/>
                    </a:prstGeom>
                    <a:noFill/>
                    <a:ln>
                      <a:noFill/>
                    </a:ln>
                  </pic:spPr>
                </pic:pic>
              </a:graphicData>
            </a:graphic>
          </wp:inline>
        </w:drawing>
        <w:drawing>
          <wp:inline distT="0" distB="0" distL="0" distR="0">
            <wp:extent cx="12700" cy="1587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158750"/>
                    </a:xfrm>
                    <a:prstGeom prst="rect">
                      <a:avLst/>
                    </a:prstGeom>
                    <a:noFill/>
                    <a:ln>
                      <a:noFill/>
                    </a:ln>
                  </pic:spPr>
                </pic:pic>
              </a:graphicData>
            </a:graphic>
          </wp:inline>
        </w:drawing>
      </w:r>
      <w:r>
        <w:rPr>
          <w:rFonts w:ascii="Arial" w:cs="Arial" w:eastAsia="Arial" w:hAnsi="Arial"/>
          <w:sz w:val="18"/>
          <w:szCs w:val="18"/>
          <w:color w:val="auto"/>
        </w:rPr>
        <w:t xml:space="preserve"> Page 5 of 6 Pages</w:t>
      </w:r>
    </w:p>
    <w:p>
      <w:pPr>
        <w:sectPr>
          <w:pgSz w:w="11900" w:h="16838" w:orient="portrait"/>
          <w:cols w:equalWidth="0" w:num="1">
            <w:col w:w="11420"/>
          </w:cols>
          <w:pgMar w:left="240" w:top="557" w:right="2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229" w:lineRule="exact"/>
        <w:rPr>
          <w:sz w:val="20"/>
          <w:szCs w:val="20"/>
          <w:color w:val="auto"/>
        </w:rPr>
      </w:pPr>
    </w:p>
    <w:p>
      <w:pPr>
        <w:jc w:val="both"/>
        <w:ind w:left="700"/>
        <w:spacing w:after="0" w:line="277" w:lineRule="auto"/>
        <w:rPr>
          <w:sz w:val="20"/>
          <w:szCs w:val="20"/>
          <w:color w:val="auto"/>
        </w:rPr>
      </w:pPr>
      <w:r>
        <w:rPr>
          <w:rFonts w:ascii="Arial" w:cs="Arial" w:eastAsia="Arial" w:hAnsi="Arial"/>
          <w:sz w:val="18"/>
          <w:szCs w:val="18"/>
          <w:color w:val="auto"/>
        </w:rPr>
        <w:t>Each advisory client of Chickasaw Capital Management, LLC who owns securities of the Issuer in their portfolio has the right to receive dividends from, or the proceeds from the sale of, such securities held in that client’s portfolio.</w:t>
      </w:r>
    </w:p>
    <w:p>
      <w:pPr>
        <w:spacing w:after="0" w:line="383" w:lineRule="exact"/>
        <w:rPr>
          <w:sz w:val="20"/>
          <w:szCs w:val="20"/>
          <w:color w:val="auto"/>
        </w:rPr>
      </w:pPr>
    </w:p>
    <w:p>
      <w:pPr>
        <w:ind w:left="700" w:hanging="688"/>
        <w:spacing w:after="0" w:line="282" w:lineRule="auto"/>
        <w:tabs>
          <w:tab w:leader="none" w:pos="68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3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3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29"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type w:val="continuous"/>
        </w:sectPr>
      </w:pPr>
    </w:p>
    <w:bookmarkStart w:id="5" w:name="page6"/>
    <w:bookmarkEnd w:id="5"/>
    <w:p>
      <w:pPr>
        <w:ind w:left="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1247775" cy="1587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47775" cy="158750"/>
                    </a:xfrm>
                    <a:prstGeom prst="rect">
                      <a:avLst/>
                    </a:prstGeom>
                    <a:noFill/>
                  </pic:spPr>
                </pic:pic>
              </a:graphicData>
            </a:graphic>
          </wp:anchor>
        </w:drawing>
        <w:drawing>
          <wp:anchor simplePos="0" relativeHeight="251657728" behindDoc="1" locked="0" layoutInCell="0" allowOverlap="1">
            <wp:simplePos x="0" y="0"/>
            <wp:positionH relativeFrom="page">
              <wp:posOffset>6372860</wp:posOffset>
            </wp:positionH>
            <wp:positionV relativeFrom="page">
              <wp:posOffset>378460</wp:posOffset>
            </wp:positionV>
            <wp:extent cx="1033145" cy="1587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33145" cy="158750"/>
                    </a:xfrm>
                    <a:prstGeom prst="rect">
                      <a:avLst/>
                    </a:prstGeom>
                    <a:noFill/>
                  </pic:spPr>
                </pic:pic>
              </a:graphicData>
            </a:graphic>
          </wp:anchor>
        </w:drawing>
        <w:t xml:space="preserve">CUSIP No. 72651A207 </w:t>
      </w:r>
      <w:r>
        <w:rPr>
          <w:sz w:val="1"/>
          <w:szCs w:val="1"/>
          <w:color w:val="auto"/>
        </w:rPr>
        <w:drawing>
          <wp:inline distT="0" distB="0" distL="0" distR="0">
            <wp:extent cx="12700" cy="1587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158750"/>
                    </a:xfrm>
                    <a:prstGeom prst="rect">
                      <a:avLst/>
                    </a:prstGeom>
                    <a:noFill/>
                    <a:ln>
                      <a:noFill/>
                    </a:ln>
                  </pic:spPr>
                </pic:pic>
              </a:graphicData>
            </a:graphic>
          </wp:inline>
        </w:drawing>
        <w:drawing>
          <wp:inline distT="0" distB="0" distL="0" distR="0">
            <wp:extent cx="12700" cy="1587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158750"/>
                    </a:xfrm>
                    <a:prstGeom prst="rect">
                      <a:avLst/>
                    </a:prstGeom>
                    <a:noFill/>
                    <a:ln>
                      <a:noFill/>
                    </a:ln>
                  </pic:spPr>
                </pic:pic>
              </a:graphicData>
            </a:graphic>
          </wp:inline>
        </w:drawing>
      </w:r>
      <w:r>
        <w:rPr>
          <w:rFonts w:ascii="Arial" w:cs="Arial" w:eastAsia="Arial" w:hAnsi="Arial"/>
          <w:sz w:val="18"/>
          <w:szCs w:val="18"/>
          <w:color w:val="auto"/>
        </w:rPr>
        <w:t xml:space="preserve"> Page 6 of 6 Pages</w:t>
      </w:r>
    </w:p>
    <w:p>
      <w:pPr>
        <w:sectPr>
          <w:pgSz w:w="11900" w:h="16838" w:orient="portrait"/>
          <w:cols w:equalWidth="0" w:num="1">
            <w:col w:w="11140"/>
          </w:cols>
          <w:pgMar w:left="240" w:top="557" w:right="51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Chickasaw Capital Management,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1, 2019</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8898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Andrew E. Garrett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8898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Andrew E. Garrett, General Counsel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8898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- 6 -</w:t>
      </w:r>
    </w:p>
    <w:sectPr>
      <w:pgSz w:w="11900" w:h="16838" w:orient="portrait"/>
      <w:cols w:equalWidth="0" w:num="1">
        <w:col w:w="11140"/>
      </w:cols>
      <w:pgMar w:left="240" w:top="557"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lvl w:ilvl="1">
      <w:lvlJc w:val="left"/>
      <w:lvlText w:val="-"/>
      <w:numFmt w:val="bullet"/>
      <w:start w:val="1"/>
    </w:lvl>
  </w:abstractNum>
  <w:abstractNum w:abstractNumId="4">
    <w:nsid w:val="507ED7AB"/>
    <w:multiLevelType w:val="hybridMultilevel"/>
    <w:lvl w:ilvl="0">
      <w:lvlJc w:val="left"/>
      <w:lvlText w:val="(%1)"/>
      <w:numFmt w:val="lowerLetter"/>
      <w:start w:val="8"/>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2020-01-09T18:16:55Z</dcterms:created>
  <dcterms:modified xsi:type="dcterms:W3CDTF">2020-01-09T18:16:55Z</dcterms:modified>
</cp:coreProperties>
</file>