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7" w:lineRule="exact"/>
        <w:rPr>
          <w:sz w:val="24"/>
          <w:szCs w:val="24"/>
          <w:color w:val="auto"/>
        </w:rPr>
      </w:pPr>
    </w:p>
    <w:p>
      <w:pPr>
        <w:ind w:left="4020" w:right="2300" w:hanging="4012"/>
        <w:spacing w:after="0" w:line="391" w:lineRule="auto"/>
        <w:tabs>
          <w:tab w:leader="none" w:pos="3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6" w:lineRule="exact"/>
        <w:rPr>
          <w:sz w:val="24"/>
          <w:szCs w:val="24"/>
          <w:color w:val="auto"/>
        </w:rPr>
      </w:pPr>
    </w:p>
    <w:tbl>
      <w:tblPr>
        <w:tblLayout w:type="fixed"/>
        <w:tblInd w:w="128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4780" w:type="dxa"/>
            <w:vAlign w:val="bottom"/>
          </w:tcPr>
          <w:p>
            <w:pPr>
              <w:jc w:val="center"/>
              <w:ind w:right="1281"/>
              <w:spacing w:after="0"/>
              <w:rPr>
                <w:sz w:val="20"/>
                <w:szCs w:val="20"/>
                <w:color w:val="auto"/>
              </w:rPr>
            </w:pPr>
            <w:r>
              <w:rPr>
                <w:rFonts w:ascii="Arial" w:cs="Arial" w:eastAsia="Arial" w:hAnsi="Arial"/>
                <w:sz w:val="14"/>
                <w:szCs w:val="14"/>
                <w:b w:val="1"/>
                <w:bCs w:val="1"/>
                <w:color w:val="auto"/>
                <w:w w:val="92"/>
              </w:rPr>
              <w:t>Commission file number 1-36132</w:t>
            </w:r>
          </w:p>
        </w:tc>
      </w:tr>
      <w:tr>
        <w:trPr>
          <w:trHeight w:val="398"/>
        </w:trPr>
        <w:tc>
          <w:tcPr>
            <w:tcW w:w="2720" w:type="dxa"/>
            <w:vAlign w:val="bottom"/>
          </w:tcPr>
          <w:p>
            <w:pPr>
              <w:spacing w:after="0"/>
              <w:rPr>
                <w:sz w:val="24"/>
                <w:szCs w:val="24"/>
                <w:color w:val="auto"/>
              </w:rPr>
            </w:pPr>
          </w:p>
        </w:tc>
        <w:tc>
          <w:tcPr>
            <w:tcW w:w="4780" w:type="dxa"/>
            <w:vAlign w:val="bottom"/>
          </w:tcPr>
          <w:p>
            <w:pPr>
              <w:jc w:val="center"/>
              <w:ind w:right="1281"/>
              <w:spacing w:after="0"/>
              <w:rPr>
                <w:sz w:val="20"/>
                <w:szCs w:val="20"/>
                <w:color w:val="auto"/>
              </w:rPr>
            </w:pPr>
            <w:r>
              <w:rPr>
                <w:rFonts w:ascii="Arial" w:cs="Arial" w:eastAsia="Arial" w:hAnsi="Arial"/>
                <w:sz w:val="25"/>
                <w:szCs w:val="25"/>
                <w:b w:val="1"/>
                <w:bCs w:val="1"/>
                <w:color w:val="auto"/>
                <w:w w:val="98"/>
              </w:rPr>
              <w:t>PLAINS GP HOLDINGS, L.P.</w:t>
            </w:r>
          </w:p>
        </w:tc>
      </w:tr>
      <w:tr>
        <w:trPr>
          <w:trHeight w:val="182"/>
        </w:trPr>
        <w:tc>
          <w:tcPr>
            <w:tcW w:w="2720" w:type="dxa"/>
            <w:vAlign w:val="bottom"/>
          </w:tcPr>
          <w:p>
            <w:pPr>
              <w:spacing w:after="0"/>
              <w:rPr>
                <w:sz w:val="15"/>
                <w:szCs w:val="15"/>
                <w:color w:val="auto"/>
              </w:rPr>
            </w:pPr>
          </w:p>
        </w:tc>
        <w:tc>
          <w:tcPr>
            <w:tcW w:w="4780" w:type="dxa"/>
            <w:vAlign w:val="bottom"/>
          </w:tcPr>
          <w:p>
            <w:pPr>
              <w:jc w:val="center"/>
              <w:ind w:right="1281"/>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46"/>
        </w:trPr>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4780" w:type="dxa"/>
            <w:vAlign w:val="bottom"/>
          </w:tcPr>
          <w:p>
            <w:pPr>
              <w:jc w:val="right"/>
              <w:ind w:right="101"/>
              <w:spacing w:after="0"/>
              <w:rPr>
                <w:sz w:val="20"/>
                <w:szCs w:val="20"/>
                <w:color w:val="auto"/>
              </w:rPr>
            </w:pPr>
            <w:r>
              <w:rPr>
                <w:rFonts w:ascii="Arial" w:cs="Arial" w:eastAsia="Arial" w:hAnsi="Arial"/>
                <w:sz w:val="14"/>
                <w:szCs w:val="14"/>
                <w:b w:val="1"/>
                <w:bCs w:val="1"/>
                <w:color w:val="auto"/>
              </w:rPr>
              <w:t>90-1005472</w:t>
            </w:r>
          </w:p>
        </w:tc>
      </w:tr>
      <w:tr>
        <w:trPr>
          <w:trHeight w:val="270"/>
        </w:trPr>
        <w:tc>
          <w:tcPr>
            <w:tcW w:w="2720" w:type="dxa"/>
            <w:vAlign w:val="bottom"/>
          </w:tcPr>
          <w:p>
            <w:pPr>
              <w:jc w:val="center"/>
              <w:spacing w:after="0"/>
              <w:rPr>
                <w:sz w:val="20"/>
                <w:szCs w:val="20"/>
                <w:color w:val="auto"/>
              </w:rPr>
            </w:pPr>
            <w:r>
              <w:rPr>
                <w:rFonts w:ascii="Arial" w:cs="Arial" w:eastAsia="Arial" w:hAnsi="Arial"/>
                <w:sz w:val="14"/>
                <w:szCs w:val="14"/>
                <w:color w:val="auto"/>
                <w:w w:val="94"/>
              </w:rPr>
              <w:t>(State or other jurisdiction of</w:t>
            </w:r>
          </w:p>
        </w:tc>
        <w:tc>
          <w:tcPr>
            <w:tcW w:w="4780" w:type="dxa"/>
            <w:vAlign w:val="bottom"/>
          </w:tcPr>
          <w:p>
            <w:pPr>
              <w:jc w:val="center"/>
              <w:ind w:left="3641"/>
              <w:spacing w:after="0"/>
              <w:rPr>
                <w:sz w:val="20"/>
                <w:szCs w:val="20"/>
                <w:color w:val="auto"/>
              </w:rPr>
            </w:pPr>
            <w:r>
              <w:rPr>
                <w:rFonts w:ascii="Arial" w:cs="Arial" w:eastAsia="Arial" w:hAnsi="Arial"/>
                <w:sz w:val="14"/>
                <w:szCs w:val="14"/>
                <w:color w:val="auto"/>
                <w:w w:val="95"/>
              </w:rPr>
              <w:t>(I.R.S. Employer</w:t>
            </w:r>
          </w:p>
        </w:tc>
      </w:tr>
      <w:tr>
        <w:trPr>
          <w:trHeight w:val="270"/>
        </w:trPr>
        <w:tc>
          <w:tcPr>
            <w:tcW w:w="2720" w:type="dxa"/>
            <w:vAlign w:val="bottom"/>
          </w:tcPr>
          <w:p>
            <w:pPr>
              <w:jc w:val="center"/>
              <w:spacing w:after="0"/>
              <w:rPr>
                <w:sz w:val="20"/>
                <w:szCs w:val="20"/>
                <w:color w:val="auto"/>
              </w:rPr>
            </w:pPr>
            <w:r>
              <w:rPr>
                <w:rFonts w:ascii="Arial" w:cs="Arial" w:eastAsia="Arial" w:hAnsi="Arial"/>
                <w:sz w:val="14"/>
                <w:szCs w:val="14"/>
                <w:color w:val="auto"/>
                <w:w w:val="95"/>
              </w:rPr>
              <w:t>incorporation or organization)</w:t>
            </w:r>
          </w:p>
        </w:tc>
        <w:tc>
          <w:tcPr>
            <w:tcW w:w="4780" w:type="dxa"/>
            <w:vAlign w:val="bottom"/>
          </w:tcPr>
          <w:p>
            <w:pPr>
              <w:jc w:val="center"/>
              <w:ind w:left="3641"/>
              <w:spacing w:after="0"/>
              <w:rPr>
                <w:sz w:val="20"/>
                <w:szCs w:val="20"/>
                <w:color w:val="auto"/>
              </w:rPr>
            </w:pPr>
            <w:r>
              <w:rPr>
                <w:rFonts w:ascii="Arial" w:cs="Arial" w:eastAsia="Arial" w:hAnsi="Arial"/>
                <w:sz w:val="14"/>
                <w:szCs w:val="14"/>
                <w:color w:val="auto"/>
                <w:w w:val="97"/>
              </w:rPr>
              <w:t>Identification No.)</w:t>
            </w:r>
          </w:p>
        </w:tc>
      </w:tr>
      <w:tr>
        <w:trPr>
          <w:trHeight w:val="405"/>
        </w:trPr>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4780" w:type="dxa"/>
            <w:vAlign w:val="bottom"/>
          </w:tcPr>
          <w:p>
            <w:pPr>
              <w:jc w:val="right"/>
              <w:ind w:right="281"/>
              <w:spacing w:after="0"/>
              <w:rPr>
                <w:sz w:val="20"/>
                <w:szCs w:val="20"/>
                <w:color w:val="auto"/>
              </w:rPr>
            </w:pPr>
            <w:r>
              <w:rPr>
                <w:rFonts w:ascii="Arial" w:cs="Arial" w:eastAsia="Arial" w:hAnsi="Arial"/>
                <w:sz w:val="14"/>
                <w:szCs w:val="14"/>
                <w:b w:val="1"/>
                <w:bCs w:val="1"/>
                <w:color w:val="auto"/>
              </w:rPr>
              <w:t>77002</w:t>
            </w:r>
          </w:p>
        </w:tc>
      </w:tr>
      <w:tr>
        <w:trPr>
          <w:trHeight w:val="270"/>
        </w:trPr>
        <w:tc>
          <w:tcPr>
            <w:tcW w:w="2720" w:type="dxa"/>
            <w:vAlign w:val="bottom"/>
          </w:tcPr>
          <w:p>
            <w:pPr>
              <w:jc w:val="center"/>
              <w:ind w:right="8"/>
              <w:spacing w:after="0"/>
              <w:rPr>
                <w:sz w:val="20"/>
                <w:szCs w:val="20"/>
                <w:color w:val="auto"/>
              </w:rPr>
            </w:pPr>
            <w:r>
              <w:rPr>
                <w:rFonts w:ascii="Arial" w:cs="Arial" w:eastAsia="Arial" w:hAnsi="Arial"/>
                <w:sz w:val="14"/>
                <w:szCs w:val="14"/>
                <w:color w:val="auto"/>
                <w:w w:val="95"/>
              </w:rPr>
              <w:t>(Address of principal executive offices)</w:t>
            </w:r>
          </w:p>
        </w:tc>
        <w:tc>
          <w:tcPr>
            <w:tcW w:w="4780" w:type="dxa"/>
            <w:vAlign w:val="bottom"/>
          </w:tcPr>
          <w:p>
            <w:pPr>
              <w:jc w:val="center"/>
              <w:ind w:left="3621"/>
              <w:spacing w:after="0"/>
              <w:rPr>
                <w:sz w:val="20"/>
                <w:szCs w:val="20"/>
                <w:color w:val="auto"/>
              </w:rPr>
            </w:pPr>
            <w:r>
              <w:rPr>
                <w:rFonts w:ascii="Arial" w:cs="Arial" w:eastAsia="Arial" w:hAnsi="Arial"/>
                <w:sz w:val="14"/>
                <w:szCs w:val="14"/>
                <w:color w:val="auto"/>
                <w:w w:val="96"/>
              </w:rPr>
              <w:t>(Zip Code)</w:t>
            </w: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(713) 646-4100</w:t>
      </w:r>
    </w:p>
    <w:p>
      <w:pPr>
        <w:spacing w:after="0" w:line="127" w:lineRule="exact"/>
        <w:rPr>
          <w:sz w:val="24"/>
          <w:szCs w:val="24"/>
          <w:color w:val="auto"/>
        </w:rPr>
      </w:pPr>
    </w:p>
    <w:p>
      <w:pPr>
        <w:ind w:left="3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56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7"/>
              </w:rPr>
              <w:t>Title of Each Class</w:t>
            </w:r>
          </w:p>
        </w:tc>
        <w:tc>
          <w:tcPr>
            <w:tcW w:w="5180" w:type="dxa"/>
            <w:vAlign w:val="bottom"/>
          </w:tcPr>
          <w:p>
            <w:pPr>
              <w:jc w:val="center"/>
              <w:spacing w:after="0"/>
              <w:rPr>
                <w:sz w:val="20"/>
                <w:szCs w:val="20"/>
                <w:color w:val="auto"/>
              </w:rPr>
            </w:pPr>
            <w:r>
              <w:rPr>
                <w:rFonts w:ascii="Arial" w:cs="Arial" w:eastAsia="Arial" w:hAnsi="Arial"/>
                <w:sz w:val="11"/>
                <w:szCs w:val="11"/>
                <w:b w:val="1"/>
                <w:bCs w:val="1"/>
                <w:color w:val="auto"/>
                <w:w w:val="88"/>
              </w:rPr>
              <w:t>Name of Each Exchange on Which Registered</w:t>
            </w: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50"/>
        </w:trPr>
        <w:tc>
          <w:tcPr>
            <w:tcW w:w="5640" w:type="dxa"/>
            <w:vAlign w:val="bottom"/>
            <w:gridSpan w:val="2"/>
          </w:tcPr>
          <w:p>
            <w:pPr>
              <w:jc w:val="center"/>
              <w:ind w:right="420"/>
              <w:spacing w:after="0" w:line="151" w:lineRule="exact"/>
              <w:rPr>
                <w:sz w:val="20"/>
                <w:szCs w:val="20"/>
                <w:color w:val="auto"/>
              </w:rPr>
            </w:pPr>
            <w:r>
              <w:rPr>
                <w:rFonts w:ascii="Arial" w:cs="Arial" w:eastAsia="Arial" w:hAnsi="Arial"/>
                <w:sz w:val="14"/>
                <w:szCs w:val="14"/>
                <w:color w:val="auto"/>
                <w:w w:val="89"/>
              </w:rPr>
              <w:t>Class A Shares,</w:t>
            </w:r>
          </w:p>
        </w:tc>
        <w:tc>
          <w:tcPr>
            <w:tcW w:w="5180" w:type="dxa"/>
            <w:vAlign w:val="bottom"/>
          </w:tcPr>
          <w:p>
            <w:pPr>
              <w:jc w:val="center"/>
              <w:spacing w:after="0" w:line="151" w:lineRule="exact"/>
              <w:rPr>
                <w:sz w:val="20"/>
                <w:szCs w:val="20"/>
                <w:color w:val="auto"/>
              </w:rPr>
            </w:pPr>
            <w:r>
              <w:rPr>
                <w:rFonts w:ascii="Arial" w:cs="Arial" w:eastAsia="Arial" w:hAnsi="Arial"/>
                <w:sz w:val="14"/>
                <w:szCs w:val="14"/>
                <w:color w:val="auto"/>
                <w:w w:val="94"/>
              </w:rPr>
              <w:t>New York Stock Exchange</w:t>
            </w:r>
          </w:p>
        </w:tc>
      </w:tr>
      <w:tr>
        <w:trPr>
          <w:trHeight w:val="182"/>
        </w:trPr>
        <w:tc>
          <w:tcPr>
            <w:tcW w:w="564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Representing Limited Partner Interests</w:t>
            </w:r>
          </w:p>
        </w:tc>
        <w:tc>
          <w:tcPr>
            <w:tcW w:w="5180" w:type="dxa"/>
            <w:vAlign w:val="bottom"/>
          </w:tcPr>
          <w:p>
            <w:pPr>
              <w:spacing w:after="0"/>
              <w:rPr>
                <w:sz w:val="15"/>
                <w:szCs w:val="15"/>
                <w:color w:val="auto"/>
              </w:rPr>
            </w:pPr>
          </w:p>
        </w:tc>
      </w:tr>
      <w:tr>
        <w:trPr>
          <w:trHeight w:val="297"/>
        </w:trPr>
        <w:tc>
          <w:tcPr>
            <w:tcW w:w="5640" w:type="dxa"/>
            <w:vAlign w:val="bottom"/>
            <w:gridSpan w:val="2"/>
          </w:tcPr>
          <w:p>
            <w:pPr>
              <w:ind w:left="3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5180" w:type="dxa"/>
            <w:vAlign w:val="bottom"/>
          </w:tcPr>
          <w:p>
            <w:pPr>
              <w:spacing w:after="0"/>
              <w:rPr>
                <w:sz w:val="24"/>
                <w:szCs w:val="24"/>
                <w:color w:val="auto"/>
              </w:rPr>
            </w:pPr>
          </w:p>
        </w:tc>
      </w:tr>
    </w:tbl>
    <w:p>
      <w:pPr>
        <w:spacing w:after="0" w:line="101" w:lineRule="exact"/>
        <w:rPr>
          <w:sz w:val="24"/>
          <w:szCs w:val="24"/>
          <w:color w:val="auto"/>
        </w:rPr>
      </w:pPr>
    </w:p>
    <w:p>
      <w:pPr>
        <w:ind w:left="300" w:right="3560"/>
        <w:spacing w:after="0" w:line="455"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100" w:firstLine="284"/>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9" w:lineRule="exact"/>
        <w:rPr>
          <w:sz w:val="24"/>
          <w:szCs w:val="24"/>
          <w:color w:val="auto"/>
        </w:rPr>
      </w:pPr>
    </w:p>
    <w:p>
      <w:pPr>
        <w:ind w:right="100" w:firstLine="284"/>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79" w:lineRule="exact"/>
        <w:rPr>
          <w:sz w:val="24"/>
          <w:szCs w:val="24"/>
          <w:color w:val="auto"/>
        </w:rPr>
      </w:pPr>
    </w:p>
    <w:p>
      <w:pPr>
        <w:ind w:right="360" w:firstLine="284"/>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9" w:lineRule="exact"/>
        <w:rPr>
          <w:sz w:val="24"/>
          <w:szCs w:val="24"/>
          <w:color w:val="auto"/>
        </w:rPr>
      </w:pPr>
    </w:p>
    <w:p>
      <w:pPr>
        <w:ind w:right="240" w:firstLine="28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187" w:lineRule="exact"/>
        <w:rPr>
          <w:sz w:val="24"/>
          <w:szCs w:val="24"/>
          <w:color w:val="auto"/>
        </w:rPr>
      </w:pPr>
    </w:p>
    <w:p>
      <w:pPr>
        <w:ind w:left="188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0" w:lineRule="exact"/>
        <w:rPr>
          <w:sz w:val="24"/>
          <w:szCs w:val="24"/>
          <w:color w:val="auto"/>
        </w:rPr>
      </w:pPr>
    </w:p>
    <w:p>
      <w:pPr>
        <w:sectPr>
          <w:pgSz w:w="11900" w:h="16838" w:orient="portrait"/>
          <w:cols w:equalWidth="0" w:num="2">
            <w:col w:w="6960" w:space="720"/>
            <w:col w:w="3740"/>
          </w:cols>
          <w:pgMar w:left="240" w:top="233" w:right="239" w:bottom="1440" w:gutter="0" w:footer="0" w:header="0"/>
          <w:type w:val="continuous"/>
        </w:sectPr>
      </w:pPr>
    </w:p>
    <w:p>
      <w:pPr>
        <w:spacing w:after="0" w:line="42" w:lineRule="exact"/>
        <w:rPr>
          <w:sz w:val="24"/>
          <w:szCs w:val="24"/>
          <w:color w:val="auto"/>
        </w:rPr>
      </w:pPr>
    </w:p>
    <w:p>
      <w:pPr>
        <w:ind w:left="190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53"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128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20"/>
          </w:cols>
          <w:pgMar w:left="240" w:top="233" w:right="239" w:bottom="1440" w:gutter="0" w:footer="0" w:header="0"/>
          <w:type w:val="continuous"/>
        </w:sectPr>
      </w:pPr>
    </w:p>
    <w:p>
      <w:pPr>
        <w:spacing w:after="0" w:line="215"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23"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4"/>
          <w:szCs w:val="14"/>
          <w:color w:val="auto"/>
        </w:rPr>
        <w:t>The aggregate market value of the Class A shares held by non-affiliates of the registrant (treating all executive officers and directors of the registrant and holders of 10% or more of the Class A shares outstanding, for this purpose, as if they may be affiliates of the registrant) was approximately $2.6 billion on June 30, 2016, based on a closing price of $27.77 per Class A share as reported on the New York Stock Exchange on such date.</w:t>
      </w:r>
    </w:p>
    <w:p>
      <w:pPr>
        <w:spacing w:after="0" w:line="9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10, 2017, there were 103,269,257 Class A shares outstanding.</w:t>
      </w:r>
    </w:p>
    <w:p>
      <w:pPr>
        <w:spacing w:after="0" w:line="119"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10-K—2016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220" w:type="dxa"/>
            <w:vAlign w:val="bottom"/>
            <w:gridSpan w:val="10"/>
            <w:vMerge w:val="restart"/>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0000EE"/>
            </w:tcBorders>
            <w:gridSpan w:val="2"/>
            <w:vMerge w:val="continue"/>
          </w:tcPr>
          <w:p>
            <w:pPr>
              <w:spacing w:after="0"/>
              <w:rPr>
                <w:sz w:val="15"/>
                <w:szCs w:val="15"/>
                <w:color w:val="auto"/>
              </w:rPr>
            </w:pPr>
          </w:p>
        </w:tc>
        <w:tc>
          <w:tcPr>
            <w:tcW w:w="4220" w:type="dxa"/>
            <w:vAlign w:val="bottom"/>
            <w:gridSpan w:val="10"/>
            <w:vMerge w:val="continue"/>
          </w:tcPr>
          <w:p>
            <w:pPr>
              <w:spacing w:after="0"/>
              <w:rPr>
                <w:sz w:val="15"/>
                <w:szCs w:val="15"/>
                <w:color w:val="auto"/>
              </w:rPr>
            </w:pPr>
          </w:p>
        </w:tc>
        <w:tc>
          <w:tcPr>
            <w:tcW w:w="900" w:type="dxa"/>
            <w:vAlign w:val="bottom"/>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88"/>
        </w:trPr>
        <w:tc>
          <w:tcPr>
            <w:tcW w:w="1020" w:type="dxa"/>
            <w:vAlign w:val="bottom"/>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Items 1 and 2.</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 and Properties</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Item 1A.</w:t>
              </w:r>
            </w:hyperlink>
          </w:p>
        </w:tc>
        <w:tc>
          <w:tcPr>
            <w:tcW w:w="38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7280" w:type="dxa"/>
            <w:vAlign w:val="bottom"/>
            <w:gridSpan w:val="2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1B.</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9000" w:type="dxa"/>
            <w:vAlign w:val="bottom"/>
            <w:gridSpan w:val="2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Unresolved Staff Comments</w:t>
              </w:r>
            </w:hyperlink>
          </w:p>
        </w:tc>
        <w:tc>
          <w:tcPr>
            <w:tcW w:w="9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3.</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6960" w:type="dxa"/>
            <w:vAlign w:val="bottom"/>
            <w:gridSpan w:val="19"/>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w:t>
              </w:r>
            </w:hyperlink>
          </w:p>
        </w:tc>
        <w:tc>
          <w:tcPr>
            <w:tcW w:w="9240" w:type="dxa"/>
            <w:vAlign w:val="bottom"/>
            <w:gridSpan w:val="28"/>
          </w:tcPr>
          <w:p>
            <w:pPr>
              <w:ind w:left="240"/>
              <w:spacing w:after="0"/>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90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w:t>
              </w:r>
            </w:hyperlink>
          </w:p>
        </w:tc>
        <w:tc>
          <w:tcPr>
            <w:tcW w:w="4180" w:type="dxa"/>
            <w:vAlign w:val="bottom"/>
            <w:gridSpan w:val="9"/>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750"/>
        </w:trPr>
        <w:tc>
          <w:tcPr>
            <w:tcW w:w="124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5.</w:t>
              </w:r>
            </w:hyperlink>
          </w:p>
        </w:tc>
        <w:tc>
          <w:tcPr>
            <w:tcW w:w="9240" w:type="dxa"/>
            <w:vAlign w:val="bottom"/>
            <w:gridSpan w:val="28"/>
          </w:tcPr>
          <w:p>
            <w:pPr>
              <w:ind w:left="240"/>
              <w:spacing w:after="0"/>
              <w:rPr>
                <w:rFonts w:ascii="Arial" w:cs="Arial" w:eastAsia="Arial" w:hAnsi="Arial"/>
                <w:sz w:val="18"/>
                <w:szCs w:val="18"/>
                <w:color w:val="0000EE"/>
              </w:rPr>
            </w:pPr>
            <w:hyperlink w:anchor="page74">
              <w:r>
                <w:rPr>
                  <w:rFonts w:ascii="Arial" w:cs="Arial" w:eastAsia="Arial" w:hAnsi="Arial"/>
                  <w:sz w:val="18"/>
                  <w:szCs w:val="18"/>
                  <w:color w:val="0000EE"/>
                </w:rPr>
                <w:t>Market for Registrant’s Shares, Related Shareholder Matters and Issuer Purchases of Equity Securities</w:t>
              </w:r>
            </w:hyperlink>
          </w:p>
        </w:tc>
        <w:tc>
          <w:tcPr>
            <w:tcW w:w="9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6.</w:t>
              </w:r>
            </w:hyperlink>
          </w:p>
        </w:tc>
        <w:tc>
          <w:tcPr>
            <w:tcW w:w="9240" w:type="dxa"/>
            <w:vAlign w:val="bottom"/>
            <w:gridSpan w:val="28"/>
          </w:tcPr>
          <w:p>
            <w:pPr>
              <w:ind w:left="240"/>
              <w:spacing w:after="0"/>
              <w:rPr>
                <w:rFonts w:ascii="Arial" w:cs="Arial" w:eastAsia="Arial" w:hAnsi="Arial"/>
                <w:sz w:val="18"/>
                <w:szCs w:val="18"/>
                <w:color w:val="0000EE"/>
              </w:rPr>
            </w:pPr>
            <w:hyperlink w:anchor="page75">
              <w:r>
                <w:rPr>
                  <w:rFonts w:ascii="Arial" w:cs="Arial" w:eastAsia="Arial" w:hAnsi="Arial"/>
                  <w:sz w:val="18"/>
                  <w:szCs w:val="18"/>
                  <w:color w:val="0000EE"/>
                </w:rPr>
                <w:t>Selected Financial Data</w:t>
              </w:r>
            </w:hyperlink>
          </w:p>
        </w:tc>
        <w:tc>
          <w:tcPr>
            <w:tcW w:w="900" w:type="dxa"/>
            <w:vAlign w:val="bottom"/>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7.</w:t>
              </w:r>
            </w:hyperlink>
          </w:p>
        </w:tc>
        <w:tc>
          <w:tcPr>
            <w:tcW w:w="9240" w:type="dxa"/>
            <w:vAlign w:val="bottom"/>
            <w:gridSpan w:val="28"/>
          </w:tcPr>
          <w:p>
            <w:pPr>
              <w:ind w:left="240"/>
              <w:spacing w:after="0"/>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7A.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Quantitative and Qualitative Disclosures About Market Risk</w:t>
              </w:r>
            </w:hyperlink>
          </w:p>
        </w:tc>
        <w:tc>
          <w:tcPr>
            <w:tcW w:w="4640" w:type="dxa"/>
            <w:vAlign w:val="bottom"/>
            <w:gridSpan w:val="11"/>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8.</w:t>
              </w:r>
            </w:hyperlink>
          </w:p>
        </w:tc>
        <w:tc>
          <w:tcPr>
            <w:tcW w:w="9240" w:type="dxa"/>
            <w:vAlign w:val="bottom"/>
            <w:gridSpan w:val="28"/>
          </w:tcPr>
          <w:p>
            <w:pPr>
              <w:ind w:left="240"/>
              <w:spacing w:after="0"/>
              <w:rPr>
                <w:rFonts w:ascii="Arial" w:cs="Arial" w:eastAsia="Arial" w:hAnsi="Arial"/>
                <w:sz w:val="18"/>
                <w:szCs w:val="18"/>
                <w:color w:val="0000EE"/>
              </w:rPr>
            </w:pPr>
            <w:hyperlink w:anchor="page110">
              <w:r>
                <w:rPr>
                  <w:rFonts w:ascii="Arial" w:cs="Arial" w:eastAsia="Arial" w:hAnsi="Arial"/>
                  <w:sz w:val="18"/>
                  <w:szCs w:val="18"/>
                  <w:color w:val="0000EE"/>
                </w:rPr>
                <w:t>Financial Statements and Supplementary Data</w:t>
              </w:r>
            </w:hyperlink>
          </w:p>
        </w:tc>
        <w:tc>
          <w:tcPr>
            <w:tcW w:w="9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9.</w:t>
              </w:r>
            </w:hyperlink>
          </w:p>
        </w:tc>
        <w:tc>
          <w:tcPr>
            <w:tcW w:w="9240" w:type="dxa"/>
            <w:vAlign w:val="bottom"/>
            <w:gridSpan w:val="28"/>
          </w:tcPr>
          <w:p>
            <w:pPr>
              <w:ind w:left="240"/>
              <w:spacing w:after="0"/>
              <w:rPr>
                <w:rFonts w:ascii="Arial" w:cs="Arial" w:eastAsia="Arial" w:hAnsi="Arial"/>
                <w:sz w:val="18"/>
                <w:szCs w:val="18"/>
                <w:color w:val="0000EE"/>
              </w:rPr>
            </w:pPr>
            <w:hyperlink w:anchor="page110">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Item 9A.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0">
              <w:r>
                <w:rPr>
                  <w:rFonts w:ascii="Arial" w:cs="Arial" w:eastAsia="Arial" w:hAnsi="Arial"/>
                  <w:sz w:val="18"/>
                  <w:szCs w:val="18"/>
                  <w:color w:val="0000EE"/>
                  <w:w w:val="88"/>
                </w:rPr>
                <w:t>Controls and Procedures</w:t>
              </w:r>
            </w:hyperlink>
          </w:p>
        </w:tc>
        <w:tc>
          <w:tcPr>
            <w:tcW w:w="7220" w:type="dxa"/>
            <w:vAlign w:val="bottom"/>
            <w:gridSpan w:val="21"/>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9B.</w:t>
              </w:r>
            </w:hyperlink>
          </w:p>
        </w:tc>
        <w:tc>
          <w:tcPr>
            <w:tcW w:w="9240" w:type="dxa"/>
            <w:vAlign w:val="bottom"/>
            <w:gridSpan w:val="28"/>
          </w:tcPr>
          <w:p>
            <w:pPr>
              <w:ind w:left="240"/>
              <w:spacing w:after="0"/>
              <w:rPr>
                <w:rFonts w:ascii="Arial" w:cs="Arial" w:eastAsia="Arial" w:hAnsi="Arial"/>
                <w:sz w:val="18"/>
                <w:szCs w:val="18"/>
                <w:color w:val="0000EE"/>
              </w:rPr>
            </w:pPr>
            <w:hyperlink w:anchor="page111">
              <w:r>
                <w:rPr>
                  <w:rFonts w:ascii="Arial" w:cs="Arial" w:eastAsia="Arial" w:hAnsi="Arial"/>
                  <w:sz w:val="18"/>
                  <w:szCs w:val="18"/>
                  <w:color w:val="0000EE"/>
                </w:rPr>
                <w:t>Other Information</w:t>
              </w:r>
            </w:hyperlink>
          </w:p>
        </w:tc>
        <w:tc>
          <w:tcPr>
            <w:tcW w:w="900" w:type="dxa"/>
            <w:vAlign w:val="bottom"/>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III</w:t>
              </w:r>
            </w:hyperlink>
          </w:p>
        </w:tc>
        <w:tc>
          <w:tcPr>
            <w:tcW w:w="4140" w:type="dxa"/>
            <w:vAlign w:val="bottom"/>
            <w:gridSpan w:val="7"/>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10.</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Directors and Executive Officers of Our General Partner and Corporate Governance</w:t>
              </w:r>
            </w:hyperlink>
          </w:p>
        </w:tc>
        <w:tc>
          <w:tcPr>
            <w:tcW w:w="2940" w:type="dxa"/>
            <w:vAlign w:val="bottom"/>
            <w:gridSpan w:val="5"/>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Item 11.</w:t>
              </w:r>
            </w:hyperlink>
          </w:p>
        </w:tc>
        <w:tc>
          <w:tcPr>
            <w:tcW w:w="9240" w:type="dxa"/>
            <w:vAlign w:val="bottom"/>
            <w:gridSpan w:val="28"/>
          </w:tcPr>
          <w:p>
            <w:pPr>
              <w:ind w:left="240"/>
              <w:spacing w:after="0"/>
              <w:rPr>
                <w:rFonts w:ascii="Arial" w:cs="Arial" w:eastAsia="Arial" w:hAnsi="Arial"/>
                <w:sz w:val="18"/>
                <w:szCs w:val="18"/>
                <w:color w:val="0000EE"/>
              </w:rPr>
            </w:pPr>
            <w:hyperlink w:anchor="page120">
              <w:r>
                <w:rPr>
                  <w:rFonts w:ascii="Arial" w:cs="Arial" w:eastAsia="Arial" w:hAnsi="Arial"/>
                  <w:sz w:val="18"/>
                  <w:szCs w:val="18"/>
                  <w:color w:val="0000EE"/>
                </w:rPr>
                <w:t>Executive Compensation</w:t>
              </w:r>
            </w:hyperlink>
          </w:p>
        </w:tc>
        <w:tc>
          <w:tcPr>
            <w:tcW w:w="900" w:type="dxa"/>
            <w:vAlign w:val="bottom"/>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Item 12.</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73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Security Ownership of Certain Beneficial Owners and Management and Related Shareholder Matters</w:t>
              </w:r>
            </w:hyperlink>
          </w:p>
        </w:tc>
        <w:tc>
          <w:tcPr>
            <w:tcW w:w="170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43">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Item 13.</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Certain Relationships and Related Transactions, and Director Independence</w:t>
              </w:r>
            </w:hyperlink>
          </w:p>
        </w:tc>
        <w:tc>
          <w:tcPr>
            <w:tcW w:w="354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46">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Item 14.</w:t>
              </w:r>
            </w:hyperlink>
          </w:p>
        </w:tc>
        <w:tc>
          <w:tcPr>
            <w:tcW w:w="9240" w:type="dxa"/>
            <w:vAlign w:val="bottom"/>
            <w:gridSpan w:val="28"/>
          </w:tcPr>
          <w:p>
            <w:pPr>
              <w:ind w:left="240"/>
              <w:spacing w:after="0"/>
              <w:rPr>
                <w:rFonts w:ascii="Arial" w:cs="Arial" w:eastAsia="Arial" w:hAnsi="Arial"/>
                <w:sz w:val="18"/>
                <w:szCs w:val="18"/>
                <w:color w:val="0000EE"/>
              </w:rPr>
            </w:pPr>
            <w:hyperlink w:anchor="page152">
              <w:r>
                <w:rPr>
                  <w:rFonts w:ascii="Arial" w:cs="Arial" w:eastAsia="Arial" w:hAnsi="Arial"/>
                  <w:sz w:val="18"/>
                  <w:szCs w:val="18"/>
                  <w:color w:val="0000EE"/>
                </w:rPr>
                <w:t>Principal Accountant Fees and Services</w:t>
              </w:r>
            </w:hyperlink>
          </w:p>
        </w:tc>
        <w:tc>
          <w:tcPr>
            <w:tcW w:w="900" w:type="dxa"/>
            <w:vAlign w:val="bottom"/>
          </w:tcPr>
          <w:p>
            <w:pPr>
              <w:jc w:val="right"/>
              <w:spacing w:after="0"/>
              <w:rPr>
                <w:rFonts w:ascii="Arial" w:cs="Arial" w:eastAsia="Arial" w:hAnsi="Arial"/>
                <w:sz w:val="18"/>
                <w:szCs w:val="18"/>
                <w:color w:val="0000EE"/>
              </w:rPr>
            </w:pPr>
            <w:hyperlink w:anchor="page152">
              <w:r>
                <w:rPr>
                  <w:rFonts w:ascii="Arial" w:cs="Arial" w:eastAsia="Arial" w:hAnsi="Arial"/>
                  <w:sz w:val="18"/>
                  <w:szCs w:val="18"/>
                  <w:color w:val="0000EE"/>
                </w:rPr>
                <w:t>152</w:t>
              </w:r>
            </w:hyperlink>
          </w:p>
        </w:tc>
        <w:tc>
          <w:tcPr>
            <w:tcW w:w="0" w:type="dxa"/>
            <w:vAlign w:val="bottom"/>
          </w:tcPr>
          <w:p>
            <w:pPr>
              <w:spacing w:after="0"/>
              <w:rPr>
                <w:sz w:val="1"/>
                <w:szCs w:val="1"/>
                <w:color w:val="auto"/>
              </w:rPr>
            </w:pPr>
          </w:p>
        </w:tc>
      </w:tr>
      <w:tr>
        <w:trPr>
          <w:trHeight w:val="54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4"/>
          </w:tcPr>
          <w:p>
            <w:pPr>
              <w:jc w:val="center"/>
              <w:ind w:right="4160"/>
              <w:spacing w:after="0"/>
              <w:rPr>
                <w:rFonts w:ascii="Arial" w:cs="Arial" w:eastAsia="Arial" w:hAnsi="Arial"/>
                <w:sz w:val="18"/>
                <w:szCs w:val="18"/>
                <w:b w:val="1"/>
                <w:bCs w:val="1"/>
                <w:color w:val="0000EE"/>
                <w:w w:val="98"/>
              </w:rPr>
            </w:pPr>
            <w:hyperlink w:anchor="page154">
              <w:r>
                <w:rPr>
                  <w:rFonts w:ascii="Arial" w:cs="Arial" w:eastAsia="Arial" w:hAnsi="Arial"/>
                  <w:sz w:val="18"/>
                  <w:szCs w:val="18"/>
                  <w:b w:val="1"/>
                  <w:bCs w:val="1"/>
                  <w:color w:val="0000EE"/>
                  <w:w w:val="98"/>
                </w:rPr>
                <w:t>PART IV</w:t>
              </w:r>
            </w:hyperlink>
          </w:p>
        </w:tc>
        <w:tc>
          <w:tcPr>
            <w:tcW w:w="900" w:type="dxa"/>
            <w:vAlign w:val="bottom"/>
          </w:tcPr>
          <w:p>
            <w:pPr>
              <w:jc w:val="right"/>
              <w:spacing w:after="0"/>
              <w:rPr>
                <w:rFonts w:ascii="Arial" w:cs="Arial" w:eastAsia="Arial" w:hAnsi="Arial"/>
                <w:sz w:val="18"/>
                <w:szCs w:val="18"/>
                <w:color w:val="0000EE"/>
              </w:rPr>
            </w:pPr>
            <w:hyperlink w:anchor="page154">
              <w:r>
                <w:rPr>
                  <w:rFonts w:ascii="Arial" w:cs="Arial" w:eastAsia="Arial" w:hAnsi="Arial"/>
                  <w:sz w:val="18"/>
                  <w:szCs w:val="18"/>
                  <w:color w:val="0000EE"/>
                </w:rPr>
                <w:t>154</w:t>
              </w:r>
            </w:hyperlink>
          </w:p>
        </w:tc>
        <w:tc>
          <w:tcPr>
            <w:tcW w:w="0" w:type="dxa"/>
            <w:vAlign w:val="bottom"/>
          </w:tcPr>
          <w:p>
            <w:pPr>
              <w:spacing w:after="0"/>
              <w:rPr>
                <w:sz w:val="1"/>
                <w:szCs w:val="1"/>
                <w:color w:val="auto"/>
              </w:rPr>
            </w:pPr>
          </w:p>
        </w:tc>
      </w:tr>
      <w:tr>
        <w:trPr>
          <w:trHeight w:val="574"/>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4">
              <w:r>
                <w:rPr>
                  <w:rFonts w:ascii="Arial" w:cs="Arial" w:eastAsia="Arial" w:hAnsi="Arial"/>
                  <w:sz w:val="18"/>
                  <w:szCs w:val="18"/>
                  <w:color w:val="0000EE"/>
                  <w:w w:val="89"/>
                </w:rPr>
                <w:t>Item 15.</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54">
              <w:r>
                <w:rPr>
                  <w:rFonts w:ascii="Arial" w:cs="Arial" w:eastAsia="Arial" w:hAnsi="Arial"/>
                  <w:sz w:val="18"/>
                  <w:szCs w:val="18"/>
                  <w:color w:val="0000EE"/>
                  <w:w w:val="89"/>
                </w:rPr>
                <w:t>Exhibits and Financial Statement Schedules</w:t>
              </w:r>
            </w:hyperlink>
          </w:p>
        </w:tc>
        <w:tc>
          <w:tcPr>
            <w:tcW w:w="980" w:type="dxa"/>
            <w:vAlign w:val="bottom"/>
            <w:gridSpan w:val="3"/>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4160" w:type="dxa"/>
            <w:vAlign w:val="bottom"/>
            <w:gridSpan w:val="8"/>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154">
              <w:r>
                <w:rPr>
                  <w:rFonts w:ascii="Arial" w:cs="Arial" w:eastAsia="Arial" w:hAnsi="Arial"/>
                  <w:sz w:val="18"/>
                  <w:szCs w:val="18"/>
                  <w:color w:val="0000EE"/>
                </w:rPr>
                <w:t>154</w:t>
              </w:r>
            </w:hyperlink>
          </w:p>
        </w:tc>
        <w:tc>
          <w:tcPr>
            <w:tcW w:w="0" w:type="dxa"/>
            <w:vAlign w:val="bottom"/>
          </w:tcPr>
          <w:p>
            <w:pPr>
              <w:spacing w:after="0"/>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4">
              <w:r>
                <w:rPr>
                  <w:rFonts w:ascii="Arial" w:cs="Arial" w:eastAsia="Arial" w:hAnsi="Arial"/>
                  <w:sz w:val="18"/>
                  <w:szCs w:val="18"/>
                  <w:color w:val="0000EE"/>
                  <w:w w:val="89"/>
                </w:rPr>
                <w:t>Item 16.</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54">
              <w:r>
                <w:rPr>
                  <w:rFonts w:ascii="Arial" w:cs="Arial" w:eastAsia="Arial" w:hAnsi="Arial"/>
                  <w:sz w:val="18"/>
                  <w:szCs w:val="18"/>
                  <w:color w:val="0000EE"/>
                  <w:w w:val="92"/>
                </w:rPr>
                <w:t>Form 10-K Summary</w:t>
              </w:r>
            </w:hyperlink>
          </w:p>
        </w:tc>
        <w:tc>
          <w:tcPr>
            <w:tcW w:w="7440" w:type="dxa"/>
            <w:vAlign w:val="bottom"/>
            <w:gridSpan w:val="24"/>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154">
              <w:r>
                <w:rPr>
                  <w:rFonts w:ascii="Arial" w:cs="Arial" w:eastAsia="Arial" w:hAnsi="Arial"/>
                  <w:sz w:val="18"/>
                  <w:szCs w:val="18"/>
                  <w:color w:val="0000EE"/>
                </w:rPr>
                <w:t>154</w:t>
              </w:r>
            </w:hyperlink>
          </w:p>
        </w:tc>
        <w:tc>
          <w:tcPr>
            <w:tcW w:w="0" w:type="dxa"/>
            <w:vAlign w:val="bottom"/>
          </w:tcPr>
          <w:p>
            <w:pPr>
              <w:spacing w:after="0"/>
              <w:rPr>
                <w:sz w:val="1"/>
                <w:szCs w:val="1"/>
                <w:color w:val="auto"/>
              </w:rPr>
            </w:pPr>
          </w:p>
        </w:tc>
      </w:tr>
      <w:tr>
        <w:trPr>
          <w:trHeight w:val="72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7"/>
          </w:tcPr>
          <w:p>
            <w:pPr>
              <w:jc w:val="right"/>
              <w:ind w:right="3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right="32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ectPr>
          <w:pgSz w:w="11900" w:h="16838" w:orient="portrait"/>
          <w:cols w:equalWidth="0" w:num="1">
            <w:col w:w="11400"/>
          </w:cols>
          <w:pgMar w:left="240" w:top="125" w:right="259" w:bottom="989"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98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62"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38"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December 31, 2016, its principal sources of cash flow are derived from its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completed our initial public offering (“IPO”) in October 2013, and our Class A shares are publicly traded on the New York Stock Exchange (NYSE) under the ticker symbol “PAGP”. Immediately prior to completion of our IPO, certain owners of Plains AAP, L.P. (“AAP”) transferred a portion of their interests in AAP to us, resulting in our ownership of a limited partnership interest in AAP. As of December 31, 2016, our sole assets consisted of (i) a 100% managing member interest in Plains All American GP LLC (“GP LLC”) that has also elected to be taxed as a corporation for United States federal income tax purposes and (ii) an approximate 42% limited partner interest in AAP through our direct ownership of approximately 100.2 million Class A units of AAP (“AAP units”) and indirect ownership of approximately 1.0 million AAP units through GP LLC. As of such date, the remaining limited partner interests in AAP were held by a group of owners that included many of the owners of AAP immediately prior to our IPO and various current and former members of management (collectively, the “Legacy Owners”). GP LLC is a Delaware limited liability company that also holds the non-economic general partner interest in AAP. AAP is a Delaware limited partnership that, as of December 31, 2016, directly owned an approximate 33% limited partner interest in PAA represented by 241.7 million PAA common units. AAP is the sole member of PAA GP LLC (“PAA GP”), a Delaware limited liability company that directly holds the non-economic general partner interest in PAA. Our non-economic general partner interest is held by PAA GP Holdings LLC (“PAGP GP”), a Delaware limited liability company.</w:t>
      </w:r>
    </w:p>
    <w:p>
      <w:pPr>
        <w:spacing w:after="0" w:line="18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References to the “PAGP Entities” include PAGP GP, PAGP, GP LLC, AAP and PAA GP. References to the “Plains Entities” include the PAGP Entities and PAA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November 15, 2016, the Plains Entities closed a series of transactions and executed several organizational and ancillary documents (the “Simplification Transactions”) intended to simplify PAA’s capital structure, better align the interests of PAA’s stakeholders (including us) and improve PAA’s overall credit profile. The Simplification Transactions included, among other things: the permanent elimination of PAA’s incentive distribution rights (“IDRs”) and the economic rights associated with its 2% general partner interest in exchange for the issuance by PAA to AAP of 245.5 million PAA common units (including approximately 0.8 million PAA common units to be issued in the future) and the assumption by PAA of all of AAP’s outstanding debt ($642 million); the implementation of a unified governance structure pursuant to which the board of directors of PAA’s general partner was eliminated and an expanded board of directors of PAGP GP (the “PAGP GP Board”) assumed oversight responsibility over both us and PAA; and provision for annual shareholder elections beginning in 2018 with certain directors with expiring terms in 2018, and the participation of PAA’s common unitholders in such elections through PAA’s ownership of newly issued Class C shares in us, which provide PAA, as the sole holder, the right to vote in elections of eligible PAGP GP directors together with the holders of our Class A and Class B shares. In addition, we entered into an Omnibus Agreement with AAP and PAA to promote economic alignment between our Class A shareholders and PAA’s common unitholders by, among other measures, maintaining a one-to-one relationship between the number of our outstanding Class A shares and the number of PAA’s common units indirectly owned by us through AAP.</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to our Consolidated Financial Statements for further discussion of the Simplification Transactions.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general partner manages our operations and activities and is responsible for exercising on our behalf any rights we have as the sole and managing member of GP LLC. The PAGP GP Board has ultimate responsibility for managing the business and affairs of AAP, PAA and us. See Item 10. “Directors and Executive Officers of Our General Partner and Corporate Governance.” GP LLC employs all domestic officers and personnel involved in the operation and management of PAA and AAP. PAA’s Canadian officers and personnel are employed by Plains Midstream Canada ULC (“PMC”). Our general partner does not receive a management fee or other compensation in connection with its management of our business.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two diagrams below show our organizational structure and ownership as of December 31, 2016 in both a summarized and more detailed format. The first diagram depicts our legal structure in summary format, while the second diagram depicts a more comprehensive view of such structure, including ownership and economic interests and shares and units outstanding:</w:t>
      </w:r>
    </w:p>
    <w:p>
      <w:pPr>
        <w:spacing w:after="0" w:line="17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551930" cy="4322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660" w:hanging="652"/>
        <w:spacing w:after="0" w:line="22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We will hold an annual meeting for the election of eligible PAGP GP directors beginning in 2018. See Item 10. “Directors and Executive Officers of our General Partner and Corporate Governance” for further information regarding governance of the Plains Entities, including changes as a result of the Simplification Transactions.</w:t>
      </w: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5"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Detailed Partnership Structure</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551930" cy="7117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1930"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As of December 31, 2016, the PAGP GP Board consisted of 10 members. In February 2017, the limited liability agreement of PAGP GP was amended and restated to provide for two additional directors. See Item 10. “Directors and</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240" w:top="125" w:right="8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Executive Officers of our General Partner and Corporate Governance” for further information regarding governance of the Plains Entities.</w:t>
      </w:r>
    </w:p>
    <w:p>
      <w:pPr>
        <w:spacing w:after="0" w:line="142" w:lineRule="exact"/>
        <w:rPr>
          <w:sz w:val="20"/>
          <w:szCs w:val="20"/>
          <w:color w:val="auto"/>
        </w:rPr>
      </w:pPr>
    </w:p>
    <w:p>
      <w:pPr>
        <w:ind w:left="660" w:right="220" w:hanging="652"/>
        <w:spacing w:after="0" w:line="252"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Represents the number of AAP units for which the outstanding Class B units of AAP (referred to herein as the “AAP Management Units”) will be exchangeable, assuming the conversion of all such units at the rate of approximately 0.941 AAP units for each AAP Management Unit.</w:t>
      </w:r>
    </w:p>
    <w:p>
      <w:pPr>
        <w:spacing w:after="0" w:line="24"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Assumes conversion of all outstanding AAP Management Units into AAP units.</w:t>
      </w:r>
    </w:p>
    <w:p>
      <w:pPr>
        <w:spacing w:after="0" w:line="98" w:lineRule="exact"/>
        <w:rPr>
          <w:rFonts w:ascii="Arial" w:cs="Arial" w:eastAsia="Arial" w:hAnsi="Arial"/>
          <w:sz w:val="25"/>
          <w:szCs w:val="25"/>
          <w:color w:val="auto"/>
          <w:vertAlign w:val="superscript"/>
        </w:rPr>
      </w:pPr>
    </w:p>
    <w:p>
      <w:pPr>
        <w:ind w:left="660" w:right="20" w:hanging="652"/>
        <w:spacing w:after="0" w:line="214"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Each Class C share represents a non-economic limited partner interest in us and carries with it the right to vote, pro rata with the holders of our Class A and Class B shares, for the election of eligible PAGP GP directors.</w:t>
      </w:r>
    </w:p>
    <w:p>
      <w:pPr>
        <w:spacing w:after="0" w:line="94" w:lineRule="exact"/>
        <w:rPr>
          <w:rFonts w:ascii="Arial" w:cs="Arial" w:eastAsia="Arial" w:hAnsi="Arial"/>
          <w:sz w:val="25"/>
          <w:szCs w:val="25"/>
          <w:color w:val="auto"/>
          <w:vertAlign w:val="superscript"/>
        </w:rPr>
      </w:pPr>
    </w:p>
    <w:p>
      <w:pPr>
        <w:ind w:left="660" w:right="140" w:hanging="652"/>
        <w:spacing w:after="0" w:line="227"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Amount does not include 792,074 PAA common units that will become issuable to AAP that relate to AAP Management Units that are outstanding but not earned. See Note 16 to our Consolidated Financial Statements for additional discussion of the AAP Management Units.</w:t>
      </w:r>
    </w:p>
    <w:p>
      <w:pPr>
        <w:spacing w:after="0" w:line="94" w:lineRule="exact"/>
        <w:rPr>
          <w:rFonts w:ascii="Arial" w:cs="Arial" w:eastAsia="Arial" w:hAnsi="Arial"/>
          <w:sz w:val="24"/>
          <w:szCs w:val="24"/>
          <w:color w:val="auto"/>
          <w:vertAlign w:val="superscript"/>
        </w:rPr>
      </w:pPr>
    </w:p>
    <w:p>
      <w:pPr>
        <w:ind w:left="660" w:right="12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PAA holds direct and indirect ownership interests in consolidated operating subsidiaries including, but not limited to, Plains Marketing, L.P., Plains Pipeline, L.P. and PMC.</w:t>
      </w:r>
    </w:p>
    <w:p>
      <w:pPr>
        <w:spacing w:after="0" w:line="95" w:lineRule="exact"/>
        <w:rPr>
          <w:rFonts w:ascii="Arial" w:cs="Arial" w:eastAsia="Arial" w:hAnsi="Arial"/>
          <w:sz w:val="25"/>
          <w:szCs w:val="25"/>
          <w:color w:val="auto"/>
          <w:vertAlign w:val="superscript"/>
        </w:rPr>
      </w:pPr>
    </w:p>
    <w:p>
      <w:pPr>
        <w:ind w:left="660" w:right="20" w:hanging="652"/>
        <w:spacing w:after="0" w:line="235"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PAA holds indirect equity interests in unconsolidated entities including BridgeTex Pipeline Company, LLC (“BridgeTex”), Butte Pipe Line Company (“Butte”), Caddo Pipeline LLC (“Caddo”), Cheyenne Pipeline LLC (“Cheyenne”), Diamond Pipeline LLC (“Diamond”), Eagle Ford Pipeline LLC (“Eagle Ford Pipeline”), Eagle Ford Terminals Corpus Christi LLC (“Eagle Ford Terminals”), Frontier Aspen LLC (“Frontier”), Saddlehorn Pipeline Company, LLC (“Saddlehorn”), Settoon Towing, LLC (“Settoon Towing”), STACK Pipeline LLC (“STACK”) and White Cliffs Pipeline LLC (“White Cliffs”).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December 31, 2016, our only cash-generating assets consisted of approximately 101.2 million AAP units, which represented an approximate 42% limited partner and economic interest in AAP. Of these AAP units, we directly own approximately 100.2 million, and we indirectly own the remaining 1.0 million AAP units through our 100% ownership in GP LLC. Unless we directly acquire and hold assets or businesses in the future, our cash flows will be generated solely from the cash distributions we receive on the AAP units. AAP currently receives all of its cash flows from distributions on common units it owns in PAA. As of December 31, 2016, AAP owned approximately 241.7 million common units in PAA.</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Subsequent to the Simplification Transactions, we have and will maintain a one-to-one relationship between our Class A shares and the underlying PAA common units in which we have an indirect economic interest through our ownership interest in AAP (referred to as “Economic Parity”), such that the number of our outstanding Class A shares equals the number of AAP units we directly and indirectly own, which in turn equals the number of PAA common units held by AAP attributable to our direct and indirect ownership in AAP.</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Business Strategy</w:t>
      </w:r>
    </w:p>
    <w:p>
      <w:pPr>
        <w:spacing w:after="0" w:line="229"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supply, logistics and distribution expertise. We believe PAA’s successful execution of this strategy will enable it to generate sustainable earnings and cash flow. PAA intends to manage and grow its business by:</w:t>
      </w:r>
    </w:p>
    <w:p>
      <w:pPr>
        <w:spacing w:after="0" w:line="6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optimizing its existing assets and realizing cost efficiencies through operational improvements;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using its transportation, terminalling, storage, processing and fractionation assets in conjunction with its supply and logistics activities to capture inefficiencies, address physical market imbalances, mitigate inherent risks and increase margin;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86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developing and implementing growth projects that (i) address evolving crude oil and NGL needs in the midstream transportation and infrastructure sector and (ii) are well positioned to benefit from long-term industry trends and opportunities; and</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its existing asset base and distribution capabilities.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PAA to successfully execute its principal business strategy:</w:t>
      </w:r>
    </w:p>
    <w:p>
      <w:pPr>
        <w:spacing w:after="0" w:line="117" w:lineRule="exact"/>
        <w:rPr>
          <w:sz w:val="20"/>
          <w:szCs w:val="20"/>
          <w:color w:val="auto"/>
        </w:rPr>
      </w:pPr>
    </w:p>
    <w:p>
      <w:pPr>
        <w:ind w:left="980" w:right="220" w:hanging="324"/>
        <w:spacing w:after="0" w:line="293" w:lineRule="auto"/>
        <w:tabs>
          <w:tab w:leader="none" w:pos="9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Many of PAA’s assets are strategically located and operationally flexible. </w:t>
      </w:r>
      <w:r>
        <w:rPr>
          <w:rFonts w:ascii="Arial" w:cs="Arial" w:eastAsia="Arial" w:hAnsi="Arial"/>
          <w:sz w:val="16"/>
          <w:szCs w:val="16"/>
          <w:color w:val="auto"/>
        </w:rPr>
        <w:t>The majority of PAA’s primary Transportation segment assets are in</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service, are located in well-established crude oil producing regions and other transportation corridors and are connected, directly or indirectly, with PAA’s Facilities segment assets. The majority of PAA’s Facilities segment assets are located at major trading locations and premium markets that serve as gateways to major North American refinery and distribution markets where PAA has strong business relationships. In addition, PAA’s assets include pipeline, rail, barge, truck and storage assets, which provide PAA’s customers and PAA with significant flexibility and optionality to satisfy demand and balance markets, particularly during a dynamic period of changing product flows.</w:t>
      </w:r>
    </w:p>
    <w:p>
      <w:pPr>
        <w:spacing w:after="0" w:line="56" w:lineRule="exact"/>
        <w:rPr>
          <w:rFonts w:ascii="Arial" w:cs="Arial" w:eastAsia="Arial" w:hAnsi="Arial"/>
          <w:sz w:val="16"/>
          <w:szCs w:val="16"/>
          <w:i w:val="1"/>
          <w:iCs w:val="1"/>
          <w:color w:val="auto"/>
        </w:rPr>
      </w:pPr>
    </w:p>
    <w:p>
      <w:pPr>
        <w:ind w:left="98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 possesses specialized crude oil and NGL market knowledge. </w:t>
      </w:r>
      <w:r>
        <w:rPr>
          <w:rFonts w:ascii="Arial" w:cs="Arial" w:eastAsia="Arial" w:hAnsi="Arial"/>
          <w:sz w:val="18"/>
          <w:szCs w:val="18"/>
          <w:color w:val="auto"/>
        </w:rPr>
        <w:t>We believe PAA’s business relationships with participants in various phases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crude oil and NGL distribution chain, from producers to refiners, as well as PAA’s own industry expertise (including PAA’s knowledge of North American crude oil and NGL flows), provide PAA with an extensive understanding of the North American physical crude oil and NGL markets.</w:t>
      </w:r>
    </w:p>
    <w:p>
      <w:pPr>
        <w:spacing w:after="0" w:line="78" w:lineRule="exact"/>
        <w:rPr>
          <w:rFonts w:ascii="Arial" w:cs="Arial" w:eastAsia="Arial" w:hAnsi="Arial"/>
          <w:sz w:val="18"/>
          <w:szCs w:val="18"/>
          <w:i w:val="1"/>
          <w:iCs w:val="1"/>
          <w:color w:val="auto"/>
        </w:rPr>
      </w:pPr>
    </w:p>
    <w:p>
      <w:pPr>
        <w:ind w:left="980" w:right="220" w:hanging="324"/>
        <w:spacing w:after="0" w:line="257"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PAA’s supply and logistics activities typically generate a base level of margin with the opportunity to realize incremental margins. </w:t>
      </w:r>
      <w:r>
        <w:rPr>
          <w:rFonts w:ascii="Arial" w:cs="Arial" w:eastAsia="Arial" w:hAnsi="Arial"/>
          <w:sz w:val="18"/>
          <w:szCs w:val="18"/>
          <w:color w:val="auto"/>
        </w:rPr>
        <w:t>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the variety of activities executed within PAA’s Supply and Logistics segment in combination with PAA’s risk management strategies provides PAA with a low risk opportunity to generate a base level of margin, the amount of which may vary depending on market conditions (such as commodity price levels, differentials and certain competitive factors). In certain market scenarios, PAA may be able to realize incremental margins that meaningfully exceed such base levels.</w:t>
      </w:r>
    </w:p>
    <w:p>
      <w:pPr>
        <w:spacing w:after="0" w:line="80" w:lineRule="exact"/>
        <w:rPr>
          <w:rFonts w:ascii="Arial" w:cs="Arial" w:eastAsia="Arial" w:hAnsi="Arial"/>
          <w:sz w:val="18"/>
          <w:szCs w:val="18"/>
          <w:i w:val="1"/>
          <w:iCs w:val="1"/>
          <w:color w:val="auto"/>
        </w:rPr>
      </w:pPr>
    </w:p>
    <w:p>
      <w:pPr>
        <w:ind w:left="980" w:right="300" w:hanging="324"/>
        <w:spacing w:after="0" w:line="272" w:lineRule="auto"/>
        <w:tabs>
          <w:tab w:leader="none" w:pos="9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 has the evaluation, integration and engineering skill sets and the financial flexibility to continue to pursue acquisition and expansion opportunities. </w:t>
      </w:r>
      <w:r>
        <w:rPr>
          <w:rFonts w:ascii="Arial" w:cs="Arial" w:eastAsia="Arial" w:hAnsi="Arial"/>
          <w:sz w:val="17"/>
          <w:szCs w:val="17"/>
          <w:color w:val="auto"/>
        </w:rPr>
        <w:t>Since 1998, PAA has completed and integrated over 90 acquisitions with an aggregate purchase price of approximately $13.2</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including the February 2017 acquisition of the Alpha Crude Connector gathering system. Since 1998, PAA has also implemented expansion capital projects totaling approximately $11.4 billion. In addition, considering PAA’s investment grade credit rating, liquidity and capital structure, we believe PAA has the financial resources and strength necessary to finance future strategic expansion and acquisition opportunities. As of December 31, 2016, PAA had approximately $2.4 billion of liquidity available, including cash and cash equivalents and availability under its committed credit facilities, subject to continued covenant compliance.</w:t>
      </w:r>
    </w:p>
    <w:p>
      <w:pPr>
        <w:spacing w:after="0" w:line="69" w:lineRule="exact"/>
        <w:rPr>
          <w:rFonts w:ascii="Arial" w:cs="Arial" w:eastAsia="Arial" w:hAnsi="Arial"/>
          <w:sz w:val="17"/>
          <w:szCs w:val="17"/>
          <w:i w:val="1"/>
          <w:iCs w:val="1"/>
          <w:color w:val="auto"/>
        </w:rPr>
      </w:pPr>
    </w:p>
    <w:p>
      <w:pPr>
        <w:ind w:left="980" w:right="2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 has an experienced management team whose interests are aligned with those of its unitholders. </w:t>
      </w:r>
      <w:r>
        <w:rPr>
          <w:rFonts w:ascii="Arial" w:cs="Arial" w:eastAsia="Arial" w:hAnsi="Arial"/>
          <w:sz w:val="18"/>
          <w:szCs w:val="18"/>
          <w:color w:val="auto"/>
        </w:rPr>
        <w:t>PAA’s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31 years of industry experience, and an average of 19 years with PAA or its predecessors and affiliates. In addition, through their ownership of PAA common units, grants of phantom units and interests in us, AAP units and AAP Management Units, PAA’s management team has a vested interest in PAA’s continued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Strategy</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financial strategy is designed to be complementary to PAA’s financial and business strategies. Our only cash-generating assets consist of our direct and indirect limited partner interests in AAP, which currently receives all of its cash flows from distributions on the PAA common units it owns.</w:t>
      </w:r>
    </w:p>
    <w:p>
      <w:pPr>
        <w:spacing w:after="0" w:line="124"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In connection with the Simplification Transactions, we entered into an Omnibus Agreement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Accordingly, we intend to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Financial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has targeted a general credit profile with the following attributes:</w:t>
      </w:r>
    </w:p>
    <w:p>
      <w:pPr>
        <w:spacing w:after="0" w:line="7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right="24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long-term debt-to-adjusted EBITDA multiple averaging between 3.5x and 4.0x (adjusted EBITDA is earnings before interest, taxes, depreciation and amortization and further adjusted for selected items that impact comparability. See Item 7. “Management’s Discussion and Analysis of Financial Condition and Results of Operations—Results of Operations—Non-GAAP Financial Measures” for a discussion of our selected items that impact comparability and our non-GAAP measures.);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first two of these four metrics include long-term debt as a critical measure. PAA also incurs short-term debt in connection with its supply and logistics activities that involve the simultaneous purchase and forward sale of crude oil, NGL and natural gas. The crude oil, NGL and natural gas purchased in these transactions are hedged. PAA does not consider the working capital borrowings associated with these activities to be part of its long-term capital structure.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significantly above baseline levels. For example, PAA’s short-term debt levels at December 31, 2016 included borrowings for $410 million of margin requirements, which is significantly elevated from historical levels primarily due to the increase in crude oil prices at the end of the year. For the years ended December 31, 2015 and 2014, we had positive cash flow associated with such margin balance activities at the end of the year of $157 million and $133 million, respectively.</w:t>
      </w:r>
    </w:p>
    <w:p>
      <w:pPr>
        <w:spacing w:after="0" w:line="19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Typically, for PAA to maintain its targeted credit profile and achieve growth through acquisitions and expansion capital, PAA funds approximately 55% of the capital requirements associated with these activities with equity and cash flow in excess of distributions. From time to time, PAA may be outside the parameters of its targeted credit profile as, in certain cases, capital expenditures and acquisitions may be financed initially using debt or there may be delays in realizing anticipated synergies from acquisitions or contributions from expansion capital projects to adjusted EBITDA. As a result of the challenging environment and the impact of the gap in the timing between funding PAA’s capital program and the time the assets are placed in service and begin to generate cash flow, PAA expects its long-term debt-to-adjusted EBITDA to be above its target range for the near-term. PAA expects this leverage ratio will improve and return to targeted levels as PAA executes its 2017 funding plan, completes the 2017 asset sales, and as the industry recovers and PAA realizes EBITDA growth from capital investments.</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improve PAA’s ability to manage through the industry downturn and to position for a recovery, PAA completed a number of initiatives during 2016 to maintain a solid capital structure, significant liquidity and overall financial flexibility. Such initiatives included (i) executing the Simplification Transactions in November 2016, which lowered PAA’s incremental cost of equity through the elimination of its IDRs, and in connection therewith resetting its distribution level, which resulted in an annual reduction in cash distributions of approximately $320 million, (ii) securing approximately $1.6 billion of equity capital through the sale of new Series A preferred units in January 2016, (iii) selectively utilizing PAA’s continuous offering program to raise approximately $796 million of net proceeds, (iv) selling non-core assets and entering into strategic joint ventures, which raised approximately $550 million of net cash proceeds while reducing PAA’s capital commitments and (v) entering into a definitive agreement to sell additional assets for approximately $290 million that is expected to close in the first half of 2017, subject to regulatory approvals. See Note 6 and Note 11 to our Consolidated Financial Statements for additional discussion of these transactions.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PAA intends to end 2017 with a long-term debt balance at or below levels at December 31, 2016. To that end, PAA expects that its 2017 acquisition and expansion capital will be funded with proceeds from asset sales, equity issuances and retained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Acquisitions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acquisition of midstream assets and businesses that are strategic and complementary to PAA’s existing operations constitutes an integral component of its business strategy and growth objectives. Such assets and businesses include crude oil and NGL logistics assets as well as other energy assets that have characteristics and provide opportunities similar to its existing business lines and enable PAA to leverage its assets, knowledge and skill 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acquisitions greater than $200 million that PAA has completed over the past five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Approximate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vMerge w:val="restart"/>
          </w:tcPr>
          <w:p>
            <w:pPr>
              <w:spacing w:after="0"/>
              <w:rPr>
                <w:sz w:val="12"/>
                <w:szCs w:val="12"/>
                <w:color w:val="auto"/>
              </w:rPr>
            </w:pPr>
          </w:p>
        </w:tc>
        <w:tc>
          <w:tcPr>
            <w:tcW w:w="468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2"/>
              </w:rPr>
              <w:t xml:space="preserve">Purchase Price </w:t>
            </w:r>
            <w:r>
              <w:rPr>
                <w:rFonts w:ascii="Arial" w:cs="Arial" w:eastAsia="Arial" w:hAnsi="Arial"/>
                <w:sz w:val="8"/>
                <w:szCs w:val="8"/>
                <w:b w:val="1"/>
                <w:bCs w:val="1"/>
                <w:color w:val="auto"/>
                <w:w w:val="92"/>
              </w:rPr>
              <w:t>(2)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Alpha Crude Connector Gathering System</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Feb-2017</w:t>
            </w:r>
          </w:p>
        </w:tc>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Recently constructed gathering system located in the Northern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1,215</w:t>
            </w:r>
          </w:p>
        </w:tc>
        <w:tc>
          <w:tcPr>
            <w:tcW w:w="3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Delaware Basin</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w w:val="92"/>
              </w:rPr>
              <w:t>Spectra Energy Partners Western Canada NGL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Aug-2016</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7"/>
              </w:rPr>
              <w:t>Integrated system of NGL assets located in Western Canada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204</w:t>
            </w:r>
          </w:p>
        </w:tc>
        <w:tc>
          <w:tcPr>
            <w:tcW w:w="360" w:type="dxa"/>
            <w:vAlign w:val="bottom"/>
          </w:tcPr>
          <w:p>
            <w:pPr>
              <w:jc w:val="right"/>
              <w:ind w:right="12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5"/>
              </w:rPr>
              <w:t>50% Interest in BridgeTex Pipeline Company,</w:t>
            </w:r>
          </w:p>
        </w:tc>
        <w:tc>
          <w:tcPr>
            <w:tcW w:w="1040" w:type="dxa"/>
            <w:vAlign w:val="bottom"/>
          </w:tcPr>
          <w:p>
            <w:pPr>
              <w:ind w:left="180"/>
              <w:spacing w:after="0"/>
              <w:rPr>
                <w:sz w:val="20"/>
                <w:szCs w:val="20"/>
                <w:color w:val="auto"/>
              </w:rPr>
            </w:pPr>
            <w:r>
              <w:rPr>
                <w:rFonts w:ascii="Arial" w:cs="Arial" w:eastAsia="Arial" w:hAnsi="Arial"/>
                <w:sz w:val="18"/>
                <w:szCs w:val="18"/>
                <w:color w:val="auto"/>
              </w:rPr>
              <w:t>Nov-2014</w:t>
            </w:r>
          </w:p>
        </w:tc>
        <w:tc>
          <w:tcPr>
            <w:tcW w:w="4780" w:type="dxa"/>
            <w:vAlign w:val="bottom"/>
          </w:tcPr>
          <w:p>
            <w:pPr>
              <w:ind w:left="160"/>
              <w:spacing w:after="0"/>
              <w:rPr>
                <w:sz w:val="20"/>
                <w:szCs w:val="20"/>
                <w:color w:val="auto"/>
              </w:rPr>
            </w:pPr>
            <w:r>
              <w:rPr>
                <w:rFonts w:ascii="Arial" w:cs="Arial" w:eastAsia="Arial" w:hAnsi="Arial"/>
                <w:sz w:val="18"/>
                <w:szCs w:val="18"/>
                <w:color w:val="auto"/>
              </w:rPr>
              <w:t>BridgeTex owns a crude oil pipeline that extends from</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3500" w:type="dxa"/>
            <w:vAlign w:val="bottom"/>
          </w:tcPr>
          <w:p>
            <w:pPr>
              <w:ind w:left="160"/>
              <w:spacing w:after="0"/>
              <w:rPr>
                <w:sz w:val="20"/>
                <w:szCs w:val="20"/>
                <w:color w:val="auto"/>
              </w:rPr>
            </w:pPr>
            <w:r>
              <w:rPr>
                <w:rFonts w:ascii="Arial" w:cs="Arial" w:eastAsia="Arial" w:hAnsi="Arial"/>
                <w:sz w:val="18"/>
                <w:szCs w:val="18"/>
                <w:color w:val="auto"/>
              </w:rPr>
              <w:t>LLC (“BridgeTex”)</w:t>
            </w:r>
          </w:p>
        </w:tc>
        <w:tc>
          <w:tcPr>
            <w:tcW w:w="104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Colorado City, Texas to East Houston</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3500" w:type="dxa"/>
            <w:vAlign w:val="bottom"/>
          </w:tcPr>
          <w:p>
            <w:pPr>
              <w:spacing w:after="0"/>
              <w:rPr>
                <w:sz w:val="20"/>
                <w:szCs w:val="20"/>
                <w:color w:val="auto"/>
              </w:rPr>
            </w:pPr>
            <w:r>
              <w:rPr>
                <w:rFonts w:ascii="Arial" w:cs="Arial" w:eastAsia="Arial" w:hAnsi="Arial"/>
                <w:sz w:val="18"/>
                <w:szCs w:val="18"/>
                <w:color w:val="auto"/>
              </w:rPr>
              <w:t>US Development Group Crude Oil Rail</w:t>
            </w:r>
          </w:p>
        </w:tc>
        <w:tc>
          <w:tcPr>
            <w:tcW w:w="1040" w:type="dxa"/>
            <w:vAlign w:val="bottom"/>
          </w:tcPr>
          <w:p>
            <w:pPr>
              <w:ind w:left="180"/>
              <w:spacing w:after="0"/>
              <w:rPr>
                <w:sz w:val="20"/>
                <w:szCs w:val="20"/>
                <w:color w:val="auto"/>
              </w:rPr>
            </w:pPr>
            <w:r>
              <w:rPr>
                <w:rFonts w:ascii="Arial" w:cs="Arial" w:eastAsia="Arial" w:hAnsi="Arial"/>
                <w:sz w:val="18"/>
                <w:szCs w:val="18"/>
                <w:color w:val="auto"/>
              </w:rPr>
              <w:t>Dec-2012</w:t>
            </w:r>
          </w:p>
        </w:tc>
        <w:tc>
          <w:tcPr>
            <w:tcW w:w="4780" w:type="dxa"/>
            <w:vAlign w:val="bottom"/>
          </w:tcPr>
          <w:p>
            <w:pPr>
              <w:ind w:left="160"/>
              <w:spacing w:after="0"/>
              <w:rPr>
                <w:sz w:val="20"/>
                <w:szCs w:val="20"/>
                <w:color w:val="auto"/>
              </w:rPr>
            </w:pPr>
            <w:r>
              <w:rPr>
                <w:rFonts w:ascii="Arial" w:cs="Arial" w:eastAsia="Arial" w:hAnsi="Arial"/>
                <w:sz w:val="18"/>
                <w:szCs w:val="18"/>
                <w:color w:val="auto"/>
                <w:w w:val="94"/>
              </w:rPr>
              <w:t>Four operating crude oil rail terminals and one terminal under</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3500" w:type="dxa"/>
            <w:vAlign w:val="bottom"/>
          </w:tcPr>
          <w:p>
            <w:pPr>
              <w:ind w:left="160"/>
              <w:spacing w:after="0"/>
              <w:rPr>
                <w:sz w:val="20"/>
                <w:szCs w:val="20"/>
                <w:color w:val="auto"/>
              </w:rPr>
            </w:pPr>
            <w:r>
              <w:rPr>
                <w:rFonts w:ascii="Arial" w:cs="Arial" w:eastAsia="Arial" w:hAnsi="Arial"/>
                <w:sz w:val="18"/>
                <w:szCs w:val="18"/>
                <w:color w:val="auto"/>
              </w:rPr>
              <w:t>Terminals</w:t>
            </w:r>
          </w:p>
        </w:tc>
        <w:tc>
          <w:tcPr>
            <w:tcW w:w="104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development</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3500" w:type="dxa"/>
            <w:vAlign w:val="bottom"/>
          </w:tcPr>
          <w:p>
            <w:pPr>
              <w:spacing w:after="0"/>
              <w:rPr>
                <w:sz w:val="20"/>
                <w:szCs w:val="20"/>
                <w:color w:val="auto"/>
              </w:rPr>
            </w:pPr>
            <w:r>
              <w:rPr>
                <w:rFonts w:ascii="Arial" w:cs="Arial" w:eastAsia="Arial" w:hAnsi="Arial"/>
                <w:sz w:val="18"/>
                <w:szCs w:val="18"/>
                <w:color w:val="auto"/>
              </w:rPr>
              <w:t>BP Canada Energy Company</w:t>
            </w:r>
          </w:p>
        </w:tc>
        <w:tc>
          <w:tcPr>
            <w:tcW w:w="1040" w:type="dxa"/>
            <w:vAlign w:val="bottom"/>
          </w:tcPr>
          <w:p>
            <w:pPr>
              <w:ind w:left="200"/>
              <w:spacing w:after="0"/>
              <w:rPr>
                <w:sz w:val="20"/>
                <w:szCs w:val="20"/>
                <w:color w:val="auto"/>
              </w:rPr>
            </w:pPr>
            <w:r>
              <w:rPr>
                <w:rFonts w:ascii="Arial" w:cs="Arial" w:eastAsia="Arial" w:hAnsi="Arial"/>
                <w:sz w:val="18"/>
                <w:szCs w:val="18"/>
                <w:color w:val="auto"/>
              </w:rPr>
              <w:t>Apr-2012</w:t>
            </w:r>
          </w:p>
        </w:tc>
        <w:tc>
          <w:tcPr>
            <w:tcW w:w="4780" w:type="dxa"/>
            <w:vAlign w:val="bottom"/>
          </w:tcPr>
          <w:p>
            <w:pPr>
              <w:ind w:left="160"/>
              <w:spacing w:after="0"/>
              <w:rPr>
                <w:sz w:val="20"/>
                <w:szCs w:val="20"/>
                <w:color w:val="auto"/>
              </w:rPr>
            </w:pPr>
            <w:r>
              <w:rPr>
                <w:rFonts w:ascii="Arial" w:cs="Arial" w:eastAsia="Arial" w:hAnsi="Arial"/>
                <w:sz w:val="18"/>
                <w:szCs w:val="18"/>
                <w:color w:val="auto"/>
                <w:w w:val="94"/>
              </w:rPr>
              <w:t>NGL assets located in Canada and the upper-Midwest United</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1,683</w:t>
            </w:r>
          </w:p>
        </w:tc>
      </w:tr>
      <w:tr>
        <w:trPr>
          <w:trHeight w:val="230"/>
        </w:trPr>
        <w:tc>
          <w:tcPr>
            <w:tcW w:w="3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States</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511" w:lineRule="exact"/>
        <w:rPr>
          <w:sz w:val="20"/>
          <w:szCs w:val="20"/>
          <w:color w:val="auto"/>
        </w:rPr>
      </w:pPr>
    </w:p>
    <w:p>
      <w:pPr>
        <w:sectPr>
          <w:pgSz w:w="11900" w:h="16838" w:orient="portrait"/>
          <w:cols w:equalWidth="0" w:num="2">
            <w:col w:w="10980" w:space="120"/>
            <w:col w:w="320"/>
          </w:cols>
          <w:pgMar w:left="240" w:top="125" w:right="239" w:bottom="1440" w:gutter="0" w:footer="0" w:header="0"/>
          <w:type w:val="continuous"/>
        </w:sectPr>
      </w:pPr>
    </w:p>
    <w:p>
      <w:pPr>
        <w:spacing w:after="0" w:line="191" w:lineRule="exact"/>
        <w:rPr>
          <w:sz w:val="20"/>
          <w:szCs w:val="20"/>
          <w:color w:val="auto"/>
        </w:rPr>
      </w:pPr>
    </w:p>
    <w:p>
      <w:pPr>
        <w:ind w:left="660" w:right="100" w:hanging="652"/>
        <w:spacing w:after="0" w:line="245"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Excludes PAA’s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PAA issued approximately 14.7 million of its common units with a value of approximately $760 million.</w:t>
      </w:r>
    </w:p>
    <w:p>
      <w:pPr>
        <w:spacing w:after="0" w:line="6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98" w:lineRule="exact"/>
        <w:rPr>
          <w:rFonts w:ascii="Arial" w:cs="Arial" w:eastAsia="Arial" w:hAnsi="Arial"/>
          <w:sz w:val="22"/>
          <w:szCs w:val="22"/>
          <w:color w:val="auto"/>
          <w:vertAlign w:val="superscript"/>
        </w:rPr>
      </w:pPr>
    </w:p>
    <w:p>
      <w:pPr>
        <w:ind w:left="660" w:right="360" w:hanging="652"/>
        <w:spacing w:after="0" w:line="214"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 price subject to working capital and other adjustments. See Note 6 to our Consolidated Financial Statements for additional information regarding this acquisition.</w:t>
      </w:r>
    </w:p>
    <w:p>
      <w:pPr>
        <w:spacing w:after="0" w:line="3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Approximate purchase price of $180 million, net of cash, inventory and other working capital acquired.</w:t>
      </w:r>
    </w:p>
    <w:p>
      <w:pPr>
        <w:spacing w:after="0" w:line="98" w:lineRule="exact"/>
        <w:rPr>
          <w:rFonts w:ascii="Arial" w:cs="Arial" w:eastAsia="Arial" w:hAnsi="Arial"/>
          <w:sz w:val="25"/>
          <w:szCs w:val="25"/>
          <w:color w:val="auto"/>
          <w:vertAlign w:val="superscript"/>
        </w:rPr>
      </w:pPr>
    </w:p>
    <w:p>
      <w:pPr>
        <w:ind w:left="660" w:right="400" w:hanging="652"/>
        <w:spacing w:after="0" w:line="214"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Approximate purchase price of $1.075 billion, net of working capital acquired. PAA accounts for its 50% interest in BridgeTex under the equity method of accounting.</w:t>
      </w:r>
    </w:p>
    <w:p>
      <w:pPr>
        <w:spacing w:after="0" w:line="94" w:lineRule="exact"/>
        <w:rPr>
          <w:rFonts w:ascii="Arial" w:cs="Arial" w:eastAsia="Arial" w:hAnsi="Arial"/>
          <w:sz w:val="25"/>
          <w:szCs w:val="25"/>
          <w:color w:val="auto"/>
          <w:vertAlign w:val="superscript"/>
        </w:rPr>
      </w:pPr>
    </w:p>
    <w:p>
      <w:pPr>
        <w:ind w:left="660" w:right="10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 price includes approximately $17 million of imputed interest. A prepayment of $50 million was made during 2011. Approximate purchase price of $1.192 billion, net of working capital, linefill and long-term inventory acquired.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Divestitures</w:t>
      </w:r>
    </w:p>
    <w:p>
      <w:pPr>
        <w:spacing w:after="0" w:line="121"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During 2016, PAA initiated a program to evaluate potential sales of non-core assets and/or sales of partial interests in assets to strategic joint venture partners to optimize its asset portfolio and strengthen its balance sheet and leverage metrics. This program currently totals approximately $1.2 billion of asset sales, of which approximately $550 million closed in 2016, with the remaining $670 million either already closed or expected to close during the first half of 2017. See Note 6 to our Consolidated Financial Statements for additional discussion of dispositions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Divestiture and Investment Activities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Consistent with its business strategy, PAA is continuously engaged in the evaluation of potential acquisitions, joint ventures and capital projects. In addition, PAA continues to evaluate its asset portfolio to determine whether additional sales of non-core assets would further optimize its portfolio and strengthen its balance sheet. As a part of these efforts, PAA often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engages in discussions with potential third parties regarding the possible purchase of or investment in assets and operations that are strategic and complementary to PAA’s existing operations, or the potential sale of assets that it believes might have more value to a third-party buyer. In addition, in the past PAA has evaluated and pursued, and intends in the future to evaluate and pursue, the acquisition of or investment in other energy-related assets that have characteristics and provide opportunities similar to PAA’s existing business lines and enable PAA to leverage its assets, knowledge and skill sets. Such efforts may involve participation by PAA in processes that have been made public and involve a number of potential buyers or investors, commonly referred to as “auction” processes, as well as situations in which PAA believes it is the only party or one of a limited number of parties who are in negotiations with the potential seller or other party. With respect to a potential divestiture, PAA may also conduct an auction process or may negotiate a transaction with one or a limited number of potential buyers. These acquisition and investment efforts often involve assets which, if acquired, constructed or sold, as applicable, could have a material effect on PAA’s financial condition and results of operations.</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PAA typically does not announce a transaction until after it has executed a definitive agreement. However, in certain cases in order to protect its business interests or for other reasons, PAA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PAA has entered into a definitive agreement may be subject to customary and other closing conditions, which may not ultimately be satisfied or waived. Accordingly, PAA can give no assurance that its current or future acquisition, divestiture or investment efforts will be successful. Although PAA expects the acquisitions and investments it makes to be accretive in the long term, PAA can provide no assurance that its expectations will ultimately be realized. See Item 1A. “Risk Factors—Risks Related to PAA’s Business—If PAA does not make acquisitions or if it makes acquisitions that fail to perform as anticipated, its future growth may be limited” and “—Acquisitions involve risks that may adversely affect PAA’s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Expansion Capital Projects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PAA’s extensive asset base and its relationships with customers provide it with opportunities for organic growth through the construction of additional assets that are complementary to, and expand or extend, its existing asset base. PAA’s 2017 expansion capital plan is representative of the diversity and balance of its overall project portfolio. The following expansion capital projects are included in PAA’s 2017 capital plan as of February 2017:</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w w:val="89"/>
              </w:rPr>
              <w:t>2017 Plan</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0" w:type="dxa"/>
            <w:vAlign w:val="bottom"/>
          </w:tcPr>
          <w:p>
            <w:pPr>
              <w:spacing w:after="0"/>
              <w:rPr>
                <w:sz w:val="1"/>
                <w:szCs w:val="1"/>
                <w:color w:val="auto"/>
              </w:rPr>
            </w:pPr>
          </w:p>
        </w:tc>
      </w:tr>
      <w:tr>
        <w:trPr>
          <w:trHeight w:val="149"/>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Basin/Region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Project</w:t>
            </w:r>
          </w:p>
        </w:tc>
        <w:tc>
          <w:tcPr>
            <w:tcW w:w="120" w:type="dxa"/>
            <w:vAlign w:val="bottom"/>
            <w:vMerge w:val="restart"/>
          </w:tcPr>
          <w:p>
            <w:pPr>
              <w:spacing w:after="0"/>
              <w:rPr>
                <w:sz w:val="12"/>
                <w:szCs w:val="12"/>
                <w:color w:val="auto"/>
              </w:rPr>
            </w:pPr>
          </w:p>
        </w:tc>
        <w:tc>
          <w:tcPr>
            <w:tcW w:w="1360" w:type="dxa"/>
            <w:vAlign w:val="bottom"/>
            <w:gridSpan w:val="2"/>
          </w:tcPr>
          <w:p>
            <w:pPr>
              <w:jc w:val="right"/>
              <w:ind w:right="274"/>
              <w:spacing w:after="0" w:line="149"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In-Service Date</w:t>
            </w:r>
          </w:p>
        </w:tc>
        <w:tc>
          <w:tcPr>
            <w:tcW w:w="0" w:type="dxa"/>
            <w:vAlign w:val="bottom"/>
          </w:tcPr>
          <w:p>
            <w:pPr>
              <w:spacing w:after="0"/>
              <w:rPr>
                <w:sz w:val="1"/>
                <w:szCs w:val="1"/>
                <w:color w:val="auto"/>
              </w:rPr>
            </w:pPr>
          </w:p>
        </w:tc>
      </w:tr>
      <w:tr>
        <w:trPr>
          <w:trHeight w:val="228"/>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Permian</w:t>
            </w:r>
          </w:p>
        </w:tc>
        <w:tc>
          <w:tcPr>
            <w:tcW w:w="12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Permian Basin Area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Multiple projects to increase and expand our pipeline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Q1 2017 - 2018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Gathering System Projects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infrastructure in the Delaware Basin, including planned</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8"/>
              </w:rPr>
              <w:t>interconnects associated with the recently acquired Alpha</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Crude Connector gathering system</w:t>
            </w: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Central / Mid-</w:t>
            </w:r>
          </w:p>
        </w:tc>
        <w:tc>
          <w:tcPr>
            <w:tcW w:w="120" w:type="dxa"/>
            <w:vAlign w:val="bottom"/>
          </w:tcPr>
          <w:p>
            <w:pPr>
              <w:spacing w:after="0"/>
              <w:rPr>
                <w:sz w:val="19"/>
                <w:szCs w:val="19"/>
                <w:color w:val="auto"/>
              </w:rPr>
            </w:pPr>
          </w:p>
        </w:tc>
        <w:tc>
          <w:tcPr>
            <w:tcW w:w="2200" w:type="dxa"/>
            <w:vAlign w:val="bottom"/>
            <w:gridSpan w:val="3"/>
          </w:tcPr>
          <w:p>
            <w:pPr>
              <w:ind w:left="40"/>
              <w:spacing w:after="0"/>
              <w:rPr>
                <w:sz w:val="20"/>
                <w:szCs w:val="20"/>
                <w:color w:val="auto"/>
              </w:rPr>
            </w:pPr>
            <w:r>
              <w:rPr>
                <w:rFonts w:ascii="Arial" w:cs="Arial" w:eastAsia="Arial" w:hAnsi="Arial"/>
                <w:sz w:val="18"/>
                <w:szCs w:val="18"/>
                <w:color w:val="auto"/>
              </w:rPr>
              <w:t>Diamond Pipeline</w:t>
            </w:r>
          </w:p>
        </w:tc>
        <w:tc>
          <w:tcPr>
            <w:tcW w:w="3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50% interest in approximately 440 miles of new crude oil</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Q4 2017</w:t>
            </w:r>
          </w:p>
        </w:tc>
        <w:tc>
          <w:tcPr>
            <w:tcW w:w="0" w:type="dxa"/>
            <w:vAlign w:val="bottom"/>
          </w:tcPr>
          <w:p>
            <w:pPr>
              <w:spacing w:after="0"/>
              <w:rPr>
                <w:sz w:val="1"/>
                <w:szCs w:val="1"/>
                <w:color w:val="auto"/>
              </w:rPr>
            </w:pPr>
          </w:p>
        </w:tc>
      </w:tr>
      <w:tr>
        <w:trPr>
          <w:trHeight w:val="216"/>
        </w:trPr>
        <w:tc>
          <w:tcPr>
            <w:tcW w:w="1720" w:type="dxa"/>
            <w:vAlign w:val="bottom"/>
          </w:tcPr>
          <w:p>
            <w:pPr>
              <w:ind w:left="40"/>
              <w:spacing w:after="0"/>
              <w:rPr>
                <w:sz w:val="20"/>
                <w:szCs w:val="20"/>
                <w:color w:val="auto"/>
              </w:rPr>
            </w:pPr>
            <w:r>
              <w:rPr>
                <w:rFonts w:ascii="Arial" w:cs="Arial" w:eastAsia="Arial" w:hAnsi="Arial"/>
                <w:sz w:val="18"/>
                <w:szCs w:val="18"/>
                <w:color w:val="auto"/>
              </w:rPr>
              <w:t>Continent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pipeline; 200,000 Bbls/d capacity from Cushing, OK to</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Valero’s refinery in Memphis, TN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ind w:left="40"/>
              <w:spacing w:after="0"/>
              <w:rPr>
                <w:sz w:val="20"/>
                <w:szCs w:val="20"/>
                <w:color w:val="auto"/>
              </w:rPr>
            </w:pPr>
            <w:r>
              <w:rPr>
                <w:rFonts w:ascii="Arial" w:cs="Arial" w:eastAsia="Arial" w:hAnsi="Arial"/>
                <w:sz w:val="18"/>
                <w:szCs w:val="18"/>
                <w:color w:val="auto"/>
              </w:rPr>
              <w:t>Cushing Terminal</w:t>
            </w:r>
          </w:p>
        </w:tc>
        <w:tc>
          <w:tcPr>
            <w:tcW w:w="38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Addition of approximately 2.1 million barrels of storage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Q2 2017 - Q4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3"/>
          </w:tcPr>
          <w:p>
            <w:pPr>
              <w:ind w:left="40"/>
              <w:spacing w:after="0"/>
              <w:rPr>
                <w:sz w:val="20"/>
                <w:szCs w:val="20"/>
                <w:color w:val="auto"/>
              </w:rPr>
            </w:pPr>
            <w:r>
              <w:rPr>
                <w:rFonts w:ascii="Arial" w:cs="Arial" w:eastAsia="Arial" w:hAnsi="Arial"/>
                <w:sz w:val="18"/>
                <w:szCs w:val="18"/>
                <w:color w:val="auto"/>
              </w:rPr>
              <w:t>Expansions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capacity and additional</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Canada</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shd w:val="clear" w:color="auto" w:fill="CCEEFF"/>
              </w:rPr>
              <w:t>Fort Saskatchewan Facility</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Multi-phase project, remaining Phase I project includes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Q1 2017 - 2018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shd w:val="clear" w:color="auto" w:fill="CCEEFF"/>
              </w:rPr>
              <w:t>Projects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conversion of service of approximately 3 million barrels</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shd w:val="clear" w:color="auto" w:fill="CCEEFF"/>
              </w:rPr>
              <w:t>of</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existing caverns</w:t>
            </w:r>
          </w:p>
        </w:tc>
        <w:tc>
          <w:tcPr>
            <w:tcW w:w="2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Remaining Phase II projects include (i) adding a merox</w:t>
            </w: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sweetening unit that will increase our ability to handle 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shd w:val="clear" w:color="auto" w:fill="CCEEFF"/>
              </w:rPr>
              <w:t>variety of feed streams providing more flexibility and flow</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assurance, (ii) development of two new ethane caverns with</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shd w:val="clear" w:color="auto" w:fill="CCEEFF"/>
              </w:rPr>
              <w:t>1.6 million barrels of capacity and a utility cavern and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shd w:val="clear" w:color="auto" w:fill="CCEEFF"/>
              </w:rPr>
              <w:t>(iii) the addition of 2.7 million barrels of brine capacity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shd w:val="clear" w:color="auto" w:fill="CCEEFF"/>
              </w:rPr>
              <w:t>Phase III includes a six-spot rail rack expansion for</w:t>
            </w:r>
          </w:p>
        </w:tc>
        <w:tc>
          <w:tcPr>
            <w:tcW w:w="500" w:type="dxa"/>
            <w:vAlign w:val="bottom"/>
            <w:gridSpan w:val="2"/>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shd w:val="clear" w:color="auto" w:fill="CCEEFF"/>
              </w:rPr>
              <w:t>condensate service and adding butane service to four</w:t>
            </w:r>
          </w:p>
        </w:tc>
        <w:tc>
          <w:tcPr>
            <w:tcW w:w="50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shd w:val="clear" w:color="auto" w:fill="CCEEFF"/>
              </w:rPr>
              <w:t>existing propane spots</w:t>
            </w:r>
          </w:p>
        </w:tc>
        <w:tc>
          <w:tcPr>
            <w:tcW w:w="24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200" w:type="dxa"/>
            <w:vAlign w:val="bottom"/>
            <w:gridSpan w:val="3"/>
          </w:tcPr>
          <w:p>
            <w:pPr>
              <w:ind w:left="40"/>
              <w:spacing w:after="0"/>
              <w:rPr>
                <w:sz w:val="20"/>
                <w:szCs w:val="20"/>
                <w:color w:val="auto"/>
              </w:rPr>
            </w:pPr>
            <w:r>
              <w:rPr>
                <w:rFonts w:ascii="Arial" w:cs="Arial" w:eastAsia="Arial" w:hAnsi="Arial"/>
                <w:sz w:val="18"/>
                <w:szCs w:val="18"/>
                <w:color w:val="auto"/>
              </w:rPr>
              <w:t>Other Projects</w:t>
            </w: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Q1 2017 - 2018+</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Projected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Expansion Capital</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vMerge w:val="continue"/>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2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The health of the global petroleum market is dependent on the relative supply and demand of hydrocarbons, including crude oil and NGL. These supply and demand economics are greatly influenced by the broader global economic climate, exposing the petroleum market to the challenges and volatility associated with global economic development. For the period from 2004 through 2013, global liquids production increased 7.6 million barrels per day while global liquids consumption increased 8.4 million barrels per day. For the period from 2013 through 2015, global production growth outpaced global consumption growth by 2.5 million barrels per day resulting in a cumulative imbalance of 2.3 million barrels per day. In 2016, the market remained oversupplied, but global demand growth began to outpace global supply growth as non-OPEC production declined 0.6 million barrels per day. The table below depicts historical OPEC and non-OPEC liquids production and global liquids consumption and is derived from the EIA Short-Term Energy Outlook, January 2017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6"/>
          </w:tcPr>
          <w:p>
            <w:pPr>
              <w:ind w:left="400"/>
              <w:spacing w:after="0"/>
              <w:rPr>
                <w:sz w:val="20"/>
                <w:szCs w:val="20"/>
                <w:color w:val="auto"/>
              </w:rPr>
            </w:pPr>
            <w:r>
              <w:rPr>
                <w:rFonts w:ascii="Arial" w:cs="Arial" w:eastAsia="Arial" w:hAnsi="Arial"/>
                <w:sz w:val="14"/>
                <w:szCs w:val="14"/>
                <w:b w:val="1"/>
                <w:bCs w:val="1"/>
                <w:color w:val="auto"/>
              </w:rPr>
              <w:t xml:space="preserve">Annual Liquids Production </w:t>
            </w:r>
            <w:r>
              <w:rPr>
                <w:rFonts w:ascii="Arial" w:cs="Arial" w:eastAsia="Arial" w:hAnsi="Arial"/>
                <w:sz w:val="8"/>
                <w:szCs w:val="8"/>
                <w:b w:val="1"/>
                <w:bCs w:val="1"/>
                <w:color w:val="auto"/>
              </w:rPr>
              <w:t>(1)</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 from</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 from</w:t>
            </w: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auto"/>
              </w:rPr>
              <w:t>∆ from</w:t>
            </w:r>
          </w:p>
        </w:tc>
      </w:tr>
      <w:tr>
        <w:trPr>
          <w:trHeight w:val="264"/>
        </w:trPr>
        <w:tc>
          <w:tcPr>
            <w:tcW w:w="34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2004-2013</w:t>
            </w:r>
          </w:p>
        </w:tc>
        <w:tc>
          <w:tcPr>
            <w:tcW w:w="10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2013-2015</w:t>
            </w:r>
          </w:p>
        </w:tc>
        <w:tc>
          <w:tcPr>
            <w:tcW w:w="10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2015-2016</w:t>
            </w:r>
          </w:p>
        </w:tc>
      </w:tr>
      <w:tr>
        <w:trPr>
          <w:trHeight w:val="250"/>
        </w:trPr>
        <w:tc>
          <w:tcPr>
            <w:tcW w:w="3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7"/>
          </w:tcPr>
          <w:p>
            <w:pPr>
              <w:ind w:left="200"/>
              <w:spacing w:after="0"/>
              <w:rPr>
                <w:sz w:val="20"/>
                <w:szCs w:val="20"/>
                <w:color w:val="auto"/>
              </w:rPr>
            </w:pPr>
            <w:r>
              <w:rPr>
                <w:rFonts w:ascii="Arial" w:cs="Arial" w:eastAsia="Arial" w:hAnsi="Arial"/>
                <w:sz w:val="14"/>
                <w:szCs w:val="14"/>
                <w:b w:val="1"/>
                <w:bCs w:val="1"/>
                <w:color w:val="auto"/>
              </w:rPr>
              <w:t xml:space="preserve">(in millions of barrels per day) </w:t>
            </w:r>
            <w:r>
              <w:rPr>
                <w:rFonts w:ascii="Arial" w:cs="Arial" w:eastAsia="Arial" w:hAnsi="Arial"/>
                <w:sz w:val="8"/>
                <w:szCs w:val="8"/>
                <w:b w:val="1"/>
                <w:bCs w:val="1"/>
                <w:color w:val="auto"/>
              </w:rPr>
              <w:t>(2)</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(Supply)</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OPEC</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39.6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0.9</w:t>
            </w:r>
          </w:p>
        </w:tc>
      </w:tr>
      <w:tr>
        <w:trPr>
          <w:trHeight w:val="27"/>
        </w:trPr>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Non-OPEC</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3420" w:type="dxa"/>
            <w:vAlign w:val="bottom"/>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0.3</w:t>
            </w:r>
          </w:p>
        </w:tc>
      </w:tr>
      <w:tr>
        <w:trPr>
          <w:trHeight w:val="27"/>
        </w:trPr>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Total Consumption (Demand)</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95.6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w:t>
            </w:r>
          </w:p>
        </w:tc>
      </w:tr>
      <w:tr>
        <w:trPr>
          <w:trHeight w:val="27"/>
        </w:trPr>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Global Supply / Demand Balance</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0.9</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Amounts are derived from the EIA’s Short-Term Energy Outlook.</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This surge in liquids production without a commensurate increase in demand has led to a near-to-medium-term supply imbalance and increase in inventory, which has resulted in a reduction to benchmark petroleum prices. Producers, in turn, scaled back capital programs, which ultimately reduced supply. These outcomes are expected to lead to underinvestment in long lead time projects and additionally stimulate petroleum demand growth, which ultimately should lead to an environment where prices will recover to a level to support future production growth in the U.S.</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2016, OPEC indicated a desire to return to its historical strategy of managing crude oil production levels. Joined by certain non-OPEC countries such as Russia and Mexico, OPEC and non-OPEC participants have targeted to cut output by approximately 1.8 million barrels per day in the first of half of 2017. This decision drove a significant increase in crude oil prices during the fourth quarter of 2016. To the extent the production cut is executed and demand growth stays on trend, accumulated inventories should begin to decline, prices should remain firm and potentially rise, ultimately leading to increased activity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From 2011 through 2014, the combination of (i) a significant increase in North American production volumes, (ii) a change in crude oil qualities and related differentials and (iii) high utilization of existing pipeline and terminal infrastructure stimulated multiple industry initiatives to build new pipeline and terminal infrastructure, convert certain pipeline assets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alternative service or reverse flows and expand the use of trucks, rail and barges for the movement of crude oil and condensate. Increased production came from mature producing areas such as the Rockies, the Permian Basin in West Texas and the Mid-Continent region, as well as from less mature, but rapidly growing areas such as the Eagle Ford Shale in South Texas and the Williston Basin in North Dakota. As a result, North American crude oil production increased 3.7 million barrels per day, or 33% between 2011 and 2014, with the increases coming primarily from Canada, the Eagle Ford Shale, the Permian Basin and the Williston Basin. Production increases in all of these regions strained existing transportation, terminalling and downstream infrastructure. This opportunity for new crude oil infrastructure attracted significant investment in midstream oil assets, resulting in excess midstream capacity in the Permian, Eagle Ford, Williston, Mid-continent and DJ basins. The combination of the slowdown in U.S. crude oil production growth and significant commitments for new infrastructure created an environment in which margins have compressed and differentials are less than transportation cost in some cases. As production growth resumes and pipeline utilizations increase, differentials should approach transportation cost parity. The improvement is expected to occur on a regional basis subject to reductions in excess capacity.</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significant shifts in the type and location of crude oil being produced in North America, relative to the types and location of crude oil being produced five years ago, have led to changes in the utilization of downstream infrastructure. From 2009 through 2015, refiners increased throughputs to take advantage of discounted domestic production, which led to lower use of imported crude oil by U.S. refineries. This decline in imports was a meaningful change in a multi-year trend where foreign imports of crude oil tripled over an approximately 23-year period from 1985 to 2007. However, in 2016, this more recent trend reversed as a result of lower 48 onshore production declines. In 2016, U.S. refinery inputs reached historically high levels fueled by price driven demand growth and exports, and U.S. petroleum consumption increased to 19.6 million barrels per day. The table below shows the overall domestic petroleum consumption projected through 2018 and is derived from the EIA Short-Term Energy Outlook, January 2017 (see EIA website at </w:t>
      </w:r>
      <w:r>
        <w:rPr>
          <w:rFonts w:ascii="Arial" w:cs="Arial" w:eastAsia="Arial" w:hAnsi="Arial"/>
          <w:sz w:val="16"/>
          <w:szCs w:val="16"/>
          <w:i w:val="1"/>
          <w:iCs w:val="1"/>
          <w:color w:val="auto"/>
        </w:rPr>
        <w:t>www.eia.doe.gov</w:t>
      </w:r>
      <w:r>
        <w:rPr>
          <w:rFonts w:ascii="Arial" w:cs="Arial" w:eastAsia="Arial" w:hAnsi="Arial"/>
          <w:sz w:val="16"/>
          <w:szCs w:val="16"/>
          <w:color w:val="auto"/>
        </w:rPr>
        <w:t>). This forecast shows increasing domestic production, decreasing foreign imports and steady levels of product exports.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5"/>
              </w:rPr>
              <w:t xml:space="preserve">Actual </w:t>
            </w:r>
            <w:r>
              <w:rPr>
                <w:rFonts w:ascii="Arial" w:cs="Arial" w:eastAsia="Arial" w:hAnsi="Arial"/>
                <w:sz w:val="8"/>
                <w:szCs w:val="8"/>
                <w:b w:val="1"/>
                <w:bCs w:val="1"/>
                <w:color w:val="auto"/>
                <w:w w:val="95"/>
              </w:rPr>
              <w:t>(1)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(1)</w:t>
            </w:r>
          </w:p>
        </w:tc>
        <w:tc>
          <w:tcPr>
            <w:tcW w:w="1020" w:type="dxa"/>
            <w:vAlign w:val="bottom"/>
            <w:tcBorders>
              <w:bottom w:val="single" w:sz="8" w:color="auto"/>
            </w:tcBorders>
          </w:tcPr>
          <w:p>
            <w:pPr>
              <w:spacing w:after="0"/>
              <w:rPr>
                <w:sz w:val="16"/>
                <w:szCs w:val="16"/>
                <w:color w:val="auto"/>
              </w:rPr>
            </w:pPr>
          </w:p>
        </w:tc>
      </w:tr>
      <w:tr>
        <w:trPr>
          <w:trHeight w:val="264"/>
        </w:trPr>
        <w:tc>
          <w:tcPr>
            <w:tcW w:w="77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 millions of barrels per day)</w:t>
            </w:r>
          </w:p>
        </w:tc>
        <w:tc>
          <w:tcPr>
            <w:tcW w:w="1020" w:type="dxa"/>
            <w:vAlign w:val="bottom"/>
            <w:tcBorders>
              <w:top w:val="single" w:sz="8" w:color="auto"/>
            </w:tcBorders>
          </w:tcPr>
          <w:p>
            <w:pPr>
              <w:spacing w:after="0"/>
              <w:rPr>
                <w:sz w:val="21"/>
                <w:szCs w:val="21"/>
                <w:color w:val="auto"/>
              </w:rPr>
            </w:pPr>
          </w:p>
        </w:tc>
      </w:tr>
      <w:tr>
        <w:trPr>
          <w:trHeight w:val="209"/>
        </w:trPr>
        <w:tc>
          <w:tcPr>
            <w:tcW w:w="2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61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Domestic Crude Oil Production</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Net Imports - Crude Oil</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r>
      <w:tr>
        <w:trPr>
          <w:trHeight w:val="243"/>
        </w:trPr>
        <w:tc>
          <w:tcPr>
            <w:tcW w:w="20" w:type="dxa"/>
            <w:vAlign w:val="bottom"/>
          </w:tcPr>
          <w:p>
            <w:pPr>
              <w:spacing w:after="0"/>
              <w:rPr>
                <w:sz w:val="21"/>
                <w:szCs w:val="21"/>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Other - (Supply Adjustment/Stock Change)</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Crude Oil Input to Domestic Refineries</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1"/>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r>
      <w:tr>
        <w:trPr>
          <w:trHeight w:val="2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Net Product Imports / (Exports)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Supply from Renewable Sources</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7720" w:type="dxa"/>
            <w:vAlign w:val="bottom"/>
            <w:gridSpan w:val="3"/>
          </w:tcPr>
          <w:p>
            <w:pPr>
              <w:ind w:left="140"/>
              <w:spacing w:after="0"/>
              <w:rPr>
                <w:sz w:val="20"/>
                <w:szCs w:val="20"/>
                <w:color w:val="auto"/>
              </w:rPr>
            </w:pPr>
            <w:r>
              <w:rPr>
                <w:rFonts w:ascii="Arial" w:cs="Arial" w:eastAsia="Arial" w:hAnsi="Arial"/>
                <w:sz w:val="18"/>
                <w:szCs w:val="18"/>
                <w:color w:val="auto"/>
              </w:rPr>
              <w:t>Other - (NGL Production, Refinery Processing Gain)</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7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Domestic Petroleum Consumption</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1"/>
              </w:rPr>
              <w:t>19.6</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spacing w:after="0"/>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20" w:hanging="324"/>
        <w:spacing w:after="0" w:line="286" w:lineRule="auto"/>
        <w:tabs>
          <w:tab w:leader="none" w:pos="98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62" w:lineRule="exact"/>
        <w:rPr>
          <w:rFonts w:ascii="Arial" w:cs="Arial" w:eastAsia="Arial" w:hAnsi="Arial"/>
          <w:sz w:val="18"/>
          <w:szCs w:val="18"/>
          <w:i w:val="1"/>
          <w:iCs w:val="1"/>
          <w:color w:val="auto"/>
        </w:rPr>
      </w:pPr>
    </w:p>
    <w:p>
      <w:pPr>
        <w:ind w:left="980" w:right="60" w:hanging="324"/>
        <w:spacing w:after="0" w:line="286" w:lineRule="auto"/>
        <w:tabs>
          <w:tab w:leader="none" w:pos="98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57" w:lineRule="exact"/>
        <w:rPr>
          <w:rFonts w:ascii="Arial" w:cs="Arial" w:eastAsia="Arial" w:hAnsi="Arial"/>
          <w:sz w:val="17"/>
          <w:szCs w:val="17"/>
          <w:i w:val="1"/>
          <w:iCs w:val="1"/>
          <w:color w:val="auto"/>
        </w:rPr>
      </w:pPr>
    </w:p>
    <w:p>
      <w:pPr>
        <w:ind w:left="980" w:hanging="324"/>
        <w:spacing w:after="0"/>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117" w:lineRule="exact"/>
        <w:rPr>
          <w:rFonts w:ascii="Arial" w:cs="Arial" w:eastAsia="Arial" w:hAnsi="Arial"/>
          <w:sz w:val="18"/>
          <w:szCs w:val="18"/>
          <w:i w:val="1"/>
          <w:iCs w:val="1"/>
          <w:color w:val="auto"/>
        </w:rPr>
      </w:pPr>
    </w:p>
    <w:p>
      <w:pPr>
        <w:ind w:left="980" w:right="820" w:hanging="324"/>
        <w:spacing w:after="0" w:line="277" w:lineRule="auto"/>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82%) of the United States NGL supply comes from gas processing plants, which separate a mixture of NGL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dry gas (primarily methane). This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NGL products from refineries represent approximately 14%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4% of total supply). NGL (primarily propane and butane) is also exported from certain regions of the United States.</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production points and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however,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 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growth of production in non-traditional producing regions has shifted regional basis relationships and created new logistics and infrastructure opportunities. Growing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increased supply of NGL will be absorbed by the domestic petrochemical sector as low-cost feed stocks, as the North American petrochemical industry has enjoyed a supply cost advantage on a world scale.</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While a low price environment may stunt production growth, we believe the fundamentals of an accessible resource base and improved midstream infrastructure should mean producers can continue to develop the most economic new supply and be ready to go back to rapid growth as prices recover. The NGL market is, among other things, expected to be driven by:</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petro-chemical demand driven by the build-out or new builds of Ethylene Cracker capacity (ethane demand) and Propane Dehydrogenation facilities (propane demand);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export capacity for both ethane and propane;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weather related demand;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ind w:right="80" w:firstLine="8"/>
        <w:spacing w:after="0" w:line="255"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disruptions from tropical weather and (iii) lower basis differentials in certain regions due to expansion and improved connectivity of natural gas transportation infrastructure.</w:t>
      </w:r>
    </w:p>
    <w:p>
      <w:pPr>
        <w:spacing w:after="0" w:line="19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 (ii) increased exports of natural gas to Mexico, (iii) construction of new gas-fired power plants, (iv) sustained fuel switching from coal to natural gas among existing power plants and (v) growth in base-level industrial demand. As a result, we remain optimistic about the intermediate- to long-term intrinsic value of our natural gas storage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three segments—Transportation, Facilities and Supply and Logistics. Accordingly, any references to “we,” “our,” and similar terms describing assets, business characteristics or other related matters are references to assets, business characteristics or other matters involving PAA’s assets and operations. We have an extensive network of pipeline transportation, terminalling, storage and gathering assets in key crude oil and NGL producing basins and transportation corridors and at major market hubs in the United States and Canada. The map and descriptions below highlights our more significant assets (including certain assets under construction or development) as of December 31, 2016:</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848985" cy="5034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503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is a description of the activities and assets for each of our three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125"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third-party pipeline capacity agreements and other transportation fees. Our Transportation segment also includes equity earnings from our investments in entities that own the BridgeTex, Cheyenne, Eagle Ford, White Cliffs, Frontier, Saddlehorn, STACK and Butte pipeline systems, as well as Settoon Towing. We account for these investments under the equity method of accounting.</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2016,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19,200 miles of active crude oil and NGL pipelines and gathering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31 million barrels of active, above-ground tank capacity used primarily to facilitate pipeline throughput;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810 trailers (primarily in Canada);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120 transport and storage barges and 60 transport tugs through our interest in Settoon Towing.</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2016, grouped by geographic location: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17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System Miles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2016 Average Net</w:t>
            </w:r>
          </w:p>
        </w:tc>
        <w:tc>
          <w:tcPr>
            <w:tcW w:w="0" w:type="dxa"/>
            <w:vAlign w:val="bottom"/>
          </w:tcPr>
          <w:p>
            <w:pPr>
              <w:spacing w:after="0"/>
              <w:rPr>
                <w:sz w:val="1"/>
                <w:szCs w:val="1"/>
                <w:color w:val="auto"/>
              </w:rPr>
            </w:pPr>
          </w:p>
        </w:tc>
      </w:tr>
      <w:tr>
        <w:trPr>
          <w:trHeight w:val="192"/>
        </w:trPr>
        <w:tc>
          <w:tcPr>
            <w:tcW w:w="8120" w:type="dxa"/>
            <w:vAlign w:val="bottom"/>
            <w:gridSpan w:val="4"/>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Barrels per Day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64"/>
        </w:trPr>
        <w:tc>
          <w:tcPr>
            <w:tcW w:w="4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5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6"/>
        </w:trPr>
        <w:tc>
          <w:tcPr>
            <w:tcW w:w="81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 Crude Oil Pipelines</w:t>
            </w: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53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Permian Basin</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Basin / Mesa / Sunrise</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BridgeTex </w:t>
            </w:r>
            <w:r>
              <w:rPr>
                <w:rFonts w:ascii="Arial" w:cs="Arial" w:eastAsia="Arial" w:hAnsi="Arial"/>
                <w:sz w:val="25"/>
                <w:szCs w:val="25"/>
                <w:color w:val="auto"/>
                <w:vertAlign w:val="superscript"/>
              </w:rPr>
              <w:t>(3) (4)</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Cactus</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3"/>
          </w:tcPr>
          <w:p>
            <w:pPr>
              <w:ind w:left="560"/>
              <w:spacing w:after="0"/>
              <w:rPr>
                <w:sz w:val="20"/>
                <w:szCs w:val="20"/>
                <w:color w:val="auto"/>
              </w:rPr>
            </w:pPr>
            <w:r>
              <w:rPr>
                <w:rFonts w:ascii="Arial" w:cs="Arial" w:eastAsia="Arial" w:hAnsi="Arial"/>
                <w:sz w:val="18"/>
                <w:szCs w:val="18"/>
                <w:b w:val="1"/>
                <w:bCs w:val="1"/>
                <w:color w:val="auto"/>
              </w:rPr>
              <w:t>Permian Basin Subtotal</w:t>
            </w: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tcPr>
          <w:p>
            <w:pPr>
              <w:ind w:left="140"/>
              <w:spacing w:after="0"/>
              <w:rPr>
                <w:sz w:val="20"/>
                <w:szCs w:val="20"/>
                <w:color w:val="auto"/>
              </w:rPr>
            </w:pPr>
            <w:r>
              <w:rPr>
                <w:rFonts w:ascii="Arial" w:cs="Arial" w:eastAsia="Arial" w:hAnsi="Arial"/>
                <w:sz w:val="18"/>
                <w:szCs w:val="18"/>
                <w:b w:val="1"/>
                <w:bCs w:val="1"/>
                <w:color w:val="auto"/>
              </w:rPr>
              <w:t>South Texas/Eagle Ford</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5"/>
                <w:szCs w:val="25"/>
                <w:color w:val="auto"/>
                <w:vertAlign w:val="superscript"/>
              </w:rPr>
              <w:t>(4)</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3"/>
          </w:tcPr>
          <w:p>
            <w:pPr>
              <w:ind w:left="560"/>
              <w:spacing w:after="0"/>
              <w:rPr>
                <w:sz w:val="20"/>
                <w:szCs w:val="20"/>
                <w:color w:val="auto"/>
              </w:rPr>
            </w:pPr>
            <w:r>
              <w:rPr>
                <w:rFonts w:ascii="Arial" w:cs="Arial" w:eastAsia="Arial" w:hAnsi="Arial"/>
                <w:sz w:val="18"/>
                <w:szCs w:val="18"/>
                <w:b w:val="1"/>
                <w:bCs w:val="1"/>
                <w:color w:val="auto"/>
              </w:rPr>
              <w:t>South Texas/Eagle Ford Subtotal</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tcPr>
          <w:p>
            <w:pPr>
              <w:ind w:left="140"/>
              <w:spacing w:after="0"/>
              <w:rPr>
                <w:sz w:val="20"/>
                <w:szCs w:val="20"/>
                <w:color w:val="auto"/>
              </w:rPr>
            </w:pPr>
            <w:r>
              <w:rPr>
                <w:rFonts w:ascii="Arial" w:cs="Arial" w:eastAsia="Arial" w:hAnsi="Arial"/>
                <w:sz w:val="18"/>
                <w:szCs w:val="18"/>
                <w:b w:val="1"/>
                <w:bCs w:val="1"/>
                <w:color w:val="auto"/>
              </w:rPr>
              <w:t>Western</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All American </w:t>
            </w:r>
            <w:r>
              <w:rPr>
                <w:rFonts w:ascii="Arial" w:cs="Arial" w:eastAsia="Arial" w:hAnsi="Arial"/>
                <w:sz w:val="25"/>
                <w:szCs w:val="25"/>
                <w:color w:val="auto"/>
                <w:vertAlign w:val="superscript"/>
              </w:rPr>
              <w:t>(5)</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Line 63 / Line 2000</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3"/>
          </w:tcPr>
          <w:p>
            <w:pPr>
              <w:ind w:left="560"/>
              <w:spacing w:after="0"/>
              <w:rPr>
                <w:sz w:val="20"/>
                <w:szCs w:val="20"/>
                <w:color w:val="auto"/>
              </w:rPr>
            </w:pPr>
            <w:r>
              <w:rPr>
                <w:rFonts w:ascii="Arial" w:cs="Arial" w:eastAsia="Arial" w:hAnsi="Arial"/>
                <w:sz w:val="18"/>
                <w:szCs w:val="18"/>
                <w:b w:val="1"/>
                <w:bCs w:val="1"/>
                <w:color w:val="auto"/>
              </w:rPr>
              <w:t>Western Subtotal</w:t>
            </w: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tcPr>
          <w:p>
            <w:pPr>
              <w:ind w:left="140"/>
              <w:spacing w:after="0"/>
              <w:rPr>
                <w:sz w:val="20"/>
                <w:szCs w:val="20"/>
                <w:color w:val="auto"/>
              </w:rPr>
            </w:pPr>
            <w:r>
              <w:rPr>
                <w:rFonts w:ascii="Arial" w:cs="Arial" w:eastAsia="Arial" w:hAnsi="Arial"/>
                <w:sz w:val="18"/>
                <w:szCs w:val="18"/>
                <w:b w:val="1"/>
                <w:bCs w:val="1"/>
                <w:color w:val="auto"/>
              </w:rPr>
              <w:t>Rocky Mountain</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5"/>
                <w:szCs w:val="25"/>
                <w:color w:val="auto"/>
                <w:vertAlign w:val="superscript"/>
              </w:rPr>
              <w:t>(4)</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8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 xml:space="preserve">Cheyenne </w:t>
            </w:r>
            <w:r>
              <w:rPr>
                <w:rFonts w:ascii="Arial" w:cs="Arial" w:eastAsia="Arial" w:hAnsi="Arial"/>
                <w:sz w:val="25"/>
                <w:szCs w:val="25"/>
                <w:color w:val="auto"/>
                <w:vertAlign w:val="superscript"/>
              </w:rPr>
              <w:t>(4)</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Saddlehorn </w:t>
            </w:r>
            <w:r>
              <w:rPr>
                <w:rFonts w:ascii="Arial" w:cs="Arial" w:eastAsia="Arial" w:hAnsi="Arial"/>
                <w:sz w:val="25"/>
                <w:szCs w:val="25"/>
                <w:color w:val="auto"/>
                <w:vertAlign w:val="superscript"/>
              </w:rPr>
              <w:t>(3) (4)</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8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5"/>
                <w:szCs w:val="25"/>
                <w:color w:val="auto"/>
                <w:vertAlign w:val="superscript"/>
              </w:rPr>
              <w:t>(4)</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3"/>
                <w:szCs w:val="23"/>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5"/>
                <w:szCs w:val="25"/>
                <w:color w:val="auto"/>
                <w:vertAlign w:val="superscript"/>
              </w:rPr>
              <w:t>(3) (4)</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8080" w:type="dxa"/>
            <w:vAlign w:val="bottom"/>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Rocky Mountain Subtotal</w:t>
            </w: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4,872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17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System Miles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2016 Average Net</w:t>
            </w:r>
          </w:p>
        </w:tc>
        <w:tc>
          <w:tcPr>
            <w:tcW w:w="0" w:type="dxa"/>
            <w:vAlign w:val="bottom"/>
          </w:tcPr>
          <w:p>
            <w:pPr>
              <w:spacing w:after="0"/>
              <w:rPr>
                <w:sz w:val="1"/>
                <w:szCs w:val="1"/>
                <w:color w:val="auto"/>
              </w:rPr>
            </w:pPr>
          </w:p>
        </w:tc>
      </w:tr>
      <w:tr>
        <w:trPr>
          <w:trHeight w:val="192"/>
        </w:trPr>
        <w:tc>
          <w:tcPr>
            <w:tcW w:w="8120" w:type="dxa"/>
            <w:vAlign w:val="bottom"/>
            <w:gridSpan w:val="5"/>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Barrels per Day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64"/>
        </w:trPr>
        <w:tc>
          <w:tcPr>
            <w:tcW w:w="4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5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Gulf Coast</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80" w:type="dxa"/>
            <w:vAlign w:val="bottom"/>
            <w:gridSpan w:val="4"/>
          </w:tcPr>
          <w:p>
            <w:pPr>
              <w:ind w:left="340"/>
              <w:spacing w:after="0" w:line="270"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5"/>
                <w:szCs w:val="25"/>
                <w:color w:val="auto"/>
                <w:vertAlign w:val="superscript"/>
              </w:rPr>
              <w:t>(3)</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Pascagoula</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4"/>
          </w:tcPr>
          <w:p>
            <w:pPr>
              <w:ind w:left="340"/>
              <w:spacing w:after="0"/>
              <w:rPr>
                <w:sz w:val="20"/>
                <w:szCs w:val="20"/>
                <w:color w:val="auto"/>
              </w:rPr>
            </w:pPr>
            <w:r>
              <w:rPr>
                <w:rFonts w:ascii="Arial" w:cs="Arial" w:eastAsia="Arial" w:hAnsi="Arial"/>
                <w:sz w:val="18"/>
                <w:szCs w:val="18"/>
                <w:color w:val="auto"/>
              </w:rPr>
              <w:t>Other</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4"/>
            <w:shd w:val="clear" w:color="auto" w:fill="CCEEFF"/>
          </w:tcPr>
          <w:p>
            <w:pPr>
              <w:ind w:left="560"/>
              <w:spacing w:after="0"/>
              <w:rPr>
                <w:sz w:val="20"/>
                <w:szCs w:val="20"/>
                <w:color w:val="auto"/>
              </w:rPr>
            </w:pPr>
            <w:r>
              <w:rPr>
                <w:rFonts w:ascii="Arial" w:cs="Arial" w:eastAsia="Arial" w:hAnsi="Arial"/>
                <w:sz w:val="18"/>
                <w:szCs w:val="18"/>
                <w:b w:val="1"/>
                <w:bCs w:val="1"/>
                <w:color w:val="auto"/>
              </w:rPr>
              <w:t>Gulf Coast Subtotal</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Central</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80" w:type="dxa"/>
            <w:vAlign w:val="bottom"/>
            <w:gridSpan w:val="4"/>
          </w:tcPr>
          <w:p>
            <w:pPr>
              <w:ind w:left="340"/>
              <w:spacing w:after="0" w:line="270" w:lineRule="exact"/>
              <w:rPr>
                <w:sz w:val="20"/>
                <w:szCs w:val="20"/>
                <w:color w:val="auto"/>
              </w:rPr>
            </w:pPr>
            <w:r>
              <w:rPr>
                <w:rFonts w:ascii="Arial" w:cs="Arial" w:eastAsia="Arial" w:hAnsi="Arial"/>
                <w:sz w:val="18"/>
                <w:szCs w:val="18"/>
                <w:color w:val="auto"/>
              </w:rPr>
              <w:t xml:space="preserve">Mid-Continent Area Systems </w:t>
            </w:r>
            <w:r>
              <w:rPr>
                <w:rFonts w:ascii="Arial" w:cs="Arial" w:eastAsia="Arial" w:hAnsi="Arial"/>
                <w:sz w:val="25"/>
                <w:szCs w:val="25"/>
                <w:color w:val="auto"/>
                <w:vertAlign w:val="superscript"/>
              </w:rPr>
              <w:t>(4)</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4"/>
          </w:tcPr>
          <w:p>
            <w:pPr>
              <w:ind w:left="560"/>
              <w:spacing w:after="0"/>
              <w:rPr>
                <w:sz w:val="20"/>
                <w:szCs w:val="20"/>
                <w:color w:val="auto"/>
              </w:rPr>
            </w:pPr>
            <w:r>
              <w:rPr>
                <w:rFonts w:ascii="Arial" w:cs="Arial" w:eastAsia="Arial" w:hAnsi="Arial"/>
                <w:sz w:val="18"/>
                <w:szCs w:val="18"/>
                <w:b w:val="1"/>
                <w:bCs w:val="1"/>
                <w:color w:val="auto"/>
              </w:rPr>
              <w:t>Central Subtotal</w:t>
            </w: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4"/>
          </w:tcPr>
          <w:p>
            <w:pPr>
              <w:ind w:left="140"/>
              <w:spacing w:after="0"/>
              <w:rPr>
                <w:sz w:val="20"/>
                <w:szCs w:val="20"/>
                <w:color w:val="auto"/>
              </w:rPr>
            </w:pPr>
            <w:r>
              <w:rPr>
                <w:rFonts w:ascii="Arial" w:cs="Arial" w:eastAsia="Arial" w:hAnsi="Arial"/>
                <w:sz w:val="18"/>
                <w:szCs w:val="18"/>
                <w:b w:val="1"/>
                <w:bCs w:val="1"/>
                <w:color w:val="auto"/>
              </w:rPr>
              <w:t>United States Crude Oil Pipelines Total</w:t>
            </w: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14,535</w:t>
            </w:r>
          </w:p>
        </w:tc>
        <w:tc>
          <w:tcPr>
            <w:tcW w:w="100" w:type="dxa"/>
            <w:vAlign w:val="bottom"/>
          </w:tcPr>
          <w:p>
            <w:pPr>
              <w:spacing w:after="0"/>
              <w:rPr>
                <w:sz w:val="20"/>
                <w:szCs w:val="20"/>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b w:val="1"/>
                <w:bCs w:val="1"/>
                <w:color w:val="auto"/>
              </w:rPr>
              <w:t>3,958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Canada Crude Oil Pipelines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5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4"/>
          </w:tcPr>
          <w:p>
            <w:pPr>
              <w:ind w:left="340"/>
              <w:spacing w:after="0"/>
              <w:rPr>
                <w:sz w:val="20"/>
                <w:szCs w:val="20"/>
                <w:color w:val="auto"/>
              </w:rPr>
            </w:pPr>
            <w:r>
              <w:rPr>
                <w:rFonts w:ascii="Arial" w:cs="Arial" w:eastAsia="Arial" w:hAnsi="Arial"/>
                <w:sz w:val="18"/>
                <w:szCs w:val="18"/>
                <w:color w:val="auto"/>
              </w:rPr>
              <w:t>Rainbow</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4"/>
          </w:tcPr>
          <w:p>
            <w:pPr>
              <w:ind w:left="340"/>
              <w:spacing w:after="0"/>
              <w:rPr>
                <w:sz w:val="20"/>
                <w:szCs w:val="20"/>
                <w:color w:val="auto"/>
              </w:rPr>
            </w:pPr>
            <w:r>
              <w:rPr>
                <w:rFonts w:ascii="Arial" w:cs="Arial" w:eastAsia="Arial" w:hAnsi="Arial"/>
                <w:sz w:val="18"/>
                <w:szCs w:val="18"/>
                <w:color w:val="auto"/>
              </w:rPr>
              <w:t>South Saskatchewan</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4"/>
          </w:tcPr>
          <w:p>
            <w:pPr>
              <w:ind w:left="560"/>
              <w:spacing w:after="0"/>
              <w:rPr>
                <w:sz w:val="20"/>
                <w:szCs w:val="20"/>
                <w:color w:val="auto"/>
              </w:rPr>
            </w:pPr>
            <w:r>
              <w:rPr>
                <w:rFonts w:ascii="Arial" w:cs="Arial" w:eastAsia="Arial" w:hAnsi="Arial"/>
                <w:sz w:val="18"/>
                <w:szCs w:val="18"/>
                <w:b w:val="1"/>
                <w:bCs w:val="1"/>
                <w:color w:val="auto"/>
              </w:rPr>
              <w:t>Canada Crude Oil Pipelines Total</w:t>
            </w: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4"/>
          </w:tcPr>
          <w:p>
            <w:pPr>
              <w:ind w:left="560"/>
              <w:spacing w:after="0"/>
              <w:rPr>
                <w:sz w:val="20"/>
                <w:szCs w:val="20"/>
                <w:color w:val="auto"/>
              </w:rPr>
            </w:pPr>
            <w:r>
              <w:rPr>
                <w:rFonts w:ascii="Arial" w:cs="Arial" w:eastAsia="Arial" w:hAnsi="Arial"/>
                <w:sz w:val="18"/>
                <w:szCs w:val="18"/>
                <w:b w:val="1"/>
                <w:bCs w:val="1"/>
                <w:color w:val="auto"/>
              </w:rPr>
              <w:t>Crude Oil Pipelines Total</w:t>
            </w:r>
          </w:p>
        </w:tc>
        <w:tc>
          <w:tcPr>
            <w:tcW w:w="1620" w:type="dxa"/>
            <w:vAlign w:val="bottom"/>
          </w:tcPr>
          <w:p>
            <w:pPr>
              <w:jc w:val="right"/>
              <w:ind w:right="31"/>
              <w:spacing w:after="0"/>
              <w:rPr>
                <w:sz w:val="20"/>
                <w:szCs w:val="20"/>
                <w:color w:val="auto"/>
              </w:rPr>
            </w:pPr>
            <w:r>
              <w:rPr>
                <w:rFonts w:ascii="Arial" w:cs="Arial" w:eastAsia="Arial" w:hAnsi="Arial"/>
                <w:sz w:val="18"/>
                <w:szCs w:val="18"/>
                <w:b w:val="1"/>
                <w:bCs w:val="1"/>
                <w:color w:val="auto"/>
              </w:rPr>
              <w:t>17,429</w:t>
            </w:r>
          </w:p>
        </w:tc>
        <w:tc>
          <w:tcPr>
            <w:tcW w:w="100" w:type="dxa"/>
            <w:vAlign w:val="bottom"/>
          </w:tcPr>
          <w:p>
            <w:pPr>
              <w:spacing w:after="0"/>
              <w:rPr>
                <w:sz w:val="20"/>
                <w:szCs w:val="20"/>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b w:val="1"/>
                <w:bCs w:val="1"/>
                <w:color w:val="auto"/>
              </w:rPr>
              <w:t>4,339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Canada NGL Pipelines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4"/>
          </w:tcPr>
          <w:p>
            <w:pPr>
              <w:ind w:left="340"/>
              <w:spacing w:after="0"/>
              <w:rPr>
                <w:sz w:val="20"/>
                <w:szCs w:val="20"/>
                <w:color w:val="auto"/>
              </w:rPr>
            </w:pPr>
            <w:r>
              <w:rPr>
                <w:rFonts w:ascii="Arial" w:cs="Arial" w:eastAsia="Arial" w:hAnsi="Arial"/>
                <w:sz w:val="18"/>
                <w:szCs w:val="18"/>
                <w:color w:val="auto"/>
              </w:rPr>
              <w:t>PPTC</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4"/>
          </w:tcPr>
          <w:p>
            <w:pPr>
              <w:ind w:left="560"/>
              <w:spacing w:after="0"/>
              <w:rPr>
                <w:sz w:val="20"/>
                <w:szCs w:val="20"/>
                <w:color w:val="auto"/>
              </w:rPr>
            </w:pPr>
            <w:r>
              <w:rPr>
                <w:rFonts w:ascii="Arial" w:cs="Arial" w:eastAsia="Arial" w:hAnsi="Arial"/>
                <w:sz w:val="18"/>
                <w:szCs w:val="18"/>
                <w:b w:val="1"/>
                <w:bCs w:val="1"/>
                <w:color w:val="auto"/>
              </w:rPr>
              <w:t>Canada NGL Pipelines Total</w:t>
            </w: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20" w:type="dxa"/>
            <w:vAlign w:val="bottom"/>
            <w:gridSpan w:val="5"/>
          </w:tcPr>
          <w:p>
            <w:pPr>
              <w:ind w:left="40"/>
              <w:spacing w:after="0"/>
              <w:rPr>
                <w:sz w:val="20"/>
                <w:szCs w:val="20"/>
                <w:color w:val="auto"/>
              </w:rPr>
            </w:pPr>
            <w:r>
              <w:rPr>
                <w:rFonts w:ascii="Arial" w:cs="Arial" w:eastAsia="Arial" w:hAnsi="Arial"/>
                <w:sz w:val="18"/>
                <w:szCs w:val="18"/>
                <w:b w:val="1"/>
                <w:bCs w:val="1"/>
                <w:color w:val="auto"/>
              </w:rPr>
              <w:t>Grand Total</w:t>
            </w: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19,165</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4,523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Ownership percentage varies on each pipeline and gathering system ranging from approximately 20% to 100%.</w:t>
      </w:r>
    </w:p>
    <w:p>
      <w:pPr>
        <w:spacing w:after="0" w:line="98" w:lineRule="exact"/>
        <w:rPr>
          <w:rFonts w:ascii="Arial" w:cs="Arial" w:eastAsia="Arial" w:hAnsi="Arial"/>
          <w:sz w:val="25"/>
          <w:szCs w:val="25"/>
          <w:color w:val="auto"/>
          <w:vertAlign w:val="superscript"/>
        </w:rPr>
      </w:pPr>
    </w:p>
    <w:p>
      <w:pPr>
        <w:ind w:left="660" w:right="380" w:hanging="652"/>
        <w:spacing w:after="0" w:line="225"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might be included multiple times as volumes move through our integrated system.</w:t>
      </w:r>
    </w:p>
    <w:p>
      <w:pPr>
        <w:spacing w:after="0" w:line="3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Pipelines operated by a third party.</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total mileage and volumes (attributable to our interest) from pipelines owned by unconsolidated entities.</w:t>
      </w:r>
    </w:p>
    <w:p>
      <w:pPr>
        <w:spacing w:after="0" w:line="98" w:lineRule="exact"/>
        <w:rPr>
          <w:rFonts w:ascii="Arial" w:cs="Arial" w:eastAsia="Arial" w:hAnsi="Arial"/>
          <w:sz w:val="25"/>
          <w:szCs w:val="25"/>
          <w:color w:val="auto"/>
          <w:vertAlign w:val="superscript"/>
        </w:rPr>
      </w:pPr>
    </w:p>
    <w:p>
      <w:pPr>
        <w:ind w:left="660" w:right="120" w:hanging="652"/>
        <w:spacing w:after="0" w:line="214"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Except for the segment of the All American Pipeline between Pentland and Emidio, the pipeline has been shut down since May 19, 2015, following the Line 901 incident.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 Pipelines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significant portion of our U.S. pipeline assets are interconnected and are operated as a contiguous system. The following descriptions are based on geographic location.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Permian Basin</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Basin Pipeline. </w:t>
      </w:r>
      <w:r>
        <w:rPr>
          <w:rFonts w:ascii="Arial" w:cs="Arial" w:eastAsia="Arial" w:hAnsi="Arial"/>
          <w:sz w:val="17"/>
          <w:szCs w:val="17"/>
          <w:color w:val="auto"/>
        </w:rPr>
        <w:t>We own an 87% undivided joint interest in and are the operator of Basin Pipeline. Basin Pipeline is a 607-mile mainline, and is the</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route for transporting crude oil from the Permian Basin (in west Texas and southern New Mexico) to Cushing, Oklahoma, for further delivery to Mid-Continent and Midwest refining centers. Basin Pipeline also serves as the initial movement for transporting crude oil from the Permian Basin to the Gulf Coast through connections to other carriers at Colorado City, Texas and Wichita Falls, Texas.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segment of the pipeline from Wink to Midland, Texas includes both a 24-inch pipeline and a 20-inch pipeline; together these lines have a capacity of approximately 600,000 barrels per day. The segment of the pipeline from Midland, Texas to Cushing, Oklahoma is a 22-inch to 24-inch telescoping pipeline with capacity ranging from 400,000 barrels per day to 460,000 barrels per day. The pipeline also includes approximately 6 million barrels of storage tankage, as well as a receipt facility in southern Oklahoma to aggregate South Central Oklahoma Oil Province (SCOOP) production.</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to a refinery at</w:t>
      </w:r>
      <w:r>
        <w:rPr>
          <w:rFonts w:ascii="Arial" w:cs="Arial" w:eastAsia="Arial" w:hAnsi="Arial"/>
          <w:sz w:val="18"/>
          <w:szCs w:val="18"/>
          <w:i w:val="1"/>
          <w:iCs w:val="1"/>
          <w:color w:val="auto"/>
        </w:rPr>
        <w:t xml:space="preserve"> </w:t>
      </w:r>
      <w:r>
        <w:rPr>
          <w:rFonts w:ascii="Arial" w:cs="Arial" w:eastAsia="Arial" w:hAnsi="Arial"/>
          <w:sz w:val="18"/>
          <w:szCs w:val="18"/>
          <w:color w:val="auto"/>
        </w:rPr>
        <w:t>Big Spring, Texas, and to connecting carriers at Colorado City. Mesa Pipeline is an 80-mile mainline with capacity of up to 400,000 barrels per day (approximately 252,000 barrels per day attributable to our interest).</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We own and operate the Sunrise Pipeline, an 84-mile pipeline with a capacity of approximately 250,000 barrels per day that</w:t>
      </w:r>
      <w:r>
        <w:rPr>
          <w:rFonts w:ascii="Arial" w:cs="Arial" w:eastAsia="Arial" w:hAnsi="Arial"/>
          <w:sz w:val="18"/>
          <w:szCs w:val="18"/>
          <w:i w:val="1"/>
          <w:iCs w:val="1"/>
          <w:color w:val="auto"/>
        </w:rPr>
        <w:t xml:space="preserve"> </w:t>
      </w:r>
      <w:r>
        <w:rPr>
          <w:rFonts w:ascii="Arial" w:cs="Arial" w:eastAsia="Arial" w:hAnsi="Arial"/>
          <w:sz w:val="18"/>
          <w:szCs w:val="18"/>
          <w:color w:val="auto"/>
        </w:rPr>
        <w:t>extends from Midland to connecting carriers at Colorado City.</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BridgeTex Pipeline</w:t>
      </w:r>
      <w:r>
        <w:rPr>
          <w:rFonts w:ascii="Arial" w:cs="Arial" w:eastAsia="Arial" w:hAnsi="Arial"/>
          <w:sz w:val="16"/>
          <w:szCs w:val="16"/>
          <w:color w:val="auto"/>
        </w:rPr>
        <w:t>. We own a 50% interest in BridgeTex, a joint venture with a subsidiary of Magellan Midstream Partners, L.P. (“Magellan”).</w:t>
      </w:r>
      <w:r>
        <w:rPr>
          <w:rFonts w:ascii="Arial" w:cs="Arial" w:eastAsia="Arial" w:hAnsi="Arial"/>
          <w:sz w:val="16"/>
          <w:szCs w:val="16"/>
          <w:i w:val="1"/>
          <w:iCs w:val="1"/>
          <w:color w:val="auto"/>
        </w:rPr>
        <w:t xml:space="preserve"> </w:t>
      </w:r>
      <w:r>
        <w:rPr>
          <w:rFonts w:ascii="Arial" w:cs="Arial" w:eastAsia="Arial" w:hAnsi="Arial"/>
          <w:sz w:val="16"/>
          <w:szCs w:val="16"/>
          <w:color w:val="auto"/>
        </w:rPr>
        <w:t>BridgeTex owns a 20-inch crude oil pipeline that extends from Colorado City to East Houston, Texas. At Colorado City, the BridgeTex pipeline is connected to our Basin and Sunrise pipelines. The BridgeTex pipeline has a current capacity of 300,000 barrels per day, and will be expanded to 400,000 barrels per day when pumping equipment enhancements are completed in the second quarter of 2017. BridgeTex holds a long-term capacity lease agreement with Magellan whereby its shippers have access to capacity on Magellan’s pipeline from Houston to Texas City. Magellan serves as the operator of the BridgeTex pipeline.</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Cactus Pipeline. </w:t>
      </w:r>
      <w:r>
        <w:rPr>
          <w:rFonts w:ascii="Arial" w:cs="Arial" w:eastAsia="Arial" w:hAnsi="Arial"/>
          <w:sz w:val="18"/>
          <w:szCs w:val="18"/>
          <w:color w:val="auto"/>
        </w:rPr>
        <w:t>We own and operate the Cactus Pipeline, an approximate 300-mile crude oil pipeline extending from McCamey to Gardendale,</w:t>
      </w:r>
      <w:r>
        <w:rPr>
          <w:rFonts w:ascii="Arial" w:cs="Arial" w:eastAsia="Arial" w:hAnsi="Arial"/>
          <w:sz w:val="18"/>
          <w:szCs w:val="18"/>
          <w:i w:val="1"/>
          <w:iCs w:val="1"/>
          <w:color w:val="auto"/>
        </w:rPr>
        <w:t xml:space="preserve"> </w:t>
      </w:r>
      <w:r>
        <w:rPr>
          <w:rFonts w:ascii="Arial" w:cs="Arial" w:eastAsia="Arial" w:hAnsi="Arial"/>
          <w:sz w:val="18"/>
          <w:szCs w:val="18"/>
          <w:color w:val="auto"/>
        </w:rPr>
        <w:t>Texas, where it connects to the Eagle Ford joint venture pipeline. The Cactus Pipeline has a current takeaway capacity of approximately 300,000 barrels per day from the Permian Basin, and will be expanded to approximately 390,000 barrels per day when manifold and metering enhancements are completed in 2017.</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Permian Basin Area Pipelines. </w:t>
      </w:r>
      <w:r>
        <w:rPr>
          <w:rFonts w:ascii="Arial" w:cs="Arial" w:eastAsia="Arial" w:hAnsi="Arial"/>
          <w:sz w:val="18"/>
          <w:szCs w:val="18"/>
          <w:color w:val="auto"/>
        </w:rPr>
        <w:t>We operate wholly owned pipelines comprised of approximately 2,800 miles of pipe that aggregate receipts from</w:t>
      </w:r>
      <w:r>
        <w:rPr>
          <w:rFonts w:ascii="Arial" w:cs="Arial" w:eastAsia="Arial" w:hAnsi="Arial"/>
          <w:sz w:val="18"/>
          <w:szCs w:val="18"/>
          <w:i w:val="1"/>
          <w:iCs w:val="1"/>
          <w:color w:val="auto"/>
        </w:rPr>
        <w:t xml:space="preserve"> </w:t>
      </w:r>
      <w:r>
        <w:rPr>
          <w:rFonts w:ascii="Arial" w:cs="Arial" w:eastAsia="Arial" w:hAnsi="Arial"/>
          <w:sz w:val="18"/>
          <w:szCs w:val="18"/>
          <w:color w:val="auto"/>
        </w:rPr>
        <w:t>wellhead gathering lines and bulk truck injection locations into trunk lines for transportation and delivery into the Basin Pipeline at Jal, Wink and Midland as well as to our terminal facilities in Midland. During 2016, we completed construction of several projects, including 63 miles of 20-inch crude oil pipeline from the Highway 285 Station in Reeves County to Wink, Texas in Winkler County, which increased capacity on that segment of our Pinon pipeline by approximately 200,000 barrels per day.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Eagle Ford Area Pipelines. </w:t>
      </w:r>
      <w:r>
        <w:rPr>
          <w:rFonts w:ascii="Arial" w:cs="Arial" w:eastAsia="Arial" w:hAnsi="Arial"/>
          <w:sz w:val="18"/>
          <w:szCs w:val="18"/>
          <w:color w:val="auto"/>
        </w:rPr>
        <w:t>We own a 100% interest in and are the operator of several gathering systems that feed into our Gardendale Station,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own a 50% interest in Eagle Ford Pipeline, which owns a crude oil and condensate pipeline with approximately 660,000 barrels per day of capacity that extends from Gardendale to Corpus Christi, Texas. We serve as operator of the Eagle Ford joint venture pipeline, and our joint venture partner is a subsidiary of Enterprise Products Partners, L.P. (“Enterprise”).</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Combined, these Eagle Ford Area Pipelines consist of 660 miles of pipe that service production in the Eagle Ford shale play of South Texas and include approximately 5 million barrels of operational storage capacity across the systems. The Eagle Ford Area Pipelines can source Eagle Ford production as well as Permian Basin production via a connection with the Cactus Pipeline at Gardendale. These pipelines serve the Three Rivers and Corpus Christi, Texas refineries and other markets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via marine terminal facilities at Corpus Christi, as well as the Houston market via a connection with Enterprise’s pipeline at Lyssy in Wilson County, Texas.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i w:val="1"/>
          <w:iCs w:val="1"/>
          <w:color w:val="auto"/>
        </w:rPr>
        <w:t xml:space="preserve">All American Pipeline. </w:t>
      </w:r>
      <w:r>
        <w:rPr>
          <w:rFonts w:ascii="Arial" w:cs="Arial" w:eastAsia="Arial" w:hAnsi="Arial"/>
          <w:sz w:val="17"/>
          <w:szCs w:val="17"/>
          <w:color w:val="auto"/>
        </w:rPr>
        <w:t>We own the All American Pipeline, which receives crude oil from offshore oil producers at Las Flores, California and at</w:t>
      </w:r>
      <w:r>
        <w:rPr>
          <w:rFonts w:ascii="Arial" w:cs="Arial" w:eastAsia="Arial" w:hAnsi="Arial"/>
          <w:sz w:val="17"/>
          <w:szCs w:val="17"/>
          <w:i w:val="1"/>
          <w:iCs w:val="1"/>
          <w:color w:val="auto"/>
        </w:rPr>
        <w:t xml:space="preserve"> </w:t>
      </w:r>
      <w:r>
        <w:rPr>
          <w:rFonts w:ascii="Arial" w:cs="Arial" w:eastAsia="Arial" w:hAnsi="Arial"/>
          <w:sz w:val="17"/>
          <w:szCs w:val="17"/>
          <w:color w:val="auto"/>
        </w:rPr>
        <w:t>Gaviota, California. The pipeline terminates at our Emidio Station. Between Gaviota and our Emidio Station, the All American Pipeline interconnects with our San Joaquin Valley Gathering System, Line 2000 and Line 63, as well as other third party intrastate pipelines.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May 2015, we experienced a crude oil release from our Las Flores to Gaviota Pipeline (Line 901) in Santa Barbara County, California. The segment of the pipeline upstream of our Pentland station has been shut down since this incident. We are currently conducting a feasibility study to evaluate a replacement of the pipeline, subject to receipt of shipper commitments and regulatory approvals. See Note 17 to our Consolidated Financial Statements for additional information regarding this incident.</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Line 63. </w:t>
      </w:r>
      <w:r>
        <w:rPr>
          <w:rFonts w:ascii="Arial" w:cs="Arial" w:eastAsia="Arial" w:hAnsi="Arial"/>
          <w:sz w:val="17"/>
          <w:szCs w:val="17"/>
          <w:color w:val="auto"/>
        </w:rPr>
        <w:t>We own and operate the Line 63 pipeline that transports crude oil from the San Joaquin Valley to refineries and terminal facilities in the Los</w:t>
      </w:r>
      <w:r>
        <w:rPr>
          <w:rFonts w:ascii="Arial" w:cs="Arial" w:eastAsia="Arial" w:hAnsi="Arial"/>
          <w:sz w:val="17"/>
          <w:szCs w:val="17"/>
          <w:i w:val="1"/>
          <w:iCs w:val="1"/>
          <w:color w:val="auto"/>
        </w:rPr>
        <w:t xml:space="preserve"> </w:t>
      </w:r>
      <w:r>
        <w:rPr>
          <w:rFonts w:ascii="Arial" w:cs="Arial" w:eastAsia="Arial" w:hAnsi="Arial"/>
          <w:sz w:val="17"/>
          <w:szCs w:val="17"/>
          <w:color w:val="auto"/>
        </w:rPr>
        <w:t>Angeles Basin and in Bakersfield, California. The pipeline is also connected to our crude oil rail terminal at Bakersfield. The Line 63 pipeline consists of an approximate 105-mile trunk pipeline, originating at our Kelley Pump Station in Kern County, California, and terminating at our West Hynes Station in Long Beach, California. The trunk pipeline has a capacity of approximately 60,000 barrels per day. The Line 63 pipeline also includes approximately 30 miles of distribution pipelines in the Los Angeles Basin with a throughput capacity of approximately 20,000 barrels per day, and approximately 115 miles of gathering pipelines in the San Joaquin Valley with an average throughput capacity of approximately 35,000 barrels per day. We also have approximately 1 million barrels of storage capacity on this pipeline. In 2016, we completed the reactivation of an approximate 70-mile segment of Line 63 that had been temporarily taken out of service to allow for certain repairs and realignments to be performed.</w:t>
      </w:r>
    </w:p>
    <w:p>
      <w:pPr>
        <w:spacing w:after="0" w:line="17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Line 2000. </w:t>
      </w:r>
      <w:r>
        <w:rPr>
          <w:rFonts w:ascii="Arial" w:cs="Arial" w:eastAsia="Arial" w:hAnsi="Arial"/>
          <w:sz w:val="18"/>
          <w:szCs w:val="18"/>
          <w:color w:val="auto"/>
        </w:rPr>
        <w:t>We own and operate the Line 2000 crude oil pipeline that originates at our Emidio Pump Station and transports crude oil produced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Joaquin Valley and California OCS to refineries and terminal facilities in the Los Angeles Basin. Line 2000 is an approximately 130-mile, 20-inch trunk pipeline with a throughput capacity of approximately 130,000 barrels per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Bakken Area Pipelines. </w:t>
      </w:r>
      <w:r>
        <w:rPr>
          <w:rFonts w:ascii="Arial" w:cs="Arial" w:eastAsia="Arial" w:hAnsi="Arial"/>
          <w:sz w:val="18"/>
          <w:szCs w:val="18"/>
          <w:color w:val="auto"/>
        </w:rPr>
        <w:t>We own and operate several gathering systems and pipelines that service crude oil production in Eastern Montana and</w:t>
      </w:r>
      <w:r>
        <w:rPr>
          <w:rFonts w:ascii="Arial" w:cs="Arial" w:eastAsia="Arial" w:hAnsi="Arial"/>
          <w:sz w:val="18"/>
          <w:szCs w:val="18"/>
          <w:i w:val="1"/>
          <w:iCs w:val="1"/>
          <w:color w:val="auto"/>
        </w:rPr>
        <w:t xml:space="preserve"> </w:t>
      </w:r>
      <w:r>
        <w:rPr>
          <w:rFonts w:ascii="Arial" w:cs="Arial" w:eastAsia="Arial" w:hAnsi="Arial"/>
          <w:sz w:val="18"/>
          <w:szCs w:val="18"/>
          <w:color w:val="auto"/>
        </w:rPr>
        <w:t>Western North Dakota. We also own a 22% interest in Butte, which owns a 16-inch crude oil pipeline system extending from Baker, Montana to Guernsey, Wyoming.</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Cheyenne Pipeline. </w:t>
      </w:r>
      <w:r>
        <w:rPr>
          <w:rFonts w:ascii="Arial" w:cs="Arial" w:eastAsia="Arial" w:hAnsi="Arial"/>
          <w:sz w:val="18"/>
          <w:szCs w:val="18"/>
          <w:color w:val="auto"/>
        </w:rPr>
        <w:t>We own a 50% interest in Cheyenne, which owns an 87-mile, 16-inch crude oil pipeline that runs from Fort Laramie to</w:t>
      </w:r>
      <w:r>
        <w:rPr>
          <w:rFonts w:ascii="Arial" w:cs="Arial" w:eastAsia="Arial" w:hAnsi="Arial"/>
          <w:sz w:val="18"/>
          <w:szCs w:val="18"/>
          <w:i w:val="1"/>
          <w:iCs w:val="1"/>
          <w:color w:val="auto"/>
        </w:rPr>
        <w:t xml:space="preserve"> </w:t>
      </w:r>
      <w:r>
        <w:rPr>
          <w:rFonts w:ascii="Arial" w:cs="Arial" w:eastAsia="Arial" w:hAnsi="Arial"/>
          <w:sz w:val="18"/>
          <w:szCs w:val="18"/>
          <w:color w:val="auto"/>
        </w:rPr>
        <w:t>Cheyenne, Wyoming and has a capacity of 80,000 barrels per day. Cheyenne is a joint venture with a subsidiary of Holly Energy Partners, L.P., which purchased a 50% interest in Cheyenne from us in June 2016. We serve as operator of the Cheyenne pipeline, which can be expanded through the addition of pumping capacity.</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40% interest in Saddlehorn, which owns a 62.5% undivided joint interest in a 20-inch pipeline that extends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Niobrara and DJ Basin to Cushing, Oklahoma. Saddlehorn owns 190,000 barrels per day of the capacity in the pipeline and has approximately one million barrels of storage capacity at Platteville, Colorado. The Platteville-to-Cushing segment of the pipeline was placed in service in the third quarter of 2016, and linefill is expected to begin in the latter part of the first quarter of 2017 for the Carr-to-Platteville segment. Saddlehorn has the option to expand the capacity of the pipeline at its sole discretion and cost and would own all of the incremental capacity from any expansion. Magellan serves as operator of the Saddlehorn pipeline.</w:t>
      </w:r>
    </w:p>
    <w:p>
      <w:pPr>
        <w:spacing w:after="0" w:line="19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Salt Lake City Area Pipelines. </w:t>
      </w:r>
      <w:r>
        <w:rPr>
          <w:rFonts w:ascii="Arial" w:cs="Arial" w:eastAsia="Arial" w:hAnsi="Arial"/>
          <w:sz w:val="18"/>
          <w:szCs w:val="18"/>
          <w:color w:val="auto"/>
        </w:rPr>
        <w:t>We operate the Salt Lake City and Wahsatch pipelines, in which we own interests ranging between 75% and 100%,</w:t>
      </w:r>
      <w:r>
        <w:rPr>
          <w:rFonts w:ascii="Arial" w:cs="Arial" w:eastAsia="Arial" w:hAnsi="Arial"/>
          <w:sz w:val="18"/>
          <w:szCs w:val="18"/>
          <w:i w:val="1"/>
          <w:iCs w:val="1"/>
          <w:color w:val="auto"/>
        </w:rPr>
        <w:t xml:space="preserve"> </w:t>
      </w:r>
      <w:r>
        <w:rPr>
          <w:rFonts w:ascii="Arial" w:cs="Arial" w:eastAsia="Arial" w:hAnsi="Arial"/>
          <w:sz w:val="18"/>
          <w:szCs w:val="18"/>
          <w:color w:val="auto"/>
        </w:rPr>
        <w:t>and we also own a 50% interest in Frontier, which owns the Frontier pipeline. These area pipelines transport crude oil produced in the U.S. Rocky Mountain region and Canada to refiners in Salt Lake City, Utah and to other pipelines at Ft. Laramie, Wyoming.</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These pipelines include approximately one million barrels of storage capacity and have a maximum throughput capacity of (i) approximately 20,000 barrels per day from Wamsutter, Wyoming to Ft. Laramie, (ii) approximately 40,000 barrels per day from Wamsutter to Wahsatch, Utah, (iii) approximately 100,000 barrels per day from Wahsatch to Salt Lake City and (iv) approximately 65,000 barrels per day from Casper to Ranch Station, Utah.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White Cliffs Pipeline. </w:t>
      </w:r>
      <w:r>
        <w:rPr>
          <w:rFonts w:ascii="Arial" w:cs="Arial" w:eastAsia="Arial" w:hAnsi="Arial"/>
          <w:sz w:val="17"/>
          <w:szCs w:val="17"/>
          <w:color w:val="auto"/>
        </w:rPr>
        <w:t>We own an approximate 36% interest in White Cliffs, which owns a pipeline system consisting of two 527-mile, 12-inch,</w:t>
      </w:r>
      <w:r>
        <w:rPr>
          <w:rFonts w:ascii="Arial" w:cs="Arial" w:eastAsia="Arial" w:hAnsi="Arial"/>
          <w:sz w:val="17"/>
          <w:szCs w:val="17"/>
          <w:i w:val="1"/>
          <w:iCs w:val="1"/>
          <w:color w:val="auto"/>
        </w:rPr>
        <w:t xml:space="preserve"> </w:t>
      </w:r>
      <w:r>
        <w:rPr>
          <w:rFonts w:ascii="Arial" w:cs="Arial" w:eastAsia="Arial" w:hAnsi="Arial"/>
          <w:sz w:val="17"/>
          <w:szCs w:val="17"/>
          <w:color w:val="auto"/>
        </w:rPr>
        <w:t>crude oil pipelines with a combined capacity of approximately 215,000 barrels per day that move crude out of the DJ Basin to the Cushing market. Rose Rock Midstream, L.P. serves as the operator of the pipeline, which originates in Platteville, Colorado and terminates in Cushing.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i w:val="1"/>
          <w:iCs w:val="1"/>
          <w:color w:val="auto"/>
        </w:rPr>
        <w:t xml:space="preserve">Capline Pipeline. </w:t>
      </w:r>
      <w:r>
        <w:rPr>
          <w:rFonts w:ascii="Arial" w:cs="Arial" w:eastAsia="Arial" w:hAnsi="Arial"/>
          <w:sz w:val="16"/>
          <w:szCs w:val="16"/>
          <w:color w:val="auto"/>
        </w:rPr>
        <w:t>Capline Pipeline, in which we own an aggregate undivided joint interest of approximately 54%, is a 631-mile, 40-inch mainline</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pipeline originating in St. James, Louisiana, and terminating in Patoka, Illinois. Marathon Pipeline LLC serves as the operator. Capline Pipeline has direct connection to crude oil production in the Gulf of Mexico. In addition, it is connected to an active dock capable of handling approximately 600,000-barrel tankers and is also connected to the Louisiana Offshore Oil Port and our St. James terminal. Total designed operating capacity is approximately</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1.1 million barrels per day of crude oil, of which our attributable interest is approximately 600,000 barrels per day. The Capline owners are assessing the commercial potential to reverse the pipeline direction within the next several years, potentially enabling it to transport Canadian crude oil to the Gulf Coast.</w:t>
      </w:r>
    </w:p>
    <w:p>
      <w:pPr>
        <w:spacing w:after="0" w:line="139" w:lineRule="exact"/>
        <w:rPr>
          <w:sz w:val="20"/>
          <w:szCs w:val="20"/>
          <w:color w:val="auto"/>
        </w:rPr>
      </w:pPr>
    </w:p>
    <w:p>
      <w:pPr>
        <w:jc w:val="both"/>
        <w:ind w:right="140" w:firstLine="702"/>
        <w:spacing w:after="0" w:line="264" w:lineRule="auto"/>
        <w:rPr>
          <w:sz w:val="20"/>
          <w:szCs w:val="20"/>
          <w:color w:val="auto"/>
        </w:rPr>
      </w:pPr>
      <w:r>
        <w:rPr>
          <w:rFonts w:ascii="Arial" w:cs="Arial" w:eastAsia="Arial" w:hAnsi="Arial"/>
          <w:sz w:val="18"/>
          <w:szCs w:val="18"/>
          <w:i w:val="1"/>
          <w:iCs w:val="1"/>
          <w:color w:val="auto"/>
        </w:rPr>
        <w:t>Pascagoula Pipeline</w:t>
      </w:r>
      <w:r>
        <w:rPr>
          <w:rFonts w:ascii="Arial" w:cs="Arial" w:eastAsia="Arial" w:hAnsi="Arial"/>
          <w:sz w:val="18"/>
          <w:szCs w:val="18"/>
          <w:color w:val="auto"/>
        </w:rPr>
        <w:t>. We own and operate the Pascagoula Pipeline, a 41-mile crude oil pipeline that originates at our Ten Mile facility in Alabama</w:t>
      </w:r>
      <w:r>
        <w:rPr>
          <w:rFonts w:ascii="Arial" w:cs="Arial" w:eastAsia="Arial" w:hAnsi="Arial"/>
          <w:sz w:val="18"/>
          <w:szCs w:val="18"/>
          <w:i w:val="1"/>
          <w:iCs w:val="1"/>
          <w:color w:val="auto"/>
        </w:rPr>
        <w:t xml:space="preserve"> </w:t>
      </w:r>
      <w:r>
        <w:rPr>
          <w:rFonts w:ascii="Arial" w:cs="Arial" w:eastAsia="Arial" w:hAnsi="Arial"/>
          <w:sz w:val="18"/>
          <w:szCs w:val="18"/>
          <w:color w:val="auto"/>
        </w:rPr>
        <w:t>and extends to a refinery on the Gulf Coast. Additionally, we have approximately 2 million barrels of storage capacity at our Ten Mile facility that supports the operational needs of the Pascagoula pipeline.</w:t>
      </w:r>
    </w:p>
    <w:p>
      <w:pPr>
        <w:spacing w:after="0" w:line="181" w:lineRule="exact"/>
        <w:rPr>
          <w:sz w:val="20"/>
          <w:szCs w:val="20"/>
          <w:color w:val="auto"/>
        </w:rPr>
      </w:pPr>
    </w:p>
    <w:p>
      <w:pPr>
        <w:ind w:right="600" w:firstLine="702"/>
        <w:spacing w:after="0" w:line="277"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During the first quarter of 2016, we sold certain of our non-core Gulf Coast pipeline assets. See Note 6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discussion of our divestiture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Mid-Continent Area Pipelines. </w:t>
      </w:r>
      <w:r>
        <w:rPr>
          <w:rFonts w:ascii="Arial" w:cs="Arial" w:eastAsia="Arial" w:hAnsi="Arial"/>
          <w:sz w:val="18"/>
          <w:szCs w:val="18"/>
          <w:color w:val="auto"/>
        </w:rPr>
        <w:t>We own and operate pipelines that source crude oil from Western and Central Oklahoma, Southwest Kansas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Eastern Texas Panhandle. These pipelines consist of approximately 2,700 miles of pipe with transportation and delivery into and out of our terminal facilities at Cushing, Oklahoma.</w:t>
      </w:r>
    </w:p>
    <w:p>
      <w:pPr>
        <w:spacing w:after="0" w:line="18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also own a 50% interest in STACK, which owns a 55-mile pipeline that transports crude oil from the Sooner Trend, Anadarko Basin, Canadian and Kingfisher Counties (STACK) play in northwestern Oklahoma to the Cushing market. STACK is a joint venture with Phillips 66 Partners, L.P., which purchased a 50% interest in STACK from us in August 2016. We serve as operator of the STACK pipeline, which has a current capacity of approximately 100,000 barrels per day and includes a terminal located at Cashion, Oklahoma with approximately 200,000 barrels of crude oil storage.</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Caddo Pipeline</w:t>
      </w:r>
      <w:r>
        <w:rPr>
          <w:rFonts w:ascii="Arial" w:cs="Arial" w:eastAsia="Arial" w:hAnsi="Arial"/>
          <w:sz w:val="18"/>
          <w:szCs w:val="18"/>
          <w:color w:val="auto"/>
        </w:rPr>
        <w:t>. We own a 50% interest in Caddo, a joint venture with Delek Logistics Partners, LP (“Delek”). Caddo recently constructed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commissioned an approximate 80-mile, 12-inch crude oil pipeline with the capacity to move up to 80,000 barrels per day from our terminal in Longview, Texas to supply a refinery in the Shreveport, Louisiana area, as well as to an El Dorado, Arkansas refinery through a connection to Delek’s pipeline. We serve as operator of the Caddo pipeline, which was placed in service in December 2016.</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Diamond Pipeline</w:t>
      </w:r>
      <w:r>
        <w:rPr>
          <w:rFonts w:ascii="Arial" w:cs="Arial" w:eastAsia="Arial" w:hAnsi="Arial"/>
          <w:sz w:val="18"/>
          <w:szCs w:val="18"/>
          <w:color w:val="auto"/>
        </w:rPr>
        <w:t>. We own a 50% interest in Diamond, a joint venture with Valero Energy Corporation (“Valero”). Diamond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constructing a 20-inch, approximately 440-mile pipeline that will provide 200,000 barrels per day of capacity from our Cushing terminal to Valero’s refinery in Memphis, Tennessee. The Diamond pipeline is underpinned by a long-term shipper agreement with Valero and a related contract for storage and terminalling services at our Cushing terminal. Construction of the Diamond pipeline is expected to be completed by late 2017. We will serve as operator of the pipeline.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Red River Pipeline (Cushing to Longview)</w:t>
      </w:r>
      <w:r>
        <w:rPr>
          <w:rFonts w:ascii="Arial" w:cs="Arial" w:eastAsia="Arial" w:hAnsi="Arial"/>
          <w:sz w:val="18"/>
          <w:szCs w:val="18"/>
          <w:color w:val="auto"/>
        </w:rPr>
        <w:t>. The Red River Pipeline is a 140-mile, 16-inch crude oil pipeline with takeaway capacity of 150,000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that extends from Cushing, Oklahoma to Longview, Texas, where it connects with various pipelines, including the Caddo pipeline. The Red River Pipeline is supported by long-term shipper commitments and was placed in service in December 2016. We serve as operator of the pipeline. In January 2017, we sold an undivided 40% interest in a segment of the Red River Pipeline to a subsidiary of Valero Energy Partners LP. The undivided interest conveyed represents 60,000 barrels per day on the segment of the pipeline extending from Cushing to Hewitt, Oklahoma near Valero’s refinery in Ardmore, Oklahoma (the “Hewitt Segment”). We retained an undivided 60% interest in the Hewitt Segment and a 100% interest in the remaining portion of the pipeline that extends from Ardmore to Longview, Texas.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Crude Oil Pipelines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Manito Pipeline. </w:t>
      </w:r>
      <w:r>
        <w:rPr>
          <w:rFonts w:ascii="Arial" w:cs="Arial" w:eastAsia="Arial" w:hAnsi="Arial"/>
          <w:sz w:val="18"/>
          <w:szCs w:val="18"/>
          <w:color w:val="auto"/>
        </w:rPr>
        <w:t>We own a 100% interest in the Manito heavy oil system. This 445-mile system is comprised of the Manito Pipeline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Bodo/Cactus Lake pipeline. Each system consists of a blended crude oil line and a parallel diluent line that delivers condensate to upstream blending locations. The Manito Pipeline includes 334 miles of 6-inch to 12-inch blend pipeline. The mainline segment originates at Dulwich and terminates at Kerrobert, Saskatchewan. The Bodo/Cactus Lake pipeline is a 111-mile long, 3-inch to 10-inch blend pipeline that originates in Bodo, Alberta and also terminates at our Kerrobert storage facility. The Kerrobert storage and terminalling facility is connected to the Enbridge pipeline system and can both receive and deliver heavy crude oil from and to the Enbridge pipeline system.</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Rainbow Pipeline. </w:t>
      </w:r>
      <w:r>
        <w:rPr>
          <w:rFonts w:ascii="Arial" w:cs="Arial" w:eastAsia="Arial" w:hAnsi="Arial"/>
          <w:sz w:val="17"/>
          <w:szCs w:val="17"/>
          <w:color w:val="auto"/>
        </w:rPr>
        <w:t>We own a 100% interest in the Rainbow Pipeline. The Rainbow Pipeline is comprised of (i) an approximate 470-mile, 20-inch to</w:t>
      </w:r>
      <w:r>
        <w:rPr>
          <w:rFonts w:ascii="Arial" w:cs="Arial" w:eastAsia="Arial" w:hAnsi="Arial"/>
          <w:sz w:val="17"/>
          <w:szCs w:val="17"/>
          <w:i w:val="1"/>
          <w:iCs w:val="1"/>
          <w:color w:val="auto"/>
        </w:rPr>
        <w:t xml:space="preserve"> </w:t>
      </w:r>
      <w:r>
        <w:rPr>
          <w:rFonts w:ascii="Arial" w:cs="Arial" w:eastAsia="Arial" w:hAnsi="Arial"/>
          <w:sz w:val="17"/>
          <w:szCs w:val="17"/>
          <w:color w:val="auto"/>
        </w:rPr>
        <w:t>24-inch mainline crude oil pipeline, with capacity of approximately 185,000 barrels per day of batched light sweet and heavy sour oil capacity, that extends from the Norman Wells Pipeline connection in Zama, Alberta to Edmonton, Alberta and has 173 miles of associated gathering pipelines and (ii) a 187-mile, 10-inch to 12-inch pipeline to transport diluent north from Edmonton to our Nipisi truck terminal in Northern Alberta.</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Rangeland Pipeline. </w:t>
      </w:r>
      <w:r>
        <w:rPr>
          <w:rFonts w:ascii="Arial" w:cs="Arial" w:eastAsia="Arial" w:hAnsi="Arial"/>
          <w:sz w:val="17"/>
          <w:szCs w:val="17"/>
          <w:color w:val="auto"/>
        </w:rPr>
        <w:t>We own a 100% interest in the Rangeland Pipeline. Rangeland Pipeline consists of a 683-mile, 8-inch to 16-inch mainline</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and approximately 393 miles of 3-inch to 8-inch gathering pipelines. Rangeland Pipeline transports NGL mix, butane, condensate, light sweet crude oil and light sour crude oil either north to Edmonton or south to the U.S./Canadian border near Cutbank, Montana.</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South Saskatchewan Pipeline</w:t>
      </w:r>
      <w:r>
        <w:rPr>
          <w:rFonts w:ascii="Arial" w:cs="Arial" w:eastAsia="Arial" w:hAnsi="Arial"/>
          <w:sz w:val="18"/>
          <w:szCs w:val="18"/>
          <w:color w:val="auto"/>
        </w:rPr>
        <w:t>. We own a 100% interest in the South Saskatchewan system. This pipeline consists of a 158-mile, 16-inch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from Cantuar to Regina, Saskatchewan and 184 miles of 4-inch to 12-inch gathering pipelines from the Rapdan area to Cantuar. South Saskatchewan Pipeline has capacity to transport approximately 68,000 barrels per day of heavy crude oil from gathering areas in southern Saskatchewan to Enbridge’s mainline at Regina.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NGL Pipelines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 xml:space="preserve">Co-Ed NGL Pipeline. </w:t>
      </w:r>
      <w:r>
        <w:rPr>
          <w:rFonts w:ascii="Arial" w:cs="Arial" w:eastAsia="Arial" w:hAnsi="Arial"/>
          <w:sz w:val="17"/>
          <w:szCs w:val="17"/>
          <w:color w:val="auto"/>
        </w:rPr>
        <w:t>We own and operate the Co-Ed NGL pipeline, which consists of 595 miles of 3-inch to 10-inch pipeline. This pipeline gathers</w:t>
      </w:r>
      <w:r>
        <w:rPr>
          <w:rFonts w:ascii="Arial" w:cs="Arial" w:eastAsia="Arial" w:hAnsi="Arial"/>
          <w:sz w:val="17"/>
          <w:szCs w:val="17"/>
          <w:i w:val="1"/>
          <w:iCs w:val="1"/>
          <w:color w:val="auto"/>
        </w:rPr>
        <w:t xml:space="preserve"> </w:t>
      </w:r>
      <w:r>
        <w:rPr>
          <w:rFonts w:ascii="Arial" w:cs="Arial" w:eastAsia="Arial" w:hAnsi="Arial"/>
          <w:sz w:val="17"/>
          <w:szCs w:val="17"/>
          <w:color w:val="auto"/>
        </w:rPr>
        <w:t>NGL from approximately 27 field gas processing plants located in Alberta, including all of the NGL produced at the Cochrane Straddle Plant for delivery to our NGL facilities at Fort Saskatchewan. The Co-Ed NGL pipeline system has throughput capacity of approximately 72,000 barrels per day.</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PPTC Pipeline. </w:t>
      </w:r>
      <w:r>
        <w:rPr>
          <w:rFonts w:ascii="Arial" w:cs="Arial" w:eastAsia="Arial" w:hAnsi="Arial"/>
          <w:sz w:val="18"/>
          <w:szCs w:val="18"/>
          <w:color w:val="auto"/>
        </w:rPr>
        <w:t>In August 2016, we acquired a 593-mile, 6-inch pipeline extending from Empress, Alberta to the Fort Whyte Terminal in Winnipeg,</w:t>
      </w:r>
      <w:r>
        <w:rPr>
          <w:rFonts w:ascii="Arial" w:cs="Arial" w:eastAsia="Arial" w:hAnsi="Arial"/>
          <w:sz w:val="18"/>
          <w:szCs w:val="18"/>
          <w:i w:val="1"/>
          <w:iCs w:val="1"/>
          <w:color w:val="auto"/>
        </w:rPr>
        <w:t xml:space="preserve"> </w:t>
      </w:r>
      <w:r>
        <w:rPr>
          <w:rFonts w:ascii="Arial" w:cs="Arial" w:eastAsia="Arial" w:hAnsi="Arial"/>
          <w:sz w:val="18"/>
          <w:szCs w:val="18"/>
          <w:color w:val="auto"/>
        </w:rPr>
        <w:t>Manitoba (referred to herein as the Plains Petroleum Transmission Company Pipeline, or the “PPTC” Pipeline). The addition of this pipeline increased our current NGL pipeline capacity by an additional 15,500 barrels per day. The PPTC Pipeline gives us access to seven truck terminals and three rail loading facilities across the system, allowing for increased flexibility in rail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We generate revenue through a combination of month-to-month and multi-year agreements.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source,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2016, we owned, operated or employed a variety of long-term physical assets throughout the United States and Canada in this segment, including:</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approximately 80 million barrels of crude oil and refined products storage capacity primarily at our terminalling and storage locations;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32 million barrels of NGL storage capacity;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97 Bcf of natural gas storage working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31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nine natural gas processing plants located throughout Canada and the Gulf Coast area of the United States;</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211,000 barrels per day, and an isomerization and fractionation facility in California with an aggregate processing capacity of approximately 15,000 barrels per day;</w:t>
      </w:r>
    </w:p>
    <w:p>
      <w:pPr>
        <w:spacing w:after="0" w:line="73"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34 crude oil and NGL rail terminals located throughout the United States and Canada. See “Rail Facilities” below for an overview of various terminals and “Supply and Logistics” regarding our use of railcars;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six major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1,000 miles of active pipelines that support our facilities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tabular presentation of our active Facilities segment storage and service assets in the United States and Canada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grouped by product and service type, with capacity and volume as indicated:</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Crude Oil and Refined Products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Cushing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LA Basin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Martinez and Richmond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Mobile and Ten 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Patoka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5"/>
          <w:szCs w:val="25"/>
          <w:i w:val="1"/>
          <w:iCs w:val="1"/>
          <w:color w:val="auto"/>
          <w:vertAlign w:val="superscript"/>
        </w:rPr>
        <w:t>(1)</w:t>
      </w:r>
    </w:p>
    <w:p>
      <w:pPr>
        <w:ind w:left="4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5"/>
          <w:szCs w:val="25"/>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NGL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Bumstead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Empress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Fort Saskatchewan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Sarnia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Natural Gas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Salt-caverns and Depleted Reservoir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Total Gas</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(3)</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Inlet Volume</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United States Gulf Coast Area</w:t>
            </w: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Canada</w:t>
            </w:r>
          </w:p>
        </w:tc>
        <w:tc>
          <w:tcPr>
            <w:tcW w:w="1840" w:type="dxa"/>
            <w:vAlign w:val="bottom"/>
          </w:tcPr>
          <w:p>
            <w:pPr>
              <w:jc w:val="right"/>
              <w:spacing w:after="0"/>
              <w:rPr>
                <w:sz w:val="20"/>
                <w:szCs w:val="20"/>
                <w:color w:val="auto"/>
              </w:rPr>
            </w:pPr>
            <w:r>
              <w:rPr>
                <w:rFonts w:ascii="Arial" w:cs="Arial" w:eastAsia="Arial" w:hAnsi="Arial"/>
                <w:sz w:val="18"/>
                <w:szCs w:val="18"/>
                <w:color w:val="auto"/>
              </w:rPr>
              <w:t>50-100%</w:t>
            </w:r>
          </w:p>
        </w:tc>
        <w:tc>
          <w:tcPr>
            <w:tcW w:w="1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Condensate Stabilization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Gardendale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1012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1012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1012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48895</wp:posOffset>
            </wp:positionV>
            <wp:extent cx="1012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(Bcf)</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Net Gas</w:t>
      </w:r>
    </w:p>
    <w:p>
      <w:pPr>
        <w:ind w:left="60"/>
        <w:spacing w:after="0" w:line="226" w:lineRule="auto"/>
        <w:rPr>
          <w:sz w:val="20"/>
          <w:szCs w:val="20"/>
          <w:color w:val="auto"/>
        </w:rPr>
      </w:pPr>
      <w:r>
        <w:rPr>
          <w:rFonts w:ascii="Arial" w:cs="Arial" w:eastAsia="Arial" w:hAnsi="Arial"/>
          <w:sz w:val="14"/>
          <w:szCs w:val="14"/>
          <w:b w:val="1"/>
          <w:bCs w:val="1"/>
          <w:color w:val="auto"/>
        </w:rPr>
        <w:t>Processing</w:t>
      </w:r>
    </w:p>
    <w:p>
      <w:pPr>
        <w:ind w:left="100"/>
        <w:spacing w:after="0" w:line="222" w:lineRule="auto"/>
        <w:rPr>
          <w:sz w:val="20"/>
          <w:szCs w:val="20"/>
          <w:color w:val="auto"/>
        </w:rPr>
      </w:pPr>
      <w:r>
        <w:rPr>
          <w:rFonts w:ascii="Arial" w:cs="Arial" w:eastAsia="Arial" w:hAnsi="Arial"/>
          <w:sz w:val="14"/>
          <w:szCs w:val="14"/>
          <w:b w:val="1"/>
          <w:bCs w:val="1"/>
          <w:color w:val="auto"/>
        </w:rPr>
        <w:t>Capacity</w:t>
      </w:r>
    </w:p>
    <w:p>
      <w:pPr>
        <w:ind w:left="180"/>
        <w:spacing w:after="0"/>
        <w:rPr>
          <w:sz w:val="20"/>
          <w:szCs w:val="20"/>
          <w:color w:val="auto"/>
        </w:rPr>
      </w:pPr>
      <w:r>
        <w:rPr>
          <w:rFonts w:ascii="Arial" w:cs="Arial" w:eastAsia="Arial" w:hAnsi="Arial"/>
          <w:sz w:val="14"/>
          <w:szCs w:val="14"/>
          <w:b w:val="1"/>
          <w:bCs w:val="1"/>
          <w:color w:val="auto"/>
        </w:rPr>
        <w:t>(Bcf/d)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48895</wp:posOffset>
            </wp:positionV>
            <wp:extent cx="1003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120,000</w:t>
      </w:r>
    </w:p>
    <w:p>
      <w:pPr>
        <w:spacing w:after="0" w:line="200" w:lineRule="exact"/>
        <w:rPr>
          <w:sz w:val="20"/>
          <w:szCs w:val="20"/>
          <w:color w:val="auto"/>
        </w:rPr>
      </w:pPr>
    </w:p>
    <w:p>
      <w:pPr>
        <w:sectPr>
          <w:pgSz w:w="11900" w:h="16838" w:orient="portrait"/>
          <w:cols w:equalWidth="0" w:num="2">
            <w:col w:w="9740" w:space="500"/>
            <w:col w:w="1080"/>
          </w:cols>
          <w:pgMar w:left="240" w:top="125" w:right="339" w:bottom="1440" w:gutter="0" w:footer="0" w:header="0"/>
          <w:type w:val="continuous"/>
        </w:sectPr>
      </w:pP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20"/>
          </w:cols>
          <w:pgMar w:left="24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 xml:space="preserve">Spec Product </w:t>
            </w:r>
            <w:r>
              <w:rPr>
                <w:rFonts w:ascii="Arial" w:cs="Arial" w:eastAsia="Arial" w:hAnsi="Arial"/>
                <w:sz w:val="8"/>
                <w:szCs w:val="8"/>
                <w:b w:val="1"/>
                <w:bCs w:val="1"/>
                <w:color w:val="auto"/>
                <w:w w:val="92"/>
              </w:rPr>
              <w:t>(4)</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Empress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Fort Saskatchewan</w:t>
            </w:r>
          </w:p>
        </w:tc>
        <w:tc>
          <w:tcPr>
            <w:tcW w:w="1840" w:type="dxa"/>
            <w:vAlign w:val="bottom"/>
          </w:tcPr>
          <w:p>
            <w:pPr>
              <w:jc w:val="right"/>
              <w:spacing w:after="0"/>
              <w:rPr>
                <w:sz w:val="20"/>
                <w:szCs w:val="20"/>
                <w:color w:val="auto"/>
              </w:rPr>
            </w:pPr>
            <w:r>
              <w:rPr>
                <w:rFonts w:ascii="Arial" w:cs="Arial" w:eastAsia="Arial" w:hAnsi="Arial"/>
                <w:sz w:val="18"/>
                <w:szCs w:val="18"/>
                <w:color w:val="auto"/>
              </w:rPr>
              <w:t>21-100%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28,300</w:t>
            </w: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67,800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Sarnia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62,300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i w:val="1"/>
                <w:iCs w:val="1"/>
                <w:color w:val="auto"/>
              </w:rPr>
              <w:t>Shafter</w:t>
            </w: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Other</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115,300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226,100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Loading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Rail Facilities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vMerge w:val="restart"/>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Capacity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Crude Oil Rail Facilities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Ownership Interest</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Rack Spots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Storage Spots</w:t>
            </w:r>
          </w:p>
        </w:tc>
        <w:tc>
          <w:tcPr>
            <w:tcW w:w="0" w:type="dxa"/>
            <w:vAlign w:val="bottom"/>
          </w:tcPr>
          <w:p>
            <w:pPr>
              <w:spacing w:after="0"/>
              <w:rPr>
                <w:sz w:val="1"/>
                <w:szCs w:val="1"/>
                <w:color w:val="auto"/>
              </w:rPr>
            </w:pPr>
          </w:p>
        </w:tc>
      </w:tr>
      <w:tr>
        <w:trPr>
          <w:trHeight w:val="270"/>
        </w:trPr>
        <w:tc>
          <w:tcPr>
            <w:tcW w:w="6180" w:type="dxa"/>
            <w:vAlign w:val="bottom"/>
            <w:tcBorders>
              <w:top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5"/>
                <w:szCs w:val="25"/>
                <w:color w:val="auto"/>
                <w:vertAlign w:val="superscript"/>
              </w:rPr>
              <w:t>(5)</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12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Amount includes approximately 1 million barrels of capacity for which we hold lease options (all of which have been exercised).</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While natural gas processing inlet volumes and capacity amounts are presented, they currently are not a significant driver of our segment results.</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average volumes net to our share for the entire year.</w:t>
      </w:r>
    </w:p>
    <w:p>
      <w:pPr>
        <w:spacing w:after="0" w:line="98" w:lineRule="exact"/>
        <w:rPr>
          <w:rFonts w:ascii="Arial" w:cs="Arial" w:eastAsia="Arial" w:hAnsi="Arial"/>
          <w:sz w:val="25"/>
          <w:szCs w:val="25"/>
          <w:color w:val="auto"/>
          <w:vertAlign w:val="superscript"/>
        </w:rPr>
      </w:pPr>
    </w:p>
    <w:p>
      <w:pPr>
        <w:ind w:left="660" w:right="400" w:hanging="652"/>
        <w:spacing w:after="0" w:line="214"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Crude Oil and Refined Products Facilities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Our Cushing, Oklahoma Terminal (the “Cushing Terminal”) is located at the Cushing Interchange, one of the largest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hubs in the United States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many varieties of foreign and domestic crude oil. The Cushing Terminal has access to all major inbound and outbound pipelines in Cushing and is designed to handle multiple grades of crude oil while minimizing the interface and enabling deliveries to connecting carriers at their maximum rate.</w:t>
      </w:r>
    </w:p>
    <w:p>
      <w:pPr>
        <w:spacing w:after="0" w:line="18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Since 1999, we have completed multiple expansions that have increased the capacity of the Cushing Terminal to a total of 23 million barrels. In 2016, we added approximately 1.6 million barrels of storage and we expect to add approximately 2.1 million barrels of storage capacity during 2017.</w:t>
      </w:r>
    </w:p>
    <w:p>
      <w:pPr>
        <w:spacing w:after="0" w:line="12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black oil storage facilities in the Los Angeles area with a total of 8 million barrels of storage capacity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service and a distribution pipeline system of approximately 50 miles of pipeline in the Los Angeles Basin. We use the Los Angeles area storage and distribution system to service the storage and distribution needs of refining, pipeline and marine terminal facilities in the Los Angeles Basin. Our Los Angeles area system’s pipeline distribution assets connect our storage assets with major refineries and third-party pipelines and marine terminals in the Los Angeles Basin.</w:t>
      </w:r>
    </w:p>
    <w:p>
      <w:pPr>
        <w:spacing w:after="0" w:line="18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i w:val="1"/>
          <w:iCs w:val="1"/>
          <w:color w:val="auto"/>
        </w:rPr>
        <w:t xml:space="preserve">Martinez and Richmond Terminals. </w:t>
      </w:r>
      <w:r>
        <w:rPr>
          <w:rFonts w:ascii="Arial" w:cs="Arial" w:eastAsia="Arial" w:hAnsi="Arial"/>
          <w:sz w:val="18"/>
          <w:szCs w:val="18"/>
          <w:color w:val="auto"/>
        </w:rPr>
        <w:t>We own two terminals in the San Francisco, California area: a terminal at Martinez (which provides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crude oil service) and a terminal at Richmond (which provides refined product and black oil service). Our San Francisco area terminals have 5 million barrels of combined storage capacity and are connected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area refineries through a network of owned and third-party pipelines that carry crude oil and refined products to and from area refineries. These terminals have dock facilities and our Richmond terminal is also able to receive product by rail. We have entered into a definitive agreement to sell these non-core terminals, which we expect to close in the first half of 2017.</w:t>
      </w:r>
    </w:p>
    <w:p>
      <w:pPr>
        <w:spacing w:after="0" w:line="181"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i w:val="1"/>
          <w:iCs w:val="1"/>
          <w:color w:val="auto"/>
        </w:rPr>
        <w:t xml:space="preserve">Mobile and Ten Mile Terminal. </w:t>
      </w:r>
      <w:r>
        <w:rPr>
          <w:rFonts w:ascii="Arial" w:cs="Arial" w:eastAsia="Arial" w:hAnsi="Arial"/>
          <w:sz w:val="16"/>
          <w:szCs w:val="16"/>
          <w:color w:val="auto"/>
        </w:rPr>
        <w:t>We have a marine terminal in Mobile, Alabama (the “Mobile Terminal”) that has current useable capacity of</w:t>
      </w:r>
      <w:r>
        <w:rPr>
          <w:rFonts w:ascii="Arial" w:cs="Arial" w:eastAsia="Arial" w:hAnsi="Arial"/>
          <w:sz w:val="16"/>
          <w:szCs w:val="16"/>
          <w:i w:val="1"/>
          <w:iCs w:val="1"/>
          <w:color w:val="auto"/>
        </w:rPr>
        <w:t xml:space="preserve"> </w:t>
      </w:r>
      <w:r>
        <w:rPr>
          <w:rFonts w:ascii="Arial" w:cs="Arial" w:eastAsia="Arial" w:hAnsi="Arial"/>
          <w:sz w:val="16"/>
          <w:szCs w:val="16"/>
          <w:color w:val="auto"/>
        </w:rPr>
        <w:t>2 million barrels. Approximately 4 million barrels of additional storage capacity is available at our nearby Ten Mile Facility, which is connected to our Mobile Terminal via a 36-inch pipeline. Of this capacity, approximately 3 million barrels supports our Facilities segment operations, with the remaining storage supporting our Transportation segment assets. The Mobile Terminal is equipped with a ship/tanker dock, barge dock, truck unloading facilities and various third-party connections for crude oil movements to area refiners. Our Ten Mile Facility is connected to our Pascagoula Pipeline.</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Patoka Terminal. </w:t>
      </w:r>
      <w:r>
        <w:rPr>
          <w:rFonts w:ascii="Arial" w:cs="Arial" w:eastAsia="Arial" w:hAnsi="Arial"/>
          <w:sz w:val="17"/>
          <w:szCs w:val="17"/>
          <w:color w:val="auto"/>
        </w:rPr>
        <w:t>Our Patoka Terminal has 6 million barrels of storage capacity and includes an associated manifold and header system at the Patoka</w:t>
      </w:r>
      <w:r>
        <w:rPr>
          <w:rFonts w:ascii="Arial" w:cs="Arial" w:eastAsia="Arial" w:hAnsi="Arial"/>
          <w:sz w:val="17"/>
          <w:szCs w:val="17"/>
          <w:i w:val="1"/>
          <w:iCs w:val="1"/>
          <w:color w:val="auto"/>
        </w:rPr>
        <w:t xml:space="preserve"> </w:t>
      </w:r>
      <w:r>
        <w:rPr>
          <w:rFonts w:ascii="Arial" w:cs="Arial" w:eastAsia="Arial" w:hAnsi="Arial"/>
          <w:sz w:val="17"/>
          <w:szCs w:val="17"/>
          <w:color w:val="auto"/>
        </w:rPr>
        <w:t>Interchange located in southern Illinois. Our terminal has access to all major pipelines and terminals at the Patoka Interchange. Patoka is a growing regional hub with access to domestic and foreign crude oil for certain volumes moving north on the Capline Pipeline as well as Canadian barrels moving south. In 2017, we expect to add approximately 0.5 million barrels of storage capacity to accommodate future pipeline connectivity.</w:t>
      </w:r>
    </w:p>
    <w:p>
      <w:pPr>
        <w:spacing w:after="0" w:line="17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St. James Terminal. </w:t>
      </w:r>
      <w:r>
        <w:rPr>
          <w:rFonts w:ascii="Arial" w:cs="Arial" w:eastAsia="Arial" w:hAnsi="Arial"/>
          <w:sz w:val="16"/>
          <w:szCs w:val="16"/>
          <w:color w:val="auto"/>
        </w:rPr>
        <w:t>We have 13 million barrels of crude oil storage capacity at the St. James crude oil interchange in Louisiana, which is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most liquid crude oil interchanges in the United States. The 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load, tankers and barges and is also connected to our rail unloading facility. See “Rail Facilities” below for further discussion. In 2016, we added approximately 2.2 million barrels of storage capacity to the St. James terminal, which included connections to the rail unloading facility, marine dock and operational pipelines. In 2017, we expect to add approximately 0.4 million barrels of storage capacity.</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We have 5 million barrels of storage for crude oil and refined products at our Yorktown facility located in Virginia,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 million barrels of capacity for which we hold lease options (all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w:t>
      </w:r>
    </w:p>
    <w:p>
      <w:pPr>
        <w:spacing w:after="0" w:line="18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i w:val="1"/>
          <w:iCs w:val="1"/>
          <w:color w:val="auto"/>
        </w:rPr>
        <w:t xml:space="preserve">Corpus Christi Terminal. </w:t>
      </w:r>
      <w:r>
        <w:rPr>
          <w:rFonts w:ascii="Arial" w:cs="Arial" w:eastAsia="Arial" w:hAnsi="Arial"/>
          <w:sz w:val="17"/>
          <w:szCs w:val="17"/>
          <w:color w:val="auto"/>
        </w:rPr>
        <w:t>We own a 50% interest in Eagle Ford Terminals, a joint venture with a subsidiary of Enterprise. Eagle Ford Terminals is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developing a terminal in Corpus Christi, Texas that, when completed, will be capable of loading ocean going vessels at a rate of 40,000 barrels per hour. Initial storage capacity of the terminal will be approximately 1 million barrels. The facility will have access to production from both the Eagle Ford and the Permian Basin through the Eagle Ford joint venture pipeline and is expected to be placed in service in 2018.</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3 million barrels of useable capacity,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facility’s primary assets include three salt-dome storage caverns, a 30-car rail track and six truck racks.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Empress Area. </w:t>
      </w:r>
      <w:r>
        <w:rPr>
          <w:rFonts w:ascii="Arial" w:cs="Arial" w:eastAsia="Arial" w:hAnsi="Arial"/>
          <w:sz w:val="17"/>
          <w:szCs w:val="17"/>
          <w:color w:val="auto"/>
        </w:rPr>
        <w:t>In August 2016, we acquired a network of seven NGL terminals (Fort Whyte, Moose Jaw, Rapid City, Stewart Valley, Dewdney,</w:t>
      </w:r>
      <w:r>
        <w:rPr>
          <w:rFonts w:ascii="Arial" w:cs="Arial" w:eastAsia="Arial" w:hAnsi="Arial"/>
          <w:sz w:val="17"/>
          <w:szCs w:val="17"/>
          <w:i w:val="1"/>
          <w:iCs w:val="1"/>
          <w:color w:val="auto"/>
        </w:rPr>
        <w:t xml:space="preserve"> </w:t>
      </w:r>
      <w:r>
        <w:rPr>
          <w:rFonts w:ascii="Arial" w:cs="Arial" w:eastAsia="Arial" w:hAnsi="Arial"/>
          <w:sz w:val="17"/>
          <w:szCs w:val="17"/>
          <w:color w:val="auto"/>
        </w:rPr>
        <w:t>Empress and Richardson) with an aggregate useable storage capacity of 5 million barrels. Our Dewdney terminal includes two loading and unloading truck spots, with a rate of 18 trucks per day, as well as rail access to two loading racks with capacity of 20 cars per day. The Richardson terminal is connected to our recently acquired PPTC Pipeline and includes two loading truck spots with a rate of 24 trucks per day. Our Stewart Valley, Moose Jaw and Rapid City propane terminals each have one truck loading rack. The Fort Whyte terminal is equipped with a truck terminal containing two loading spots capable of loading 40 trucks per day, and a rail loading terminal with loading capacity of 13 railcars per day.</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approximately 16 miles northeast of Edmonton, Alberta in one of the key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NGL hubs. The facility is a receipt, storage, fractionation and delivery facility for NGL and is connected to other major NGL plants and pipeline systems in the area. The facility’s primary assets include 22 storage caverns with approximately 8 million barrels in useable storage capacity. The facility includes assets operated by us and assets operated by a third-party. Our ownership in the various facility assets ranges from approximately 21% to 100%. See the section entitled “—NGL Fractionation and Isomerization Facilities” below for additional discussion of this facility.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2013, we began upgrading our Fort Saskatchewan storage capacity as part of a multi-phase expansion. The first phase of the expansion added 2.4 million barrels of new brine pond capacity and two new NGL storage caverns each with a capacity of 350,000 barrels; the first NGL cavern was completed in July 2016, and the second cavern in December 2016. We will convert approximately 3 million barrels of NGL mix storage to propane, butane and condensate storage by the end of the first quarter of 2017. The second phase of the project, which is expected to be completed in 2017, will see the development of 2.7 million barrels of new brine pond capacity and two new ethane caverns totaling 1.6 million barrels of capacity which are supported by long-term commitments from third parties.</w:t>
      </w:r>
    </w:p>
    <w:p>
      <w:pPr>
        <w:spacing w:after="0" w:line="19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Sarnia Area. </w:t>
      </w:r>
      <w:r>
        <w:rPr>
          <w:rFonts w:ascii="Arial" w:cs="Arial" w:eastAsia="Arial" w:hAnsi="Arial"/>
          <w:sz w:val="16"/>
          <w:szCs w:val="16"/>
          <w:color w:val="auto"/>
        </w:rPr>
        <w:t>Our Sarnia Area facilities consist of (i) our Sarnia facility, (ii) our Windsor storage terminal and (iii) our St. Clair terminal. The Sarnia</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is a large NGL fractionation, storage and shipping facility located on a 380-acre plant site in the Sarnia Chemical Valley. There are 36 multi-product railcar loading spots, 7 multi-product truck loading racks and a network of 14 pipelines providing product delivery capabilities to our Windsor and St. Clair terminal facilities, in addition to refineries, chemical plants and other pipeline systems in the area. The Sarnia facility has approximately 5 million barrels of useable storage capacity. In 2012, we initiated a brine disposal program to facilitate the removal of excess brine via truck from our Sarnia facility. The project increased useable NGL storage capacity at the facility by 1 million barrels in 2015, and further by approximately 1 million barrels in 2016.</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Windsor storage terminal in Windsor, Canada, is a pipeline hub and underground storage facility. The facility is served by three of our receipt/dispatch pipelines and rail and truck offloading. There are eight storage caverns on site with a useable capacity of approximately 3 million barrels. The terminal assets include 16 multi-product rail tank car loading spots and a propane truck loading rack.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one of our pipelines. On site are five storage caverns with useable capacity of approximately 2 million barrels and 28 multi-product rail tank car loading spots.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own three FERC regulated natural gas storage facilities located in the Gulf Coast and Midwest that are permitted for 149 Bcf of working gas capacity, and as of December 31, 2016, we had an aggregate working gas capacity of approximately 97 Bcf in service. Our facilities have aggregate permitted peak daily injection and withdrawal rates of 4.1 Bcf and 6.4 Bcf, respectively.</w:t>
      </w:r>
    </w:p>
    <w:p>
      <w:pPr>
        <w:spacing w:after="0" w:line="18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the Perryville Hub (located in North Louisiana), and the major market hubs of Chicago, Illinois and Dawn, Ontario. Our facilities have 22 direct interconnects with third party interstate pipelines, industrial facilities and gas fired power plants, serving markets in the Gulf Coast, Midwest, Mid-Atlantic, Northeast, and Southeast regions of the United States and the Southeastern portion of Canada.</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January 2017, we executed a definitive agreement to sell our Bluewater natural gas storage facility located in Michigan. We expect this transaction to close in the first half of 2017, subject to customary closing conditions.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6"/>
          <w:szCs w:val="16"/>
          <w:color w:val="auto"/>
        </w:rPr>
        <w:t>We own and/or operate four straddle plants and two field gas processing plants located in Western Canada. Through our August 2016 acquisition of the Empress straddle plant, we added 2.4 Bcf per day of gross NGL processing capacity with the ability to extract ethane and NGL liquids from TransCanada main lines. Cumulatively, our straddle plants have an aggregate net natural gas processing capacity of approximately 7.1 Bcf per day and a long-term liquids supply contract relating to a third-party owned straddle plant with gross processing capacity of approximately 2.5 Bcf per day. We also own and operate three natural gas processing plants located in Louisiana and Alabama with an aggregate natural gas processing capacity of approximately 0.3 Bcf per day.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Empress. </w:t>
      </w:r>
      <w:r>
        <w:rPr>
          <w:rFonts w:ascii="Arial" w:cs="Arial" w:eastAsia="Arial" w:hAnsi="Arial"/>
          <w:sz w:val="18"/>
          <w:szCs w:val="18"/>
          <w:color w:val="auto"/>
        </w:rPr>
        <w:t>In August 2016, we acquired the Empress fractionation facility, which is connected to and receives liquids from our Empress straddle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a fractionation capacity of approximately 28,000 barrels per day of propane, butane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condensate. The facility is capable of producing spec NGL products and connects to our recently acquired PPTC Pipeline network. See “Empress Area” under “NGL Storage Facilities” above for a description of the assets connected to the PPTC Pipeline.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Fort Saskatchewan. </w:t>
      </w:r>
      <w:r>
        <w:rPr>
          <w:rFonts w:ascii="Arial" w:cs="Arial" w:eastAsia="Arial" w:hAnsi="Arial"/>
          <w:sz w:val="16"/>
          <w:szCs w:val="16"/>
          <w:color w:val="auto"/>
        </w:rPr>
        <w:t>Our recently expanded Fort Saskatchewan fractionation facility has an inlet capacity of 85,000 barrels per day and produces</w:t>
      </w:r>
      <w:r>
        <w:rPr>
          <w:rFonts w:ascii="Arial" w:cs="Arial" w:eastAsia="Arial" w:hAnsi="Arial"/>
          <w:sz w:val="16"/>
          <w:szCs w:val="16"/>
          <w:i w:val="1"/>
          <w:iCs w:val="1"/>
          <w:color w:val="auto"/>
        </w:rPr>
        <w:t xml:space="preserve"> </w:t>
      </w:r>
      <w:r>
        <w:rPr>
          <w:rFonts w:ascii="Arial" w:cs="Arial" w:eastAsia="Arial" w:hAnsi="Arial"/>
          <w:sz w:val="16"/>
          <w:szCs w:val="16"/>
          <w:color w:val="auto"/>
        </w:rPr>
        <w:t>spec propane, butane, condensate and a C3/C4 mix, which is sent to our Sarnia facility for further fractionation. We are in the process of adding a merox sweetening unit that will increase our ability to handle a variety of feed streams providing more flexibility and flow assurance. This final stage of the expansion is expected to be completed in late 2017 and is supported by long-term commitments from third parties. Through our 21% ownership in the Keyera Fort Saskatchewan fractionation plant, we have additional fractionation capacity, net to our share, of approximately 17,000 barrels per day.</w:t>
      </w:r>
    </w:p>
    <w:p>
      <w:pPr>
        <w:spacing w:after="0" w:line="1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has a net useable capacity of 90,000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18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facility also includes an approximate 40-mile NGL pipeline system capable of delivering up to 20,000 barrels per day from California Resources Corporation’s Elk Hills Gas plant to our Shafter facility, equipped with storage capacity of 30,000 barrels and 10,000 barrels per day of rail capacity.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The facility is adjacent to our Gardendale terminal and rail facility and is connected to a third-party pipeline that delivers NGL to Mont Belvieu. The facility has a total processing capacity of 120,000 barrels per day and useable storage capacity of 160,000 barrels. Throughput at the Gardendale processing facility is supplied by long-term commitments from producers.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own crude oil and condensate rail loading terminals with a combined loading capacity of approximately 380,000 barrels per day. These facilities are located at or near Carr, Colorado; Tampa, Colorado; Gardendale, Texas; McCamey, Texas; Manitou, North Dakota; Van Hook, North Dakota; and Kerrobert, Saskatchewan.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own three crude oil rail unloading terminals that have a combined unloading capacity of approximately 350,000 barrels per day. Our terminal at St. James, Louisiana is connected to our rail unloading facility that has an unload capacity of 140,000 barrels per day. Our Yorktown, Virginia rail facility receives unit trains and has an unload capacity of approximately 140,000 barrels per day, and our Bakersfield, California rail facility receives unit trains and has permitted capacity to unload 70,000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In April 2016, we completed the Fort Saskatchewan rail terminal which consists of 20 rack spots capable of loading 60 cars per day of propane. We have initiated projects to add butane loading and condensate offloading capacity at the facility, which is expected to be in service in the third quarter of 2018.</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also own 26 operational NGL rail facilities strategically located near NGL storage, pipelines, gas production or propane distribution centers throughout the United States and Canada. Our NGL rail facilities currently have 335 railcar rack spots and 1,515 railcar storage spots, and we have the ability to switch our own railcars at six of these terminals.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exporters or other resellers;</w:t>
      </w:r>
    </w:p>
    <w:p>
      <w:pPr>
        <w:spacing w:after="0" w:line="117"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generally characterize a portion of our baseline segment results generated by our Supply and Logistics segment as fee equivalent. This portion of the segment results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results associated with a portion of the other activities we conduct in the Supply and Logistics segment is influenced by overall market structure and the degree of market volatility, as well as variable operating expenses. The majority of activities that are carried out within our Supply and Logistics segment are designed to produce stable baseline results in a variety of market conditions, while at the same time providing upside potential associated with opportunities inherent in volatile market conditions (including opportunities to benefit from fluctuating differentials). These activities utilize storage facilities at major interchange and terminalling locations and various hedging strategies. The tankage that is used to support our arbitrage activities positions us to capture margins in various market conditions. During a transitional market, however, our Supply and Logistics segment may not be able to fully recover its costs on certain transactions in order to capture incremental barrels into our overall value chain. See “—Impact of Commodity Price Volatility and Dynamic Market Conditions on Our Business Model” below for further discussion.</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2016, our Supply and Logistics segment also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 million barrels of crude oil and NGL linefill in pipelines owned by third parties and other long-term inventory;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820 trucks and 1,065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10,660 crude oil and NGL railcars.</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connection with its operations, our Supply and Logistics segment secures transportation and facilities services from our other two segments as well as third-party service providers under month-to-month and multi-year arrangements. Intersegment fees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tcPr>
          <w:p>
            <w:pPr>
              <w:jc w:val="right"/>
              <w:ind w:right="456"/>
              <w:spacing w:after="0"/>
              <w:rPr>
                <w:sz w:val="20"/>
                <w:szCs w:val="20"/>
                <w:color w:val="auto"/>
              </w:rPr>
            </w:pPr>
            <w:r>
              <w:rPr>
                <w:rFonts w:ascii="Arial" w:cs="Arial" w:eastAsia="Arial" w:hAnsi="Arial"/>
                <w:sz w:val="14"/>
                <w:szCs w:val="14"/>
                <w:b w:val="1"/>
                <w:bCs w:val="1"/>
                <w:color w:val="auto"/>
              </w:rPr>
              <w:t>Volumes</w:t>
            </w:r>
          </w:p>
        </w:tc>
      </w:t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(MBbls/d)</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NGL sales</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259</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r>
      <w:tr>
        <w:trPr>
          <w:trHeight w:val="257"/>
        </w:trPr>
        <w:tc>
          <w:tcPr>
            <w:tcW w:w="9820" w:type="dxa"/>
            <w:vAlign w:val="bottom"/>
          </w:tcPr>
          <w:p>
            <w:pPr>
              <w:ind w:left="180"/>
              <w:spacing w:after="0"/>
              <w:rPr>
                <w:sz w:val="20"/>
                <w:szCs w:val="20"/>
                <w:color w:val="auto"/>
              </w:rPr>
            </w:pPr>
            <w:r>
              <w:rPr>
                <w:rFonts w:ascii="Arial" w:cs="Arial" w:eastAsia="Arial" w:hAnsi="Arial"/>
                <w:sz w:val="18"/>
                <w:szCs w:val="18"/>
                <w:color w:val="auto"/>
              </w:rPr>
              <w:t>Supply and Logistics activities total</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1,160</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Crude Oil and NGL Purchases. </w:t>
      </w:r>
      <w:r>
        <w:rPr>
          <w:rFonts w:ascii="Arial" w:cs="Arial" w:eastAsia="Arial" w:hAnsi="Arial"/>
          <w:sz w:val="17"/>
          <w:szCs w:val="17"/>
          <w:color w:val="auto"/>
        </w:rPr>
        <w:t>We purchase crude oil and NGL from multiple producers under contracts and believe that we have established long-term, broad-based relationships with the crude oil and NGL producers in our areas of operations. Our crude oil contracts generally range in term from thirty-day evergreen to five years, with the majority ranging from thirty days to one year and a limited number of contracts with remaining terms extending up to nine years. We utilize our truck fleet, railcars and pipelines as well as leased railcars, third-party pipelines, trucks and barges to transport the crude oil to market. From time to time, we enter into various types of purchase and exchange transactions including fixed price purchase contracts, collars, financial swaps and crude oil and NGL-related futures contracts as hedging devices.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ensure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addition to purchasing crude oil from producers, we purchase both domestic and foreign crude oil in bulk at major hub locations, rail facilities and dock or load port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Crude Oil and NGL Sales. </w:t>
      </w:r>
      <w:r>
        <w:rPr>
          <w:rFonts w:ascii="Arial" w:cs="Arial" w:eastAsia="Arial" w:hAnsi="Arial"/>
          <w:sz w:val="18"/>
          <w:szCs w:val="18"/>
          <w:color w:val="auto"/>
        </w:rPr>
        <w:t>The activities involved in the supply, logistics and distribution of crude oil and NGL are complex and require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knowledge of crude oil and NGL sources and end markets, as well as a familiarity with a number of factors including individual refinery demand for specific grades of crude oil, area market price structures, location of customers, various modes and availability of transportation facilities to deliver crude oil and NGL to our customers.</w:t>
      </w:r>
    </w:p>
    <w:p>
      <w:pPr>
        <w:spacing w:after="0" w:line="18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sell our crude oil to major integrated oil companies, independent refiners, exporters and other resellers in various types of sale and exchange transactions. Our crude oil sales contracts generally range in term from thirty-day evergreen to five years, with the majority ranging from thirty days to one year. We sell NGL primarily to propane and refined product retailers, petrochemical companies and refiners, and limited volumes to other marketers. The majority of our NGL contracts generally span a term of one year. For contracts greater than one year, pricing mechanisms are put in place to ensure any cost escalations are accounted for as well as annual price negotiations occur to ensure both the buyer and seller remain at market based pricing.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 price delivery contracts, collars, financial swaps and crude oil and NGL-related futures contracts as hedging devices.</w:t>
      </w:r>
    </w:p>
    <w:p>
      <w:pPr>
        <w:spacing w:after="0" w:line="16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Natural Gas Purchase and Sales Activities. </w:t>
      </w:r>
      <w:r>
        <w:rPr>
          <w:rFonts w:ascii="Arial" w:cs="Arial" w:eastAsia="Arial" w:hAnsi="Arial"/>
          <w:sz w:val="18"/>
          <w:szCs w:val="18"/>
          <w:color w:val="auto"/>
        </w:rPr>
        <w:t>We also generate net revenue through the merchant storage activities of our natural gas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group, which captures short term market opportunities by utilizing a portion of our natural gas storage capacity and engaging in related commercial marketing activities. Our natural gas merchant storage activities generate revenue through the hedged purchase and sale of natural gas net of any storage-related costs incurred. We utilize physical natural gas storage at our facilities and derivatives to hedge expected margin from these activities. Through these transactions, we seek to maintain a position that is substantially balanced between purchases of natural gas on the one hand and sales or future delivery obligations on the other hand.</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NGL and natural gas for resale and require significant extensions of credit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When we sell crude oil, NGL and natural gas, we must determine the amount, if any, of the line of credit to be extended to any given customer. We manage our exposure to credit risk through credit analysis, credit approvals, credit limits, prepayment, letters of credit and monitoring procedures.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and natural gas, the risk of nonpayment and nonperformance by customers is a major consideration in our business. We believe our sales are made to creditworthy entities or entities with adequate credit support. Generally, sales of crude oil and natural gas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and natural gas supply and logistics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Crude oil, NGL and natural gas commodity prices have historically been very volatile. For example, since the mid-1980s, NYMEX West Texas Intermediate (“WTI”) crude oil benchmark prices have ranged from a low of approximately $10 per barrel during 1986 to a high of over $147 per barrel during 2008. During 2016, WTI crude oil prices traded within a range of approximately $26 to $54 per barrel. There is also volatility within the propane and butane markets as seen through the North American benchmark price located at Mont Belvieu, Texas. Specifically, propane prices have ranged from a low of approximately 40% of the WTI benchmark price for crude oil in 2016 to a high of approximately 81% of the WTI benchmark price for crude oil in 2000. Butane has seen a price range from a low of approximately 53% of the WTI benchmark price for crude oil in 2016 to a high of approximately 99% of the WTI benchmark price for crude oil in 2016.</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financial results from these activities have little correlation to absolute commodity prices. Relative contribution levels will vary from quarter-to-quarter due to seasonal and other similar factors, but we project that our fee-based Transportation and Facilities segments should comprise approximately 80% or greater of our aggregate base level segment results.</w:t>
      </w:r>
    </w:p>
    <w:p>
      <w:pPr>
        <w:spacing w:after="0" w:line="188"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Base level segment results from our supply and logistics activities is dependent on our ability to sell crude oil and NGL at prices in excess of our aggregate cost. Although segment results may be adversely affected during certain transitional periods as discussed further below, our crude oil and NGL supply, logistics and distribution operations are not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directly affected by the absolute level of prices, but are affected by overall levels of supply and demand for crude oil and NGL and relative fluctuations in market-related indices.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Beginning in the second half of 2014 to present, however, the market has experienced impacts from aggressive competition and overbuilt infrastructure in certain regions, which has caused supply and demand imbalances and price volatility. In some of the areas where we operate, there has been significantly increased competition for marginal or incremental volumes from shippers on third party pipelines who have committed to ship more production than they have and are purchasing barrels in the market for shipment on the applicable third party pipeline in satisfaction of their transportation commitments, often doing so at a loss because the loss on sale of the purchased crude oil will be less than the amount of the take-or-pay obligation on the pipeline. This type of activity has put downward pressure on volumes and margins across our three business segments. This transitioning crude oil market presents challenges to both us and the overall midstream industry, and while we believe our integrated business model and diversification of our asset base among varying regions and demand-driven and supply-driven markets gives us competitive advantages, we may see a lower level of cash flow than we would have otherwise experienced. In addition, increased competition and compressed differentials may drive lower volumes and lower unit margins in parts of our business, particularly our Supply and Logistics segment. Also, during such transitional markets, our Supply and Logistics segment may not be able to fully recover its costs on certain transactions in order to capture incremental barrels into our overall value chain creating the opportunity to provide profitability at the company level.</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While recent market conditions have been challenging, we believe the complementary, integrated nature of our business activities and diversification of our asset base among varying regions and demand-driven and supply-driven markets generally provides us with the opportunity to generate a base level of cash flow in a variety of market scenarios. In addition to providing the opportunity to generate a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8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combination of fee-based cash flow from our Transportation and Facilities segments, complemented by a number of diverse, flexible and generally counter-balanced sources of cash flow within our Supply and Logistics segment is intended to provide us with the opportunity to generate a base level of cash flow and provide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During certain transitional periods, such as this extended period of lower crude oil prices, the ability to generate above base line performance is challenging, and taking into account the over-capacity of midstream assets that currently exists in most crude oil producing regions, generating even baseline level performance will be challenging. See “Global Petroleum Market Overview ” above for additional discussion regarding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 management policies and procedures are designed to monitor NYMEX, ICE and over the counter positions, as well as physical volumes, grades, locations, delivery schedules and storage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19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18%, 17% and 17% of our revenues for the years ended December 31, 2016, 2015 and 2014, respectively. ExxonMobil Corporation and its subsidiaries accounted for 14%, 13% and 15% of our revenues for the years ended December 31, 2016, 2015 and 2014, respectively. Phillips 66 Company and its subsidiaries accounted for 11% of our revenues for the year ended December 31, 2016. No other customers accounted for 10% or more of our revenues during any of the three years ended December 31, 2016.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14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Competition among pipelines is based primarily on transportation charges, access to producing areas and supply regions and demand for crude oil and NGL by end users. We believe that high capital requirements, environmental considerations and the difficulty in acquiring rights-of-way and related permits, together with the fact that many of the producing basins in the United States and Canada currently have excess take-away capacity (whether by pipeline or rail), generally make it less likely that new competing pipeline systems comparable in size and scope to our larger pipeline systems (and excluding those already publicly announced to be under development or construction) will limit the number of new pipeline projects over the next few years. However, there are currently third-party owned pipelines or owners with joint venture pipelines with excess capacity in the vicinity of our operations that expose us to significant competition based on the relatively low cost of moving an incremental barrel of crude oil or NGL. In the current environment, such competition for marginal or incremental volumes has been exacerbated in some areas by shippers on third party pipelines who have committed to ship more production than they own or have secured under contract and are purchasing barrels in the market and shipping them on the applicable third party pipeline in satisfaction of their transportation commitment. This type of activity reduces the pool of incremental barrels that would otherwise be available for transport on our pipelines.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6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established a trading platform, brokers and marketers of widely varying sizes, financial resources and experience. Some of these competitors have capital resources greater than ours.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In all material respects, we believe that we are in substantial compliance with the various laws, rules and regulations that apply to our assets, operations and business activities; however, we can provide no assurances in that regard. See Item 1A. “Risk Factors—Risks Related to PAA’s Business—PAA’s operations are also subject to laws and regulations relating to protection of the environment and wildlife, operational safety, climate change and related matters that may expose it to significant costs and liabilities.”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$89 million in 2016, $107 million in 2015 and $107 million in 2014. Based on currently available information, our preliminary estimate for 2017 is that we will incur approximately $95 million in capital expenditures and approximately $35 million in operational expenditures associated with our required pipeline integrity management program.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for such activities were approximately $48 million in 2016, $33 million in 2015 and $21 million in 2014, and our preliminary estimate for 2017 is that we will incur approximately $50 million of such costs.</w:t>
      </w:r>
    </w:p>
    <w:p>
      <w:pPr>
        <w:spacing w:after="0" w:line="183"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In 2012, the Pipeline Safety, Regulatory Certainty, and Job Creation Act of 2011 (the “2011 Act”) became effective. Under the 2011 Act, maximum civil penalties for certain violations have been increased from $100,000 to $200,000 per violation per day, and from a total cap of $1 million to $2 million. In addition, the 2011 Act reauthorized the federal pipeline safety programs of PHMSA through September 30, 2015, and directs the Secretary of Transportation to undertake a number of reviews, studies and reports, some of which may result in additional natural gas and hazardous liquids pipeline safety rulemaking. A number of the provisions of the 2011 Act have the potential to cause owners and operators of pipeline facilities to incur significant capital expenditures and/or operating costs.</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Securing America’s Future Energy: Protecting Infrastructure of Pipelines and Enhancing Safety Act (“SAFE PIPES Act”) was signed into law on June 22, 2016. This bill imposes a number of requirements on the industry and PHMSA, but the key provisions include: (i) reauthorization of PHMSA through fiscal year 2019, (ii) requirements for reports to Congress on the status of rulemaking efforts and certain specific information gathering efforts, (iii) a requirement that PHMSA initiate new rulemaking for underground natural gas storage facilities, (iv) a requirement to convene a work group on the development of a voluntary information sharing program; and (v) the granting of authority to the DOT to issue industry-wide emergency orders under certain circumstances.</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pending rule-making efforts that are required by the SAFE PIPES Act, and that could materially affect the operation of pipeline operators, include: (i) expansion of integrity management programs beyond high-consequence areas, (ii) additional regulation of pipeline leak detection systems and (iii) the use of shut-off valves and excess flow valves in certain applications. We will monitor the rule-making resulting from the SAFE PIPES Act, as well as the reports PHMSA is obligated to provide to Congress to better understand the potential impact to our operations. At this time we cannot predict the full impact to our operations or the potential additional cost of compliance.</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 October 2015, PHMSA published a Notice of Proposed Rulemaking (“NPRM”) in the Federal Register proposing to make changes to the hazardous liquid pipeline safety regulations. PHMSA is proposing to make the following changes to the regulations:</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 reporting requirements to all hazardous liquid gravity and gathering lines;</w:t>
      </w:r>
    </w:p>
    <w:p>
      <w:pPr>
        <w:spacing w:after="0" w:line="117"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inspections of pipelines in areas affected by extreme weather, natural disasters, and other similar events, and periodic inline integrity assessments of pipelines that are located outside of high consequence areas of at least once every ten years;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leak detection systems on hazardous liquid pipelines in all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Modify the provisions for making pipeline repairs;</w:t>
      </w:r>
    </w:p>
    <w:p>
      <w:pPr>
        <w:spacing w:after="0" w:line="117"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that all pipelines subject to the integrity management requirements be capable of accommodating inline inspection tools within 20 years;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Clarifications to improve certainty and compliance to certain existing regulations.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PHMSA announced the regulatory text of the final rule on January 13, 2017; however, the complete text was not published in the Federal Register prior to the regulatory freeze put in place by the incoming administration on January 24, 2017. The regulatory freeze was instituted to allow the incoming administration the opportunity to review all pending rules.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rule will go into effect six months after publication in the Federal Register. We do not currently believe this rule will have a significant adverse financial impact on our operations.</w:t>
      </w:r>
    </w:p>
    <w:p>
      <w:pPr>
        <w:spacing w:after="0" w:line="3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interstate pipelines. In practice, states vary in their authority and capacity to address pipeline safety.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California Governor signed into law the following three bills on October 8, 2015 related to pipeline safety:</w:t>
      </w:r>
    </w:p>
    <w:p>
      <w:pPr>
        <w:spacing w:after="0" w:line="225" w:lineRule="exact"/>
        <w:rPr>
          <w:sz w:val="20"/>
          <w:szCs w:val="20"/>
          <w:color w:val="auto"/>
        </w:rPr>
      </w:pPr>
    </w:p>
    <w:p>
      <w:pPr>
        <w:ind w:left="980" w:right="2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Oil Spill Response Bill allows volunteer cleanup crews to be paid as contractors, requires oil skimmers to be placed along the coastline at all times, and prohibits the use of dispersants until the EPA issues rules on dispersant safety.</w:t>
      </w:r>
    </w:p>
    <w:p>
      <w:pPr>
        <w:spacing w:after="0" w:line="62" w:lineRule="exact"/>
        <w:rPr>
          <w:rFonts w:ascii="Arial" w:cs="Arial" w:eastAsia="Arial" w:hAnsi="Arial"/>
          <w:sz w:val="18"/>
          <w:szCs w:val="18"/>
          <w:color w:val="auto"/>
        </w:rPr>
      </w:pPr>
    </w:p>
    <w:p>
      <w:pPr>
        <w:ind w:left="980" w:right="14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Pipeline Safety: Inspections Bill (SB 295) mandates annual pipeline inspections commencing January 1, 2017, with the State Fire Marshal responsible for annually inspecting all intrastate pipelines and operators of intrastate pipelines under the jurisdiction of the State Fire Marshal.</w:t>
      </w:r>
    </w:p>
    <w:p>
      <w:pPr>
        <w:spacing w:after="0" w:line="15" w:lineRule="exact"/>
        <w:rPr>
          <w:rFonts w:ascii="Arial" w:cs="Arial" w:eastAsia="Arial" w:hAnsi="Arial"/>
          <w:sz w:val="16"/>
          <w:szCs w:val="16"/>
          <w:color w:val="auto"/>
        </w:rPr>
      </w:pPr>
    </w:p>
    <w:p>
      <w:pPr>
        <w:ind w:left="980" w:right="2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Oil Spill Response: Environmentally and Ecologically Sensitive Areas Bill (AB 864) requires automatic shut-offs for pipelines located in environmentally sensitive areas.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SB 295 rulemaking efforts were completed in 2016 and the annual pipeline inspection requirements commence in 2017. Efforts to draft and implement regulations to adopt the provisions of AB 864 continue and are expected to be finalized by July 2017. We cannot currently predict the impact and costs of these new laws, and any associated regulations, on our operations.</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$29 million, $33 million and $32 million in 2016, 2015 and 2014, respectively. For 2017, we have budgeted approximately $40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Canada, the NEB and provincial agencies such as the Alberta Energy Regulator (“AER”) and the Saskatchewan Ministry of Economy regulate the safety and integrity management of pipelines and storage tanks used for hydrocarbon transmission. We have incurred and will continue to incur costs related to such regulatory requirements.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Pipeline Safety Act, SC 2015, c. 21 (the “Pipeline Safety Act” or the “Act”) came into force in June 2016, amending the National Energy Board Act and the Canada Oil and Gas Operations Act in order to strengthen the safety and security of pipelines regulated under those acts. It reinforces the “polluter pays” principle, such that operators of pipelines are liable for costs and damages for all unintended or uncontrolled releases of oil, gas, or other substances. The Act introduces absolute liability for costs and damages up to $1 billion from an uncontrolled release of oil, gas or other commodity from a major pipeline (i.e. those with capacity over 250,000 barrels per day). Additionally, operators will be required to maintain the financial resources necessary to meet the applicable absolute liability obligations imposed under the Act. Finally, the Act imposes requirements with respect to abandoned pipelines, including an obligation to maintain adequate funds to pay for abandonment costs. The total transport capacity of our pipelines regulated by the NEB exceeds 250,000 barrels per day so financial instruments in the form of lines of credit and insurance verification were filed with the NEB. The Pipeline Safety Act also amended the pipeline damage prevention provisions of the National Energy Board Act and regulations for pipeline damage prevention came in effect June 2016. Potential operational requirements and costs may be incurred around depth of cover information and mitigation with landowners, crossings and encroachments, turnaround timelines for responding to dig requests near pipelines and land use monitoring for adjacent lands to the pipeline right-of-way. The cost impact of the Pipeline Safety Act on us is not expected to be 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required activities, our Canadian integrity management program includes several voluntary, multi-year programs designed to prevent incidents, such as upgrades to our operating and maintenance programs and systems and upgrades to our pipeline watercourse crossing integrity program. Between such required and elective activities, we spent approximately $56 million, $66 million and $66 million in 2016, 2015 and 2014, respectively. Our preliminary estimate for 2017 is approximately $75 million.</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124" w:lineRule="exact"/>
        <w:rPr>
          <w:sz w:val="20"/>
          <w:szCs w:val="20"/>
          <w:color w:val="auto"/>
        </w:rPr>
      </w:pPr>
    </w:p>
    <w:p>
      <w:pPr>
        <w:jc w:val="center"/>
        <w:ind w:right="898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 under RCRA may be revisited and our wastes subject to more rigorous and costly disposal requirements, resulting in additional capital expenditures or operating expenses. For example, in December 2016, the EPA and environmental groups entered into a consent decree to address the EPA’s alleged failure to timely assess its RCRA Subtitle D criteria regulations exempting certain exploration and production related oil and gas wastes from RCRA regulation as hazardous wastes under RCRA. The consent decree requires the EPA to propose a rulemaking no later than March 15, 2019 for revision of certain Subtitle D criteria regulations pertaining to oil and gas wastes or to sign a determination that revision of the regulations is not necessary.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are subject to the EPA’s Risk Management Plan regulations at certain facilities. These regulations are intended to work with OSHA’s PSM regulations (see “—Occupational Safety and Health” above)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March 2016, the EPA proposed revisions to the Risk Management Plan (“RMP”) rules, including requirements for the use of third party compliance audits, root cause analyses for facilities that experience releases, process hazard analyses and enhanced information-sharing provisions. OSHA has announced that it is considering similar revisions to the PSM rule, but, to date, has not issued an NPRM.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currently own or lease, and in the past have owned or leased, properties where hazardous liquids, including hydrocarbons, are or have been handled. These properties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United States operations are subject to the United States Clean Air Act (“Clean Air Act”), comparable state laws and associated state and federal regulations. In October 2015, the EPA promulgated a revised national ambient air standard for ozone. While full implementation of the standard may take a number of years, the revised standard could make air permits for sources of volatile organic compounds (such as crude oil tank farms) more difficult to obtain in some areas. In addition, in June 2016, the EPA finalized rules regarding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control requirements.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Canadian operations are subject to federal and provincial air emission regulations. New Canadian standards for air quality and industrial air emissions were implemented in May 2013. The new standards provide more stringent objectives for outdoor air quality, including a long term (annual) target for fine particulate matter. Under these laws, permits may be required before construction can commence on a new or modified source of potentially significant air emissions, and operating permits may be required for sources already constructed.</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a result of the changing requirements in both Canada and the United States such as those mentioned above,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compliance obligations will not have a material adverse effect 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EPA has adopted rules for the reporting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sufficient quantities of finished fuel products into the United States to be required to report that activity as well. We also continue to monitor GHG emissions for our facilities and activities.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EPA has also promulgated regulations establishing Title V and Prevention of Significant Deterioration permitting requirements for certain large sources of GHGs. Fewer than ten of our existing facilities are potential major sources of GHG subject to these permitting requirements. We may be required to install “best available control technology” (“BACT”) to limit emissions of GHGs from any new or significantly modified facilities that we may seek to construct in the future if they emit quantities of GHGs that trigger the requirements of these regulations. For facilities such as ours, BACT will normally take the form of enhanced energy efficiency measures rather than post-combustion GHG capture requirements. We do not anticipate that the imposition of enhanced energy efficiency requirements will have a material adverse effect on the cost of our operations.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June 2016, the EPA finalized regulations affecting new, modified and reconstructed sources of air emissions in the oil and natural gas sector that require significant reductions in fugitive methane emissions from certain upstream and midstream oil and gas facilities. These new rules also require operators to implement fugitive emission leak detection and repair requirements for compressor stations. We do not expect the cost of complying with these rules to have a material effect on the cost of our operations.</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California has implemented a GHG cap-and-trade program, authorized under Assembly Bill 32 (“AB32”). Through 2014, California’s cap-and-trade program has only applied to large industrial facilities. The California Air Resources Board has published a list of facilities that are subject to this program. At this time, the list only includes one of our facilities, the Lone Star Gas Liquids facility in Shafter, California because it is a significant combustion source. As a result, compliance instruments for GHG emissions have been purchased since 2013.</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January 1, 2015, the AB32 regulations for the first time covered finished fuel providers and importers. California finished fuels providers (refiners and importers) were required to purchase GHG emission credits for finished fuel sold in or imported into California. Plains Marketing was included in this portion of the regulation due to propane imports and completed its first year of compliance in 2016. The rules implementing the AB32 program were finalized in December 2011. The compliance requirements of the GHG cap-and-trade program through 2020 are being phased in. The California Air Resources Board is currently developing a scoping plan for AB32 compliance obligations after the year 2020. We will be reporting associated GHG emissions for finished fuels imported and exported across California borders and will be subject to the cap and trade program in 2016.</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Executive Order B-30-15 was signed by California’s Governor in mid-year 2015. This Executive Order requires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 This may increase the number of PAA facilities subject to this program.</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refinery and producer customers could also be negatively impacted by current GHG legislation or new regulations resulting in increased operating or compliance costs. Some of the proposed federal and state “cap-and-trade” legislation would require businesses that emit GHGs to buy emission credits from government, other businesses, or through an auction process. In addition, refiners could be required to purchase emission credits for GHG emissions resulting from their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178" w:lineRule="exact"/>
        <w:rPr>
          <w:sz w:val="20"/>
          <w:szCs w:val="20"/>
          <w:color w:val="auto"/>
        </w:rPr>
      </w:pPr>
    </w:p>
    <w:p>
      <w:pPr>
        <w:ind w:right="40" w:firstLine="648"/>
        <w:spacing w:after="0" w:line="232" w:lineRule="auto"/>
        <w:rPr>
          <w:sz w:val="20"/>
          <w:szCs w:val="20"/>
          <w:color w:val="auto"/>
        </w:rPr>
      </w:pPr>
      <w:r>
        <w:rPr>
          <w:rFonts w:ascii="Arial" w:cs="Arial" w:eastAsia="Arial" w:hAnsi="Arial"/>
          <w:sz w:val="18"/>
          <w:szCs w:val="18"/>
          <w:color w:val="auto"/>
        </w:rPr>
        <w:t>In December 2015, the Paris Agreement was signed at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This Agreement is likely to become a significant driver for future potential GHG reduction programs in the United States and Canada.</w:t>
      </w:r>
    </w:p>
    <w:p>
      <w:pPr>
        <w:spacing w:after="0" w:line="20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Federal Regulations. </w:t>
      </w:r>
      <w:r>
        <w:rPr>
          <w:rFonts w:ascii="Arial" w:cs="Arial" w:eastAsia="Arial" w:hAnsi="Arial"/>
          <w:sz w:val="17"/>
          <w:szCs w:val="17"/>
          <w:color w:val="auto"/>
        </w:rPr>
        <w:t>Along with 194 other countries, Canada is a signatory to the UNFCCC “Durban Platform” committing it to develop a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binding agreement to reduce GHG emissions by 2020. Since 2004, large emitters of GHG were required to report their emissions under the Canadian Greenhouse Gas Emissions Reporting Program. Three PMC facilities meet the current 50kt/y reporting threshold.</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federal Department of Environment and Climate Change is proposing to lower the reporting threshold for all facilities from 50kt/y to 10 kt/y. The enactment of this proposal would result in more PMC facilities being required to prepare annual reports of their emissions. The associated costs with this requirement would not be considered material.</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October 2016, the Government of Canada proposed a pan-Canadian approach to pricing carbon pollution requiring all Canadian provinces and territories to have carbon pricing in place by 2018. The provinces and territories will have flexibility in deciding how they implement carbon pricing either by placing a direct price on carbon pollution or adopting a cap-and-trade system. The price on carbon pollution will start at $10/tonne in 2018 and rise by $10 a year to reach $50/tonne in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Provincial Regulations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Ontario</w:t>
      </w:r>
      <w:r>
        <w:rPr>
          <w:rFonts w:ascii="Arial" w:cs="Arial" w:eastAsia="Arial" w:hAnsi="Arial"/>
          <w:sz w:val="18"/>
          <w:szCs w:val="18"/>
          <w:color w:val="auto"/>
        </w:rPr>
        <w:t>. In February 2015, the Ontario Ministry of Environment and Climate Change issued a discussion paper that identified carbon pricing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action necessary to reduce emissions of greenhouse gases. In April 2015, the Ontario government announced it would be implementing a GHG cap and trade program, which would be implemented through the Western Climate Initiative (WCI), which includes Quebec and California. Mandatory participants for the program will be responsible for their emissions starting on January 1, 2017.</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PMC’s facility at Sarnia is considered to be a mandatory participant in the program (threshold &gt;25,000 tonnes GHG emissions). At this early stage of the program, it is not possible to predict any material increases in compliance costs or additional operating restrictions.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i w:val="1"/>
          <w:iCs w:val="1"/>
          <w:color w:val="auto"/>
        </w:rPr>
        <w:t xml:space="preserve">Alberta. </w:t>
      </w:r>
      <w:r>
        <w:rPr>
          <w:rFonts w:ascii="Arial" w:cs="Arial" w:eastAsia="Arial" w:hAnsi="Arial"/>
          <w:sz w:val="17"/>
          <w:szCs w:val="17"/>
          <w:color w:val="auto"/>
        </w:rPr>
        <w:t>The Alberta Climate Change and Emissions Management Act provides a framework for managing GHG emissions by reducing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gas emissions to 50% of 1990 levels by December 31, 2020. The accompanying Specified Gas Emitters Regulation imposes GHG emissions limits on large emitters and requires reductions in GHG emissions intensity. Since the regulation came into effect, PMC has two facilities (Fort Saskatchewan Storage and Fractionation Facility and Empress VI) which currently do not meet the reduction obligation. As such, PMC has been required to submit compliance payments to the Climate Change Emissions Management Fund (the “CCEMC”). CCEMC will increase from $30 per tonne (from $20 in 2016) of CO</w:t>
      </w:r>
      <w:r>
        <w:rPr>
          <w:rFonts w:ascii="Arial" w:cs="Arial" w:eastAsia="Arial" w:hAnsi="Arial"/>
          <w:sz w:val="11"/>
          <w:szCs w:val="11"/>
          <w:color w:val="auto"/>
        </w:rPr>
        <w:t>2</w:t>
      </w:r>
      <w:r>
        <w:rPr>
          <w:rFonts w:ascii="Arial" w:cs="Arial" w:eastAsia="Arial" w:hAnsi="Arial"/>
          <w:sz w:val="17"/>
          <w:szCs w:val="17"/>
          <w:color w:val="auto"/>
        </w:rPr>
        <w:t xml:space="preserve"> over a facility’s budget in 2017, which will increase our operating costs at these two facilities.</w:t>
      </w:r>
    </w:p>
    <w:p>
      <w:pPr>
        <w:spacing w:after="0" w:line="17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May 24, 2016, the Government of Alberta introduced Bill 20: the Climate Leadership Implementation Act, which implements a carbon levy on Alberta businesses previously announced under the Plan. Subject to certain exemptions, the Act applies a carbon levy to all sales and imports of fuel. PMC has registered and received specific exemptions for its Alberta facilities until January 1, 2023. The combined effect of these Alberta climate change enactments is not expected to be material.</w:t>
      </w:r>
    </w:p>
    <w:p>
      <w:pPr>
        <w:spacing w:after="0" w:line="187"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i w:val="1"/>
          <w:iCs w:val="1"/>
          <w:color w:val="auto"/>
        </w:rPr>
        <w:t xml:space="preserve">Saskatchewan. </w:t>
      </w:r>
      <w:r>
        <w:rPr>
          <w:rFonts w:ascii="Arial" w:cs="Arial" w:eastAsia="Arial" w:hAnsi="Arial"/>
          <w:sz w:val="18"/>
          <w:szCs w:val="18"/>
          <w:color w:val="auto"/>
        </w:rPr>
        <w:t>The Management and Reduction of Greenhouse Gases Act received royal assent on May 20, 2010 and set 20% GHG emission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targets below 2006 levels by 2020, but no regulations to implement the targets have been passed by the provincial government to date. The provincial government continues discussions with the federal government on implementation.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Safety/Integrity Management” above and Note 17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federal and provincial laws also impose requirements relating to the prevention of oil releases and the remediation of areas affected by releases when they occur.</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404(e) authorizes the Corps to issue permits on a nationwide basis for categories of discharges that have no more than minimal individual or cumulative environmental effects. For over 35 years, the Corps has authorized construction, maintenance and repair of pipelines under a streamlined nationwide permit program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NWP program under the CWA. We cannot predict whether future lawsuits will be filed to contest the validity of NWP; however, in the event that a court wholly or partially strikes down the NWP program, which we believe to be unlikely, we could face significant delays and financial costs when seeking project approvals from the Corps.</w:t>
      </w:r>
    </w:p>
    <w:p>
      <w:pPr>
        <w:spacing w:after="0" w:line="18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May 2015, the EPA published a final rule that attempted to clarify federal jurisdiction under the CWA over waters of the United States, but a number of legal challenges to this rule are pending, and implementation of the rule has been stayed nationwide. To the extent the rule expands the scope of the CWA’s jurisdiction, we could face increased costs and delays with respect to obtaining permits for dredge and fill activities in wetland areas.</w:t>
      </w:r>
    </w:p>
    <w:p>
      <w:pPr>
        <w:spacing w:after="0" w:line="14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Corps completed their five-year review and update of the NWPs in 2016, publishing the final version of the revised NWPs in the Federal Register on January 6, 2017. The revised NWPs will be effective on March 19, 2017. Changes to NWP 12, which applies to linear projects such as pipelines, could impact both the time to obtain project authorization under NWP 12 and the cost to comply with the revised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2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FERC under the 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State Regulation in the United States. </w:t>
      </w:r>
      <w:r>
        <w:rPr>
          <w:rFonts w:ascii="Arial" w:cs="Arial" w:eastAsia="Arial" w:hAnsi="Arial"/>
          <w:sz w:val="18"/>
          <w:szCs w:val="18"/>
          <w:color w:val="auto"/>
        </w:rPr>
        <w:t>Our intrastate liquids pipeline transportation activities are subject to various state laws and regulations,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U.S. Energy Policy Act of 1992 and Subsequent Developments. </w:t>
      </w:r>
      <w:r>
        <w:rPr>
          <w:rFonts w:ascii="Arial" w:cs="Arial" w:eastAsia="Arial" w:hAnsi="Arial"/>
          <w:sz w:val="17"/>
          <w:szCs w:val="17"/>
          <w:color w:val="auto"/>
        </w:rPr>
        <w:t>In October 1992, Congress passed the Energy Policy Act of 1992 (“EPAct”),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2016, the annual index adjustment for the five year period ending June 30, 2021 will equal the producer price index for finished goods for the applicable year plus an adjustment factor of 1.23%.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Pipeline Rate Regulation in the United States</w:t>
      </w:r>
      <w:r>
        <w:rPr>
          <w:rFonts w:ascii="Arial" w:cs="Arial" w:eastAsia="Arial" w:hAnsi="Arial"/>
          <w:sz w:val="17"/>
          <w:szCs w:val="17"/>
          <w:color w:val="auto"/>
        </w:rPr>
        <w:t>. The FERC historically has not investigated rates of liquids pipelines on its own initiative when those</w:t>
      </w:r>
      <w:r>
        <w:rPr>
          <w:rFonts w:ascii="Arial" w:cs="Arial" w:eastAsia="Arial" w:hAnsi="Arial"/>
          <w:sz w:val="17"/>
          <w:szCs w:val="17"/>
          <w:i w:val="1"/>
          <w:iCs w:val="1"/>
          <w:color w:val="auto"/>
        </w:rPr>
        <w:t xml:space="preserve"> </w:t>
      </w:r>
      <w:r>
        <w:rPr>
          <w:rFonts w:ascii="Arial" w:cs="Arial" w:eastAsia="Arial" w:hAnsi="Arial"/>
          <w:sz w:val="17"/>
          <w:szCs w:val="17"/>
          <w:color w:val="auto"/>
        </w:rPr>
        <w:t>rates have not been the subject of a protest or complaint by a shipper. The majority of our Transportation segment profit in the United States is produced by rates that are either grandfathered or set by agreement with one or more shippers. FERC issued an Advance Notice of Proposed Rulemaking on October 20, 2016 that addressed issues related to FERC’s indexing methodology and liquids pipeline reporting practices. If implemented, the proposals in this rulemaking could affect the profitability of certain liquids pipelines. On December 15, 2016, FERC issued a Notice of Inquiry regarding certain matters related to FERC’s income tax allowance policy. Parties are currently submitting comments in response to this notice, and FERC could, after review of those comments, decide to propose changes to its current policy.</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trucking operations.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w:t>
      </w:r>
    </w:p>
    <w:p>
      <w:pPr>
        <w:spacing w:after="0" w:line="178"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On June 1, 2016, the Transportation of Dangerous Goods (“TDG”) Regulations were amended. The amendments to the TDG regulations concern volume thresholds for reporting flammable product releases. For many products transported by PMC, the volume threshold for reporting changed from 200 litres (52.8 gallons) to ‘any volume’ that could endanger public safety. While this change in legislation may result in an increase in the number of reportable releases, it is not expected to have a financial impact (penalties or remediation).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Occupational Safety and Health Administration, as well as other federal and state regulatory agencies and Canadian regulatory agencies for operations in Canada.</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May 2015, PHMSA adopted a final rule that, among other things, imposes a new tank car design standard, a phase out by as early as January 2018 for older DOT-111 tank cars that are not retrofitted, and a classification and testing program for unrefined petroleum based products, including crude oil. We expect our railcar fleet to be in compliance with such requirements. The rule also includes new operational requirements such as speed restrictions. In December 2015, Congress passed the Fixing America’s Transportation (“FAST”) Act which was subsequently signed by the President. This legislation clarified the parameters around the timeline and requirements for railcars hauling crude oil in the United States.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$1 million or triple the monetary gain to the person for each violation.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spacing w:after="0" w:line="18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$1,193,970 per day for each violation. FERC also has the authority to order disgorgement of profits from transactions deemed to violate the NGA and the EPAct 2005.</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December 2016, PHMSA issued an interim final rule (“IFR”) that establishes minimum federal standards for underground natural gas storage facilities. The IFR imposes new requirements on “downhole facilities,” including wells, wellbore tubing and casings at underground natural gas storage facilities. The IFR addresses construction, maintenance, risk management and integrity management procedures for these facilities and includes registration and reporting obligations. The IFR adopts and incorporates by reference the requirements and recommendations contained in American Petroleum Institute (“API”) Recommended Practice (“RP”) 1170 and 1171. Existing underground natural gas storage facilities must meet the appropriate requirements and recommendations of API 1170 and 1171 by January 18, 2018. While we believe that our facilities are currently in substantial conformance with API 1170 and 1171, a review is underway to ensure consistency.</w:t>
      </w:r>
    </w:p>
    <w:p>
      <w:pPr>
        <w:spacing w:after="0" w:line="189"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Since the terrorist attacks of September 11, 2001,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and may potentially have a material adverse effect on our financial conditions,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real property holdings generally consist of: (i) parcels of land that we own in fee, (ii) surface leases and underground storage leases and</w:t>
      </w:r>
    </w:p>
    <w:p>
      <w:pPr>
        <w:spacing w:after="0" w:line="23" w:lineRule="exact"/>
        <w:rPr>
          <w:sz w:val="20"/>
          <w:szCs w:val="20"/>
          <w:color w:val="auto"/>
        </w:rPr>
      </w:pPr>
    </w:p>
    <w:p>
      <w:pPr>
        <w:ind w:firstLine="8"/>
        <w:spacing w:after="0" w:line="288" w:lineRule="auto"/>
        <w:tabs>
          <w:tab w:leader="none" w:pos="3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customary liens, restrictions or encumbrances. Except for challenges that we do not regard as material relative to our overall operations,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Through GP LLC or its affiliates, we employed approximately 5,100 employees at December 31, 2016. None of these employees were subject to a collective bargaining agreement, except for eight employees covered by an agreement scheduled for renegotiation in September 2019; 61 employees covered by a separate agreement scheduled for renegotiation in January 2019; and 23 employees covered by a separate agreement scheduled for renegotiation in January 2019. Also, a first collective agreement is being negotiated for 61 employees who recently unionized in Canada. We consider employee relations to be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The following is a summary of material U.S. federal income tax consequences, tax considerations,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laws. The tax consequences of ownership of Class A shares depends in part on the owner’s individual tax circumstances. It is the responsibility of each shareholder, either individually or through a tax advisor, to investigate the legal and tax consequences, under the laws of pertinent U.S. federal, states and localities,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Status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K-1s will be issued with respect to our Class A shares. Instead holders of Class A shares will receive a Form 1099 from us with respect to distributions received on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discussion in this section is addressed to holders of our Class A shares who are U.S. holders for U.S. federal income tax purposes. A U.S. holder for purposes of this discussion is a beneficial owner of our Class A shares that, for U.S. federal income tax purposes, is:</w:t>
      </w:r>
    </w:p>
    <w:p>
      <w:pPr>
        <w:spacing w:after="0" w:line="14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trust (i) the administration of which is subjected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below. Non-corporate holders that receive distributions on our Class A shares that are treated as dividends for U.S. federal income tax purposes generally will be subject to U.S. federal income tax at a reduced rate (currently at a maximum tax rate of 20%) provided certain holding period requirements are met.</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1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through 2019,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would be unable to utilize the corporate dividends-received deduction with respect to such distribution.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5"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W-8BEN or IRS Form W-8BEN-E (or other applicable or successor form) certifying qualification for the reduced rate.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the discussion below under “-Additional Withholding Requirements under FATCA,” a non-U.S. holder generally will not be subject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on any gain realized upon the sale or other disposition of our Class A shares unless:</w:t>
      </w:r>
    </w:p>
    <w:p>
      <w:pPr>
        <w:spacing w:after="0" w:line="211" w:lineRule="exact"/>
        <w:rPr>
          <w:sz w:val="20"/>
          <w:szCs w:val="20"/>
          <w:color w:val="auto"/>
        </w:rPr>
      </w:pPr>
    </w:p>
    <w:p>
      <w:pPr>
        <w:ind w:left="980" w:right="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4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non-U.S. holder described in the first bullet point above will be subject to tax at a rate of 30% (or such lower rate as may be specified by an applicable income tax treaty) on the amount of such gain, which generally may be offset by U.S. source capital losses.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or such lower rate as may be specified by an applicable income tax treaty).</w:t>
      </w:r>
    </w:p>
    <w:p>
      <w:pPr>
        <w:spacing w:after="0" w:line="173" w:lineRule="exact"/>
        <w:rPr>
          <w:sz w:val="20"/>
          <w:szCs w:val="20"/>
          <w:color w:val="auto"/>
        </w:rPr>
      </w:pPr>
    </w:p>
    <w:p>
      <w:pPr>
        <w:ind w:right="60" w:firstLine="716"/>
        <w:spacing w:after="0" w:line="289"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recognized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67" w:lineRule="exact"/>
        <w:rPr>
          <w:sz w:val="20"/>
          <w:szCs w:val="20"/>
          <w:color w:val="auto"/>
        </w:rPr>
      </w:pPr>
    </w:p>
    <w:p>
      <w:pPr>
        <w:ind w:right="260" w:firstLine="716"/>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Class A shares beneficially owned or treated as owned by an individual who is not a citizen or resident of the United States (as defined for U.S. federal estate tax purposes) at the time of death generally will be includable in the decedent’s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gross estate for U.S. federal estate tax purposes, unless an applicable estate tax treaty provides otherwise, and therefore may be subject to U.S. federal estate tax.</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w:t>
      </w:r>
    </w:p>
    <w:p>
      <w:pPr>
        <w:jc w:val="both"/>
        <w:ind w:right="140"/>
        <w:spacing w:after="0" w:line="302" w:lineRule="auto"/>
        <w:rPr>
          <w:sz w:val="20"/>
          <w:szCs w:val="20"/>
          <w:color w:val="auto"/>
        </w:rPr>
      </w:pPr>
      <w:r>
        <w:rPr>
          <w:rFonts w:ascii="Arial" w:cs="Arial" w:eastAsia="Arial" w:hAnsi="Arial"/>
          <w:sz w:val="16"/>
          <w:szCs w:val="16"/>
          <w:color w:val="auto"/>
        </w:rPr>
        <w:t>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5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certain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6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Payments subject to withholding tax under this law generally include dividends paid on Class A shares after June 30, 2014, and gross proceeds from sales or redemptions of such Class A shares after December 31, 2016. Non-U.S. holders are encouraged to consult their tax advisors regarding the possible implications of this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We make available, free of charge on our Internet website at </w:t>
      </w:r>
      <w:r>
        <w:rPr>
          <w:rFonts w:ascii="Arial" w:cs="Arial" w:eastAsia="Arial" w:hAnsi="Arial"/>
          <w:sz w:val="16"/>
          <w:szCs w:val="16"/>
          <w:i w:val="1"/>
          <w:iCs w:val="1"/>
          <w:color w:val="auto"/>
        </w:rPr>
        <w:t>ir.pagp.com</w:t>
      </w:r>
      <w:r>
        <w:rPr>
          <w:rFonts w:ascii="Arial" w:cs="Arial" w:eastAsia="Arial" w:hAnsi="Arial"/>
          <w:sz w:val="16"/>
          <w:szCs w:val="16"/>
          <w:color w:val="auto"/>
        </w:rPr>
        <w:t>,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 The public may read and copy any materials filed by PAGP with the SEC at the SEC's Public Reference Room at 100 F Street, NE, Room 1580, Washington, DC 20549. The public may obtain information on the operation of the Public Reference Room by calling the SEC at 1-800-SEC-0330. The SEC maintains an Internet site that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contains reports, proxy and information statements, and other information regarding issuers that file electronically with the SEC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source of our earnings and cash flow currently consist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and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Furthermore, AAP’s ability to distribute cash to us and our ability to distribute cash received from AAP to our Class A shareholders is limited by a number of factors, including:</w:t>
      </w:r>
    </w:p>
    <w:p>
      <w:pPr>
        <w:spacing w:after="0" w:line="6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payment of any income taxes;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distributions contained in PAA’s credit facilities and any future debt agreements entered into by AAP, PAA or us; and</w:t>
      </w:r>
    </w:p>
    <w:p>
      <w:pPr>
        <w:spacing w:after="0" w:line="117"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material increase in amounts paid or reserved with respect to any of these factors could restrict our ability to pay quarterly distributions to our Class A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distributions AAP is entitled to receive may fluctuate, which may reduce cash distributions to our Class A shareholders.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December 31, 2016, we directly and indirectly owned an approximate 42% limited partner interest in AAP, which owned 241,672,409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cash that we and PAA distribute each quarter may limit our ability to grow.</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Because we distribute all of our available cash, our growth may not be as fast as the growth of businesses that reinvest their available cash to expand ongoing operations. In fact, because currently our cash flow is generated solely from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distributions we receive from AAP, which are derived from AAP’s partnership interests in PAA, our growth will initially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Restrictions in PAA’s credit facilities could limit AAP’s ability to make distributions to us, thereby limiting our ability to make distributions to our Class A shareholders.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PAA’s credit facilities contain various operating and financial restrictions and covenants. PAA’s ability to comply with these restrictions and covenants may be affected by events beyond their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shareholders do not elect or have the power to remove our general partner. The Class B shareholders own a sufficient number of shares to allow them to prevent the removal of our general partner.</w:t>
      </w:r>
    </w:p>
    <w:p>
      <w:pPr>
        <w:spacing w:after="0" w:line="170"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they have little ability to remove our general partner. Our general partner may only be removed by vote of the holders of at least 66 </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shares (including both Class A and Class B shares). At December 31, 2016, the Legacy Owners owned approximately 58% of our outstanding Class A and Class B shares. This ownership level enables the Legacy Owners to prevent our general partner’s removal.</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a result of these provisions, the price at which our shares trade may be lower because of the absence or reduction of a takeover premium in the trading price.</w:t>
      </w:r>
    </w:p>
    <w:p>
      <w:pPr>
        <w:spacing w:after="0" w:line="17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8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shareholder’s proportionate ownership interest in us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Class A share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Class A share may be diminished;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the Class A shares may decline.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PAA’s unitholders remove PAA GP, AAP may be required to sell or exchange its indirect general partner interest and we would lose the ability to manage and control PAA.</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currently manage our investment in PAA through our membership interest in GP LLC, the general partner of AAP. PAA’s partnership agreement, however, gives unitholders of PAA the right to remove PAA GP upon the affirmative vote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holders of 66 </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will receive cash in exchange for its general partner interest. If PAA GP withdraws in circumstances other than those described in the preceding sentence and a successor general partner is elected in accordance with PAA’s partnership agreement, the successor general partner will purchase the general partner interest for its fair market value. If PAA GP’s interests are not purchased in accordance with the foregoing theory, they would be converted into common units based on an independent valuation. In each case, PAA GP would also lose its ability to manage PAA.</w:t>
      </w:r>
    </w:p>
    <w:p>
      <w:pPr>
        <w:spacing w:after="0" w:line="16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may not have limited liability if a court finds that shareholder action constitutes control of our business.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in the future we cease to manage and control PAA, we may be deemed to be an investment company under the Investment Company Act of 1940.</w:t>
      </w:r>
    </w:p>
    <w:p>
      <w:pPr>
        <w:spacing w:after="0" w:line="24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rights of shareholders owning 20% or more of our shares.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shares may be volatile, and holders of our Class A shares could lose a significant portion of their investments.</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79"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PAA’s operating and financial performance and prospects and the trading price of its common units;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PAA’s quarterly distributions and our quarterly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distributable cash flow per Class A share, net income and revenues;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revenue or earnings and distribution estimates or publication of research reports by analysts;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speculation by the press or investment community;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Class A shares by our shareholders;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exercise by the Legacy Owners of their exchange rights with respect to any retained AAP units;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PAA or its competitors of significant contracts, acquisitions, strategic partnerships, joint ventures, securities offerings or capital commitments;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market conditions, including conditions in financial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changes in tax laws or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related to PAA’s performance;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cause the market price of our shares to decline.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majority of the combined voting power of our Class A and Class B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2016, through their ownership of Class B shares, the Legacy Owners held approximately 58% of the combined voting power of our Class A and Class B shares. The Legacy Owners are entitled to act separately in their own respective interests with respect to their partnership interests in us, and collectively they currently have the ability to (i) determine the outcome of all matters requiring shareholder approval, including certain mergers and other material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transactions and (ii) cause or prevent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on our deferred tax asset could reduce our earnings.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 deferred tax asset of approximately $1.9 billion, that is being amortized, was recorded on our books as a result of certain of the transactions that took place in connection with our 2013 initial public offering, our November 2014 secondary offering and exchanges by Legacy Owners of AAP units and Class B shares into Class A shares. GAAP requires that a valuation allowance must be established for deferred tax assets when it is more likely than not that they will not be realized. We believe that the deferred tax asset we recorded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New York Stock Exchange (“NYSE”) does not require a limited partnership like us to comply with certain of its corporate governance requirements.</w:t>
      </w:r>
    </w:p>
    <w:p>
      <w:pPr>
        <w:spacing w:after="0" w:line="26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Because we are a limited partnership, the NYSE does not require our general partner to have a majority of independent directors on its board of directors or to establish a compensation committee or a nominating and corporate governance committee. Accordingly, our shareholders do not have the same protections afforded to certain corporations that are subject to all of the NYSE corporate governance requirements. In addition, as a limited partnership we are not required to seek shareholder approval for issuances of Class A shares, including issuances in excess of 20% of our outstanding equity securities, or for issuances of equity to certain affiliates.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as a result of our ownership of our and PAA’s general partner.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62" w:lineRule="exact"/>
        <w:rPr>
          <w:sz w:val="20"/>
          <w:szCs w:val="20"/>
          <w:color w:val="auto"/>
        </w:rPr>
      </w:pPr>
    </w:p>
    <w:p>
      <w:pPr>
        <w:ind w:left="980" w:right="160" w:hanging="324"/>
        <w:spacing w:after="0" w:line="297"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50" w:lineRule="exact"/>
        <w:rPr>
          <w:rFonts w:ascii="Arial" w:cs="Arial" w:eastAsia="Arial" w:hAnsi="Arial"/>
          <w:sz w:val="16"/>
          <w:szCs w:val="16"/>
          <w:color w:val="auto"/>
        </w:rPr>
      </w:pPr>
    </w:p>
    <w:p>
      <w:pPr>
        <w:ind w:left="980" w:right="2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73" w:lineRule="exact"/>
        <w:rPr>
          <w:rFonts w:ascii="Arial" w:cs="Arial" w:eastAsia="Arial" w:hAnsi="Arial"/>
          <w:sz w:val="18"/>
          <w:szCs w:val="18"/>
          <w:color w:val="auto"/>
        </w:rPr>
      </w:pPr>
    </w:p>
    <w:p>
      <w:pPr>
        <w:ind w:left="980" w:right="14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57" w:lineRule="exact"/>
        <w:rPr>
          <w:rFonts w:ascii="Arial" w:cs="Arial" w:eastAsia="Arial" w:hAnsi="Arial"/>
          <w:sz w:val="17"/>
          <w:szCs w:val="17"/>
          <w:color w:val="auto"/>
        </w:rPr>
      </w:pPr>
    </w:p>
    <w:p>
      <w:pPr>
        <w:ind w:left="1620" w:right="120" w:hanging="315"/>
        <w:spacing w:after="0" w:line="308" w:lineRule="auto"/>
        <w:tabs>
          <w:tab w:leader="none" w:pos="16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38" w:lineRule="exact"/>
        <w:rPr>
          <w:rFonts w:ascii="Arial" w:cs="Arial" w:eastAsia="Arial" w:hAnsi="Arial"/>
          <w:sz w:val="17"/>
          <w:szCs w:val="17"/>
          <w:color w:val="auto"/>
        </w:rPr>
      </w:pPr>
    </w:p>
    <w:p>
      <w:pPr>
        <w:ind w:left="1620" w:right="420" w:hanging="315"/>
        <w:spacing w:after="0" w:line="308" w:lineRule="auto"/>
        <w:tabs>
          <w:tab w:leader="none" w:pos="16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38" w:lineRule="exact"/>
        <w:rPr>
          <w:rFonts w:ascii="Arial" w:cs="Arial" w:eastAsia="Arial" w:hAnsi="Arial"/>
          <w:sz w:val="17"/>
          <w:szCs w:val="17"/>
          <w:color w:val="auto"/>
        </w:rPr>
      </w:pPr>
    </w:p>
    <w:p>
      <w:pPr>
        <w:ind w:left="1620" w:right="240" w:hanging="315"/>
        <w:spacing w:after="0" w:line="277"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on terms no less favorable to us than those generally being provided to or available from unrelated third parties; or</w:t>
      </w:r>
    </w:p>
    <w:p>
      <w:pPr>
        <w:spacing w:after="0" w:line="62" w:lineRule="exact"/>
        <w:rPr>
          <w:rFonts w:ascii="Arial" w:cs="Arial" w:eastAsia="Arial" w:hAnsi="Arial"/>
          <w:sz w:val="18"/>
          <w:szCs w:val="18"/>
          <w:color w:val="auto"/>
        </w:rPr>
      </w:pPr>
    </w:p>
    <w:p>
      <w:pPr>
        <w:ind w:left="1620" w:right="180" w:hanging="315"/>
        <w:spacing w:after="0" w:line="264"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73" w:lineRule="exact"/>
        <w:rPr>
          <w:rFonts w:ascii="Arial" w:cs="Arial" w:eastAsia="Arial" w:hAnsi="Arial"/>
          <w:sz w:val="18"/>
          <w:szCs w:val="18"/>
          <w:color w:val="auto"/>
        </w:rPr>
      </w:pPr>
    </w:p>
    <w:p>
      <w:pPr>
        <w:ind w:left="980" w:hanging="324"/>
        <w:spacing w:after="0" w:line="273"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70"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may have interests that conflict with holders of our Class A shares.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At December 31, 2016, the Legacy Owners owned approximately 58% of our outstanding Class A and Class B shares and approximately 58%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presented with business opportunities, PAA has the first right to pursue such opportunities.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and the Legacy Owners may compete with us.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our shareholders to sell their Class A shares at an undesirable time or price.</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2016, the Legacy Owners owned approximately 58% of the Class A shares and Class B shares on a combined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PAA’s profitability depends on the volume of crude oil, natural gas and NGL shipped, processed, purchased, stored, fractionated and/or gathered at or through the use of its facilities, which can be negatively impacted by a variety of factors outside of its control.</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PAA’s profitability could be materially impacted by a decline in the volume of crude oil, natural gas and NGL transported, gathered, stored or processed at its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or NGL handled by PAA’s facilities.</w:t>
      </w:r>
    </w:p>
    <w:p>
      <w:pPr>
        <w:spacing w:after="0" w:line="17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latter half of 2014 and continuing into 2016, benchmark crude oil prices declined significantly; as a result, many of the companies that produce oil and gas significantly reduced capital expenditures. Such reduced expenditure levels, coupled with high decline rates for many horizontal wells in the shale resource plays, led to production declines in many areas in the Lower 48 United States (excluding Gulf of Mexico production). Other factors that could adversely impact production include reduced capital market access, increased capital raising costs for producers or adverse governmental or regulatory action. In turn, such developments could lead to reduced throughput on PAA’s pipelines and at PAA’s other facilities, which, depending on the level of production declines, could have a material adverse effect on PAA’s business.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PAA’s ability to secure additional supplies of crude oil.</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PAA may not be able to compete effectively in its transportation, facilities and supply and logistics activities, and PAA’s business is subject to various risks associated with the general capacity overbuild of midstream energy infrastructure in some of the areas where it operates.</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expansion capital projects, acquisitions and joint venture activities. Some of PAA’s competitors have capital resources many times greater than PAA’s and control greater supplies of crude oil, natural gas or NGL.</w:t>
      </w:r>
    </w:p>
    <w:p>
      <w:pPr>
        <w:spacing w:after="0" w:line="187"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w:t>
      </w:r>
    </w:p>
    <w:p>
      <w:pPr>
        <w:ind w:firstLine="8"/>
        <w:spacing w:after="0" w:line="268" w:lineRule="auto"/>
        <w:tabs>
          <w:tab w:leader="none" w:pos="2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these areas have become overbuilt, resulting in an excess of midstream energy infrastructure capacity. In addition, as an established participant in some markets, PAA also faces competition from aggressive new entrants to the market that are willing to provide services at a discount in order to establish relationships and gain a foothold in the market. Current expectations for oil and gas development in many of the areas where PAA operates are not as robust as they were during the last few years. This adversely impacts both PAA’s existing assets and growth projects in such areas. PAA also faces competition for incremental volumes from shippers on third party pipelines who overcommitted relative to their actual production or committed supplies and are now purchasing barrels on the open market and shipping them on such third party pipelines in order to satisfy their minimum commitment levels. This puts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18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With respect to PAA’s crude oil activities, its competitors include other crude oil pipelines, the major integrated oil companies, their marketing affiliates, refiners, private equity backed entities,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40" w:firstLine="594"/>
        <w:spacing w:after="0" w:line="286" w:lineRule="auto"/>
        <w:rPr>
          <w:sz w:val="20"/>
          <w:szCs w:val="20"/>
          <w:color w:val="auto"/>
        </w:rPr>
      </w:pPr>
      <w:r>
        <w:rPr>
          <w:rFonts w:ascii="Arial" w:cs="Arial" w:eastAsia="Arial" w:hAnsi="Arial"/>
          <w:sz w:val="17"/>
          <w:szCs w:val="17"/>
          <w:color w:val="auto"/>
        </w:rPr>
        <w:t>With respect to PAA’s natural gas storage operations, the principal elements of competition are rates, terms of service, supply and market access and flexibility of service. PAA’s natural gas storage facilities compete with several other storage providers, including regional storage facilities and utilities. Certain pipeline companies have existing storage facilities connected to their systems that compete with some of PAA’s facilities.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 user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PAA’s control, can negatively affect its operating results.</w:t>
      </w:r>
    </w:p>
    <w:p>
      <w:pPr>
        <w:spacing w:after="0" w:line="24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Supply and demand for crude oil and other hydrocarbon products PAA handles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PAA’s transportation assets to satisfy their demand by deliveries through those assets. The supply of crude oil depends on a variety of global political and economic factors, including the reliance of foreign governments on petroleum revenues. Excess global supply of crude oil may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 PAA’s operating results by decreasing the price of crude oil and making production and transportation less profitable in areas PAA services.</w:t>
      </w:r>
    </w:p>
    <w:p>
      <w:pPr>
        <w:spacing w:after="0" w:line="2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Also, increased supply of NGL products could reduce the value of NGL PAA handles and reduce the margins realized by it.</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PAA’s results of operations are influenced by the overall forward market for crude oil, and certain market structures or the absence of pricing volatility may adversely impact its results.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Results from PAA’s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PAA’s results. A backwardated market (meaning that the price of crude oil for future deliveries is lower than current prices) can have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PAA’s results from its Supply and Logistics segment may be less than those generated during the more favorable contango market conditions. Additionally, a prolonged transition period or a lack of volatility in the pricing structure may further negatively impact PAA’s results. Depending on the overall duration of these transition periods, how PAA has allocated its assets to particular strategies and the time length of its crude oil purchase and sale contracts and storage agreements, these transition periods may have either an adverse or beneficial effect on its aggregate segment results. A prolonged transition from a backwardated market to a contango market, or vice versa (essentially a market that is neither in pronounced backwardation nor contango), represents the least beneficial environment for PAA’s Supply and Logistics segment.</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A natural disaster, catastrophe, terrorist attack (including eco-terrorist attacks), process safety failure or other event, including pipeline or facility accidents and attacks on PAA’s electronic and computer systems, could interrupt its operations and/or result in severe personal injury, property damage and environmental damage, which could have a material adverse effect on its financial position, results of operations and cash flows.</w:t>
      </w:r>
    </w:p>
    <w:p>
      <w:pPr>
        <w:spacing w:after="0" w:line="14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Some of PAA’s operations involve risks of personal injury, property damage and environmental damage, which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w:t>
      </w:r>
    </w:p>
    <w:p>
      <w:pPr>
        <w:spacing w:after="0" w:line="17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If one or more of PAA’s pipelines or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interrupted. These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cash available for paying distributions to its partners and, accordingly, adversely affect its financial condition and the market price of its securities.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face opposition to the operation of its pipelines and facilities from various groups.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PAA may face opposition to the operation of its pipelines and facilities from environmental groups, landowners, tribal groups, local groups and other advocates. Such opposition could take many forms, including organized protests, attempts to block or sabotage PAA’s operations, intervention in regulatory or administrative proceedings involving PAA’s assets, or lawsuits or other actions designed to prevent, disrupt or delay the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PAA’s securities.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PAA’s information and operations, and expose it to liability, which would cause its business and reputation to suffer.</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the ordinary course of our business, PAA collects and store sensitive data, including intellectual property, its proprietary business information and information regarding its customers, suppliers and business partners, and personally identifiable information of its employees, in its data centers and on its networks. The secure processing, maintenance and transmission of this information is critical to PAA’s operations and business strategy. Despite PAA’s security measures, its information technology and infrastructure may be vulnerable to attacks by hackers or breached due to employee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spacing w:after="0" w:line="17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PAA’s information technology infrastructure is critical to the efficient operation of its business and essential to its ability to perform day-today operations. Breaches in PAA’s information technology infrastructure or physical facilities, or other disruptions, could result in damage to its assets, safety incidents, damage to the environment, potential liability or the loss of contracts, and have a material adverse effect on its operations, financial position and results of operations.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PAA’s growth strategy requires access to new capital. Tightened capital markets or other factors that increase its cost of capital could impair its ability to grow.</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PAA continuously considers potential acquisitions and opportunities for expansion capital projects. Acquisition transactions can be effected quickly, may occur at any time and may be significant in size relative to its existing assets and operations. PAA’s ability to fund its capital projects and make acquisitions depends on whether it can access the necessary financing to fund these activities. Any limitations on its access to capital or increase in the cost of that capital could significantly impair its growth strategy. PAA’s ability to maintain its targeted credit profile, including maintaining its credit ratings, could affect PAA’s cost of capital as well as its ability to execute its growth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addition, PAA’s ability to achieve and maintain its target credit profile is in part dependent on its ability to consummate previously announced divestiture transactions. The closing of such transactions is not entirely within PAA’s control and depends in part on the satisfaction of closing conditions that require action by governmental authorities or others. To the extent PAA is unable to consummate such transactions, PAA may be forced to incur additional indebtedness or issue more equity than it would have otherwise preferred, which could make it harder for PAA to achieve its target credit profile.</w:t>
      </w:r>
    </w:p>
    <w:p>
      <w:pPr>
        <w:spacing w:after="0" w:line="154"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acquisitions and construction projects, take advantage of business opportunities or respond to competitive pressures, any of which could have a material adverse effect on its revenues and results of operations.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Loss of PAA’s investment grade credit rating or the ability to receive open credit could negatively affect its borrowing costs, its ability to purchase crude oil, NGL and natural gas supplies or to capitalize on market opportunities.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PAA believes that, because of its strategic asset base and complementary business model, PAA will continue to benefit from swings in market prices and shifts in market structure during periods of volatility in the crude oil, NGL and natural gas markets. The extent to which PAA is able to capture that benefit, however, is subject to numerous risks and uncertainties, including whether PAA will be able to maintain an attractive credit rating and continue to receive open credit from its suppliers and trade counterparties. PAA’s senior unsecured debt is currently rated as “investment grade” by Standard &amp; Poor’s, Moody’s Investors Service and Fitch Ratings Inc.; however, in late January 2017, Moody’s Investors Service placed such rating under review for downgrade. A downgrade below PAA’s current ratings levels by any of such rating agencies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Loss of PAA’s investment grade credit rating could also adversely impact its cash flows, its ability to make distributions at its current levels and the value of its outstanding equity and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not be able to fully implement or capitalize upon planned growth projects.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PAA has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its control, including the following:</w:t>
      </w:r>
    </w:p>
    <w:p>
      <w:pPr>
        <w:spacing w:after="0" w:line="73" w:lineRule="exact"/>
        <w:rPr>
          <w:sz w:val="20"/>
          <w:szCs w:val="20"/>
          <w:color w:val="auto"/>
        </w:rPr>
      </w:pPr>
    </w:p>
    <w:p>
      <w:pPr>
        <w:ind w:left="980" w:right="100" w:hanging="324"/>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15"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PAA may face opposition to its planned growth projects from environmental groups, landowners, local groups and other advocates, including lawsuits or other actions designed to disrupt or delay PAA’s planned projects;</w:t>
      </w:r>
    </w:p>
    <w:p>
      <w:pPr>
        <w:spacing w:after="0" w:line="62"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15" w:lineRule="exact"/>
        <w:rPr>
          <w:rFonts w:ascii="Arial" w:cs="Arial" w:eastAsia="Arial" w:hAnsi="Arial"/>
          <w:sz w:val="16"/>
          <w:szCs w:val="16"/>
          <w:color w:val="auto"/>
        </w:rPr>
      </w:pPr>
    </w:p>
    <w:p>
      <w:pPr>
        <w:ind w:left="980" w:right="60" w:hanging="324"/>
        <w:spacing w:after="0" w:line="286"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Despite the fact that PAA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PAA may construct pipelines, facilities or other assets in anticipation of market demand that dissipates or market growth that never materializes;</w:t>
      </w:r>
    </w:p>
    <w:p>
      <w:pPr>
        <w:spacing w:after="0" w:line="140" w:lineRule="exact"/>
        <w:rPr>
          <w:rFonts w:ascii="Arial" w:cs="Arial" w:eastAsia="Arial" w:hAnsi="Arial"/>
          <w:sz w:val="16"/>
          <w:szCs w:val="16"/>
          <w:color w:val="auto"/>
        </w:rPr>
      </w:pPr>
    </w:p>
    <w:p>
      <w:pPr>
        <w:ind w:left="980" w:right="6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completion or success of PAA’s projects may depend on the completion or success of third-party facilities over which PAA have no control.</w:t>
      </w:r>
    </w:p>
    <w:p>
      <w:pPr>
        <w:spacing w:after="0" w:line="24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PAA’s capital projects may not be achieved or could be delayed. In turn, this could negatively impact PAA’s cash flow and its ability to make or increase cash distributions to its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PAA does not make acquisitions or if it makes acquisitions that fail to perform as anticipated, its future growth may be limited.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PAA’s ability to grow its distributions depends in part on its ability to make acquisitions that result in an increase in operating surplus per unit. If PAA is unable to make such accretive acquisitions either because PAA is (i) unable to identify attractive acquisition candidates or negotiate acceptable purchase contracts with the sellers, (ii) unable to raise financing for such acquisitions on economically acceptable terms or (iii) outbid by competitors, PAA’s future growth will be limited. As a result, PAA may not be able to grow as quickly as it has historically.</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evaluating acquisitions, PAA generally prepares one or more financial cases based on a number of business, industry, economic, legal, regulatory, and other assumptions applicable to the proposed transaction. Although PAA expects a reasonable basis will exist for those assumptions, the assumptions will generally involve current estimates of future conditions. Realization of many of the assumptions will be beyond PAA’s control. Moreover, the uncertainty and risk of inaccuracy associated with any financial projection will increase with the length of the forecasted period. Some acquisitions may not be accretive in the near term, and will be accretive in the long term only if PAA is able to timely and effectively integrate the underlying assets and such assets perform at or near the levels anticipated in its acquisition projections.</w:t>
      </w:r>
    </w:p>
    <w:p>
      <w:pPr>
        <w:spacing w:after="0" w:line="193" w:lineRule="exact"/>
        <w:rPr>
          <w:sz w:val="20"/>
          <w:szCs w:val="20"/>
          <w:color w:val="auto"/>
        </w:rPr>
      </w:pPr>
    </w:p>
    <w:p>
      <w:pPr>
        <w:jc w:val="center"/>
        <w:ind w:right="6400"/>
        <w:spacing w:after="0"/>
        <w:rPr>
          <w:sz w:val="20"/>
          <w:szCs w:val="20"/>
          <w:color w:val="auto"/>
        </w:rPr>
      </w:pPr>
      <w:r>
        <w:rPr>
          <w:rFonts w:ascii="Arial" w:cs="Arial" w:eastAsia="Arial" w:hAnsi="Arial"/>
          <w:sz w:val="15"/>
          <w:szCs w:val="15"/>
          <w:b w:val="1"/>
          <w:bCs w:val="1"/>
          <w:i w:val="1"/>
          <w:iCs w:val="1"/>
          <w:color w:val="auto"/>
        </w:rPr>
        <w:t>Acquisitions involve risks that may adversely affect PAA’s business.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11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PAA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increase in PAA’s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PAA is either not indemnified, or the indemnity is not from a credit-worthy party, including liabilities arising from the operation of the acquired businesses or assets prior to PAA’s acquisition;</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PAA’s historical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Any of these factors could adversely affect PAA’s ability to achieve anticipated levels of cash flows from its acquisitions, realize other anticipated benefits and its ability to pay distributions to its partners or meet its debt service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PAA is exposed to the credit risk of its customers and other counterparties it transacts within the ordinary course of its business activities.</w:t>
      </w:r>
    </w:p>
    <w:p>
      <w:pPr>
        <w:spacing w:after="0" w:line="23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Risks of nonpayment and nonperformance by customers are a significant consideration in PAA’s business and are of increased concern in the current low commodity price environment.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PAA has a number of minimum volume commitment contracts that support pipelines in its Transportation segment. In addition, certain of the pipelines in which PAA owns a joint venture interest have minimum volume commitment contracts. Pursuant to such contracts, shippers are obligated to pay for a minimum volume of transportation service regardless of whether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231F20"/>
        </w:rPr>
        <w:t>PAA have also undertaken numerous projects that require cooperation with and performance by joint venture co-owners. Nonperformance by these parties could result in increased costs or delays that could decrease PAA’s returns on these joint venture projects.</w:t>
      </w:r>
    </w:p>
    <w:p>
      <w:pPr>
        <w:spacing w:after="0" w:line="170"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231F20"/>
        </w:rPr>
        <w:t>PAA also relies to a significant degree on the banks that lend to it under its revolving credit facility for financial liquidity, and any failure of those banks to perform on their obligations to PAA could significantly impair its liquidity. Furthermore, nonpayment by the counterparties to PAA’s interest rate, commodity and/or foreign currency derivatives could expose it to additional interest rate, commodity price and/or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PAA’s risk policies cannot eliminate all risks. In addition, any non-compliance with its risk policies could result in significant financial losses.</w:t>
      </w:r>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and sold against a different index.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17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PAA’s operations are also subject to laws and regulations relating to protection of the environment and wildlife, operational safety, climate change and related matters that may expose it to significant costs and liabilities.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PAA’s operations involving the storage, treatment, processing, and transportation of liquid hydrocarbons, including crude oil, NGL and refined products, as well as PAA’s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For example, the adoption of legislation or regulatory programs to reduce emissions of greenhouse gases, including cap and trade programs, could require PAA to incur increased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Any such change or interpretation adverse to PAA could have a material adverse effect on its operations, revenues, expenses and profitability.</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PAA has a history of incremental additions to the miles of pipelines it owns, both through acquisitions and expansion capital projects. PAA has also increased its terminal and storage capacity and operate several facilities on or near navigable waters and domestic water supplies. Although PAA has implemented programs intended to maintain the integrity of its assets (discussed below), as it acquires additional assets it historically has observed an increase in the number of releases of liquid hydrocarbons into the environment. These releases expose PAA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PAA currently devotes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PAA has also developed and implemented certain pipeline integrity measures that it believes go beyond regulatory mandates. See Items 1 and 2 “Business and Properties—Regulation.”</w:t>
      </w:r>
    </w:p>
    <w:p>
      <w:pPr>
        <w:spacing w:after="0" w:line="188"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For 2017 and beyond, PAA will continue to focus on pipeline integrity management as a primary operational emphasis. In that regard, PAA has implemented programs intended to maintain the integrity of its assets, with a continued focus on risk reduction through testing, enhanced corrosion control, leak detection, and damage prevention. PAA has an internal review process pursuant to which it examines various aspects of its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17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PAA’s U.S. interstate common carrier liquids pipelines are subject to regulation by the FERC under the ICA. The ICA requires that tariff rates for liquids pipelines be just and reasonable and non-discriminatory. PAA is also subject to the Pipeline Safety Regulations of the DOT. PAA’s intrastate pipeline transportation activities are subject to various state laws and regulations as well as orders of regulatory bodies.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PAA’s U.S. interstate common carrier liquids pipelines subject to FERC regulation under the ICA, shippers may protest its pipeline tariff filings, file complaints against its existing rates, or the FERC can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PAA’s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 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PAA’s operations cross the U.S./Canada border and are subject to cross-border regulation.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PAA’s cross border activities subject it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sales of crude oil, natural gas and NGL, and hedging activities, expose it to potential regulatory risks.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sales of oil, natural gas or NGL, and any related hedging activities that it undertakes, PAA is required to observe the market-related regulations enforced by these agencies, which hold substantial enforcement authority. PAA’s sales may also be subject to certain reporting and other requirements. Additionally, to the extent that PAA enters into transportation contracts with natural gas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partners.</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r>
        <w:rPr>
          <w:rFonts w:ascii="Arial" w:cs="Arial" w:eastAsia="Arial" w:hAnsi="Arial"/>
          <w:sz w:val="18"/>
          <w:szCs w:val="18"/>
          <w:i w:val="1"/>
          <w:iCs w:val="1"/>
          <w:color w:val="auto"/>
        </w:rPr>
        <w: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 Frank Act”), enacted on July 21, 2010, established federal oversight and regulation of derivative markets and entities, such as PAA, that participate in those markets. The Dodd Frank Act requires the CFTC and the SEC to promulgate rules and regulations implementing the Dodd 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7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a requirement to post additional cash margin or collateral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 Frank Act and related rules. The costs of such compliance may be passed on to customers such as PAA, thus decreasing the benefits to PAA of hedging transactions or reducing its profitability. In addition, implementation of the Dodd 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17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Finally, the Dodd Frank Act was intended, in part, to reduce the volatility of oil and gas prices, which some legislators attributed to speculative trading in derivatives and commodity instruments related to oil and gas. PAA’s financial results could be adversely affected if a consequence of the Dodd Frank Act and implementing regulations is lower commodity prices.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full impact of the Dodd Frank Act and related regulatory requirements upon PAA’s business will not be known until the regulations are implemented and the market for derivatives contracts has adjusted. The Dodd 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 Frank Act and regulations implementing the Dodd Frank Act, PAA’s results of operations may become more volatile and its cash flows may be less predictable. Any of these consequences could have a material adverse effect on PAA, its financial condition and its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PAA’s transportation, terminalling and storage services as well as its supply and logistics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in the future encounter increased costs related to, and lack of availability of, insurance.</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over the last 3 to 5 years,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PAA’s indebtedness may limit its ability to borrow additional funds or capitalize on business opportunities. In addition, PAA’s future debt level may limit its future financial and operating flexibility.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2016, the face value of PAA’s consolidated debt outstanding was approximately $11.9 billion, consisting of approximately $10.2 billion face value of long-term debt (including senior notes and long-term commercial paper borrowings) and approximately $1.7 billion of short-term borrowings. As of December 31, 2016, PAA had approximately $2.4 billion of liquidity available, including cash and cash equivalents and available borrowing capacity under its senior unsecured revolving credit facility, its senior secured hedged inventory facility and its senior unsecured 364-day credit facility, subject to continued covenant compliance. Lower Adjusted EBITDA could increase PAA’s leverage ratios and effectively reduce its ability to incur additional indebtedness.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PAA’s current or future indebtedness could have significant effects on its operations, including, among other things:</w:t>
      </w:r>
    </w:p>
    <w:p>
      <w:pPr>
        <w:spacing w:after="0" w:line="117" w:lineRule="exact"/>
        <w:rPr>
          <w:sz w:val="20"/>
          <w:szCs w:val="20"/>
          <w:color w:val="auto"/>
        </w:rPr>
      </w:pPr>
    </w:p>
    <w:p>
      <w:pPr>
        <w:ind w:left="980" w:right="1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credit rating agencies may view PAA’s debt level negatively;</w:t>
      </w:r>
    </w:p>
    <w:p>
      <w:pPr>
        <w:spacing w:after="0" w:line="117"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covenants contained in PAA’s existing debt arrangements will require it to continue to meet financial tests that may adversely affect its flexibility in planning for and reacting to changes in its business;</w:t>
      </w:r>
    </w:p>
    <w:p>
      <w:pPr>
        <w:spacing w:after="0" w:line="62"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PAA’s ability to obtain additional financing for working capital, capital expenditures, acquisitions and general partnership purposes may be limited;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PAA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PAA may be more vulnerable to adverse economic and industry conditions as a result of its significant debt level.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facility treats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Resources—PAA Credit Agreements, Commercial Paper Program and Indentures.”</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PAA’s business and the trading price of its units.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2016, the face value of PAA’s consolidated debt was approximately $11.9 billion, of which approximately $10.3 billion was at fixed interest rates and approximately $1.6 billion was at variable interest rates. PAA is exposed to market risk due to the short-term nature of its commercial paper borrowings and the floating interest rates on its credit facilities. PAA’s results of operations, cash flows and financial position could be adversely affected by significant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increases in interest rates above current levels. Additionally, increases in interest rates could adversely affect PAA’s Supply and Logistics segment results by increasing interest costs associated with the storage of hedged crude oil and NGL inventory. Further, the trading price of PAA’s common units may be sensitive to changes in interest rates and any rise in interest rates could adversely impact such trading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PAA’s operating results.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as the U.S. dollar appreciates against the Canadian dollar, the U.S. dollar value of PAA’s Canadian dollar denominated earnings is reduced for U.S. reporting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PAA’s earnings.</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At December 31, 2016, PAA had approximately $13.9 billion of net property and equipment, $2.3 billion of goodwill, $2.3 billion of investments accounted for under the equity method of accounting and $242 million of net intangible assets capitalized on its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PAA was to determine that any of its property and equipment, goodwill,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During the year ended December 31, 2016, PAA recognized impairment losses of approximately $80 million. See Note 5 to our Consolidated Financial Statements for additional information regarding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PAA’s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PAA’s reputation and customer relationships generally. Although certain of these risks may be covered under PAA’s insurance program, any of these circumstances or events could increase its costs or lower its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dependent on use of third-party assets for certain of its operations.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of PAA’s business activities require the use of third-party assets over which it may have little or no control. For example, a portion of PAA’s storage and distribution business conducted in the Los Angeles basin receives waterborne crude oil through dock facilities operated by a third party in the Port of Long Beach. If at any time PAA’s access to this dock was denied, and if access to an alternative dock could not be arranged, the volume of crude oil that it presently receives from its customers in the Los Angeles basin may be reduced, which could result in a reduction of PAA’s Facilities segment revenue and cash flow.</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PAA’s leased railcars, could significantly reduce its profitability due to fixed costs incurred to obtain the right to use such assets.</w:t>
      </w:r>
    </w:p>
    <w:p>
      <w:pPr>
        <w:spacing w:after="0" w:line="170"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From time to time in connection with its business, PAA may lease or otherwise secure the right to use certain third party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For example, in connection with PAA’s rail operations, it leases a significant number of its railcars, typically pursuant to multi-year leases that obligate PAA to pay the applicable lease rate without regard to utilization. If business conditions are such that a portion of PAA’s rail fleet is not utilized for any period of time due to reduced demand for the services they provide, PAA will still be obligated to pay the applicable fixed lease rate for such railcars. In addition, during the period of time that PAA is not utilizing such railcars, it will incur incremental costs associated with the cost of storing such railcars and will continue to incur costs for maintenance and upkeep. Non-utilization of its leased assets in connection with PAA’s business could have a significant negative impact on PAA’s profitability and cash flows.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Many of PAA’s assets have been in service for many years and require significant expenditures to maintain them. As a result, its maintenance or repair costs may increase in the future.</w:t>
      </w:r>
    </w:p>
    <w:p>
      <w:pPr>
        <w:spacing w:after="0" w:line="170"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PAA’s pipelines, terminals and storage assets are generally long-lived assets, and many of them have been in service for many years. The age and condition of its assets could result in increased maintenance or repair expenditures in the future. Any significant increase in these expenditures could adversely affect PAA’s results of operations, financial position or cash flows, as well as its ability to make cash distributions to our unitholders.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PAA may not be able to perform all of its obligations under its contracts, which could lead to increased costs and negatively impact financial results.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PAA’s part to satisfy its contractual commitments and obligations. For example, in connection with the provision of firm storage services and hub services to its natural gas storage customers, PAA enters into contracts that obligate PAA to honor its customers’ requests to inject gas into its storage facilities, withdraw gas from its facilities and wheel gas through its facilities, in each case subject to volume, timing and other limitations set forth in such contracts. The following factors could adversely impact PAA’s ability to perform its obligations under these contracts:</w:t>
      </w:r>
    </w:p>
    <w:p>
      <w:pPr>
        <w:spacing w:after="0" w:line="80" w:lineRule="exact"/>
        <w:rPr>
          <w:sz w:val="20"/>
          <w:szCs w:val="20"/>
          <w:color w:val="auto"/>
        </w:rPr>
      </w:pPr>
    </w:p>
    <w:p>
      <w:pPr>
        <w:ind w:left="980" w:right="30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failure on the part of PAA’s storage facilities to perform as expected, whether due to malfunction of equipment or facilities or realization of other operational risks;</w:t>
      </w:r>
    </w:p>
    <w:p>
      <w:pPr>
        <w:spacing w:after="0" w:line="62"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operating pressure of PAA’s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hanging="324"/>
        <w:spacing w:after="0" w:line="288"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variety of commercial decisions PAA makes from time to time in connection with the management and operation of its storage facilities. Examples include, without limitation, decisions with respect to matters such as (i) the aggregate amount of commitments PAA is willing to make with respect to wheeling, injection, and withdrawal services, which could exceed PAA’s capabilities at any given time for various reasons,</w:t>
      </w:r>
    </w:p>
    <w:p>
      <w:pPr>
        <w:ind w:left="980" w:right="20"/>
        <w:spacing w:after="0" w:line="252" w:lineRule="auto"/>
        <w:rPr>
          <w:rFonts w:ascii="Arial" w:cs="Arial" w:eastAsia="Arial" w:hAnsi="Arial"/>
          <w:sz w:val="16"/>
          <w:szCs w:val="16"/>
          <w:color w:val="auto"/>
        </w:rPr>
      </w:pPr>
      <w:r>
        <w:rPr>
          <w:rFonts w:ascii="Arial" w:cs="Arial" w:eastAsia="Arial" w:hAnsi="Arial"/>
          <w:sz w:val="18"/>
          <w:szCs w:val="18"/>
          <w:color w:val="auto"/>
        </w:rPr>
        <w:t>(ii) the timing of scheduled and unplanned maintenance or repairs, which can impact equipment availability and capacity, (iii) the schedule for and rate at which PAA conducts opportunistic leaching activities at its facilities in connection with the expansion of existing salt caverns, which can impact the amount of storage capacity PAA has available to satisfy its customers’ requests, (iv) the timing and aggregate volume of any base gas park and/or loan transactions PAA consummates, which can directly affect the operating pressure of PAA’s storage facilities and (v) the amount of compression capacity and other gas handling equipment that PAA installs at its facilities to support gas wheeling, injection and withdrawal activities; and</w:t>
      </w:r>
    </w:p>
    <w:p>
      <w:pPr>
        <w:spacing w:after="0" w:line="86" w:lineRule="exact"/>
        <w:rPr>
          <w:rFonts w:ascii="Arial" w:cs="Arial" w:eastAsia="Arial" w:hAnsi="Arial"/>
          <w:sz w:val="16"/>
          <w:szCs w:val="16"/>
          <w:color w:val="auto"/>
        </w:rPr>
      </w:pPr>
    </w:p>
    <w:p>
      <w:pPr>
        <w:ind w:left="980" w:right="54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Although PAA manages and monitors all of these various factors in connection with the ongoing operation of its natural gas storage facilities with the goal of performing all of its contractual commitments and obligations and optimizing revenue, one or more of the above factors may adversely impact PAA’s ability to satisfy its injection, withdrawal or wheeling obligations under its storage contracts. In such event, PAA may be liable to its customers for losses or damages they suffer and/or PAA may need to incur costs or expenses in order to permit it to satisfy its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PAA’s general partner may be substantial and will reduce PAA’s cash available for distribution to its partners.</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Prior to making any distribution on its common units, PAA will reimburse PAA GP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 GP has sole discretion to determine the amount of these expenses. In addition, PAA GP and its affiliates may provide PAA with services for which PAA will be charged reasonable fees as determined by its general partner.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PAA’s performance and the establishment of financial reserves.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Because distributions on PAA’s common units are dependent on the amount of cash it generates, distributions may fluctuate based on PAA’s performance, which will result in fluctuations in the amount of distributions ultimately received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AAP. The actual amount of cash that is available to be distributed each quarter will depend on numerous factors, some of which are beyond PAA’s control and the control of PAA GP. Cash distributions are dependent primarily on cash flow, including cash flow from financial reserves and working capital borrowings, and not solely on profitability, which is affected by non-cash items. Therefore, cash distributions might be made during periods when PAA records losses and might not be made during periods when it records profits.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PAA’s preferred units have rights, preferences and privileges that are not held by, and are preferential to the rights of, holders of PAA’s common units.</w:t>
      </w:r>
    </w:p>
    <w:p>
      <w:pPr>
        <w:spacing w:after="0" w:line="26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PAA’s Series A Preferred Units (the “PAA preferred units”), issued in January 2016, rank senior to all of PAA’s other classes or series of equity securities with respect to distribution rights and rights upon liquidation. These preferences could adversely affect the market price for PAA’s common units, or could make it more difficult for PAA to sell common units in the future.</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distributions on the PAA preferred units accrue and are cumulative, at the rate of 8% per annum on the original issue price and are convertible into PAA common units by the holders of such units or by PAA in certain circumstances. PAA’s obligation to pay distributions on its preferred units, or on the common units issued following the conversion of such preferred units, could impact its liquidity and reduce the amount of cash flow available for working capital, capital expenditures, growth opportunities, acquisitions, and other general partnership purposes. PAA’s obligations to the holders of preferred units could also limit its ability to obtain additional financing or increase our borrowing costs, which could have an adverse effect on PAA’s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Internal Revenue Service (“IRS”) were to treat PAA as a corporation for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5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At December 31, 2016, we owned an approximate 42% limited partner interest in AAP, which directly owned a 33% limited partner interest in PAA through its ownership of 241,672,409 PAA common units.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 The IRS issued final regulations on January 24, 2017, that are effective January 19, 2017, that define the activities that generate qualifying income from exploration, development, mining or production, processing, refining, transportation, and marketing of minerals or natural resources within the meaning of Section 7704. These regulations are intended to provide regulatory guidance on whether income from activities with respect to minerals or natural resources is qualifying income.</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Despite the fact that PAA is a limited partnership under Delaware law and, unlike us, has not elected to be treated as a corporation for federal income tax purposes, it is possible, under certain circumstances, for PAA to be treated as a corporation for federal income tax purposes. Although we do not believe, based on its current operations, that PAA will be so treated, a change in PAA’s business could cause it to be treated as a corporation for federal income tax purposes or otherwise subject it to federal income taxation as an entity.</w:t>
      </w:r>
    </w:p>
    <w:p>
      <w:pPr>
        <w:spacing w:after="0" w:line="187"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Current law may change, causing PAA to be treated as a corporation for federal income tax purposes or otherwise subjecting PAA to additional entity-level taxation. In addition, several states are evaluating ways to subject partnerships to entity-level taxation through the imposition of state income, franchise and other forms of taxation. For example, PAA is subject to entity-level tax on the portion of its income apportioned to Texas in the prior year. Imposition of any similar taxes on PAA in additional states will reduce its cash available for distribution to its partners.</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PAA were treated as a corporation for federal income tax purposes, it would pay federal income tax on its taxable income at the corporate tax rate, which is currently a maximum of 35%, and would likely pay state income taxes at varying rates. Distributions to PAA’s partners, including AAP, would generally be taxed again as corporate distributions, and no income,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partnership agreement provides that if a law is enacted or existing law is modified or interpreted in a manner that subjects PAA to taxation as a corporation or otherwise subjects PAA to entity-level taxation for federal income tax purposes, PAA’s minimum quarterly distribution and target distribution amounts will be adjusted downward by a percentage that is based on the applicable entity-level tax rate, including both federal and state tax burdens. Although it is impossible to make an accurate assessment of the impact without the specific details of any such new law or modification, in such event, it is likely the amount of distributions AAP receives from PAA and our resulting cash flows could be reduced substantially, which would adversely affect our ability to pay distributions to our shareholders.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such as PAA could be subject to potential legislative, judicial or administrative changes and differing interpretations, possibly on a retroactive basis.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Legislative changes to the IRS audit rules, starting with partnership tax years beginning after 2017, will allow the IRS to assess and collect tax on audit adjustments at the partnership level as opposed to the partner level unless the partnership makes an election or exercises certain alternatives. Changes were also made to limit partner representation in the event of an audit.</w:t>
      </w:r>
    </w:p>
    <w:p>
      <w:pPr>
        <w:spacing w:after="0" w:line="18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Bipartisan Budget Act of 2015 (H.R. 1315) (“Act”), effective for partnership tax years beginning after December 31, 2017, repeals the partnership audit rules of the Tax Equity and Fiscal Responsibility Act of 1982 (“TEFRA”) and replaces the TEFRA provisions with new provisions that allow for the IRS to assess and collect taxes associated with audit adjustments, referred to as an “imputed underpayment”, at the partnership entity level rather than the partner level in the year the partnership adjustment is made, the “adjustment year”, as opposed to the year the adjustment relates, the “reviewed year”. The imputed underpayment is calculated using the highest tax rate in effect for the reviewed year. The implications of an imputed underpayment are that current partners could be liable for a liability of former partners. If an audit adjustment did result in a material imputed underpayment the partnership would need to determine whether to pay the imputed underpayment or to avail itself of one of three alternative provisions under the Act that can shift the partnership level tax liability back onto the prior tax year partners. The first alternative, an opt-out election, is not available to PAA as a publicly traded partnership because PAA does not meet the criteria of 100 or fewer partners. The second alternative would require the partnership to submit audit adjustment information to the affected partners and to the IRS as well as ensure amended return compliance by our partners within 270 days after receipt of the proposed audit adjustment. From an administrative standpoint, considering the number of PAA’s partners, as a publicly traded partnership, the second alternative is not a viable option to PAA. The third alternative is an election by PAA that would require the partnership, not later than 45 days after the date of the notice of final partnership adjustment, to furnish to each affected partner and to the IRS a statement of each partner’s share of any adjustment to income, gain, loss, deduction, or credit. Under this alternative, reviewed year partners calculate their share of additional tax due and pay the additional amount with their respective current year individual tax returns. An election under this provision, however, because the reviewed year is older increases the applicable imputed underpayment interest rate by two percentage points. If PAA was required to pay taxes, penalties and interest as the result of audit adjustments, cash available for distribution to their unitholders may be substantially reduced. In addition, because payment would be due for the taxable year in which the audit is completed, unitholders during that taxable year would bear the expense of the adjustment even if they were not unitholders during the audited taxable year.</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Also for partnership tax years beginning after 2017, the Act eliminated rights that certain individual partners might previously have had in the audit process by now restricting it to a single “partnership representative”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present U.S. federal income tax treatment of publicly traded partnerships, including PAA,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Similar proposals could eliminate the qualifying income exception to the treatment of all publicly-traded partnerships as corporations upon which PAA relies for its treatment as a partnership for U.S. federal income tax purposes.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PAA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our indirect investment in PAA.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sale of our Class A shares could be more or less than expected.</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If a holder sells our Class A shares, the holder will recognize a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2016 and we do not expect to have any earnings and profits for an extended period of time, which we estimate will include, at a minimum, each of the periods ending December 31, 2017 through 2019.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 Please read “Summary of Tax Considerations—Gain on Disposition of Class A Shares” for a further discussion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tax treatment may change, which could affect the value of our Class A shares or reduce our cash available for distribution.</w:t>
      </w:r>
    </w:p>
    <w:p>
      <w:pPr>
        <w:spacing w:after="0" w:line="23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our Class A share price could adversely affect our amount of cash available for distribution.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The IRS Forms 1099-DIV that our shareholders receive from their brokers may over-report dividend income with respect to our shares for U.S. federal income tax purposes, and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w:t>
      </w:r>
    </w:p>
    <w:p>
      <w:pPr>
        <w:spacing w:after="0" w:line="188"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broker on IRS Form 1099-DIV, and the IRS may disagree with any such information and may make audit adjustments to a shareholder’s tax return.</w:t>
      </w:r>
    </w:p>
    <w:p>
      <w:pPr>
        <w:spacing w:after="0" w:line="2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a non-U.S. holder of our shares, “dividends” for U.S. federal income tax purposes will be subject to withholding of U.S. federal income tax at a 30% rate (or such lower rate as may be specified by an applicable income tax treaty) unless the dividends are effectively connected with conduct of a U.S. trade or business. Please read “Summary of Tax Considerations—Consequences to Non-U.S. Holders.”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is included in Note 17 to our Consolidated Financial Statements, and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125"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Shares, Related Shareholder Matters and Issuer Purchases of Equity Securities</w:t>
      </w:r>
    </w:p>
    <w:p>
      <w:pPr>
        <w:spacing w:after="0" w:line="22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Our Class A shares are listed and traded on the New York Stock Exchange (“NYSE”) under the symbol “PAGP.” In connection with the closing of the Simplification Transactions, as discussed further below, we completed a reverse split of our Class A and Class B shares, in each case, at a ratio of approximately 1-for-2.663. No fractional shares were issued. Accordingly, our Class A shares began trading on a split-adjusted basis on the NYSE at the opening of trading on November 16, 2016. The effect of this reverse split has been retroactively applied to all share and per share amounts presented in this Form 10-K. See Note 11 to our Consolidated Financial Statements for further discussion of the Simplification Transactions.</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February 10, 2017, the closing market price for our Class A shares was $31.79 per share and there were approximately 38,000 record holders and beneficial owners (held in street name). As of February 10, 2017, there were 103,269,257 Class A shares outstanding.</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Class A shares and the cash distributions declared per Class A share for the periods indicated:</w:t>
      </w:r>
    </w:p>
    <w:p>
      <w:pPr>
        <w:spacing w:after="0" w:line="10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Class A Share</w:t>
      </w:r>
    </w:p>
    <w:p>
      <w:pPr>
        <w:spacing w:after="0" w:line="4"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Price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13335</wp:posOffset>
            </wp:positionV>
            <wp:extent cx="16725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 xml:space="preserve">Cash Distributions </w:t>
            </w:r>
            <w:r>
              <w:rPr>
                <w:rFonts w:ascii="Arial" w:cs="Arial" w:eastAsia="Arial" w:hAnsi="Arial"/>
                <w:sz w:val="8"/>
                <w:szCs w:val="8"/>
                <w:b w:val="1"/>
                <w:bCs w:val="1"/>
                <w:color w:val="auto"/>
                <w:w w:val="99"/>
              </w:rPr>
              <w:t>(1)</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4th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28.84</w:t>
            </w:r>
          </w:p>
        </w:tc>
        <w:tc>
          <w:tcPr>
            <w:tcW w:w="7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0.55</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25.59</w:t>
            </w:r>
          </w:p>
        </w:tc>
        <w:tc>
          <w:tcPr>
            <w:tcW w:w="7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2nd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20.98</w:t>
            </w:r>
          </w:p>
        </w:tc>
        <w:tc>
          <w:tcPr>
            <w:tcW w:w="7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0.62</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w:t>
            </w:r>
          </w:p>
        </w:tc>
        <w:tc>
          <w:tcPr>
            <w:tcW w:w="7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4th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w:t>
            </w:r>
          </w:p>
        </w:tc>
        <w:tc>
          <w:tcPr>
            <w:tcW w:w="7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3rd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43.35</w:t>
            </w:r>
          </w:p>
        </w:tc>
        <w:tc>
          <w:tcPr>
            <w:tcW w:w="7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0.62</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2nd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68.73</w:t>
            </w:r>
          </w:p>
        </w:tc>
        <w:tc>
          <w:tcPr>
            <w:tcW w:w="7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1st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63.94</w:t>
            </w:r>
          </w:p>
        </w:tc>
        <w:tc>
          <w:tcPr>
            <w:tcW w:w="7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71" w:lineRule="exact"/>
        <w:rPr>
          <w:sz w:val="20"/>
          <w:szCs w:val="20"/>
          <w:color w:val="auto"/>
        </w:rPr>
      </w:pPr>
    </w:p>
    <w:p>
      <w:pPr>
        <w:ind w:left="660" w:right="240" w:hanging="652"/>
        <w:spacing w:after="0" w:line="216"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Cash distributions pertaining to the quarter presented. These distributions were declared and paid in the following calendar quarter. See the “Cash Distribution Policy” section below for a discussion of our policy regarding distribution payments.</w:t>
      </w:r>
    </w:p>
    <w:p>
      <w:pPr>
        <w:spacing w:after="0" w:line="9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Our Class B shares and Class C shares are not listed or traded on any stock exchange.</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Class A shares are also used as a form of compensation to our employees and directors. Additional information regarding our equity-indexed compensation plans is included in Part III of this report under Item 13. “Certain Relationships and Related Transactions, and Director Independence.”</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Shareholder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Simplification Transactions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 the permanent elimination of PAA’s incentive distribution rights (“IDRs”) and the economic rights associated with its 2% general partner interest in exchange for the issuance by PAA to AAP of 245.5 million PAA common units (including approximately 0.8 million units to be issued in the future) and the assumption by PAA of all of AAP’s outstanding debt ($642 million); the implementation of a unified governance structure pursuant to which the board of directors of PAA’s general partner was eliminated and an expanded board of directors of our general partner assumed oversight responsibility over both us and PAA; and provision for annual shareholder elections beginning in 2018 with certain directors with expiring terms in 2018, and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participation of PAA’s common unitholders and Series A preferred unitholders in such elections through its ownership of our newly issued Class C shares, which provide PAA, as the sole holder, the right to vote in elections of eligible directors together with the holders of our Class A and Class B shares. In addition, we entered into an Omnibus Agreement with AAP and PAA to promote economic alignment between our Class A shareholders and PAA’s common unitholders by, among other measures, maintaining a one-to-one relationship between the number of our outstanding Class A shares and the number of PAA common units indirectly owned by us through AAP.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our Consolidated Financial Statements for further discussion of the Simplification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63"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33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December 31, 2016, our only cash-generating assets consisted of an indirect limited partnership interest in PAA through our direct and indirect approximate 42% limited partner interest in AAP. AAP currently receives all of its cash flows from its ownership of PAA common units. Therefore, our cash flow and resulting ability to make distributions will be completely dependent upon the ability of PAA to make distributions to AAP in respect of such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Resources—PAA Credit Agreements, Commercial Paper Program and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2016, certain Legacy Owners or their permitted transferees exercised the Exchange Right, which resulted in the issuance of 434,602 Class A shares. The issuance of Class A shares in connection with the exercise of the Exchange Rights was exempt from the registration requirements of the Securities Act of 1933, as amended, pursuant to Section 4(2)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We did not repurchase any of our Class A shares during the fourth quarter of 2016, and we do not have any announced or existing plans to repurchase any of our Class A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25"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PAGP’s IPO) through December 31, 2013, plus results for Plains All American GP LLC (“GP LLC”), the predecessor entity to PAGP, prior to October 21, 2013.</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financial information below was derived from the audited financial statements of PAGP (and GP LLC as discussed above) as of December 31, 2016, 2015, 2014, 2013 and 2012 and for the years then ended.</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selected financial data should be read in conjunction with the Consolidated Financial Statements, including the notes thereto, and Item 7. “Management’s Discussion and Analysis of Financial Condition and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6"/>
          </w:tcPr>
          <w:p>
            <w:pPr>
              <w:jc w:val="center"/>
              <w:ind w:left="492"/>
              <w:spacing w:after="0"/>
              <w:rPr>
                <w:sz w:val="20"/>
                <w:szCs w:val="20"/>
                <w:color w:val="auto"/>
              </w:rPr>
            </w:pPr>
            <w:r>
              <w:rPr>
                <w:rFonts w:ascii="Arial" w:cs="Arial" w:eastAsia="Arial" w:hAnsi="Arial"/>
                <w:sz w:val="14"/>
                <w:szCs w:val="14"/>
                <w:b w:val="1"/>
                <w:bCs w:val="1"/>
                <w:color w:val="auto"/>
                <w:w w:val="92"/>
              </w:rPr>
              <w:t>(in millions, except per unit data)</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20,182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23,152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43,464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42,249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37,797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1,118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PAGP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97"/>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net income per Class A share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N/A</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Declared distributions per Class A share </w:t>
            </w:r>
            <w:r>
              <w:rPr>
                <w:rFonts w:ascii="Arial" w:cs="Arial" w:eastAsia="Arial" w:hAnsi="Arial"/>
                <w:sz w:val="25"/>
                <w:szCs w:val="25"/>
                <w:color w:val="auto"/>
                <w:vertAlign w:val="superscript"/>
              </w:rPr>
              <w:t>(2)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N/A</w:t>
            </w:r>
          </w:p>
        </w:tc>
      </w:tr>
      <w:tr>
        <w:trPr>
          <w:trHeight w:val="297"/>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end of period):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26,103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24,142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23,923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21,411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19,219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11,839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11,931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7,566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 / 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Partners’ capital / Members’ equity (excluding</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50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Partners’ capital / Members’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9,234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by/(used in) financing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Expansion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78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4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6"/>
          </w:tcPr>
          <w:p>
            <w:pPr>
              <w:jc w:val="center"/>
              <w:ind w:left="753"/>
              <w:spacing w:after="0"/>
              <w:rPr>
                <w:sz w:val="20"/>
                <w:szCs w:val="20"/>
                <w:color w:val="auto"/>
              </w:rPr>
            </w:pPr>
            <w:r>
              <w:rPr>
                <w:rFonts w:ascii="Arial" w:cs="Arial" w:eastAsia="Arial" w:hAnsi="Arial"/>
                <w:sz w:val="14"/>
                <w:szCs w:val="14"/>
                <w:b w:val="1"/>
                <w:bCs w:val="1"/>
                <w:color w:val="auto"/>
                <w:w w:val="92"/>
              </w:rPr>
              <w:t>(in millions, except per unit data)</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5"/>
                <w:szCs w:val="25"/>
                <w:b w:val="1"/>
                <w:bCs w:val="1"/>
                <w:color w:val="auto"/>
                <w:vertAlign w:val="superscript"/>
              </w:rPr>
              <w:t>(3) (4)</w:t>
            </w: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Transportation segment (average daily volumes in thousands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barrels per day):</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segment total volumes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segment: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Crude oil, refined products and NGL terminalling and storage</w:t>
            </w: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0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(average monthly capacity in millions of barrels)</w:t>
            </w: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2"/>
              </w:rPr>
              <w:t>Rail load / unload volumes (average volumes in thousands of</w:t>
            </w: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barrels per day)</w:t>
            </w: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8"/>
              </w:rPr>
              <w:t>Natural gas storage (average monthly working capacity in</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6"/>
                <w:szCs w:val="16"/>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billions of cubic feet)</w:t>
            </w: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4"/>
              </w:rPr>
              <w:t>NGL fractionation (average volumes in thousands of barrels</w:t>
            </w: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 day)</w:t>
            </w: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w w:val="93"/>
              </w:rPr>
              <w:t>Facilities segment total volumes (average monthly volumes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46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6"/>
                <w:szCs w:val="16"/>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7"/>
        </w:trPr>
        <w:tc>
          <w:tcPr>
            <w:tcW w:w="4700" w:type="dxa"/>
            <w:vAlign w:val="bottom"/>
          </w:tcPr>
          <w:p>
            <w:pPr>
              <w:ind w:left="600"/>
              <w:spacing w:after="0"/>
              <w:rPr>
                <w:sz w:val="20"/>
                <w:szCs w:val="20"/>
                <w:color w:val="auto"/>
              </w:rPr>
            </w:pPr>
            <w:r>
              <w:rPr>
                <w:rFonts w:ascii="Arial" w:cs="Arial" w:eastAsia="Arial" w:hAnsi="Arial"/>
                <w:sz w:val="18"/>
                <w:szCs w:val="18"/>
                <w:color w:val="auto"/>
              </w:rPr>
              <w:t>in millions of barrels)</w:t>
            </w: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tcBorders>
              <w:top w:val="single" w:sz="8" w:color="CCEEFF"/>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Supply and Logistics segment (average daily volumes in</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thousands of barrels per day):</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lease gathering purchases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NGL sales</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Waterborne cargos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Supply and Logistics segment total volumes</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jc w:val="both"/>
        <w:ind w:left="660" w:right="460" w:hanging="652"/>
        <w:spacing w:after="0" w:line="252" w:lineRule="auto"/>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81" w:lineRule="exact"/>
        <w:rPr>
          <w:rFonts w:ascii="Arial" w:cs="Arial" w:eastAsia="Arial" w:hAnsi="Arial"/>
          <w:sz w:val="22"/>
          <w:szCs w:val="22"/>
          <w:color w:val="auto"/>
          <w:vertAlign w:val="superscript"/>
        </w:rPr>
      </w:pPr>
    </w:p>
    <w:p>
      <w:pPr>
        <w:ind w:left="660" w:right="72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during the year presented. See Note 11 to our Consolidated Financial Statements for further discussion regarding our distributions.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98" w:lineRule="exact"/>
        <w:rPr>
          <w:rFonts w:ascii="Arial" w:cs="Arial" w:eastAsia="Arial" w:hAnsi="Arial"/>
          <w:sz w:val="22"/>
          <w:szCs w:val="22"/>
          <w:color w:val="auto"/>
          <w:vertAlign w:val="superscript"/>
        </w:rPr>
      </w:pPr>
    </w:p>
    <w:p>
      <w:pPr>
        <w:ind w:left="660" w:hanging="652"/>
        <w:spacing w:after="0" w:line="234"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thousand cubic feet (“mcf”) of natural gas to crude British thermal unit (“Btu”) equivalent ratio and further divided by 1,000 to convert to monthly volumes in millions; and (iv) NGL fractionation volumes multiplied by the number of days in the year and divided by the number of months in the year.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333"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Overview and 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 Delaware limited partnership formed on July 17, 2013 that has elected to be taxes as a corporation for United States federal income tax purposes. As of December 31, 2016, our sole assets consisted of (i) a 100% managing member interest in Plains All American GP LLC (“GP LLC”) that has also elected to be taxed as a corporation for United States federal income tax purposes and (ii) an approximate 42% limited partner interest in AAP through our direct ownership of 100,198,807 AAP units and indirect ownership of 1,007,719 AAP units through GP LLC. GP LLC is a Delaware limited liability company that also holds the non-economic general partner interest in AAP. AAP is a Delaware limited partnership that, as of December 31, 2016, directly owns an approximate 33% limited partner interest in PAA represented by 241.7 million PAA common units. AAP is the sole member of PAA GP LLC (“PAA GP”), a Delaware limited liability company that directly holds the non-economic general partner interest in PAA.</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transitioning crude oil market over the last two years created a challenging environment for the overall midstream industry. See the “—Market Overview and Outlook” section below for further discussion. We recognized net income of $660 million in 2016 as compared to net income of $809 million recognized in 2015. This year-over-year decrease was impacted by:</w:t>
      </w:r>
    </w:p>
    <w:p>
      <w:pPr>
        <w:spacing w:after="0" w:line="181" w:lineRule="exact"/>
        <w:rPr>
          <w:sz w:val="20"/>
          <w:szCs w:val="20"/>
          <w:color w:val="auto"/>
        </w:rPr>
      </w:pPr>
    </w:p>
    <w:p>
      <w:pPr>
        <w:ind w:left="98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operating results, primarily due to less favorable crude oil and NGL market conditions, increased competition and the impact of mark-to-market losses on certain derivative instruments, partially offset by (i) contributions from our recently completed acquisition and capital expansion projects and (ii) lower field operating costs, largely due to lower trucking costs associated with our supply and logistics activities and the absence of costs related to the Line 901 incident, which occurred in May 2015;</w:t>
      </w:r>
    </w:p>
    <w:p>
      <w:pPr>
        <w:spacing w:after="0" w:line="186" w:lineRule="exact"/>
        <w:rPr>
          <w:rFonts w:ascii="Arial" w:cs="Arial" w:eastAsia="Arial" w:hAnsi="Arial"/>
          <w:sz w:val="18"/>
          <w:szCs w:val="18"/>
          <w:color w:val="auto"/>
        </w:rPr>
      </w:pPr>
    </w:p>
    <w:p>
      <w:pPr>
        <w:ind w:left="980" w:right="260" w:hanging="324"/>
        <w:spacing w:after="0" w:line="312"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Higher depreciation and amortization expense primarily resulting from (i) our recently completed capital expansion projects, (ii) impairment losses related to certain of our rail and other terminal assets and (iii) assets taken out of service and the discontinuation of certain capital projects, all partially offset by net gains related to non-core assets sales and joint venture formations completed during the 2016 period;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Gains recognized during 2016 related to the mark-to-market impact of our Preferred Distribution Rate Reset Option; and</w:t>
      </w:r>
    </w:p>
    <w:p>
      <w:pPr>
        <w:spacing w:after="0" w:line="225" w:lineRule="exact"/>
        <w:rPr>
          <w:rFonts w:ascii="Arial" w:cs="Arial" w:eastAsia="Arial" w:hAnsi="Arial"/>
          <w:sz w:val="18"/>
          <w:szCs w:val="18"/>
          <w:color w:val="auto"/>
        </w:rPr>
      </w:pPr>
    </w:p>
    <w:p>
      <w:pPr>
        <w:ind w:left="980" w:right="100" w:hanging="324"/>
        <w:spacing w:after="0" w:line="342"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Lower income tax expense primarily due to lower earnings from our Canadian operations and the impact from the cumulative revaluation of Canadian net deferred tax liabilities resulting from an Alberta, Canada provincial tax rate increase enacted during the comparative 2015 period.</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executed a $1.4 billion capital program during 2016, which we expect will contribute to growth in our fee-based Transportation and Facilities segments in future years. In addition, we paid approximately $1.7 billion of cash distributions to our Class A shareholders and noncontrolling interests during 2016.</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To improve our ability to manage through the industry downturn and to position for a recovery, we completed a number of initiatives during 2016 to maintain a solid capital structure, significant liquidity and overall financial flexibility. Such initiatives included (i) executing the Simplification Transactions in November 2016, which lowered PAA’s incremental cost of equity through the elimination of its IDRs, and in connection therewith resetting PAA’s distribution level, which resulted in an annual reduction in consolidated cash distributions of approximately $320 million, (ii) securing approximately $1.6 billion of equity capital through the sale of new PAA Series A preferred units in January 2016, (iii) selectively utilizing PAA’s continuous offering program to raise approximately $796 million of net proceeds, (iv) selling non-core assets and entering into strategic joint ventures, which raised approximately $550 million of cash proceeds during 2016 while reducing our capital commitments and (v) entering into a definitive agreement to sell additional assets for approximately $290 million that is expected to close in the first half of 2017, subject to regulatory approvals.</w:t>
      </w:r>
    </w:p>
    <w:p>
      <w:pPr>
        <w:spacing w:after="0" w:line="17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Subsequent to December 31, 2016, we acquired a crude oil gathering system located in the Northern Delaware Basin for approximately $1.215 billion. In addition, in February 2017, we entered into a definitive agreement to form a 50/50 joint venture to acquire a crude oil pipeline located in the Southern Delaware Basin for $133 million. We also entered into definitive sales agreements for two transactions totaling $310 million, and we completed a third transaction, the sale of a partial interest in a pipeline segment, in January 2017 for proceeds of $70 million. We expect the remaining transactions to close during the first half of 2017, subject to customary closing conditions, including receipt of regulatory approvals.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completed a number of acquisitions and capital projects in 2016, 2015 and 2014 that have impacted our results of operations. The following table summarizes our expenditures for acquisition capital, expansion capital and maintenance capital for the periods indicated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70"/>
        </w:trPr>
        <w:tc>
          <w:tcPr>
            <w:tcW w:w="6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1,099</w:t>
            </w:r>
          </w:p>
        </w:tc>
      </w:tr>
      <w:tr>
        <w:trPr>
          <w:trHeight w:val="270"/>
        </w:trPr>
        <w:tc>
          <w:tcPr>
            <w:tcW w:w="6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w:t>
            </w:r>
          </w:p>
        </w:tc>
        <w:tc>
          <w:tcPr>
            <w:tcW w:w="102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1,405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2,026</w:t>
            </w:r>
          </w:p>
        </w:tc>
      </w:tr>
      <w:tr>
        <w:trPr>
          <w:trHeight w:val="270"/>
        </w:trPr>
        <w:tc>
          <w:tcPr>
            <w:tcW w:w="6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10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r>
      <w:tr>
        <w:trPr>
          <w:trHeight w:val="237"/>
        </w:trPr>
        <w:tc>
          <w:tcPr>
            <w:tcW w:w="6500" w:type="dxa"/>
            <w:vAlign w:val="bottom"/>
          </w:tcPr>
          <w:p>
            <w:pPr>
              <w:spacing w:after="0"/>
              <w:rPr>
                <w:sz w:val="20"/>
                <w:szCs w:val="20"/>
                <w:color w:val="auto"/>
              </w:rPr>
            </w:pPr>
          </w:p>
        </w:tc>
        <w:tc>
          <w:tcPr>
            <w:tcW w:w="102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1,880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3,349</w:t>
            </w:r>
          </w:p>
        </w:tc>
      </w:tr>
      <w:tr>
        <w:trPr>
          <w:trHeight w:val="27"/>
        </w:trPr>
        <w:tc>
          <w:tcPr>
            <w:tcW w:w="6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hanging="652"/>
        <w:spacing w:after="0" w:line="226"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60" w:hanging="652"/>
        <w:spacing w:after="0" w:line="226"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Acquisitions are financed using a combination of equity and debt, including borrowings under the PAA commercial paper program or credit facilities and the issuance of PAA senior notes. In addition, we use proceeds from sales of non-core assets for funding. Businesses acquired impact our results of operations commencing on the closing date of each acquisition. Our acquisition, divestiture and capital expansion activities are discussed further in “— Liquidity and Capital Resources.” Information regarding acquisitions completed in 2016, 2015 and 2014 is set forth in the table below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Acquisition</w:t>
            </w:r>
          </w:p>
        </w:tc>
        <w:tc>
          <w:tcPr>
            <w:tcW w:w="120" w:type="dxa"/>
            <w:vAlign w:val="bottom"/>
            <w:vMerge w:val="restart"/>
          </w:tcPr>
          <w:p>
            <w:pPr>
              <w:spacing w:after="0"/>
              <w:rPr>
                <w:sz w:val="14"/>
                <w:szCs w:val="14"/>
                <w:color w:val="auto"/>
              </w:rPr>
            </w:pPr>
          </w:p>
        </w:tc>
        <w:tc>
          <w:tcPr>
            <w:tcW w:w="1720" w:type="dxa"/>
            <w:vAlign w:val="bottom"/>
            <w:gridSpan w:val="2"/>
          </w:tcPr>
          <w:p>
            <w:pPr>
              <w:ind w:left="540"/>
              <w:spacing w:after="0"/>
              <w:rPr>
                <w:sz w:val="20"/>
                <w:szCs w:val="20"/>
                <w:color w:val="auto"/>
              </w:rPr>
            </w:pPr>
            <w:r>
              <w:rPr>
                <w:rFonts w:ascii="Arial" w:cs="Arial" w:eastAsia="Arial" w:hAnsi="Arial"/>
                <w:sz w:val="14"/>
                <w:szCs w:val="14"/>
                <w:b w:val="1"/>
                <w:bCs w:val="1"/>
                <w:color w:val="auto"/>
              </w:rPr>
              <w:t>Effective</w:t>
            </w:r>
          </w:p>
        </w:tc>
        <w:tc>
          <w:tcPr>
            <w:tcW w:w="260" w:type="dxa"/>
            <w:vAlign w:val="bottom"/>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rPr>
              <w:t>Acquisition</w:t>
            </w:r>
          </w:p>
        </w:tc>
        <w:tc>
          <w:tcPr>
            <w:tcW w:w="100" w:type="dxa"/>
            <w:vAlign w:val="bottom"/>
          </w:tcPr>
          <w:p>
            <w:pPr>
              <w:spacing w:after="0"/>
              <w:rPr>
                <w:sz w:val="14"/>
                <w:szCs w:val="14"/>
                <w:color w:val="auto"/>
              </w:rPr>
            </w:pPr>
          </w:p>
        </w:tc>
        <w:tc>
          <w:tcPr>
            <w:tcW w:w="30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Canada NGL Assets</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Total</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Facilities</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BridgeTex Acquisition (50% interest) </w:t>
            </w:r>
            <w:r>
              <w:rPr>
                <w:rFonts w:ascii="Arial" w:cs="Arial" w:eastAsia="Arial" w:hAnsi="Arial"/>
                <w:sz w:val="25"/>
                <w:szCs w:val="25"/>
                <w:color w:val="auto"/>
                <w:vertAlign w:val="superscript"/>
              </w:rPr>
              <w:t>(1)</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November 2014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23"/>
                <w:szCs w:val="23"/>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2014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460" w:hanging="652"/>
        <w:spacing w:after="0" w:line="216"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We account for our 50% interest in BridgeTex under the equity method of accounting. See Note 8 to our Consolidated Financial Statements for further discussion of our equity method investments.</w:t>
      </w:r>
    </w:p>
    <w:p>
      <w:pPr>
        <w:spacing w:after="0" w:line="203"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i w:val="1"/>
          <w:iCs w:val="1"/>
          <w:color w:val="auto"/>
        </w:rPr>
        <w:t xml:space="preserve">Alpha Crude Connector Gathering System. </w:t>
      </w:r>
      <w:r>
        <w:rPr>
          <w:rFonts w:ascii="Arial" w:cs="Arial" w:eastAsia="Arial" w:hAnsi="Arial"/>
          <w:sz w:val="17"/>
          <w:szCs w:val="17"/>
          <w:color w:val="auto"/>
        </w:rPr>
        <w:t>In February 2017, we acquired the Alpha Crude Connector (“ACC”) gathering system for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$1.215 billion, subject to working capital and other adjustments. The ACC gathering system is located in the Northern Delaware Basin in Southeastern New Mexico and West Texas and is comprised of 515 miles of recently constructed gathering and transmission lines and five market interconnects, including to our Basin Pipeline at Wink. The ACC gathering system is supported by long-term acreage dedications.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2016 projects primarily included the construction and expansion of pipeline systems and storage and terminal facilities. The following table summarizes our 2016, 2015 and 2014 projects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Red River Pipeline (Cushing to Longview)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Permian Basin Area Projects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378</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Fort Saskatchewan Facility Projects / NGL Line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Saddlehorn Pipeline </w:t>
            </w:r>
            <w:r>
              <w:rPr>
                <w:rFonts w:ascii="Arial" w:cs="Arial" w:eastAsia="Arial" w:hAnsi="Arial"/>
                <w:sz w:val="25"/>
                <w:szCs w:val="25"/>
                <w:color w:val="auto"/>
                <w:vertAlign w:val="superscript"/>
              </w:rPr>
              <w:t>(4)</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(2) (5)</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 James Terminal Expansions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Eagle Ford JV Projects </w:t>
            </w:r>
            <w:r>
              <w:rPr>
                <w:rFonts w:ascii="Arial" w:cs="Arial" w:eastAsia="Arial" w:hAnsi="Arial"/>
                <w:sz w:val="25"/>
                <w:szCs w:val="25"/>
                <w:color w:val="auto"/>
                <w:vertAlign w:val="superscript"/>
              </w:rPr>
              <w:t>(2) (5)</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0"/>
        </w:trPr>
        <w:tc>
          <w:tcPr>
            <w:tcW w:w="7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70"/>
        </w:trPr>
        <w:tc>
          <w:tcPr>
            <w:tcW w:w="7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0"/>
        </w:trPr>
        <w:tc>
          <w:tcPr>
            <w:tcW w:w="7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r>
      <w:tr>
        <w:trPr>
          <w:trHeight w:val="237"/>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2,026</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In January 2017, we sold an undivided 40% interest in a segment of the Red River Pipeline.</w:t>
      </w:r>
    </w:p>
    <w:p>
      <w:pPr>
        <w:spacing w:after="0" w:line="98" w:lineRule="exact"/>
        <w:rPr>
          <w:rFonts w:ascii="Arial" w:cs="Arial" w:eastAsia="Arial" w:hAnsi="Arial"/>
          <w:sz w:val="25"/>
          <w:szCs w:val="25"/>
          <w:color w:val="auto"/>
          <w:vertAlign w:val="superscript"/>
        </w:rPr>
      </w:pPr>
    </w:p>
    <w:p>
      <w:pPr>
        <w:ind w:left="660" w:right="120" w:hanging="652"/>
        <w:spacing w:after="0" w:line="214" w:lineRule="auto"/>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These projects will continue into 2017. See “—Liquidity and Capital Resources—Acquisitions, Divestitures and Expansion Capital Expenditures— 2017 Capital Projects.”</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560" w:hanging="652"/>
        <w:spacing w:after="0" w:line="216"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Includes railcar purchases, as well as rail projects near St. James, LA; Tampa, CO; Bakersfield, CA; Carr, CO; Manitou, ND; Van Hook, ND; Yorktown, VA; and Kerrobert, Canada rail projects.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40% investment interest in Saddlehorn.</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investment interest.</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recent expansion capital programs were primarily driven by investment in midstream infrastructure projects to address the need for additional takeaway capacity in regions impacted by the increase in crude oil and liquids-rich gas production growth in North America, as well as the long-term needs of both the upstream and downstream sectors of the crude oil space. A majority of the expansion capital spent in the years presented was invested in our fee-based Transportation and Facilities segments.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However, the meaningful decrease in crude oil prices since the second half of 2014 led to production declines and infrastructure overbuild in a number of onshore resource plays. As such, we have reduced our forecasted capital expansion program in 2017 relative to prior years. We currently expect to spend approximately $800 million for expansion capital in 2017. See “—Liquidity and Capital Resources—Acquisitions, Divestitures and Expansion Capital Expenditures—2017 Capital Projects” and “—Market Overview and Outlook”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adopted various accounting policies to prepare our consolidated financial statements in accordance with GAAP. These critical accounting policies are discussed in Note 2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equity-indexed compensation plan accruals, (v) property and equipment, depreciation expense and asset retirement obligations, (vi) allowance for doubtful accounts and</w:t>
      </w:r>
    </w:p>
    <w:p>
      <w:pPr>
        <w:ind w:right="260" w:firstLine="8"/>
        <w:spacing w:after="0" w:line="255" w:lineRule="auto"/>
        <w:tabs>
          <w:tab w:leader="none" w:pos="3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inventory valuations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9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Fair Value of Assets and Liabilities Acquired and Identification of Associated Goodwill and Intangible Assets. </w:t>
      </w:r>
      <w:r>
        <w:rPr>
          <w:rFonts w:ascii="Arial" w:cs="Arial" w:eastAsia="Arial" w:hAnsi="Arial"/>
          <w:sz w:val="16"/>
          <w:szCs w:val="16"/>
          <w:color w:val="auto"/>
        </w:rPr>
        <w:t>In accordance with FASB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acquisitions of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6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 party assessments. Impairment testing entails estimating future net cash flows relating to the business, based on management’s estimate of future revenues, future cash flows and market conditions including pricing, demand, competition, operating costs and other factors, such as weighted average cost of capital. Uncertainties associated with these estimates include changes in production decline rates, production interruptions, fluctuations in refinery capacity or product slates, economic obsolescence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factors in the area and potential future sources of cash flow. We cannot provide assurance that actual amounts will not vary significantly from estimated amounts. Resolutions of these uncertainties have resulted, although not material, and in the future may result, in impairments that impact our results of operations and financial condition. See Note 7 to our Consolidated Financial Statements for further discussion of goodwill.</w:t>
      </w:r>
    </w:p>
    <w:p>
      <w:pPr>
        <w:spacing w:after="0" w:line="16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in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79"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also have embedded derivatives in PAA’s preferred units that are accounted for as assets and liabilities at fair value in our Consolidated Balance Sheets. Derivatives related to the embedded derivatives in PAA’s preferred units are valued using a model that contains inputs, including PAA common unit price, ten-year U.S. Treasury rates, default probabilities and timing estimates, which involve management judgment.</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Although the resolution of these uncertainties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spacing w:after="0" w:line="16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$12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Equity-Indexed Compensation Plan Accruals. </w:t>
      </w:r>
      <w:r>
        <w:rPr>
          <w:rFonts w:ascii="Arial" w:cs="Arial" w:eastAsia="Arial" w:hAnsi="Arial"/>
          <w:sz w:val="17"/>
          <w:szCs w:val="17"/>
          <w:color w:val="auto"/>
        </w:rPr>
        <w:t>We accrue compensation expense (referred to herein as equity-indexed compensation expense) for</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the actual unit price at time of vesting, whether or not a performance condition will be attained and the continued employment of personnel with outstanding equity-indexed compensation awards. We cannot provide assurance that the actual fair value of our equity-indexed compensation awards will not vary significantly from estimated amounts.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recognized equity-indexed compensation expense of $60 million, $27 million and $99 million in 2016, 2015 and 2014, respectively, related to awards granted under our various equity-indexed compensation plans. A hypothetical variance of 5% in our aggregate estimate for the equity-indexed compensation expense would have an impact on net income of less than 1%. See Note 16 to our Consolidated Financial Statements for a discussion regarding our equity-indexed compensation plans.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Property and Equipment, Depreciation Expense, Asset Retirement Obligations and Impairments. </w:t>
      </w:r>
      <w:r>
        <w:rPr>
          <w:rFonts w:ascii="Arial" w:cs="Arial" w:eastAsia="Arial" w:hAnsi="Arial"/>
          <w:sz w:val="18"/>
          <w:szCs w:val="18"/>
          <w:color w:val="auto"/>
        </w:rPr>
        <w:t>We compute depreciation using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based on estimated useful lives. These estimates are based on various factors including condition, manufacturing specifications, technological advances and historical data concerning useful lives of similar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295"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discussed in the “Market Overview and Outlook” section below, the decline in crude oil prices and its impact on certain differentials and downward pressure on production that has occurred since mid-2014 has adversely impacted most companies in the midstream industry, including us. As a result of such adverse market conditions, during 2016, we recognized approximately $80 million of non-cash impairment losses on certain of our long-lived rail and other terminal assets included in our Facilities segment. Despite the modest recovery in the crude oil market in recent months, we continue to monitor appropriate indicators of potential impairment.</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did not recognize any material impairment of long-lived assets during the year ended December 31, 2015. During the year ended December 31, 2014, we recognized impairments of $10 million primarily related to assets that were taken out of service. See Note 5 to our Consolidated Financial Statements for further discussion regarding impairments.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2016, 2015 and 2014)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Inventory Valuations. </w:t>
      </w:r>
      <w:r>
        <w:rPr>
          <w:rFonts w:ascii="Arial" w:cs="Arial" w:eastAsia="Arial" w:hAnsi="Arial"/>
          <w:sz w:val="18"/>
          <w:szCs w:val="18"/>
          <w:color w:val="auto"/>
        </w:rPr>
        <w:t>Inventory, including long-term inventory, primarily consists of crude oil, NGL and natural gas and is valued at the lower of</w:t>
      </w:r>
      <w:r>
        <w:rPr>
          <w:rFonts w:ascii="Arial" w:cs="Arial" w:eastAsia="Arial" w:hAnsi="Arial"/>
          <w:sz w:val="18"/>
          <w:szCs w:val="18"/>
          <w:i w:val="1"/>
          <w:iCs w:val="1"/>
          <w:color w:val="auto"/>
        </w:rPr>
        <w:t xml:space="preserve"> </w:t>
      </w:r>
      <w:r>
        <w:rPr>
          <w:rFonts w:ascii="Arial" w:cs="Arial" w:eastAsia="Arial" w:hAnsi="Arial"/>
          <w:sz w:val="18"/>
          <w:szCs w:val="18"/>
          <w:color w:val="auto"/>
        </w:rPr>
        <w:t>cost or market,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2016, 2015 and 2014, we recorded charges of $3 million, $117 million and $289 million, respectively, related to the valuation adjustment of our crude oil, NGL and natural gas inventory due to declines in prices. See Note 4 to our Consolidated Financial Statements for further discussion regarding inventory.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See Note 2 to our Consolidated Financial Statements for information regarding the effect of recent accounting pronouncements on our consolidated financial statements, including the impact of our adoption of revised debt issuance costs guidance on prior period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7"/>
              </w:rPr>
              <w:t>Favorable/(Unfavorable) Variance</w:t>
            </w:r>
          </w:p>
        </w:tc>
        <w:tc>
          <w:tcPr>
            <w:tcW w:w="660" w:type="dxa"/>
            <w:vAlign w:val="bottom"/>
            <w:tcBorders>
              <w:bottom w:val="single" w:sz="8" w:color="auto"/>
            </w:tcBorders>
          </w:tcPr>
          <w:p>
            <w:pPr>
              <w:spacing w:after="0"/>
              <w:rPr>
                <w:sz w:val="16"/>
                <w:szCs w:val="16"/>
                <w:color w:val="auto"/>
              </w:rPr>
            </w:pPr>
          </w:p>
        </w:tc>
      </w:tr>
      <w:tr>
        <w:trPr>
          <w:trHeight w:val="264"/>
        </w:trPr>
        <w:tc>
          <w:tcPr>
            <w:tcW w:w="3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2016-2015</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2015-2014</w:t>
            </w:r>
          </w:p>
        </w:tc>
        <w:tc>
          <w:tcPr>
            <w:tcW w:w="660" w:type="dxa"/>
            <w:vAlign w:val="bottom"/>
            <w:tcBorders>
              <w:bottom w:val="single" w:sz="8" w:color="auto"/>
            </w:tcBorders>
          </w:tcPr>
          <w:p>
            <w:pPr>
              <w:spacing w:after="0"/>
              <w:rPr>
                <w:sz w:val="22"/>
                <w:szCs w:val="22"/>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Transportation segment adjusted EBITDA </w:t>
            </w:r>
            <w:r>
              <w:rPr>
                <w:rFonts w:ascii="Arial" w:cs="Arial" w:eastAsia="Arial" w:hAnsi="Arial"/>
                <w:sz w:val="25"/>
                <w:szCs w:val="25"/>
                <w:color w:val="auto"/>
                <w:w w:val="99"/>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adjusted</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57"/>
        </w:trPr>
        <w:tc>
          <w:tcPr>
            <w:tcW w:w="36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651</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62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general and</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1,328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57"/>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(1,258)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9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PAGP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57"/>
        </w:trPr>
        <w:tc>
          <w:tcPr>
            <w:tcW w:w="3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Basic net income per Class A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Class A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Basic weighted average Class A shares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Class A shares</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3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320" w:hanging="231"/>
        <w:spacing w:after="0"/>
        <w:tabs>
          <w:tab w:leader="none" w:pos="3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Indicates that variance as a percentage is not meaningful.</w:t>
      </w:r>
    </w:p>
    <w:p>
      <w:pPr>
        <w:spacing w:after="0" w:line="117" w:lineRule="exact"/>
        <w:rPr>
          <w:rFonts w:ascii="Arial" w:cs="Arial" w:eastAsia="Arial" w:hAnsi="Arial"/>
          <w:sz w:val="18"/>
          <w:szCs w:val="18"/>
          <w:color w:val="auto"/>
        </w:rPr>
      </w:pPr>
    </w:p>
    <w:p>
      <w:pPr>
        <w:ind w:left="640" w:right="260" w:hanging="632"/>
        <w:spacing w:after="0" w:line="232" w:lineRule="auto"/>
        <w:tabs>
          <w:tab w:leader="none" w:pos="6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19 to our Consolidated Financial Statements for additional discussion of such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23323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80"/>
          </w:cols>
          <w:pgMar w:left="240" w:top="125" w:right="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of unconsolidated entities) and adjusted for certain selected items impacting comparability (“Adjusted EBITDA”).</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our non-GAAP financial performance measure from Net Income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Pr>
          <w:p>
            <w:pPr>
              <w:ind w:left="34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40" w:type="dxa"/>
            <w:vAlign w:val="bottom"/>
          </w:tcPr>
          <w:p>
            <w:pPr>
              <w:spacing w:after="0"/>
              <w:rPr>
                <w:sz w:val="22"/>
                <w:szCs w:val="22"/>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Selected Items Impacting Comparability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w w:val="99"/>
              </w:rPr>
              <w:t>(Gains)/losses from derivative activities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40"/>
              <w:spacing w:after="0"/>
              <w:rPr>
                <w:sz w:val="20"/>
                <w:szCs w:val="20"/>
                <w:color w:val="auto"/>
              </w:rPr>
            </w:pPr>
            <w:r>
              <w:rPr>
                <w:rFonts w:ascii="Arial" w:cs="Arial" w:eastAsia="Arial" w:hAnsi="Arial"/>
                <w:sz w:val="18"/>
                <w:szCs w:val="18"/>
                <w:color w:val="auto"/>
                <w:w w:val="97"/>
              </w:rPr>
              <w:t>net of inventory valuation adjustments</w:t>
            </w:r>
          </w:p>
        </w:tc>
        <w:tc>
          <w:tcPr>
            <w:tcW w:w="240" w:type="dxa"/>
            <w:vAlign w:val="bottom"/>
          </w:tcPr>
          <w:p>
            <w:pPr>
              <w:spacing w:after="0"/>
              <w:rPr>
                <w:sz w:val="18"/>
                <w:szCs w:val="18"/>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163"/>
        </w:trPr>
        <w:tc>
          <w:tcPr>
            <w:tcW w:w="3320" w:type="dxa"/>
            <w:vAlign w:val="bottom"/>
          </w:tcPr>
          <w:p>
            <w:pPr>
              <w:ind w:left="340"/>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w w:val="96"/>
              </w:rPr>
              <w:t>Long-term inventory costing adjustments</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63"/>
        </w:trPr>
        <w:tc>
          <w:tcPr>
            <w:tcW w:w="3320" w:type="dxa"/>
            <w:vAlign w:val="bottom"/>
          </w:tcPr>
          <w:p>
            <w:pPr>
              <w:ind w:left="340"/>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w w:val="93"/>
              </w:rPr>
              <w:t xml:space="preserve">Equity-indexed compensation expense </w:t>
            </w:r>
            <w:r>
              <w:rPr>
                <w:rFonts w:ascii="Arial" w:cs="Arial" w:eastAsia="Arial" w:hAnsi="Arial"/>
                <w:sz w:val="25"/>
                <w:szCs w:val="25"/>
                <w:color w:val="auto"/>
                <w:w w:val="93"/>
                <w:vertAlign w:val="superscript"/>
              </w:rPr>
              <w:t>(5)</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Net (gain)/loss on foreign currency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Pr>
          <w:p>
            <w:pPr>
              <w:ind w:left="34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40" w:type="dxa"/>
            <w:vAlign w:val="bottom"/>
          </w:tcPr>
          <w:p>
            <w:pPr>
              <w:spacing w:after="0"/>
              <w:rPr>
                <w:sz w:val="22"/>
                <w:szCs w:val="22"/>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3320" w:type="dxa"/>
            <w:vAlign w:val="bottom"/>
          </w:tcPr>
          <w:p>
            <w:pPr>
              <w:ind w:left="40"/>
              <w:spacing w:after="0"/>
              <w:rPr>
                <w:sz w:val="20"/>
                <w:szCs w:val="20"/>
                <w:color w:val="auto"/>
              </w:rPr>
            </w:pPr>
            <w:r>
              <w:rPr>
                <w:rFonts w:ascii="Arial" w:cs="Arial" w:eastAsia="Arial" w:hAnsi="Arial"/>
                <w:sz w:val="18"/>
                <w:szCs w:val="18"/>
                <w:color w:val="auto"/>
                <w:w w:val="99"/>
              </w:rPr>
              <w:t>Selected Items Impacting Comparability -</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Net (gain)/loss on foreign currency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tcPr>
          <w:p>
            <w:pPr>
              <w:ind w:left="20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Selected Items Impacting Comparability -</w:t>
            </w: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320" w:type="dxa"/>
            <w:vAlign w:val="bottom"/>
            <w:tcBorders>
              <w:bottom w:val="single" w:sz="8" w:color="CCEEFF"/>
            </w:tcBorders>
            <w:shd w:val="clear" w:color="auto" w:fill="CCEEFF"/>
          </w:tcPr>
          <w:p>
            <w:pPr>
              <w:ind w:left="200"/>
              <w:spacing w:after="0" w:line="24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3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right="60" w:hanging="652"/>
        <w:spacing w:after="0" w:line="226"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Our proportionate share of the depreciation and amortization expense associated with such unconsolidated entities is excluded when reviewing Adjusted EBITDA, similar to our consolidated pipelines.</w:t>
      </w:r>
    </w:p>
    <w:p>
      <w:pPr>
        <w:spacing w:after="0" w:line="95" w:lineRule="exact"/>
        <w:rPr>
          <w:rFonts w:ascii="Arial" w:cs="Arial" w:eastAsia="Arial" w:hAnsi="Arial"/>
          <w:sz w:val="25"/>
          <w:szCs w:val="25"/>
          <w:color w:val="auto"/>
          <w:vertAlign w:val="superscript"/>
        </w:rPr>
      </w:pPr>
    </w:p>
    <w:p>
      <w:pPr>
        <w:ind w:left="660" w:right="40" w:hanging="652"/>
        <w:spacing w:after="0" w:line="275" w:lineRule="auto"/>
        <w:tabs>
          <w:tab w:leader="none" w:pos="66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12 to our Consolidated Financial Statements for a comprehensive discussion regarding our derivatives and risk management activities.</w:t>
      </w:r>
    </w:p>
    <w:p>
      <w:pPr>
        <w:spacing w:after="0" w:line="71" w:lineRule="exact"/>
        <w:rPr>
          <w:rFonts w:ascii="Arial" w:cs="Arial" w:eastAsia="Arial" w:hAnsi="Arial"/>
          <w:sz w:val="22"/>
          <w:szCs w:val="22"/>
          <w:color w:val="auto"/>
          <w:vertAlign w:val="superscript"/>
        </w:rPr>
      </w:pPr>
    </w:p>
    <w:p>
      <w:pPr>
        <w:ind w:left="660" w:right="820" w:hanging="652"/>
        <w:spacing w:after="0" w:line="216"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We have certain agreements that require counterparties to deliver, transport or throughput a minimum volume over an agreed upon period. Substantially all of such agreements were entered into with counterparties to economically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 Amounts for years prior to 2016 were not significant.</w:t>
      </w:r>
    </w:p>
    <w:p>
      <w:pPr>
        <w:spacing w:after="0" w:line="31" w:lineRule="exact"/>
        <w:rPr>
          <w:sz w:val="20"/>
          <w:szCs w:val="20"/>
          <w:color w:val="auto"/>
        </w:rPr>
      </w:pPr>
    </w:p>
    <w:p>
      <w:pPr>
        <w:ind w:left="660" w:hanging="652"/>
        <w:spacing w:after="0" w:line="253"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for additional inventory disclosures.</w:t>
      </w:r>
    </w:p>
    <w:p>
      <w:pPr>
        <w:spacing w:after="0" w:line="83" w:lineRule="exact"/>
        <w:rPr>
          <w:rFonts w:ascii="Arial" w:cs="Arial" w:eastAsia="Arial" w:hAnsi="Arial"/>
          <w:sz w:val="24"/>
          <w:szCs w:val="24"/>
          <w:color w:val="auto"/>
          <w:vertAlign w:val="superscript"/>
        </w:rPr>
      </w:pPr>
    </w:p>
    <w:p>
      <w:pPr>
        <w:ind w:left="660" w:right="20" w:hanging="652"/>
        <w:spacing w:after="0" w:line="254"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for a comprehensive discussion regarding our equity-indexed compensation plans.</w:t>
      </w:r>
    </w:p>
    <w:p>
      <w:pPr>
        <w:spacing w:after="0" w:line="87" w:lineRule="exact"/>
        <w:rPr>
          <w:rFonts w:ascii="Arial" w:cs="Arial" w:eastAsia="Arial" w:hAnsi="Arial"/>
          <w:sz w:val="24"/>
          <w:szCs w:val="24"/>
          <w:color w:val="auto"/>
          <w:vertAlign w:val="superscript"/>
        </w:rPr>
      </w:pPr>
    </w:p>
    <w:p>
      <w:pPr>
        <w:ind w:left="660" w:right="80" w:hanging="652"/>
        <w:spacing w:after="0" w:line="262" w:lineRule="auto"/>
        <w:tabs>
          <w:tab w:leader="none" w:pos="66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During the periods presented, there were fluctuations in the value of the Canadian dollar (“CAD”) to the U.S. dollar (“USD”), resulting in gains and losses that were not related to our core operating results for the period and were thus classified as a selected item impacting comparability. See Note 12 to our Consolidated Financial Statements for discussion regarding our currency exchange rate risk hedging activities.</w:t>
      </w:r>
    </w:p>
    <w:p>
      <w:pPr>
        <w:spacing w:after="0" w:line="78" w:lineRule="exact"/>
        <w:rPr>
          <w:rFonts w:ascii="Arial" w:cs="Arial" w:eastAsia="Arial" w:hAnsi="Arial"/>
          <w:sz w:val="22"/>
          <w:szCs w:val="22"/>
          <w:color w:val="auto"/>
          <w:vertAlign w:val="superscript"/>
        </w:rPr>
      </w:pPr>
    </w:p>
    <w:p>
      <w:pPr>
        <w:ind w:left="660" w:right="240" w:hanging="652"/>
        <w:spacing w:after="0" w:line="216"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17 to our Consolidated Financial Statements for additional information.</w:t>
      </w:r>
    </w:p>
    <w:p>
      <w:pPr>
        <w:spacing w:after="0" w:line="95" w:lineRule="exact"/>
        <w:rPr>
          <w:rFonts w:ascii="Arial" w:cs="Arial" w:eastAsia="Arial" w:hAnsi="Arial"/>
          <w:sz w:val="25"/>
          <w:szCs w:val="25"/>
          <w:color w:val="auto"/>
          <w:vertAlign w:val="superscript"/>
        </w:rPr>
      </w:pPr>
    </w:p>
    <w:p>
      <w:pPr>
        <w:ind w:left="660" w:right="660" w:hanging="652"/>
        <w:spacing w:after="0" w:line="216"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Segment adjusted EBITDA is exclusive of such amounts.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fourth quarter of 2016, we modified our primary segment performance measure to segment adjusted EBITDA from segment profit, and thus prior period segment disclosures have been recast to reflect this change. Segment adjusted EBITDA forms the basis of our internal financial reporting and is the measure of segment performance that is utilized by our CODM in assessing performance and allocating resources among our operating segments. Such recasts have no impact on previously reported consolidated financial results.</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 our core segment operating performance. See Note 19 to our Consolidated Financial Statements for a reconciliation of segment adjusted EBITDA to net income attributable to PAGP.</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each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Tariff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1,447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 transportation revenues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Equity-indexed compensation expense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field operating costs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Segment general and administrative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3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Equity-indexed compensation expense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4"/>
              </w:rPr>
              <w:t>Equity earnings in unconsolidated entities</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Deficiencies under minimum volume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commitments, net</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Line 901 incident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gridSpan w:val="2"/>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89</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4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2016-2015</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80" w:type="dxa"/>
            <w:vAlign w:val="bottom"/>
            <w:gridSpan w:val="2"/>
            <w:vMerge w:val="continue"/>
          </w:tcPr>
          <w:p>
            <w:pPr>
              <w:spacing w:after="0"/>
              <w:rPr>
                <w:sz w:val="6"/>
                <w:szCs w:val="6"/>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Volumes</w:t>
            </w:r>
          </w:p>
        </w:tc>
        <w:tc>
          <w:tcPr>
            <w:tcW w:w="100" w:type="dxa"/>
            <w:vAlign w:val="bottom"/>
            <w:vMerge w:val="restart"/>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Volumes</w:t>
            </w:r>
          </w:p>
        </w:tc>
        <w:tc>
          <w:tcPr>
            <w:tcW w:w="10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7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(5)</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(6)</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1,512</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(6)</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Western</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(6)</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Gulf Coast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(6)</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volumes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57"/>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color w:val="auto"/>
        </w:rPr>
        <w:t>Average daily volumes are calculated as the total volumes (attributable to our interest) for the year divided by the number of days in the year.</w:t>
      </w:r>
    </w:p>
    <w:p>
      <w:pPr>
        <w:spacing w:after="0" w:line="98" w:lineRule="exact"/>
        <w:rPr>
          <w:rFonts w:ascii="Arial" w:cs="Arial" w:eastAsia="Arial" w:hAnsi="Arial"/>
          <w:sz w:val="24"/>
          <w:szCs w:val="24"/>
          <w:color w:val="auto"/>
          <w:vertAlign w:val="superscript"/>
        </w:rPr>
      </w:pPr>
    </w:p>
    <w:p>
      <w:pPr>
        <w:ind w:left="660" w:hanging="652"/>
        <w:spacing w:after="0" w:line="188" w:lineRule="auto"/>
        <w:tabs>
          <w:tab w:leader="none" w:pos="66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Area systems include volumes (attributable to our interest) from pipelines owned by unconsolidated entities.</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Revenues from Tariff Activities, Equity Earnings in Unconsolidated Entities and Volumes. </w:t>
      </w:r>
      <w:r>
        <w:rPr>
          <w:rFonts w:ascii="Arial" w:cs="Arial" w:eastAsia="Arial" w:hAnsi="Arial"/>
          <w:sz w:val="18"/>
          <w:szCs w:val="18"/>
          <w:color w:val="auto"/>
        </w:rPr>
        <w:t>The following table presents variances in tariff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equity earnings in unconsolidated entities by region for the comparative periods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7"/>
          </w:tcPr>
          <w:p>
            <w:pPr>
              <w:ind w:left="120"/>
              <w:spacing w:after="0"/>
              <w:rPr>
                <w:sz w:val="20"/>
                <w:szCs w:val="20"/>
                <w:color w:val="auto"/>
              </w:rPr>
            </w:pPr>
            <w:r>
              <w:rPr>
                <w:rFonts w:ascii="Arial" w:cs="Arial" w:eastAsia="Arial" w:hAnsi="Arial"/>
                <w:sz w:val="14"/>
                <w:szCs w:val="14"/>
                <w:b w:val="1"/>
                <w:bCs w:val="1"/>
                <w:color w:val="auto"/>
              </w:rPr>
              <w:t>Favorable/(Unfavorable) Variance  2016-</w:t>
            </w:r>
          </w:p>
        </w:tc>
        <w:tc>
          <w:tcPr>
            <w:tcW w:w="140" w:type="dxa"/>
            <w:vAlign w:val="bottom"/>
          </w:tcPr>
          <w:p>
            <w:pPr>
              <w:spacing w:after="0"/>
              <w:rPr>
                <w:sz w:val="14"/>
                <w:szCs w:val="14"/>
                <w:color w:val="auto"/>
              </w:rPr>
            </w:pPr>
          </w:p>
        </w:tc>
        <w:tc>
          <w:tcPr>
            <w:tcW w:w="270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5"/>
              </w:rPr>
              <w:t>Favorable/(Unfavorable) Variance  2015-</w:t>
            </w:r>
          </w:p>
        </w:tc>
      </w:tr>
      <w:tr>
        <w:trPr>
          <w:trHeight w:val="192"/>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2014</w:t>
            </w:r>
          </w:p>
        </w:tc>
        <w:tc>
          <w:tcPr>
            <w:tcW w:w="124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Equity Earnings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Revenues</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Equity Earnings</w:t>
            </w: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South Texas / Eagle Ford region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Western region</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Rocky Mountain region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Gulf Coast region</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Central region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Canada crude oil</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NGL</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Other (including pipeline loss allowance revenue)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variance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5" w:lineRule="auto"/>
        <w:tabs>
          <w:tab w:leader="none" w:pos="98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for 2016 compared to 2015 was primarily driven by (i) higher volumes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of our pipeline systems in the Delaware Basin, (ii) higher volumes on our takeaway pipelines and (iii) a full year of service of our Cactus pipeline, which was placed in service in April 2015. Revenues increased for 2015 over 2014 primarily due to (i) results from our Cactus pipeline and (ii) higher volumes related to increased production, primarily associated with the expansion of our pipeline system in the Delaware Basin. The increase in equity earnings for 2015 over 2014 was driven by earnings from our interest in BridgeTex, which we acquired in November 2014.</w:t>
      </w:r>
    </w:p>
    <w:p>
      <w:pPr>
        <w:spacing w:after="0" w:line="193" w:lineRule="exact"/>
        <w:rPr>
          <w:rFonts w:ascii="Arial" w:cs="Arial" w:eastAsia="Arial" w:hAnsi="Arial"/>
          <w:sz w:val="18"/>
          <w:szCs w:val="18"/>
          <w:i w:val="1"/>
          <w:iCs w:val="1"/>
          <w:color w:val="auto"/>
        </w:rPr>
      </w:pPr>
    </w:p>
    <w:p>
      <w:pPr>
        <w:ind w:left="980" w:right="40" w:hanging="324"/>
        <w:spacing w:after="0" w:line="286" w:lineRule="auto"/>
        <w:tabs>
          <w:tab w:leader="none" w:pos="98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South Texas / Eagle Ford region. </w:t>
      </w:r>
      <w:r>
        <w:rPr>
          <w:rFonts w:ascii="Arial" w:cs="Arial" w:eastAsia="Arial" w:hAnsi="Arial"/>
          <w:sz w:val="16"/>
          <w:szCs w:val="16"/>
          <w:color w:val="auto"/>
        </w:rPr>
        <w:t>Revenues decreased in 2016 compared to 2015 due to production declines in the region. Revenues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for 2015 over 2014 due to higher volumes driven by the extension of our gathering system and increased production. Equity earnings increased for 2015 over 2014 due to higher earnings from our interest in Eagle Ford Pipeline LLC, primarily driven by higher throughput on the Eagle Ford pipeline system. The higher throughput was due to a combination of (i) the connection to our Cactus pipeline in April 2015 and</w:t>
      </w:r>
    </w:p>
    <w:p>
      <w:pPr>
        <w:spacing w:after="0" w:line="1" w:lineRule="exact"/>
        <w:rPr>
          <w:rFonts w:ascii="Arial" w:cs="Arial" w:eastAsia="Arial" w:hAnsi="Arial"/>
          <w:sz w:val="16"/>
          <w:szCs w:val="16"/>
          <w:i w:val="1"/>
          <w:iCs w:val="1"/>
          <w:color w:val="auto"/>
        </w:rPr>
      </w:pPr>
    </w:p>
    <w:p>
      <w:pPr>
        <w:ind w:left="980"/>
        <w:spacing w:after="0"/>
        <w:rPr>
          <w:rFonts w:ascii="Arial" w:cs="Arial" w:eastAsia="Arial" w:hAnsi="Arial"/>
          <w:sz w:val="16"/>
          <w:szCs w:val="16"/>
          <w:i w:val="1"/>
          <w:iCs w:val="1"/>
          <w:color w:val="auto"/>
        </w:rPr>
      </w:pPr>
      <w:r>
        <w:rPr>
          <w:rFonts w:ascii="Arial" w:cs="Arial" w:eastAsia="Arial" w:hAnsi="Arial"/>
          <w:sz w:val="18"/>
          <w:szCs w:val="18"/>
          <w:color w:val="auto"/>
        </w:rPr>
        <w:t>(ii) increased crude oil production in the Eagle Ford region.</w:t>
      </w:r>
    </w:p>
    <w:p>
      <w:pPr>
        <w:spacing w:after="0" w:line="210" w:lineRule="exact"/>
        <w:rPr>
          <w:rFonts w:ascii="Arial" w:cs="Arial" w:eastAsia="Arial" w:hAnsi="Arial"/>
          <w:sz w:val="16"/>
          <w:szCs w:val="16"/>
          <w:i w:val="1"/>
          <w:iCs w:val="1"/>
          <w:color w:val="auto"/>
        </w:rPr>
      </w:pPr>
    </w:p>
    <w:p>
      <w:pPr>
        <w:ind w:left="980" w:hanging="324"/>
        <w:spacing w:after="0" w:line="264" w:lineRule="auto"/>
        <w:tabs>
          <w:tab w:leader="none" w:pos="98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Western region. </w:t>
      </w:r>
      <w:r>
        <w:rPr>
          <w:rFonts w:ascii="Arial" w:cs="Arial" w:eastAsia="Arial" w:hAnsi="Arial"/>
          <w:sz w:val="18"/>
          <w:szCs w:val="18"/>
          <w:color w:val="auto"/>
        </w:rPr>
        <w:t>Revenues and volumes decreased for each of the comparative periods presented primarily due to pipeline downtime on our All</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Pipeline associated with the Line 901 incident that occurred in the second quarter of 2015. See Note 17 to our Consolidated Financial Statements for additional information regarding this incident.</w:t>
      </w:r>
    </w:p>
    <w:p>
      <w:pPr>
        <w:spacing w:after="0" w:line="181" w:lineRule="exact"/>
        <w:rPr>
          <w:rFonts w:ascii="Arial" w:cs="Arial" w:eastAsia="Arial" w:hAnsi="Arial"/>
          <w:sz w:val="18"/>
          <w:szCs w:val="18"/>
          <w:i w:val="1"/>
          <w:iCs w:val="1"/>
          <w:color w:val="auto"/>
        </w:rPr>
      </w:pPr>
    </w:p>
    <w:p>
      <w:pPr>
        <w:ind w:left="980" w:right="220" w:hanging="324"/>
        <w:spacing w:after="0" w:line="264"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for 2016 compared to 2015 was largely driven by (i) lower volumes due to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declines and increased competition and (ii) the sale of 50% of our investment in Cheyenne Pipeline in June 2016, subsequent to which it was accounted for under the equity method of accounting.</w:t>
      </w:r>
    </w:p>
    <w:p>
      <w:pPr>
        <w:spacing w:after="0" w:line="181" w:lineRule="exact"/>
        <w:rPr>
          <w:rFonts w:ascii="Arial" w:cs="Arial" w:eastAsia="Arial" w:hAnsi="Arial"/>
          <w:sz w:val="18"/>
          <w:szCs w:val="18"/>
          <w:color w:val="auto"/>
        </w:rPr>
      </w:pPr>
    </w:p>
    <w:p>
      <w:pPr>
        <w:ind w:left="980" w:right="320"/>
        <w:spacing w:after="0" w:line="342" w:lineRule="auto"/>
        <w:rPr>
          <w:rFonts w:ascii="Arial" w:cs="Arial" w:eastAsia="Arial" w:hAnsi="Arial"/>
          <w:sz w:val="18"/>
          <w:szCs w:val="18"/>
          <w:color w:val="auto"/>
        </w:rPr>
      </w:pPr>
      <w:r>
        <w:rPr>
          <w:rFonts w:ascii="Arial" w:cs="Arial" w:eastAsia="Arial" w:hAnsi="Arial"/>
          <w:sz w:val="16"/>
          <w:szCs w:val="16"/>
          <w:color w:val="auto"/>
        </w:rPr>
        <w:t>Equity earnings increased for 2016 over 2015 due to earnings from (i) our 40% investment in the entity that owns Saddlehorn Pipeline, a segment of which was placed in service in the third quarter of 2016, and (ii) our 50% investment in Cheyenne Pipeline, as discussed above.</w:t>
      </w:r>
    </w:p>
    <w:p>
      <w:pPr>
        <w:spacing w:after="0" w:line="123" w:lineRule="exact"/>
        <w:rPr>
          <w:rFonts w:ascii="Arial" w:cs="Arial" w:eastAsia="Arial" w:hAnsi="Arial"/>
          <w:sz w:val="18"/>
          <w:szCs w:val="18"/>
          <w:color w:val="auto"/>
        </w:rPr>
      </w:pPr>
    </w:p>
    <w:p>
      <w:pPr>
        <w:ind w:left="980"/>
        <w:spacing w:after="0" w:line="308" w:lineRule="auto"/>
        <w:rPr>
          <w:rFonts w:ascii="Arial" w:cs="Arial" w:eastAsia="Arial" w:hAnsi="Arial"/>
          <w:sz w:val="18"/>
          <w:szCs w:val="18"/>
          <w:color w:val="auto"/>
        </w:rPr>
      </w:pPr>
      <w:r>
        <w:rPr>
          <w:rFonts w:ascii="Arial" w:cs="Arial" w:eastAsia="Arial" w:hAnsi="Arial"/>
          <w:sz w:val="17"/>
          <w:szCs w:val="17"/>
          <w:color w:val="auto"/>
        </w:rPr>
        <w:t>The increase in equity earnings for 2015 compared to 2014 was driven by higher earnings from our interest in White Cliffs, primarily as a result of increased throughput on the White Cliffs pipeline due to an expansion of the pipeline that was placed into service in July 2014.</w:t>
      </w:r>
    </w:p>
    <w:p>
      <w:pPr>
        <w:spacing w:after="0" w:line="146" w:lineRule="exact"/>
        <w:rPr>
          <w:rFonts w:ascii="Arial" w:cs="Arial" w:eastAsia="Arial" w:hAnsi="Arial"/>
          <w:sz w:val="18"/>
          <w:szCs w:val="18"/>
          <w:color w:val="auto"/>
        </w:rPr>
      </w:pPr>
    </w:p>
    <w:p>
      <w:pPr>
        <w:ind w:left="980" w:right="20" w:hanging="324"/>
        <w:spacing w:after="0" w:line="286" w:lineRule="auto"/>
        <w:tabs>
          <w:tab w:leader="none" w:pos="980" w:val="left"/>
        </w:tabs>
        <w:numPr>
          <w:ilvl w:val="0"/>
          <w:numId w:val="5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Gulf Coast region. </w:t>
      </w:r>
      <w:r>
        <w:rPr>
          <w:rFonts w:ascii="Arial" w:cs="Arial" w:eastAsia="Arial" w:hAnsi="Arial"/>
          <w:sz w:val="17"/>
          <w:szCs w:val="17"/>
          <w:color w:val="auto"/>
        </w:rPr>
        <w:t>Revenues and volumes decreased for 2016 compared to 2015 primarily due to the sale of certain of our Gulf Coast pipelines</w:t>
      </w:r>
      <w:r>
        <w:rPr>
          <w:rFonts w:ascii="Arial" w:cs="Arial" w:eastAsia="Arial" w:hAnsi="Arial"/>
          <w:sz w:val="17"/>
          <w:szCs w:val="17"/>
          <w:i w:val="1"/>
          <w:iCs w:val="1"/>
          <w:color w:val="auto"/>
        </w:rPr>
        <w:t xml:space="preserve"> </w:t>
      </w:r>
      <w:r>
        <w:rPr>
          <w:rFonts w:ascii="Arial" w:cs="Arial" w:eastAsia="Arial" w:hAnsi="Arial"/>
          <w:sz w:val="17"/>
          <w:szCs w:val="17"/>
          <w:color w:val="auto"/>
        </w:rPr>
        <w:t>in March and July 2016. These decreases were partially offset by increased volumes on the Capline and Pascagoula pipelines, which were favorably impacted by higher refinery demand, but were at lower tariff rates than the pipelines that were sold.</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40" w:top="125" w:right="3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0"/>
        <w:spacing w:after="0" w:line="264" w:lineRule="auto"/>
        <w:rPr>
          <w:sz w:val="20"/>
          <w:szCs w:val="20"/>
          <w:color w:val="auto"/>
        </w:rPr>
      </w:pPr>
      <w:r>
        <w:rPr>
          <w:rFonts w:ascii="Arial" w:cs="Arial" w:eastAsia="Arial" w:hAnsi="Arial"/>
          <w:sz w:val="18"/>
          <w:szCs w:val="18"/>
          <w:color w:val="auto"/>
        </w:rPr>
        <w:t>The increase in revenues for 2015 over 2014 was primarily driven by (i) results from our Pascagoula pipeline, which was placed in service in April 2014, and which also favorably impacted volumes and demand for storage on our Mississippi/Alabama system, and (ii) higher volumes on Capline due to higher refinery demand.</w:t>
      </w:r>
    </w:p>
    <w:p>
      <w:pPr>
        <w:spacing w:after="0" w:line="181" w:lineRule="exact"/>
        <w:rPr>
          <w:sz w:val="20"/>
          <w:szCs w:val="20"/>
          <w:color w:val="auto"/>
        </w:rPr>
      </w:pPr>
    </w:p>
    <w:p>
      <w:pPr>
        <w:ind w:left="980" w:hanging="324"/>
        <w:spacing w:after="0" w:line="264" w:lineRule="auto"/>
        <w:tabs>
          <w:tab w:leader="none" w:pos="98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for 2016 compared to 2015 was largely driven by lower volumes due to production declines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Mid-Continent area, as well as the sale of 50% of our investment in STACK in August 2016, subsequent to which it was accounted for under the equity method of accounting.</w:t>
      </w:r>
    </w:p>
    <w:p>
      <w:pPr>
        <w:spacing w:after="0" w:line="181" w:lineRule="exact"/>
        <w:rPr>
          <w:rFonts w:ascii="Arial" w:cs="Arial" w:eastAsia="Arial" w:hAnsi="Arial"/>
          <w:sz w:val="18"/>
          <w:szCs w:val="18"/>
          <w:i w:val="1"/>
          <w:iCs w:val="1"/>
          <w:color w:val="auto"/>
        </w:rPr>
      </w:pPr>
    </w:p>
    <w:p>
      <w:pPr>
        <w:ind w:left="980" w:right="20" w:hanging="324"/>
        <w:spacing w:after="0" w:line="264" w:lineRule="auto"/>
        <w:tabs>
          <w:tab w:leader="none" w:pos="98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Canada. </w:t>
      </w:r>
      <w:r>
        <w:rPr>
          <w:rFonts w:ascii="Arial" w:cs="Arial" w:eastAsia="Arial" w:hAnsi="Arial"/>
          <w:sz w:val="18"/>
          <w:szCs w:val="18"/>
          <w:color w:val="auto"/>
        </w:rPr>
        <w:t>Revenues decreased for 2016 as compared to 2015 and for 2015 as compared to 2014 due to unfavorable foreign exchange impacts of</w:t>
      </w:r>
      <w:r>
        <w:rPr>
          <w:rFonts w:ascii="Arial" w:cs="Arial" w:eastAsia="Arial" w:hAnsi="Arial"/>
          <w:sz w:val="18"/>
          <w:szCs w:val="18"/>
          <w:i w:val="1"/>
          <w:iCs w:val="1"/>
          <w:color w:val="auto"/>
        </w:rPr>
        <w:t xml:space="preserve"> </w:t>
      </w:r>
      <w:r>
        <w:rPr>
          <w:rFonts w:ascii="Arial" w:cs="Arial" w:eastAsia="Arial" w:hAnsi="Arial"/>
          <w:sz w:val="18"/>
          <w:szCs w:val="18"/>
          <w:color w:val="auto"/>
        </w:rPr>
        <w:t>$9 million and $38 million, respectively, which more than offset revenue increases from higher tariff rates on certain of our pipelines and related system assets in each of the comparative periods.</w:t>
      </w:r>
    </w:p>
    <w:p>
      <w:pPr>
        <w:spacing w:after="0" w:line="181" w:lineRule="exact"/>
        <w:rPr>
          <w:rFonts w:ascii="Arial" w:cs="Arial" w:eastAsia="Arial" w:hAnsi="Arial"/>
          <w:sz w:val="18"/>
          <w:szCs w:val="18"/>
          <w:i w:val="1"/>
          <w:iCs w:val="1"/>
          <w:color w:val="auto"/>
        </w:rPr>
      </w:pPr>
    </w:p>
    <w:p>
      <w:pPr>
        <w:ind w:left="980" w:right="460" w:hanging="324"/>
        <w:spacing w:after="0" w:line="277" w:lineRule="auto"/>
        <w:tabs>
          <w:tab w:leader="none" w:pos="98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pipelines. </w:t>
      </w:r>
      <w:r>
        <w:rPr>
          <w:rFonts w:ascii="Arial" w:cs="Arial" w:eastAsia="Arial" w:hAnsi="Arial"/>
          <w:sz w:val="18"/>
          <w:szCs w:val="18"/>
          <w:color w:val="auto"/>
        </w:rPr>
        <w:t>Revenues increased for 2016 as compared to 2015 primarily due to contributions from the Western Canada NGL assets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August 2016.</w:t>
      </w:r>
    </w:p>
    <w:p>
      <w:pPr>
        <w:spacing w:after="0" w:line="170" w:lineRule="exact"/>
        <w:rPr>
          <w:rFonts w:ascii="Arial" w:cs="Arial" w:eastAsia="Arial" w:hAnsi="Arial"/>
          <w:sz w:val="18"/>
          <w:szCs w:val="18"/>
          <w:i w:val="1"/>
          <w:iCs w:val="1"/>
          <w:color w:val="auto"/>
        </w:rPr>
      </w:pPr>
    </w:p>
    <w:p>
      <w:pPr>
        <w:ind w:left="980" w:right="6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Revenues and volumes from our NGL pipelines were relatively consistent for 2015 compared to 2014, as higher revenue from tariff rate increases was substantially offset by unfavorable foreign exchange fluctuation impacts of $12 million.</w:t>
      </w:r>
    </w:p>
    <w:p>
      <w:pPr>
        <w:spacing w:after="0" w:line="170" w:lineRule="exact"/>
        <w:rPr>
          <w:rFonts w:ascii="Arial" w:cs="Arial" w:eastAsia="Arial" w:hAnsi="Arial"/>
          <w:sz w:val="18"/>
          <w:szCs w:val="18"/>
          <w:i w:val="1"/>
          <w:iCs w:val="1"/>
          <w:color w:val="auto"/>
        </w:rPr>
      </w:pPr>
    </w:p>
    <w:p>
      <w:pPr>
        <w:ind w:left="980" w:right="140" w:hanging="324"/>
        <w:spacing w:after="0" w:line="264" w:lineRule="auto"/>
        <w:tabs>
          <w:tab w:leader="none" w:pos="98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variances for the comparative periods presented were related to pipeline loss allowance revenue. Loss allowance revenue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comparative periods presented due to a lower average realized price per barrel. The decrease in loss allowance revenue for 2015 compared to 2014 was partially offset by higher volumes.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Adjustments: Deficiencies under minimum volume commitments, net. </w:t>
      </w:r>
      <w:r>
        <w:rPr>
          <w:rFonts w:ascii="Arial" w:cs="Arial" w:eastAsia="Arial" w:hAnsi="Arial"/>
          <w:sz w:val="18"/>
          <w:szCs w:val="18"/>
          <w:color w:val="auto"/>
        </w:rPr>
        <w:t>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The activity for 2016 presented in the table above primarily reflects the amounts billed in 2016 under minimum volume commitment contracts. Such amounts were not material to periods prior to 2016 and, thus, are not included in the table for prior years.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Adjustments: Depreciation and amortization of unconsolidated entities. </w:t>
      </w:r>
      <w:r>
        <w:rPr>
          <w:rFonts w:ascii="Arial" w:cs="Arial" w:eastAsia="Arial" w:hAnsi="Arial"/>
          <w:sz w:val="18"/>
          <w:szCs w:val="18"/>
          <w:color w:val="auto"/>
        </w:rPr>
        <w:t>The increases for the periods presented were primarily driven by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expense associated with newly acquired or completed joint venture pipeline projects.</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Trucking Revenues. </w:t>
      </w:r>
      <w:r>
        <w:rPr>
          <w:rFonts w:ascii="Arial" w:cs="Arial" w:eastAsia="Arial" w:hAnsi="Arial"/>
          <w:sz w:val="18"/>
          <w:szCs w:val="18"/>
          <w:color w:val="auto"/>
        </w:rPr>
        <w:t>Trucking revenues for the comparative periods presented were unfavorably impacted by foreign exchange fluctuation impacts of</w:t>
      </w:r>
      <w:r>
        <w:rPr>
          <w:rFonts w:ascii="Arial" w:cs="Arial" w:eastAsia="Arial" w:hAnsi="Arial"/>
          <w:sz w:val="18"/>
          <w:szCs w:val="18"/>
          <w:i w:val="1"/>
          <w:iCs w:val="1"/>
          <w:color w:val="auto"/>
        </w:rPr>
        <w:t xml:space="preserve"> </w:t>
      </w:r>
      <w:r>
        <w:rPr>
          <w:rFonts w:ascii="Arial" w:cs="Arial" w:eastAsia="Arial" w:hAnsi="Arial"/>
          <w:sz w:val="18"/>
          <w:szCs w:val="18"/>
          <w:color w:val="auto"/>
        </w:rPr>
        <w:t>$5 million and $28 million, respectively. The decrease in trucking revenues for 2015 compared to 2014 was further unfavorably impacted by lower producer volumes.</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Trucking Costs. </w:t>
      </w:r>
      <w:r>
        <w:rPr>
          <w:rFonts w:ascii="Arial" w:cs="Arial" w:eastAsia="Arial" w:hAnsi="Arial"/>
          <w:sz w:val="17"/>
          <w:szCs w:val="17"/>
          <w:color w:val="auto"/>
        </w:rPr>
        <w:t>The decrease in trucking costs for 2016 compared to 2015 was primarily driven by lower contract services rates. The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trucking costs for 2015 compared to 2014 was primarily driven by lower producer volumes, as discussed above. Trucking costs for the comparative periods presented were further favorably impacted by foreign exchange fluctuation impacts of $4 million and $20 million, respectively.</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decreased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2015 primarily due to net costs of approximately $83 million associated with the Line 901 incident that were recognized during 2015. See Note 17 to our Consolidated Financial Statements for additional information regarding this incident. The decrease in field operating costs was further driven by lower utilities and maintenance costs, costs associated with the MP 29 release during 2015, lower operating costs due to the sale of certain of our Gulf Coast pipelines in March and July 2016 and a favorable foreign exchange impact of $5 million, partially offset by an increase in insurance premiums.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increase in field operating costs (excluding equity-indexed compensation expense) for the year ended December 31, 2015 compared to the year ended December 31, 2014 was primarily due to the estimated costs of $83 million recognized during 2015 associated with the Line 901 incident, net of amounts we believe are probable of recovery from insurance. The increase in field operating costs was also driven by (i) higher salary and related expenses and property tax expense primarily associated with new assets placed in service in 2015 and (ii) higher maintenance and repairs cost, partially offset by favorable foreign exchange impacts of $22 million.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(excluding equity-indexed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for the year ended December 31, 2015 over the year ended December 31, 2014 was primarily due to increased salaries, benefits and other costs associated with the growth in the segment, partially offset by a $4 million favorable foreign exchange impact.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Equity-Indexed Compensation Expense. </w:t>
      </w:r>
      <w:r>
        <w:rPr>
          <w:rFonts w:ascii="Arial" w:cs="Arial" w:eastAsia="Arial" w:hAnsi="Arial"/>
          <w:sz w:val="17"/>
          <w:szCs w:val="17"/>
          <w:color w:val="auto"/>
        </w:rPr>
        <w:t>The following table presents total equity-indexed compensation expense by segment (in millions):</w:t>
      </w: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Favorable/(Unfavorable) Variance</w:t>
            </w:r>
          </w:p>
        </w:tc>
      </w:tr>
      <w:tr>
        <w:trPr>
          <w:trHeight w:val="26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2016-2015</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Supply and Logistics</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37"/>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Across all segments, equity-indexed compensation expense increased by $33 million for the year ended December 31, 2016 compared to the year ended December 31, 2015, primarily due to the impact of the increase in PAA unit price during the year ended December 31, 2016 compared to the impact of the decrease in PAA unit price during the year ended December 31, 2015, partially offset by the impact of fewer average probable awards outstanding and lower average values per award during the 2016 period compared to the same period in 2015. Across all segments, equity-indexed compensation expense decreased by $71 million for the year ended December 31, 2015 compared to the year ended December 31, 2014, primarily due to the impact of the decrease in PAA unit price during the year ended December 31, 2015 compared to the impact of the decrease in PAA unit price during the year ended December 31, 2014. See Note 16 to our Consolidated Financial Statements for additional information regarding our equity-indexed compensation plans.</w:t>
      </w:r>
    </w:p>
    <w:p>
      <w:pPr>
        <w:spacing w:after="0" w:line="16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Allocations of equity-indexed compensation expense vary over time between field operating costs and general and administrative expenses, as well as between segments, and could result in variances in those expense categories or segments that differ from the consolidated variance explanations above.</w:t>
      </w:r>
    </w:p>
    <w:p>
      <w:pPr>
        <w:spacing w:after="0" w:line="12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i w:val="1"/>
          <w:iCs w:val="1"/>
          <w:color w:val="auto"/>
        </w:rPr>
        <w:t xml:space="preserve">Adjustments: Equity-Indexed Compensation Expense. </w:t>
      </w:r>
      <w:r>
        <w:rPr>
          <w:rFonts w:ascii="Arial" w:cs="Arial" w:eastAsia="Arial" w:hAnsi="Arial"/>
          <w:sz w:val="17"/>
          <w:szCs w:val="17"/>
          <w:color w:val="auto"/>
        </w:rPr>
        <w:t>The equity-indexed compensation expense selected item adjustment is primarily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equity-classified awards, which are not impacted by changes in unit price. Therefore, the impact of unit price changes is less on the equity-indexed compensation expense selected item adjustment than on equity-indexed compensation expense as a whole.</w:t>
      </w:r>
    </w:p>
    <w:p>
      <w:pPr>
        <w:spacing w:after="0" w:line="16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of partially or fully depreciated assets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operating and/or earnings capacity of our existing assets. The decrease in maintenance capital for the year ended December 31, 2016 compared to the year ended December 31, 2015 was primarily driven by completion of several large projects in earlier years and lower third party service costs.</w:t>
      </w:r>
    </w:p>
    <w:p>
      <w:pPr>
        <w:spacing w:after="0" w:line="14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decrease in maintenance capital in 2015 compared to 2014 was primarily due to a reclassification of certain maintenance capital costs from our Facilities segment during the 2014 period. In addition, the decrease in maintenance capital was impacted by favorable foreign exchange rate fluctuations.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1"/>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7"/>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Natural gas related storage costs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field operating costs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4"/>
          </w:tcPr>
          <w:p>
            <w:pPr>
              <w:ind w:left="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gridSpan w:val="2"/>
            <w:vMerge w:val="continue"/>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1"/>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7"/>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Volumes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gridSpan w:val="2"/>
          </w:tcPr>
          <w:p>
            <w:pPr>
              <w:spacing w:after="0"/>
              <w:rPr>
                <w:sz w:val="22"/>
                <w:szCs w:val="22"/>
                <w:color w:val="auto"/>
              </w:rPr>
            </w:pPr>
          </w:p>
        </w:tc>
        <w:tc>
          <w:tcPr>
            <w:tcW w:w="7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Volumes</w:t>
            </w:r>
          </w:p>
        </w:tc>
        <w:tc>
          <w:tcPr>
            <w:tcW w:w="10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gridSpan w:val="2"/>
          </w:tcPr>
          <w:p>
            <w:pPr>
              <w:spacing w:after="0"/>
              <w:rPr>
                <w:sz w:val="22"/>
                <w:szCs w:val="22"/>
                <w:color w:val="auto"/>
              </w:rPr>
            </w:pPr>
          </w:p>
        </w:tc>
        <w:tc>
          <w:tcPr>
            <w:tcW w:w="7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terminalling and storage (average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monthly capacity in millions of barrels)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color w:val="auto"/>
              </w:rPr>
              <w:t>Rail load / unload volumes (average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rPr>
              <w:t>231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w w:val="95"/>
              </w:rPr>
              <w:t>volumes in thousands of barrels per day)</w:t>
            </w: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storage (average</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monthly working capacity in billions of</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vMerge w:val="restart"/>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8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1340" w:type="dxa"/>
            <w:vAlign w:val="bottom"/>
            <w:gridSpan w:val="5"/>
            <w:vMerge w:val="restart"/>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cubic feet)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4"/>
            <w:vMerge w:val="continue"/>
            <w:shd w:val="clear" w:color="auto" w:fill="CCEEFF"/>
          </w:tcPr>
          <w:p>
            <w:pPr>
              <w:spacing w:after="0"/>
              <w:rPr>
                <w:sz w:val="20"/>
                <w:szCs w:val="20"/>
                <w:color w:val="auto"/>
              </w:rPr>
            </w:pPr>
          </w:p>
        </w:tc>
        <w:tc>
          <w:tcPr>
            <w:tcW w:w="840" w:type="dxa"/>
            <w:vAlign w:val="bottom"/>
            <w:gridSpan w:val="4"/>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5"/>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NGL fractionation (average volumes</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3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 thousands of barrels per day)</w:t>
            </w: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Facilities segment total volumes (average</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monthly volumes in millions of barrels)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70"/>
        </w:trPr>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year divided by the number of months in the year.</w:t>
      </w:r>
    </w:p>
    <w:p>
      <w:pPr>
        <w:spacing w:after="0" w:line="98" w:lineRule="exact"/>
        <w:rPr>
          <w:rFonts w:ascii="Arial" w:cs="Arial" w:eastAsia="Arial" w:hAnsi="Arial"/>
          <w:sz w:val="25"/>
          <w:szCs w:val="25"/>
          <w:color w:val="auto"/>
          <w:vertAlign w:val="superscript"/>
        </w:rPr>
      </w:pPr>
    </w:p>
    <w:p>
      <w:pPr>
        <w:ind w:left="660" w:right="420" w:hanging="652"/>
        <w:spacing w:after="0" w:line="225" w:lineRule="auto"/>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mcf of natural gas to</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crude Btu equivalent ratio and further divided by 1,000 to convert to monthly volumes in millions; and (iv) NGL fractionation volumes multiplied by the number of days in the year and divided by the number of months in the year.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primarily driven by:</w:t>
      </w:r>
    </w:p>
    <w:p>
      <w:pPr>
        <w:spacing w:after="0" w:line="225" w:lineRule="exact"/>
        <w:rPr>
          <w:sz w:val="20"/>
          <w:szCs w:val="20"/>
          <w:color w:val="auto"/>
        </w:rPr>
      </w:pPr>
    </w:p>
    <w:p>
      <w:pPr>
        <w:ind w:left="660" w:right="160" w:hanging="328"/>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NGL Storage, NGL Fractionation and Canadian Gas Processing — Revenues increased by $53 million for the year ended December 31, 2016 over the same 2015 period primarily due to (i) contributions from the Western Canada NGL assets we acquired in August 2016, (ii) contributions from ongoing expansion projects at our Fort Saskatchewan facility and (iii) higher fees at certain of our NGL storage and fractionation facilities. Such increases were partially offset by unfavorable foreign exchange fluctuation impacts of $10 million, which were largely offset in our Supply and Logistics segment results.</w:t>
      </w:r>
    </w:p>
    <w:p>
      <w:pPr>
        <w:spacing w:after="0" w:line="188" w:lineRule="exact"/>
        <w:rPr>
          <w:rFonts w:ascii="Arial" w:cs="Arial" w:eastAsia="Arial" w:hAnsi="Arial"/>
          <w:sz w:val="18"/>
          <w:szCs w:val="18"/>
          <w:color w:val="auto"/>
        </w:rPr>
      </w:pPr>
    </w:p>
    <w:p>
      <w:pPr>
        <w:ind w:left="660" w:right="60"/>
        <w:spacing w:after="0" w:line="264" w:lineRule="auto"/>
        <w:rPr>
          <w:rFonts w:ascii="Arial" w:cs="Arial" w:eastAsia="Arial" w:hAnsi="Arial"/>
          <w:sz w:val="18"/>
          <w:szCs w:val="18"/>
          <w:color w:val="auto"/>
        </w:rPr>
      </w:pPr>
      <w:r>
        <w:rPr>
          <w:rFonts w:ascii="Arial" w:cs="Arial" w:eastAsia="Arial" w:hAnsi="Arial"/>
          <w:sz w:val="18"/>
          <w:szCs w:val="18"/>
          <w:color w:val="auto"/>
        </w:rPr>
        <w:t>Revenues decreased by $7 million for the year ended December 31, 2015 compared to the year ended December 31, 2014. This decrease was primarily due to estimated unfavorable foreign exchange fluctuation impacts of $41 million, which offset revenue increases from higher facility fees for the 2015 period. These impacts were largely offset in our Supply and Logistics segment results.</w:t>
      </w:r>
    </w:p>
    <w:p>
      <w:pPr>
        <w:spacing w:after="0" w:line="181"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Crude Oil Storage — Revenues increased by $24 million for the year ended December 31, 2016 over the year ended December 31, 2015 primarily due to (i) aggregate capacity expansions of approximately 4 million barrels at our St. James and Cushing terminals and (ii) increased utilization at certain of our West Coast terminals. Such increases were partially offset by lower results due to the sale of certain of our East Coast terminals in April 2016.</w:t>
      </w:r>
    </w:p>
    <w:p>
      <w:pPr>
        <w:spacing w:after="0" w:line="186" w:lineRule="exact"/>
        <w:rPr>
          <w:rFonts w:ascii="Arial" w:cs="Arial" w:eastAsia="Arial" w:hAnsi="Arial"/>
          <w:sz w:val="18"/>
          <w:szCs w:val="18"/>
          <w:color w:val="auto"/>
        </w:rPr>
      </w:pPr>
    </w:p>
    <w:p>
      <w:pPr>
        <w:ind w:left="660" w:right="700"/>
        <w:spacing w:after="0" w:line="277" w:lineRule="auto"/>
        <w:rPr>
          <w:rFonts w:ascii="Arial" w:cs="Arial" w:eastAsia="Arial" w:hAnsi="Arial"/>
          <w:sz w:val="18"/>
          <w:szCs w:val="18"/>
          <w:color w:val="auto"/>
        </w:rPr>
      </w:pPr>
      <w:r>
        <w:rPr>
          <w:rFonts w:ascii="Arial" w:cs="Arial" w:eastAsia="Arial" w:hAnsi="Arial"/>
          <w:sz w:val="18"/>
          <w:szCs w:val="18"/>
          <w:color w:val="auto"/>
        </w:rPr>
        <w:t>For the year ended December 31, 2015, revenues increased by $9 million over the year ended December 31, 2014 primarily due to capacity expansions of approximately 1 million barrels and higher marine access activity at our St. James terminal.</w:t>
      </w:r>
    </w:p>
    <w:p>
      <w:pPr>
        <w:spacing w:after="0" w:line="170" w:lineRule="exact"/>
        <w:rPr>
          <w:rFonts w:ascii="Arial" w:cs="Arial" w:eastAsia="Arial" w:hAnsi="Arial"/>
          <w:sz w:val="18"/>
          <w:szCs w:val="18"/>
          <w:color w:val="auto"/>
        </w:rPr>
      </w:pPr>
    </w:p>
    <w:p>
      <w:pPr>
        <w:ind w:left="660" w:right="340" w:hanging="328"/>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Rail Terminals — Revenues decreased by $17 million for the year ended December 31, 2016 compared to the year ended December 31, 2015 primarily due to (i) lower volumes at our U.S. terminals as a result of production declines in the Bakken and less favorable market conditions, partially offset by (i) revenue associated with minimum volume commitments at certain of our terminals and (ii) revenues and volumes from our Canadian NGL rail terminal that came online in April 2016.</w:t>
      </w:r>
    </w:p>
    <w:p>
      <w:pPr>
        <w:spacing w:after="0" w:line="186" w:lineRule="exact"/>
        <w:rPr>
          <w:rFonts w:ascii="Arial" w:cs="Arial" w:eastAsia="Arial" w:hAnsi="Arial"/>
          <w:sz w:val="18"/>
          <w:szCs w:val="18"/>
          <w:color w:val="auto"/>
        </w:rPr>
      </w:pPr>
    </w:p>
    <w:p>
      <w:pPr>
        <w:jc w:val="both"/>
        <w:ind w:left="660" w:right="240"/>
        <w:spacing w:after="0" w:line="264" w:lineRule="auto"/>
        <w:rPr>
          <w:rFonts w:ascii="Arial" w:cs="Arial" w:eastAsia="Arial" w:hAnsi="Arial"/>
          <w:sz w:val="18"/>
          <w:szCs w:val="18"/>
          <w:color w:val="auto"/>
        </w:rPr>
      </w:pPr>
      <w:r>
        <w:rPr>
          <w:rFonts w:ascii="Arial" w:cs="Arial" w:eastAsia="Arial" w:hAnsi="Arial"/>
          <w:sz w:val="18"/>
          <w:szCs w:val="18"/>
          <w:color w:val="auto"/>
        </w:rPr>
        <w:t>For the year ended December 31, 2015, revenues decreased by $26 million compared to the year ended December 31, 2014 due to lower volumes and lower rail fees related to the movement of certain volumes of Bakken crude oil, partially offset by revenues from our Bakersfield rail terminal that came online in the fourth quarter of 2014.</w:t>
      </w:r>
    </w:p>
    <w:p>
      <w:pPr>
        <w:spacing w:after="0" w:line="181"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Gulf Coast Gas Processing — Revenues decreased by $13 million for the year ended December 31, 2015 compared to the same 2014 period, primarily due to lower volumes and decreased margins driven by lower commodity prices. Revenues remained relatively consistent for the year ended December 31, 2016 compared to the same 2015 period.</w:t>
      </w:r>
    </w:p>
    <w:p>
      <w:pPr>
        <w:spacing w:after="0" w:line="181" w:lineRule="exact"/>
        <w:rPr>
          <w:rFonts w:ascii="Arial" w:cs="Arial" w:eastAsia="Arial" w:hAnsi="Arial"/>
          <w:sz w:val="18"/>
          <w:szCs w:val="18"/>
          <w:color w:val="auto"/>
        </w:rPr>
      </w:pPr>
    </w:p>
    <w:p>
      <w:pPr>
        <w:ind w:left="660" w:right="180" w:hanging="328"/>
        <w:spacing w:after="0" w:line="276"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Natural Gas Storage Operations — Net revenues decreased by $12 million for the year ended December 31, 2015 compared to the year ended December 31, 2014 primarily due to (i) declines in market rates for natural gas storage, which resulted in lower rates on new contracts replacing expiring contracts, and (ii) reduced hub services opportunities. In addition, the 2014 period was unfavorably impacted by costs incurred to manage deliverability requirements in conjunction with the extended period of severe cold weather experienced during the first quarter of 2014. Revenues remained relatively consistent for the year ended December 31, 2016 compared to the same 2015 period.</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decreased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2015 period due to (i) lower costs related to contract services, largely at our rail terminals and, to a lesser extent, at our processing facilities, (ii) the impact of the sale of certain of our East Coast terminals in April 2016, (iii) lower turnaround and inspection costs and (iv) favorable foreign exchange fluctuation impacts of $4 million. Such decreases were partially offset by an increase in operating costs due to the Western Canada NGL assets acquired in August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decrease in field operating costs (excluding equity-indexed compensation expenses) for the year ended December 31, 2015 compared to the year ended December 31, 2014 was primarily due to (i) decreased maintenance and repairs cost, (ii) lower gas and power costs largely associated with our NGL fractionation and Canadian gas processing activities and (iii) favorable foreign exchange fluctuation impacts of $19 million. Such decreases were partially offset by an increase in expenses associated with new assets placed in service.</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Segment general and administrative expenses (excluding equity-indexed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for the year ended December 31, 2016 compared to the year ended December 31, 2015 due to cost reduction efforts and lower expenses incurred for legal fees.</w:t>
      </w:r>
    </w:p>
    <w:p>
      <w:pPr>
        <w:spacing w:after="0" w:line="18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increase in general and administrative expenses (excluding equity-indexed compensation expenses) for the year ended December 31, 2015 compared to the year ended December 31, 2014 was primarily due to increased salaries and benefits, partially offset by a $3 million favorable foreign exchange fluctuation impact.</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decrease in maintenance capital for 2016 compared to 2015 was primarily due to lower spending on various tank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maintenance capital projects, partially due to the timing of certain 2015 projects at our NGL storage and fractionation facilities.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increase in maintenance capital in 2015 over 2014 was primarily due to various tank and facility projects and timing of equipment replacements, as well as the impact from a change in classification of certain maintenance capital costs to our Transportation segment in the 2014 period.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results are impacted by (i) increases or decreases in our Supply and Logistics segment volumes (which consist of lease gathering crude oil purchases volumes, NGL sales volumes and waterborne cargos), (ii) the effects of competition on our lease gathering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our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ind w:right="520"/>
              <w:spacing w:after="0"/>
              <w:rPr>
                <w:sz w:val="20"/>
                <w:szCs w:val="20"/>
                <w:color w:val="auto"/>
              </w:rPr>
            </w:pPr>
            <w:r>
              <w:rPr>
                <w:rFonts w:ascii="Arial" w:cs="Arial" w:eastAsia="Arial" w:hAnsi="Arial"/>
                <w:sz w:val="14"/>
                <w:szCs w:val="14"/>
                <w:b w:val="1"/>
                <w:bCs w:val="1"/>
                <w:color w:val="auto"/>
                <w:w w:val="99"/>
              </w:rPr>
              <w:t>Favorable/(Unfavorable) Variance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9"/>
          </w:tcPr>
          <w:p>
            <w:pPr>
              <w:jc w:val="center"/>
              <w:ind w:left="433"/>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(40,752)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19,734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Equity-indexed compensation expense -</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200"/>
              <w:spacing w:after="0"/>
              <w:rPr>
                <w:sz w:val="20"/>
                <w:szCs w:val="20"/>
                <w:color w:val="auto"/>
              </w:rPr>
            </w:pPr>
            <w:r>
              <w:rPr>
                <w:rFonts w:ascii="Arial" w:cs="Arial" w:eastAsia="Arial" w:hAnsi="Arial"/>
                <w:sz w:val="18"/>
                <w:szCs w:val="18"/>
                <w:color w:val="auto"/>
              </w:rPr>
              <w:t>field operating costs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3"/>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Equity-indexed compensation expense -</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20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8"/>
              </w:rPr>
              <w:t>net of inventory valuation adjustments</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43"/>
        </w:trPr>
        <w:tc>
          <w:tcPr>
            <w:tcW w:w="3340" w:type="dxa"/>
            <w:vAlign w:val="bottom"/>
            <w:gridSpan w:val="3"/>
          </w:tcPr>
          <w:p>
            <w:pPr>
              <w:ind w:left="180"/>
              <w:spacing w:after="0"/>
              <w:rPr>
                <w:sz w:val="20"/>
                <w:szCs w:val="20"/>
                <w:color w:val="auto"/>
              </w:rPr>
            </w:pPr>
            <w:r>
              <w:rPr>
                <w:rFonts w:ascii="Arial" w:cs="Arial" w:eastAsia="Arial" w:hAnsi="Arial"/>
                <w:sz w:val="18"/>
                <w:szCs w:val="18"/>
                <w:color w:val="auto"/>
                <w:w w:val="96"/>
              </w:rPr>
              <w:t>Long-term inventory costing adjustments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3340" w:type="dxa"/>
            <w:vAlign w:val="bottom"/>
            <w:gridSpan w:val="3"/>
          </w:tcPr>
          <w:p>
            <w:pPr>
              <w:ind w:left="18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gridSpan w:val="3"/>
            <w:vMerge w:val="continue"/>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67"/>
        </w:trPr>
        <w:tc>
          <w:tcPr>
            <w:tcW w:w="32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jc w:val="right"/>
              <w:ind w:right="520"/>
              <w:spacing w:after="0"/>
              <w:rPr>
                <w:sz w:val="20"/>
                <w:szCs w:val="20"/>
                <w:color w:val="auto"/>
              </w:rPr>
            </w:pPr>
            <w:r>
              <w:rPr>
                <w:rFonts w:ascii="Arial" w:cs="Arial" w:eastAsia="Arial" w:hAnsi="Arial"/>
                <w:sz w:val="14"/>
                <w:szCs w:val="14"/>
                <w:b w:val="1"/>
                <w:bCs w:val="1"/>
                <w:color w:val="auto"/>
                <w:w w:val="99"/>
              </w:rPr>
              <w:t>Favorable (Unfavorable) Variance</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9"/>
          </w:tcPr>
          <w:p>
            <w:pPr>
              <w:jc w:val="center"/>
              <w:ind w:left="473"/>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2015-2014</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3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Volume</w:t>
            </w:r>
          </w:p>
        </w:tc>
        <w:tc>
          <w:tcPr>
            <w:tcW w:w="100" w:type="dxa"/>
            <w:vAlign w:val="bottom"/>
            <w:vMerge w:val="restart"/>
          </w:tcPr>
          <w:p>
            <w:pPr>
              <w:spacing w:after="0"/>
              <w:rPr>
                <w:sz w:val="6"/>
                <w:szCs w:val="6"/>
                <w:color w:val="auto"/>
              </w:rPr>
            </w:pPr>
          </w:p>
        </w:tc>
        <w:tc>
          <w:tcPr>
            <w:tcW w:w="420" w:type="dxa"/>
            <w:vAlign w:val="bottom"/>
            <w:gridSpan w:val="2"/>
            <w:vMerge w:val="restart"/>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Volume</w:t>
            </w:r>
          </w:p>
        </w:tc>
        <w:tc>
          <w:tcPr>
            <w:tcW w:w="100" w:type="dxa"/>
            <w:vAlign w:val="bottom"/>
            <w:gridSpan w:val="2"/>
            <w:vMerge w:val="restart"/>
          </w:tcPr>
          <w:p>
            <w:pPr>
              <w:spacing w:after="0"/>
              <w:rPr>
                <w:sz w:val="6"/>
                <w:szCs w:val="6"/>
                <w:color w:val="auto"/>
              </w:rPr>
            </w:pPr>
          </w:p>
        </w:tc>
        <w:tc>
          <w:tcPr>
            <w:tcW w:w="420" w:type="dxa"/>
            <w:vAlign w:val="bottom"/>
            <w:gridSpan w:val="2"/>
            <w:vMerge w:val="restart"/>
          </w:tcPr>
          <w:p>
            <w:pPr>
              <w:spacing w:after="0"/>
              <w:rPr>
                <w:sz w:val="6"/>
                <w:szCs w:val="6"/>
                <w:color w:val="auto"/>
              </w:rPr>
            </w:pPr>
          </w:p>
        </w:tc>
        <w:tc>
          <w:tcPr>
            <w:tcW w:w="7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NGL sales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3340" w:type="dxa"/>
            <w:vAlign w:val="bottom"/>
            <w:gridSpan w:val="3"/>
          </w:tcPr>
          <w:p>
            <w:pPr>
              <w:ind w:left="180"/>
              <w:spacing w:after="0"/>
              <w:rPr>
                <w:sz w:val="20"/>
                <w:szCs w:val="20"/>
                <w:color w:val="auto"/>
              </w:rPr>
            </w:pPr>
            <w:r>
              <w:rPr>
                <w:rFonts w:ascii="Arial" w:cs="Arial" w:eastAsia="Arial" w:hAnsi="Arial"/>
                <w:sz w:val="18"/>
                <w:szCs w:val="18"/>
                <w:color w:val="auto"/>
              </w:rPr>
              <w:t>Supply and Logistics segment total</w:t>
            </w: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1,160</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1,168</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1,157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3340" w:type="dxa"/>
            <w:vAlign w:val="bottom"/>
            <w:gridSpan w:val="3"/>
          </w:tcPr>
          <w:p>
            <w:pPr>
              <w:ind w:left="340"/>
              <w:spacing w:after="0"/>
              <w:rPr>
                <w:sz w:val="20"/>
                <w:szCs w:val="20"/>
                <w:color w:val="auto"/>
              </w:rPr>
            </w:pPr>
            <w:r>
              <w:rPr>
                <w:rFonts w:ascii="Arial" w:cs="Arial" w:eastAsia="Arial" w:hAnsi="Arial"/>
                <w:sz w:val="18"/>
                <w:szCs w:val="18"/>
                <w:color w:val="auto"/>
              </w:rPr>
              <w:t>volumes</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31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the range of the NYMEX West Texas Intermediate benchmark price of crude oil (in dollars per barrel):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NYMEX WTI</w:t>
            </w:r>
          </w:p>
        </w:tc>
        <w:tc>
          <w:tcPr>
            <w:tcW w:w="960" w:type="dxa"/>
            <w:vAlign w:val="bottom"/>
          </w:tcPr>
          <w:p>
            <w:pPr>
              <w:spacing w:after="0"/>
              <w:rPr>
                <w:sz w:val="14"/>
                <w:szCs w:val="14"/>
                <w:color w:val="auto"/>
              </w:rPr>
            </w:pPr>
          </w:p>
        </w:tc>
      </w:t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Crude Oil Price</w:t>
            </w:r>
          </w:p>
        </w:tc>
        <w:tc>
          <w:tcPr>
            <w:tcW w:w="960" w:type="dxa"/>
            <w:vAlign w:val="bottom"/>
            <w:tcBorders>
              <w:bottom w:val="single" w:sz="8" w:color="auto"/>
            </w:tcBorders>
          </w:tcPr>
          <w:p>
            <w:pPr>
              <w:spacing w:after="0"/>
              <w:rPr>
                <w:sz w:val="16"/>
                <w:szCs w:val="16"/>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During the Year Ended December 31,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year ended December 31, 2016 compared to the year ended December 31, 2015 and the year ended December 31, 2015 compared to the same 2014 period primarily due to lower crude oil and NGL prices during the period.</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the current extended period of lower crude oil prices, our ability to generate above base-level earnings is challenging, and taking into account the overcapacity of midstream assets and increased competition that currently exists in most crude oil producing regions, generating even baseline-level performance is challenging. Our NGL operations are also impacted by similar competitive pressures. In addition,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Net Revenues and Volumes. </w:t>
      </w:r>
      <w:r>
        <w:rPr>
          <w:rFonts w:ascii="Arial" w:cs="Arial" w:eastAsia="Arial" w:hAnsi="Arial"/>
          <w:sz w:val="17"/>
          <w:szCs w:val="17"/>
          <w:color w:val="auto"/>
        </w:rPr>
        <w:t>Our Supply and Logistics segment revenues, net of purchases and related costs, decreased by $536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compared to the year ended December 31, 2015 (of which $144 million was related to the mark-to-market impact of certain derivatives and long-term inventory costing adjustments). Revenues, net of purchases and related costs, decreased by $471 million for the year ended December 31, 2015 compared to the same 2014 period (of which $389 million was related to the mark-to-market impact of certain derivatives and long-term inventory costing adjustments). The following summarizes the significant items impacting the comparative periods:</w:t>
      </w:r>
    </w:p>
    <w:p>
      <w:pPr>
        <w:spacing w:after="0" w:line="173" w:lineRule="exact"/>
        <w:rPr>
          <w:sz w:val="20"/>
          <w:szCs w:val="20"/>
          <w:color w:val="auto"/>
        </w:rPr>
      </w:pPr>
    </w:p>
    <w:p>
      <w:pPr>
        <w:ind w:left="660" w:right="60" w:hanging="328"/>
        <w:spacing w:after="0" w:line="279"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Crude Oil Operations — Net revenues from our crude oil supply and logistics operations decreased for the year ended December 31, 2016 compared to the year ended December 31, 2015 primarily due to continued and intensifying competition, largely due to overbuilt infrastructure underwritten with volume commitments and the effect of such on differentials, as well as volume declines in certain areas, which negatively impacted our unit margins. See the “Market Overview and Outlook” section below for additional discussion of recent market conditions.</w:t>
      </w:r>
    </w:p>
    <w:p>
      <w:pPr>
        <w:spacing w:after="0" w:line="171" w:lineRule="exact"/>
        <w:rPr>
          <w:rFonts w:ascii="Arial" w:cs="Arial" w:eastAsia="Arial" w:hAnsi="Arial"/>
          <w:sz w:val="17"/>
          <w:szCs w:val="17"/>
          <w:color w:val="auto"/>
        </w:rPr>
      </w:pPr>
    </w:p>
    <w:p>
      <w:pPr>
        <w:ind w:left="660" w:right="100"/>
        <w:spacing w:after="0" w:line="257" w:lineRule="auto"/>
        <w:rPr>
          <w:rFonts w:ascii="Arial" w:cs="Arial" w:eastAsia="Arial" w:hAnsi="Arial"/>
          <w:sz w:val="17"/>
          <w:szCs w:val="17"/>
          <w:color w:val="auto"/>
        </w:rPr>
      </w:pPr>
      <w:r>
        <w:rPr>
          <w:rFonts w:ascii="Arial" w:cs="Arial" w:eastAsia="Arial" w:hAnsi="Arial"/>
          <w:sz w:val="18"/>
          <w:szCs w:val="18"/>
          <w:color w:val="auto"/>
        </w:rPr>
        <w:t>Net revenues decreased for the year ended December 31, 2015 as compared to the year ended December 31, 2014 primarily due to (i) the compression of certain differentials during the 2015 period, which resulted in fewer opportunities to capture above-baseline margins as compared to 2014 and (ii) increased competition, largely due to overbuilt infrastructure in certain areas that has negatively impacted our lease gathering unit margins and volumes, most notably during the second half of 2015. However, such unfavorable results were partially offset by revenues from opportunities created by the contango market structure during 2015.</w:t>
      </w:r>
    </w:p>
    <w:p>
      <w:pPr>
        <w:spacing w:after="0" w:line="188" w:lineRule="exact"/>
        <w:rPr>
          <w:rFonts w:ascii="Arial" w:cs="Arial" w:eastAsia="Arial" w:hAnsi="Arial"/>
          <w:sz w:val="17"/>
          <w:szCs w:val="17"/>
          <w:color w:val="auto"/>
        </w:rPr>
      </w:pPr>
    </w:p>
    <w:p>
      <w:pPr>
        <w:ind w:left="660" w:right="8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decreased for the year ended December 31, 2016 compared to the year ended December 31, 2015, largely due to (i) higher storage and processing fees for the 2016 periods, which are primarily reflected in our Facilities segment and (ii) higher supply costs driven by competition, which more than offset higher sales volumes.</w:t>
      </w:r>
    </w:p>
    <w:p>
      <w:pPr>
        <w:spacing w:after="0" w:line="181"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Net revenues increased for the year ended December 31, 2015 compared to the year ended December 31, 2014. The increase was primarily driven by higher margins due to the lower cost of inventory carried over from 2014 year end and higher sales volumes.</w:t>
      </w:r>
    </w:p>
    <w:p>
      <w:pPr>
        <w:spacing w:after="0" w:line="170" w:lineRule="exact"/>
        <w:rPr>
          <w:rFonts w:ascii="Arial" w:cs="Arial" w:eastAsia="Arial" w:hAnsi="Arial"/>
          <w:sz w:val="18"/>
          <w:szCs w:val="18"/>
          <w:color w:val="auto"/>
        </w:rPr>
      </w:pPr>
    </w:p>
    <w:p>
      <w:pPr>
        <w:ind w:left="660" w:right="38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impacting our net revenues includes mark-to-market and other gains and losses resulting from certain derivative instruments that are related to underlying activities in another period (or the reversal of mark-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40"/>
        <w:spacing w:after="0" w:line="311" w:lineRule="auto"/>
        <w:rPr>
          <w:sz w:val="20"/>
          <w:szCs w:val="20"/>
          <w:color w:val="auto"/>
        </w:rPr>
      </w:pPr>
      <w:r>
        <w:rPr>
          <w:rFonts w:ascii="Arial" w:cs="Arial" w:eastAsia="Arial" w:hAnsi="Arial"/>
          <w:sz w:val="18"/>
          <w:szCs w:val="18"/>
          <w:color w:val="auto"/>
        </w:rPr>
        <w:t>to-market gains and losses from a prior period), gains and losses on certain derivatives that are related to investing activities (such as the purchase of linefill) and inventory valuation adjustments, as applicable. See Note 12 to our Consolidated Financial Statements for a comprehensive discussion regarding our derivatives and risk management activities.</w:t>
      </w:r>
    </w:p>
    <w:p>
      <w:pPr>
        <w:spacing w:after="0" w:line="154" w:lineRule="exact"/>
        <w:rPr>
          <w:sz w:val="20"/>
          <w:szCs w:val="20"/>
          <w:color w:val="auto"/>
        </w:rPr>
      </w:pPr>
    </w:p>
    <w:p>
      <w:pPr>
        <w:ind w:left="660" w:right="20" w:hanging="328"/>
        <w:spacing w:after="0" w:line="279"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71"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Foreign Exchange Impacts — Our net revenues are impacted by fluctuations in the value of CAD to USD, resulting in foreign exchange gains and losses on U.S. denominated net assets within our Canadian operations. In addition, the depreciation of CAD relative to USD resulted in lower net USD costs of approximately $15 million for 2016 compared to 2015 and $41 million for 2015 compared to 2014. Such costs are primarily associated with intercompany facility fees and are largely offset in our Facilities segment results.</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 year ended December 31,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2015 period primarily due to a combination of (i) lower lease gathering volumes, (ii) shorter truck hauls and reduced use of third-party trucking services as pipeline expansion projects were placed into service, (iii) lower driver wages and (iv) a decrease in fuel prices.</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decrease in field operating costs (excluding equity-indexed compensation expense) for the year ended December 31, 2015 compared to the year ended December 31, 2014 was primarily due to the decreased use of third-party trucking services as pipeline expansion projects were placed into service.</w:t>
      </w:r>
    </w:p>
    <w:p>
      <w:pPr>
        <w:spacing w:after="0" w:line="12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Segment general and administrative expenses (excluding equity-indexed compensation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for the year ended December 31, 2016 compared to the same 2015 period due to cost reduction efforts.</w:t>
      </w:r>
    </w:p>
    <w:p>
      <w:pPr>
        <w:spacing w:after="0" w:line="1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Depreciation and amortization expense for the year ended December 31, 2016 includes net gains of approximately $100 million which were primarily associated with non-core asset sales and joint venture formations during the period. Excluding such gains, depreciation and amortization expense increased for the year ended December 31, 2016 compared to the same period in 2015 primarily due to (i) additional depreciation associated with the completion of various capital expansion projects, (ii) the write-off of $33 million of costs associated with the discontinuation of certain capital projects during 2016 and (iii) an $18 million charge in 2016 related to assets taken out of service. In addition, the 2016 period was further impacted by impairment losses of $80 million associated with certain of our rail and other terminal assets. See Note 5 and Note 6 to our Consolidated Financial Statements for additional information.</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Depreciation and amortization expense increased during the 2015 period over the comparable 2014 period primarily due to various capital expansion projects completed during 2015, partially offset by favorable foreign exchange fluctuation impacts.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333"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for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c>
          <w:tcPr>
            <w:tcW w:w="1560" w:type="dxa"/>
            <w:vAlign w:val="bottom"/>
          </w:tcPr>
          <w:p>
            <w:pPr>
              <w:jc w:val="right"/>
              <w:ind w:right="137"/>
              <w:spacing w:after="0"/>
              <w:rPr>
                <w:sz w:val="20"/>
                <w:szCs w:val="20"/>
                <w:color w:val="auto"/>
              </w:rPr>
            </w:pPr>
            <w:r>
              <w:rPr>
                <w:rFonts w:ascii="Arial" w:cs="Arial" w:eastAsia="Arial" w:hAnsi="Arial"/>
                <w:sz w:val="14"/>
                <w:szCs w:val="14"/>
                <w:b w:val="1"/>
                <w:bCs w:val="1"/>
                <w:color w:val="auto"/>
              </w:rPr>
              <w:t>Weighted Average</w:t>
            </w:r>
          </w:p>
        </w:tc>
      </w:tr>
      <w:tr>
        <w:trPr>
          <w:trHeight w:val="192"/>
        </w:trPr>
        <w:tc>
          <w:tcPr>
            <w:tcW w:w="76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8"/>
                <w:szCs w:val="8"/>
                <w:b w:val="1"/>
                <w:bCs w:val="1"/>
                <w:color w:val="auto"/>
              </w:rPr>
              <w:t>(1)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for the year ended December 31, 2014</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Impact of issuance of PAA senior notes</w:t>
            </w:r>
          </w:p>
        </w:tc>
        <w:tc>
          <w:tcPr>
            <w:tcW w:w="4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retirement of PAA senior notes</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Impact of capitalized interest</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 for the year ended December 31, 2015</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issuance of PAA senior notes</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Impact of retirement of PAA senior notes</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borrowings under credit facilities and PAA commercial paper program</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Impact of capitalized interest</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Interest expense for the year ended December 31, 2016</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Excludes commitment and other fees.</w:t>
      </w:r>
    </w:p>
    <w:p>
      <w:pPr>
        <w:spacing w:after="0" w:line="309"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7"/>
          <w:szCs w:val="17"/>
          <w:color w:val="auto"/>
        </w:rPr>
        <w:t>See Note 10 to our Consolidated Financial Statements for additional information regarding our debt activities during the periods presented.</w:t>
      </w:r>
    </w:p>
    <w:p>
      <w:pPr>
        <w:spacing w:after="0" w:line="23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Other income/(expense), net for the year ended December 31, 2016 was impacted by gains of $30 million related to the mark-to-market adjustment of our Preferred Distribution Rate Reset Option. See Note 12 to our Consolidated Financial Statements for additional information. Excluding such gains, other income/(expense), net in each of the years ended December 31, 2016, 2015 and 2014 was primarily comprised of foreign currency gains or losses related to revaluations of CAD-denominated interest receivables associated with our intercompany notes.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Income tax expense decreased for the year ended December 31, 2016 compared to the year ended December 31, 2015 primarily due to lower year-over-year income as impacted by fluctuations in derivative mark-to-market valuations in our Canadian operations during the 2016 period and the cumulative revaluation of Canadian net deferred tax liabilities resulting from a 2% Alberta, Canada provincial tax increase in the second quarter of 2015. These decreases were partially offset by higher deferred tax expense associated with the amortization of our deferred tax asset.</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decrease in income tax expense for the year ended December 31, 2015 compared to the year ended December 31, 2014 was primarily due to the deferred income tax impact associated with fluctuations in the derivative mark-to-market valuation in our Canadian operations during the 2015 and 2014 periods. This benefit was partially offset by (i) higher deferred income tax expense associated with the amortization of our deferred tax asset, (ii) an Alberta, Canada provincial tax rate increase of 2% enacted during the second quarter of 2015 and (iii) higher current income tax expense resulting from increased year-over-year taxable earnings from our Canadian operations. The 2015 period was also impacted by favorable foreign exchange rate fluctuations.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 and Outlook</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For the last six years, crude oil markets have been fairly volatile, with significant swings in both prices and production levels coupled with relatively modest growth in global liquids demand. The period from 2011 through 2014 was generally characterized by (i) high commodity prices driving a significant increase in North American production volumes (3.7 million barrels per day, or 33%), including significantly increased production of light crudes and condensate, (ii) high levels of volatility in location and quality differentials, and (iii) high utilization of then existing pipeline and terminal infrastructure.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factors stimulated multiple industry initiatives to build new pipeline and terminal infrastructure, ultimately resulting in excess midstream capacity in the Permian, Eagle Ford, Williston, Midcontinent and DJ basins. Many of the new infrastructure projects constructed during this period are supported by long-term minimum volume commitments (“MVCs”) whereby the shipper, often a producer with expectations of continued production or volume growth and the desire to secure associated takeaway capacity, agreed to ship and pay for certain stated volumes. The period of high commodity prices and increased production from 2011 through 2014 led to an oversupply of North American and global petroleum liquids, which resulted in a meaningful decrease in crude oil prices during the second half of 2014 and throughout 2015 and 2016 relative to the levels experienced during the first half of 2014. In turn, this resulted in a decrease in North American production levels in many areas as producers took rigs out of service and deferred completions at an increased rate. As a result, many of the producers and shippers that had previously entered into MVCs found themselves short of the volumes they needed to fulfill their MVCs, resulting in increased competition for the marginal uncommitted barrel. The combination of the slowdown in North American crude oil production growth and significant MVCs for new infrastructure created an environment for our business in which margins have compressed and differentials are less than transportation cost in some cases.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2016, the market remained oversupplied, but global demand growth began to outpace global supply growth as non-OPEC production declined. In November 2016, OPEC indicated a desire to return to its historical strategy of managing crude oil production levels. Joined by certain non-OPEC countries such as Russia and Mexico, OPEC and non-OPEC participants have targeted to cut output by approximately 1.8 million barrels per day in the first half of 2017. This decision drove a significant increase in crude oil prices during the fourth quarter of 2016. To the extent the production cut is successfully executed by the participating countries, accumulated inventories should begin to decline, prices should remain firm and potentially rise, ultimately leading to increased drilling and production activity levels. If the production cut is not executed, inventories could rise and prices could decline, ultimately leading to reduced drilling and production activity levels.</w:t>
      </w:r>
    </w:p>
    <w:p>
      <w:pPr>
        <w:spacing w:after="0" w:line="14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recent increase in crude oil prices has led to increased rig activity in a few areas where we anticipate production levels to increase, most notably the Permian Basin and the STACK resource play in Oklahoma. If production growth resumes and pipeline utilization increases, differentials should improve and approach transportation cost on a regional basis. While we believe that challenging industry conditions will persist in the near term, especially given the uncertainty surrounding the degree to which the proposed production cut by OPEC and other non-OPEC countries is implemented, we anticipate improvements in market conditions and production growth in the lower 48 States during the latter half of 2017 and into 2018.</w:t>
      </w:r>
    </w:p>
    <w:p>
      <w:pPr>
        <w:spacing w:after="0" w:line="118"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However, we can provide no assurance that the improvement in market conditions will be achieved or that we will not be negatively impacted by declining crude oil supply, lower commodity prices, reduced producer activity levels, competition for incremental volumes, reduced margins, low levels of volatility, challenging capital markets conditions or other related factors. Additionally, construction of additional infrastructure by us and our competitors could lead to even greater levels of excess takeaway capacity in certain areas for the near- to medium-term, which could further reduce unit margins in our various segments, and which could be exacerbated by declining levels of crude oil production. Finally, we cannot be certain that our expansion efforts will generate targeted returns or that any recently completed or future acquisition activities will be successful. See Item 1A. “Risk Factors—Risks Related to PAA’s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as further discussed below in the section entitled “—Cash Flow from Operating Activities,” (ii) borrowings under PAA’s credit facilities or the PAA commercial paper program and (iii) funds received from PAA’s sales of equity and debt securities. In addition, we may supplement these sources of liquidity with proceeds from a program we initiated to evaluate potential sales of non-core assets and/or sales of partial interests in assets to strategic joint venture partners.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As of December 31, 2016, we had a working capital deficit of $391 million and approximately $2.4 billion of liquidity available to meet our ongoing operating, investing and financing needs, subject to continued covenant compliance, as noted below (in millions):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125" w:right="2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594"/>
              <w:spacing w:after="0"/>
              <w:rPr>
                <w:sz w:val="20"/>
                <w:szCs w:val="20"/>
                <w:color w:val="auto"/>
              </w:rPr>
            </w:pPr>
            <w:r>
              <w:rPr>
                <w:rFonts w:ascii="Arial" w:cs="Arial" w:eastAsia="Arial" w:hAnsi="Arial"/>
                <w:sz w:val="14"/>
                <w:szCs w:val="14"/>
                <w:b w:val="1"/>
                <w:bCs w:val="1"/>
                <w:color w:val="auto"/>
              </w:rPr>
              <w:t>As of</w:t>
            </w:r>
          </w:p>
        </w:tc>
      </w:tr>
      <w:tr>
        <w:trPr>
          <w:trHeight w:val="192"/>
        </w:trPr>
        <w:tc>
          <w:tcPr>
            <w:tcW w:w="9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2016</w:t>
            </w: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1,580</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18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597</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40" w:right="380" w:hanging="632"/>
        <w:spacing w:after="0" w:line="216" w:lineRule="auto"/>
        <w:tabs>
          <w:tab w:leader="none" w:pos="64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40" w:right="280" w:hanging="632"/>
        <w:spacing w:after="0" w:line="216" w:lineRule="auto"/>
        <w:tabs>
          <w:tab w:leader="none" w:pos="64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$20 million and $53 million, respectively.</w:t>
      </w:r>
    </w:p>
    <w:p>
      <w:pPr>
        <w:spacing w:after="0" w:line="20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repaid PAA’s $400 million senior notes in January 2017, and we completed an approximate $1.215 billion acquisition in February 2017, both of which were initially funded with borrowings under PAA’s credit facilities and cash on hand. We received, on a consolidated basis, approximately $190 million of net proceeds from sales of our Class A shares and PAA common units in January 2017, which sales were completed under our and PAA’s continuous offering programs. See further discussion in “Equity and Debt Financing Activities” and “Acquisitions, Divestitures and Expansion Capital Expenditures” below.</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PAA credit facilities, which provide the backstop for the PAA commercial paper program, is subject to ongoing compliance with covenants. As of December 31, 2016, PAA was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storage and terminalling services provided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credit facilities or the PAA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the credit facilities or the PAA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credit facilities or the PAA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Net cash provided by operating activities for the years ended December 31, 2016, 2015 and 2014 was approximately $711 million, $1.3 billion and $2.0 billion, respectively, and primarily resulted from earnings from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Additionally, as discussed further below, changes in our inventory levels during these years impacted our cash flow from operating activities.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2016, we increased our inventory levels and margin balances required as part of our hedging activities that were funded by short-term debt, resulting in an unfavorable impact on our cash provided by operating activities. Furthermore, cash provided by operating activities as compared to prior periods was unfavorably impacted by the decrease in cash from overall earnings.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2015, we increased the amount of our inventory; however, these volumetric increases were largely offset by lower prices for our inventory stored at the end of the year compared to prior year amounts.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During 2014, we decreased the volume of our crude oil inventory that we held. The decreased inventory levels were further impacted by lower prices for such inventory stored at the end of the year compared to prior year amounts. In addition, our margin balances fluctuated from a net cash outflow to a net cash inflow. A portion of the net proceeds received from the liquidation of such inventory and the positive cash flow associated with our margin balance activities were used to repay borrowings under the PAA commercial paper program and favorably impacted cash flow from operating activities. These overall decreases were partially offset by an increase in the amount of NGL inventory stored at December 31, 2014 compared to prior year amounts, which was primarily financed through borrowings under the PAA commercial paper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Credit Agreements, Commercial Paper Program and Indentures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At December 31, 2016, PAA had four primary credit arrangements. These include a $1.6 billion senior unsecured revolving credit facility maturing in 2021, a $1.4 billion senior secured hedged inventory facility maturing in 2019 and a $1.0 billion, 364-day senior unsecured credit facility maturing in August 2017. Additionally, PAA has a $3.0 billion unsecured commercial paper program that is backstopped by its revolving credit facility and its hedged inventory facility. The PAA credit agreements (which impact the ability to access the PAA commercial paper program because they provide the backstop that supports PAA’s short-term credit ratings) and the indentures governing PAA’s senior notes contain cross-default provisions. A default under PAA’s credit agreements would permit the lenders to accelerate the maturity of the outstanding debt. As long as PAA is in compliance with the provisions in its credit agreements, PAA’s ability to make distributions of available cash is not restricted. PAA was in compliance with the covenants contained in its credit agreements and indentures as of December 31, 2016.</w:t>
      </w:r>
    </w:p>
    <w:p>
      <w:pPr>
        <w:spacing w:after="0" w:line="192"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During the year ended December 31, 2016, we had net repayments on the credit facilities and PAA commercial paper program of $676 million. The net repayments resulted primarily from cash flow from operating activities as well as cash received from PAA’s equity issuances and asset divestitures, which offset borrowings during the period related to funding needs for (i) inventory purchases and related margin balances required as part of our hedging activities,</w:t>
      </w:r>
    </w:p>
    <w:p>
      <w:pPr>
        <w:ind w:right="120" w:firstLine="8"/>
        <w:spacing w:after="0" w:line="290" w:lineRule="auto"/>
        <w:tabs>
          <w:tab w:leader="none" w:pos="265" w:val="left"/>
        </w:tabs>
        <w:numPr>
          <w:ilvl w:val="0"/>
          <w:numId w:val="69"/>
        </w:numPr>
        <w:rPr>
          <w:rFonts w:ascii="Arial" w:cs="Arial" w:eastAsia="Arial" w:hAnsi="Arial"/>
          <w:sz w:val="17"/>
          <w:szCs w:val="17"/>
          <w:color w:val="auto"/>
        </w:rPr>
      </w:pPr>
      <w:r>
        <w:rPr>
          <w:rFonts w:ascii="Arial" w:cs="Arial" w:eastAsia="Arial" w:hAnsi="Arial"/>
          <w:sz w:val="17"/>
          <w:szCs w:val="17"/>
          <w:color w:val="auto"/>
        </w:rPr>
        <w:t>capital investments, (iii) repayment of PAA’s $175 million senior notes in August 2016, (iv) repayment of $642 million of borrowings that PAA assumed under AAP’s senior secured credit agreement in connection with the Simplification Transactions and (v) other general partnership purposes.</w:t>
      </w:r>
    </w:p>
    <w:p>
      <w:pPr>
        <w:spacing w:after="0" w:line="16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During the year ended December 31, 2015, we had net borrowings under the credit facilities and PAA commercial paper program of $954 million. These net borrowings resulted primarily from funding needs for (i) capital investments, (ii) repayment of PAA senior notes that matured during 2015 and (iii) other general partnership purposes, and were partially offset by repayments from cash received from PAA’s debt and equity issuances.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the credit facilities or the PAA commercial paper program, as well as payment of distributions to our Class A shareholders and noncontrolling interests.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PAGP Registration Statement. </w:t>
      </w:r>
      <w:r>
        <w:rPr>
          <w:rFonts w:ascii="Arial" w:cs="Arial" w:eastAsia="Arial" w:hAnsi="Arial"/>
          <w:sz w:val="18"/>
          <w:szCs w:val="18"/>
          <w:color w:val="auto"/>
        </w:rPr>
        <w:t>In December 2016, we filed with the SEC a shelf registration statement that, subject to effectiveness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use, allows us to issue up to an aggregate of $1.0 billion of equity securities ( the “PAGP Traditional Shelf”). All issuances of equity securities associated with our continuous offering program, as described further below, will be issued pursuant to the PAGP Traditional Shelf. At December 31, 2016, we had not issued any equity securities under the PAGP Traditional Shelf.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Pursuant to the Omnibus Agreement, we have agreed to use the net proceeds from any public or private offering and sale of Class A shares, including the net proceeds from sales under our continuous offering program discussed below,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us to purchase from PAA an equivalent number of common units of PAA.</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intends to use the net proceeds it receives from the sale of such common units to AAP for general partnership purposes, which may include, among other things, repayment of indebtedness, acquisitions, capital expenditures and additions to working capital. Amounts repaid under PAA’s credit facilities or commercial paper program may be reborrowed to fund its ongoing expansion capital program, future acquisitions and investments or for general partnership purposes.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Continuous Offering Program. </w:t>
      </w:r>
      <w:r>
        <w:rPr>
          <w:rFonts w:ascii="Arial" w:cs="Arial" w:eastAsia="Arial" w:hAnsi="Arial"/>
          <w:sz w:val="18"/>
          <w:szCs w:val="18"/>
          <w:color w:val="auto"/>
        </w:rPr>
        <w:t>On December 27, 2016, we entered into an equity distribution agreement pursuant to which we may,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though sales agents, sell Class A shares representing limited partnership interests having an aggregate offering price of up to $500 million. We did not issue any Class A shares prior to December 31, 2016. Subsequent to December 31, 2016, we issued approximately 1.8 million Class A shares, generating proceeds of $60 million, net of $1 million of commissions to our sales agents.</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PAA Registration Statements</w:t>
      </w:r>
      <w:r>
        <w:rPr>
          <w:rFonts w:ascii="Arial" w:cs="Arial" w:eastAsia="Arial" w:hAnsi="Arial"/>
          <w:sz w:val="17"/>
          <w:szCs w:val="17"/>
          <w:color w:val="auto"/>
        </w:rPr>
        <w:t>. PAA periodically accesses the capital markets for both equity and debt financing. PAA has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universal shelf registration statement that, subject to effectiveness at the time of use, allows PAA to issue up to an aggregate of $2.0 billion of debt or equity securities (the “ PAA Traditional Shelf”). All issuances of PAA equity securities associated with PAA’s continuous offering program have been issued pursuant to the PAA Traditional Shelf. At December 31, 2016, PAA had approximately $1.2 billion of unsold securities available under the PAA Traditional Shelf. PAA also has access to a universal shelf registration statement (“WKSI Shelf”), which provides it with the ability to offer and sell an unlimited amount of debt and equity securities, subject to market conditions and capital needs. PAA’s November 2016 senior notes issuance were conducted under the WKSI shelf. See “PAA Common Unit Issuances” and “PAA Senior Notes” below.</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PAA Common Unit Issuances</w:t>
      </w:r>
      <w:r>
        <w:rPr>
          <w:rFonts w:ascii="Arial" w:cs="Arial" w:eastAsia="Arial" w:hAnsi="Arial"/>
          <w:sz w:val="18"/>
          <w:szCs w:val="18"/>
          <w:color w:val="auto"/>
        </w:rPr>
        <w:t>. The following table summarizes the issuance of PAA’s common units during the three years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(net proceeds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CCEEFF"/>
            </w:tcBorders>
          </w:tcPr>
          <w:p>
            <w:pPr>
              <w:spacing w:after="0"/>
              <w:rPr>
                <w:sz w:val="16"/>
                <w:szCs w:val="16"/>
                <w:color w:val="auto"/>
              </w:rPr>
            </w:pPr>
          </w:p>
        </w:tc>
      </w:tr>
      <w:tr>
        <w:trPr>
          <w:trHeight w:val="263"/>
        </w:trPr>
        <w:tc>
          <w:tcPr>
            <w:tcW w:w="2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2016 Total</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26,278,288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796</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Continuous Offering Program</w:t>
            </w:r>
          </w:p>
        </w:tc>
        <w:tc>
          <w:tcPr>
            <w:tcW w:w="2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1,133,904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36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Underwritten Offering</w:t>
            </w:r>
          </w:p>
        </w:tc>
        <w:tc>
          <w:tcPr>
            <w:tcW w:w="2140" w:type="dxa"/>
            <w:vAlign w:val="bottom"/>
          </w:tcPr>
          <w:p>
            <w:pPr>
              <w:jc w:val="right"/>
              <w:ind w:right="33"/>
              <w:spacing w:after="0"/>
              <w:rPr>
                <w:sz w:val="20"/>
                <w:szCs w:val="20"/>
                <w:color w:val="auto"/>
              </w:rPr>
            </w:pPr>
            <w:r>
              <w:rPr>
                <w:rFonts w:ascii="Arial" w:cs="Arial" w:eastAsia="Arial" w:hAnsi="Arial"/>
                <w:sz w:val="18"/>
                <w:szCs w:val="18"/>
                <w:color w:val="auto"/>
              </w:rPr>
              <w:t>21,000,000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1,041</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(3)</w:t>
            </w:r>
          </w:p>
        </w:tc>
      </w:tr>
      <w:tr>
        <w:trPr>
          <w:trHeight w:val="27"/>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2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2015 Total</w:t>
            </w:r>
          </w:p>
        </w:tc>
        <w:tc>
          <w:tcPr>
            <w:tcW w:w="3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22,133,904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1,099</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2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2014 Total</w:t>
            </w:r>
          </w:p>
        </w:tc>
        <w:tc>
          <w:tcPr>
            <w:tcW w:w="3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Continuous Offering Program</w:t>
            </w:r>
          </w:p>
        </w:tc>
        <w:tc>
          <w:tcPr>
            <w:tcW w:w="2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15,375,810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848</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140" w:hanging="652"/>
        <w:spacing w:after="0" w:line="225" w:lineRule="auto"/>
        <w:tabs>
          <w:tab w:leader="none" w:pos="66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PAA pays commissions to its sales agents in connection with common unit issuances under its Continuous Offering Program. PAA paid $8 million, $1 million and $9 million of such commissions during 2016, 2015 and 2014, respectively. The net proceeds from these offerings were used for general partnership purposes.</w:t>
      </w:r>
    </w:p>
    <w:p>
      <w:pPr>
        <w:spacing w:after="0" w:line="94" w:lineRule="exact"/>
        <w:rPr>
          <w:rFonts w:ascii="Arial" w:cs="Arial" w:eastAsia="Arial" w:hAnsi="Arial"/>
          <w:sz w:val="25"/>
          <w:szCs w:val="25"/>
          <w:color w:val="auto"/>
          <w:vertAlign w:val="superscript"/>
        </w:rPr>
      </w:pPr>
    </w:p>
    <w:p>
      <w:pPr>
        <w:ind w:left="660" w:right="340" w:hanging="652"/>
        <w:spacing w:after="0" w:line="216" w:lineRule="auto"/>
        <w:tabs>
          <w:tab w:leader="none" w:pos="66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A portion of the net proceeds from such offering was used to repay borrowings under the PAA commercial paper program and the remaining net proceeds were used for general partnership purposes, including expenditures for our 2015 capital program.</w:t>
      </w:r>
    </w:p>
    <w:p>
      <w:pPr>
        <w:spacing w:after="0" w:line="203" w:lineRule="exact"/>
        <w:rPr>
          <w:sz w:val="20"/>
          <w:szCs w:val="20"/>
          <w:color w:val="auto"/>
        </w:rPr>
      </w:pPr>
    </w:p>
    <w:p>
      <w:pPr>
        <w:ind w:right="60" w:firstLine="675"/>
        <w:spacing w:after="0" w:line="277" w:lineRule="auto"/>
        <w:rPr>
          <w:sz w:val="20"/>
          <w:szCs w:val="20"/>
          <w:color w:val="auto"/>
        </w:rPr>
      </w:pPr>
      <w:r>
        <w:rPr>
          <w:rFonts w:ascii="Arial" w:cs="Arial" w:eastAsia="Arial" w:hAnsi="Arial"/>
          <w:sz w:val="18"/>
          <w:szCs w:val="18"/>
          <w:color w:val="auto"/>
        </w:rPr>
        <w:t>Subsequent to December 31, 2016, PAA sold an additional 4.0 million common units under its continuous offering program, generating proceeds of $129 million, net of $1 million of commissions to sales agents.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PAA Preferred Unit Issuance</w:t>
      </w:r>
      <w:r>
        <w:rPr>
          <w:rFonts w:ascii="Arial" w:cs="Arial" w:eastAsia="Arial" w:hAnsi="Arial"/>
          <w:sz w:val="17"/>
          <w:szCs w:val="17"/>
          <w:color w:val="auto"/>
        </w:rPr>
        <w:t>. In January 2016, PAA completed the private placement of approximately 61.0 million Series A preferred units at a</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$26.25 per unit resulting in total net proceeds, after deducting offering expenses and the 2% transaction fee due to the purchasers, of approximately $1.6 billion. We used the net proceeds for capital expenditures, repayment of debt and general partnership purposes. While PAA’s Series A preferred units are considered equity securities and are classified within partners’ capital on our Consolidated Balance Sheet, the rating agencies only ascribe 50% equity credit with the remaining 50% considered debt for purposes of determining PAA’s credit ratings.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PAA Series A preferred units rank senior to all classes or series of equity securities in PAA with respect to distribution rights. The holders of the PAA Series A preferred units are entitled to receive quarterly distributions, subject to customary anti-dilution adjustments, of $0.525 per unit ($2.10 per unit annualized), which commenced with the quarter ending March 31, 2016. With respect to any quarter ending on or prior to December 31, 2017, PAA may elect to pay distributions on the PAA preferred units in additional preferred units, in cash or in a combination of both.</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After two years, the PAA Series A preferred units are convertible at the purchasers’ option into common units on a one-for-one basis, subject to certain conditions, and are convertible at PAA’s option in certain circumstances after three years. See Note 11 to our Consolidated Financial Statements for additional information regarding the PAA Series A preferred units.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PAA Senior Notes. </w:t>
      </w:r>
      <w:r>
        <w:rPr>
          <w:rFonts w:ascii="Arial" w:cs="Arial" w:eastAsia="Arial" w:hAnsi="Arial"/>
          <w:sz w:val="18"/>
          <w:szCs w:val="18"/>
          <w:color w:val="auto"/>
        </w:rPr>
        <w:t>During the last three years, PAA issued senior unsecured notes as summarized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502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Face Value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Proceeds</w:t>
            </w:r>
            <w:r>
              <w:rPr>
                <w:rFonts w:ascii="Arial" w:cs="Arial" w:eastAsia="Arial" w:hAnsi="Arial"/>
                <w:sz w:val="8"/>
                <w:szCs w:val="8"/>
                <w:b w:val="1"/>
                <w:bCs w:val="1"/>
                <w:color w:val="auto"/>
                <w:w w:val="96"/>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Proceeds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70"/>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4.50% Senior Notes issued at 99.716% of face value </w:t>
            </w:r>
            <w:r>
              <w:rPr>
                <w:rFonts w:ascii="Arial" w:cs="Arial" w:eastAsia="Arial" w:hAnsi="Arial"/>
                <w:sz w:val="25"/>
                <w:szCs w:val="25"/>
                <w:color w:val="auto"/>
                <w:vertAlign w:val="superscript"/>
              </w:rPr>
              <w:t>(3)</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December 2026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4.65% Senior Notes issued at 99.846% of face value </w:t>
            </w:r>
            <w:r>
              <w:rPr>
                <w:rFonts w:ascii="Arial" w:cs="Arial" w:eastAsia="Arial" w:hAnsi="Arial"/>
                <w:sz w:val="25"/>
                <w:szCs w:val="25"/>
                <w:color w:val="auto"/>
                <w:vertAlign w:val="superscript"/>
              </w:rPr>
              <w:t>(3)</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2.60% Senior Notes issued at 99.813% of face value </w:t>
            </w:r>
            <w:r>
              <w:rPr>
                <w:rFonts w:ascii="Arial" w:cs="Arial" w:eastAsia="Arial" w:hAnsi="Arial"/>
                <w:sz w:val="25"/>
                <w:szCs w:val="25"/>
                <w:color w:val="auto"/>
                <w:vertAlign w:val="superscript"/>
              </w:rPr>
              <w:t>(4)</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December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0"/>
        </w:trPr>
        <w:tc>
          <w:tcPr>
            <w:tcW w:w="7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51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4.90% Senior Notes issued at 99.876% of face value </w:t>
            </w:r>
            <w:r>
              <w:rPr>
                <w:rFonts w:ascii="Arial" w:cs="Arial" w:eastAsia="Arial" w:hAnsi="Arial"/>
                <w:sz w:val="25"/>
                <w:szCs w:val="25"/>
                <w:color w:val="auto"/>
                <w:vertAlign w:val="superscript"/>
              </w:rPr>
              <w:t>(4)</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 2045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0"/>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3.60% Senior Notes issued at 99.842% of face value </w:t>
            </w:r>
            <w:r>
              <w:rPr>
                <w:rFonts w:ascii="Arial" w:cs="Arial" w:eastAsia="Arial" w:hAnsi="Arial"/>
                <w:sz w:val="25"/>
                <w:szCs w:val="25"/>
                <w:color w:val="auto"/>
                <w:vertAlign w:val="superscript"/>
              </w:rPr>
              <w:t>(3)</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2024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341"/>
        </w:trPr>
        <w:tc>
          <w:tcPr>
            <w:tcW w:w="7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 xml:space="preserve">4.70% Senior Notes issued at 99.734% of face value </w:t>
            </w:r>
            <w:r>
              <w:rPr>
                <w:rFonts w:ascii="Arial" w:cs="Arial" w:eastAsia="Arial" w:hAnsi="Arial"/>
                <w:sz w:val="25"/>
                <w:szCs w:val="25"/>
                <w:color w:val="auto"/>
                <w:vertAlign w:val="superscript"/>
              </w:rPr>
              <w:t>(3)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2044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3323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50"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98" w:lineRule="exact"/>
        <w:rPr>
          <w:rFonts w:ascii="Arial" w:cs="Arial" w:eastAsia="Arial" w:hAnsi="Arial"/>
          <w:sz w:val="25"/>
          <w:szCs w:val="25"/>
          <w:color w:val="auto"/>
          <w:vertAlign w:val="superscript"/>
        </w:rPr>
      </w:pPr>
    </w:p>
    <w:p>
      <w:pPr>
        <w:ind w:left="660" w:right="160" w:hanging="652"/>
        <w:spacing w:after="0" w:line="214" w:lineRule="auto"/>
        <w:tabs>
          <w:tab w:leader="none" w:pos="66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color w:val="auto"/>
        </w:rPr>
        <w:t>The net proceeds from this offering were used to repay outstanding borrowings under PAA’s credit facilities or the PAA commercial paper program and for general partnership purposes.</w:t>
      </w:r>
    </w:p>
    <w:p>
      <w:pPr>
        <w:spacing w:after="0" w:line="94" w:lineRule="exact"/>
        <w:rPr>
          <w:rFonts w:ascii="Arial" w:cs="Arial" w:eastAsia="Arial" w:hAnsi="Arial"/>
          <w:sz w:val="25"/>
          <w:szCs w:val="25"/>
          <w:color w:val="auto"/>
          <w:vertAlign w:val="superscript"/>
        </w:rPr>
      </w:pPr>
    </w:p>
    <w:p>
      <w:pPr>
        <w:ind w:left="660" w:right="200" w:hanging="652"/>
        <w:spacing w:after="0" w:line="252" w:lineRule="auto"/>
        <w:tabs>
          <w:tab w:leader="none" w:pos="660"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The net proceeds from this offering were used to repay outstanding borrowings under the PAA commercial paper program (a portion of which was used to fund the acquisition of a 50% interest in BridgeTex). See Note 8 to our Consolidated Financial Statements for further discussion.</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January 2017, PAA’s $400 million, 6.13% senior notes matured and were repaid with cash on hand and proceeds from borrowings under our credit facilities and commercial paper program.</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August 2016, PAA’s $175 million, 5.88% senior notes matured and were repaid with cash on hand and proceeds from borrowings under credit facilities and the PAA commercial paper program.</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PAA’s $150 million, 5.25% senior notes and $400 million, 3.95% senior notes matured in June 2015 and September 2015, respectively, and were repaid with borrowings under the PAA commercial paper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Expansion Capital Expenditures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our operating needs discussed above, on a consolidated basis, we also use cash for our acquisition activities and expansion capital projects. Historically, we have financed these expenditures primarily with cash generated by operations and the financing activities discussed above. In the near term, we also intend to use proceeds from our asset sales program, as discussed further below. Also see “—Acquisitions and Capital Projects” for further discussion of such capital expenditures.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year. During the years ended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December 31, 2016, 2015 and 2014, we paid cash of $282 million (net of cash acquired of $7 million), $105 million and $1,098 million, respectively, for acquisitions.</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February 2017, we acquired the Alpha Crude Connector gathering system for total consideration of $1.215 billion, subject to working capital and other adjustments. This acquisition was initially funded with borrowings under PAA’s credit facilities, which we intend to repay with proceeds from asset sales, equity issuances and retained cash flow. See Note 6 to our Consolidated Financial Statements for discussion of our acquisition activities.</w:t>
      </w:r>
    </w:p>
    <w:p>
      <w:pPr>
        <w:spacing w:after="0" w:line="166"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Also in February 2017, we entered into a definitive agreement to form a 50/50 joint venture to acquire a crude oil pipeline located in the Southern Delaware Basin for $133 million; a majority of our 50% share of such amount is expected to be paid in PAA common units issued to certain of the sellers at closing, which we expect to occur, subject to the satisfaction of customary closing conditions, during the first half of 2017.</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2016-2017 Asset Sales Program</w:t>
      </w:r>
      <w:r>
        <w:rPr>
          <w:rFonts w:ascii="Arial" w:cs="Arial" w:eastAsia="Arial" w:hAnsi="Arial"/>
          <w:sz w:val="17"/>
          <w:szCs w:val="17"/>
          <w:color w:val="auto"/>
        </w:rPr>
        <w:t>. During 2016, we initiated a program to evaluate potential sales of non-core assets and/or sales of partial interests in</w:t>
      </w:r>
      <w:r>
        <w:rPr>
          <w:rFonts w:ascii="Arial" w:cs="Arial" w:eastAsia="Arial" w:hAnsi="Arial"/>
          <w:sz w:val="17"/>
          <w:szCs w:val="17"/>
          <w:i w:val="1"/>
          <w:iCs w:val="1"/>
          <w:color w:val="auto"/>
        </w:rPr>
        <w:t xml:space="preserve"> </w:t>
      </w:r>
      <w:r>
        <w:rPr>
          <w:rFonts w:ascii="Arial" w:cs="Arial" w:eastAsia="Arial" w:hAnsi="Arial"/>
          <w:sz w:val="17"/>
          <w:szCs w:val="17"/>
          <w:color w:val="auto"/>
        </w:rPr>
        <w:t>assets to strategic joint venture partners to optimize our asset portfolio and strengthen our balance sheet and leverage metrics. We completed approximately $550 million of asset sales in 2016 (net of $85 million paid for a remaining interest in a pipeline that was subsequently sold), and $670 million of sales have closed or are expected to close during the first half of 2017, subject to customary closing conditions.</w:t>
      </w:r>
    </w:p>
    <w:p>
      <w:pPr>
        <w:spacing w:after="0" w:line="17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2017 Capital Projects. </w:t>
      </w:r>
      <w:r>
        <w:rPr>
          <w:rFonts w:ascii="Arial" w:cs="Arial" w:eastAsia="Arial" w:hAnsi="Arial"/>
          <w:sz w:val="18"/>
          <w:szCs w:val="18"/>
          <w:color w:val="auto"/>
        </w:rPr>
        <w:t>The majority of our 2017 expansion capital program will be invested in our fee-based Transportation and Facilities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our investments will have minimal contributions to our 2017 results, but will provide growth for 2018 and beyond. Our 2017 capital program includes the following projects as of February 2017 with the estimated cost for the entire year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$300</w:t>
            </w:r>
          </w:p>
        </w:tc>
      </w:tr>
      <w:tr>
        <w:trPr>
          <w:trHeight w:val="270"/>
        </w:trPr>
        <w:tc>
          <w:tcPr>
            <w:tcW w:w="9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Permian Basin Area Systems </w:t>
            </w:r>
            <w:r>
              <w:rPr>
                <w:rFonts w:ascii="Arial" w:cs="Arial" w:eastAsia="Arial" w:hAnsi="Arial"/>
                <w:sz w:val="25"/>
                <w:szCs w:val="25"/>
                <w:color w:val="auto"/>
                <w:vertAlign w:val="superscript"/>
              </w:rPr>
              <w:t>(1)</w:t>
            </w:r>
          </w:p>
        </w:tc>
        <w:tc>
          <w:tcPr>
            <w:tcW w:w="2040" w:type="dxa"/>
            <w:vAlign w:val="bottom"/>
          </w:tcPr>
          <w:p>
            <w:pPr>
              <w:jc w:val="center"/>
              <w:spacing w:after="0"/>
              <w:rPr>
                <w:sz w:val="20"/>
                <w:szCs w:val="20"/>
                <w:color w:val="auto"/>
              </w:rPr>
            </w:pPr>
            <w:r>
              <w:rPr>
                <w:rFonts w:ascii="Arial" w:cs="Arial" w:eastAsia="Arial" w:hAnsi="Arial"/>
                <w:sz w:val="18"/>
                <w:szCs w:val="18"/>
                <w:color w:val="auto"/>
                <w:w w:val="86"/>
              </w:rPr>
              <w:t>120</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Saskatchewan Facility Projects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Cushing Terminal Expansions</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7"/>
        </w:trPr>
        <w:tc>
          <w:tcPr>
            <w:tcW w:w="9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260</w:t>
            </w:r>
          </w:p>
        </w:tc>
      </w:tr>
      <w:tr>
        <w:trPr>
          <w:trHeight w:val="257"/>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Total Projected 2017 Expansion Capital Expenditures</w:t>
            </w: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$800</w:t>
            </w:r>
          </w:p>
        </w:tc>
      </w:tr>
      <w:tr>
        <w:trPr>
          <w:trHeight w:val="20"/>
        </w:trPr>
        <w:tc>
          <w:tcPr>
            <w:tcW w:w="9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Includes projected capital projects associated with our recently acquired Alpha Crude Connector gathering system.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distribute 100%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On February 14, 2017, we paid a quarterly distribution of $0.55 per Class A share. This distribution represents a year-over-year distribution decrease of approximately 11%. See Note 11 to our Consolidated Financial Statements for details of distributions paid. Also, see Item 5. “Market for Registrant’s Shares, Related Shareholder Matters and Issuer Purchases of Equity Securities—Cash Distribution Policy” for additional discussion regarding distributions.</w:t>
      </w:r>
    </w:p>
    <w:p>
      <w:pPr>
        <w:spacing w:after="0" w:line="19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During the years ended December 31, 2016, 2015 and 2014, distributions of approximately $1.4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$1.5 billion and $1.3 billion, respectively, were paid to noncontrolling interests. These amounts represent distributions paid on interests in PAA, AAP and SLC Pipeline LLC that were not owned by us.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17 to our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with remaining terms extending up to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2016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 and</w:t>
            </w: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 including current maturities</w:t>
            </w: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and related interest payments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70"/>
        </w:trPr>
        <w:tc>
          <w:tcPr>
            <w:tcW w:w="3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7"/>
        </w:trPr>
        <w:tc>
          <w:tcPr>
            <w:tcW w:w="34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6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Crude oil, natural gas, NGL and other</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5"/>
                <w:szCs w:val="25"/>
                <w:color w:val="auto"/>
                <w:vertAlign w:val="superscript"/>
              </w:rPr>
              <w:t>(4)</w:t>
            </w: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5,068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37"/>
        </w:trPr>
        <w:tc>
          <w:tcPr>
            <w:tcW w:w="342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7,053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16,300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36,196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60" w:hanging="652"/>
        <w:spacing w:after="0" w:line="271" w:lineRule="auto"/>
        <w:tabs>
          <w:tab w:leader="none" w:pos="660" w:val="left"/>
        </w:tabs>
        <w:numPr>
          <w:ilvl w:val="0"/>
          <w:numId w:val="73"/>
        </w:numPr>
        <w:rPr>
          <w:rFonts w:ascii="Arial" w:cs="Arial" w:eastAsia="Arial" w:hAnsi="Arial"/>
          <w:sz w:val="22"/>
          <w:szCs w:val="22"/>
          <w:color w:val="auto"/>
          <w:vertAlign w:val="superscript"/>
        </w:rPr>
      </w:pPr>
      <w:r>
        <w:rPr>
          <w:rFonts w:ascii="Arial" w:cs="Arial" w:eastAsia="Arial" w:hAnsi="Arial"/>
          <w:sz w:val="16"/>
          <w:szCs w:val="16"/>
          <w:color w:val="auto"/>
        </w:rPr>
        <w:t>Includes debt service payments, interest payments due on PAA’s senior notes, the commitment fee on assumed available capacity under the PAA credit facilities, and long-term borrowings under the PAA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 For additional information regarding our debt obligations, see Note 10 to our Consolidated Financial Statements.</w:t>
      </w:r>
    </w:p>
    <w:p>
      <w:pPr>
        <w:spacing w:after="0" w:line="71" w:lineRule="exact"/>
        <w:rPr>
          <w:rFonts w:ascii="Arial" w:cs="Arial" w:eastAsia="Arial" w:hAnsi="Arial"/>
          <w:sz w:val="22"/>
          <w:szCs w:val="22"/>
          <w:color w:val="auto"/>
          <w:vertAlign w:val="superscript"/>
        </w:rPr>
      </w:pPr>
    </w:p>
    <w:p>
      <w:pPr>
        <w:ind w:left="660" w:right="340" w:hanging="652"/>
        <w:spacing w:after="0" w:line="216" w:lineRule="auto"/>
        <w:tabs>
          <w:tab w:leader="none" w:pos="660" w:val="left"/>
        </w:tabs>
        <w:numPr>
          <w:ilvl w:val="0"/>
          <w:numId w:val="73"/>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capital and operating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00" w:hanging="652"/>
        <w:spacing w:after="0" w:line="235" w:lineRule="auto"/>
        <w:tabs>
          <w:tab w:leader="none" w:pos="660" w:val="left"/>
        </w:tabs>
        <w:numPr>
          <w:ilvl w:val="0"/>
          <w:numId w:val="73"/>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$855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40" w:hanging="652"/>
        <w:spacing w:after="0" w:line="238" w:lineRule="auto"/>
        <w:tabs>
          <w:tab w:leader="none" w:pos="660" w:val="left"/>
        </w:tabs>
        <w:numPr>
          <w:ilvl w:val="0"/>
          <w:numId w:val="73"/>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December 2016.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2016 and 2015, we had outstanding letters of credit of approximately $73 million and $46 million, respectively.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125"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2016 (unaudited, dollars in millions):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Our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Total Cash</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Entity</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Total Entity</w:t>
            </w:r>
          </w:p>
        </w:tc>
        <w:tc>
          <w:tcPr>
            <w:tcW w:w="0" w:type="dxa"/>
            <w:vAlign w:val="bottom"/>
          </w:tcPr>
          <w:p>
            <w:pPr>
              <w:spacing w:after="0"/>
              <w:rPr>
                <w:sz w:val="1"/>
                <w:szCs w:val="1"/>
                <w:color w:val="auto"/>
              </w:rPr>
            </w:pPr>
          </w:p>
        </w:tc>
      </w:tr>
      <w:tr>
        <w:trPr>
          <w:trHeight w:val="149"/>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100" w:type="dxa"/>
            <w:vAlign w:val="bottom"/>
            <w:vMerge w:val="restart"/>
          </w:tcPr>
          <w:p>
            <w:pPr>
              <w:spacing w:after="0"/>
              <w:rPr>
                <w:sz w:val="12"/>
                <w:szCs w:val="12"/>
                <w:color w:val="auto"/>
              </w:rPr>
            </w:pPr>
          </w:p>
        </w:tc>
        <w:tc>
          <w:tcPr>
            <w:tcW w:w="2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Cash</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Settoon Towing, LLC (“Settoon”) </w:t>
            </w:r>
            <w:r>
              <w:rPr>
                <w:rFonts w:ascii="Arial" w:cs="Arial" w:eastAsia="Arial" w:hAnsi="Arial"/>
                <w:sz w:val="25"/>
                <w:szCs w:val="25"/>
                <w:color w:val="auto"/>
                <w:vertAlign w:val="superscript"/>
              </w:rPr>
              <w:t>(1)</w:t>
            </w:r>
          </w:p>
        </w:tc>
        <w:tc>
          <w:tcPr>
            <w:tcW w:w="2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Barge Transportation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BridgeTex Pipeline Company, LLC</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Caddo Pipeline LLC</w:t>
            </w:r>
          </w:p>
        </w:tc>
        <w:tc>
          <w:tcPr>
            <w:tcW w:w="2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Cheyenne Pipeline LLC</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Diamond Pipeline LLC</w:t>
            </w:r>
          </w:p>
        </w:tc>
        <w:tc>
          <w:tcPr>
            <w:tcW w:w="2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Eagle Ford Pipeline LLC</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2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Terminal and Dock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Frontier Aspen LLC</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Saddlehorn Pipeline Company, LLC</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White Cliffs Pipeline, LLC</w:t>
            </w:r>
          </w:p>
        </w:tc>
        <w:tc>
          <w:tcPr>
            <w:tcW w:w="2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Butte Pipe Line Company</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71" w:lineRule="exact"/>
        <w:rPr>
          <w:sz w:val="20"/>
          <w:szCs w:val="20"/>
          <w:color w:val="auto"/>
        </w:rPr>
      </w:pPr>
    </w:p>
    <w:p>
      <w:pPr>
        <w:ind w:left="660" w:right="40" w:hanging="652"/>
        <w:spacing w:after="0" w:line="226" w:lineRule="auto"/>
        <w:tabs>
          <w:tab w:leader="none" w:pos="660" w:val="left"/>
        </w:tabs>
        <w:numPr>
          <w:ilvl w:val="0"/>
          <w:numId w:val="74"/>
        </w:numPr>
        <w:rPr>
          <w:rFonts w:ascii="Arial" w:cs="Arial" w:eastAsia="Arial" w:hAnsi="Arial"/>
          <w:sz w:val="25"/>
          <w:szCs w:val="25"/>
          <w:color w:val="auto"/>
          <w:vertAlign w:val="superscript"/>
        </w:rPr>
      </w:pPr>
      <w:r>
        <w:rPr>
          <w:rFonts w:ascii="Arial" w:cs="Arial" w:eastAsia="Arial" w:hAnsi="Arial"/>
          <w:sz w:val="18"/>
          <w:szCs w:val="18"/>
          <w:color w:val="auto"/>
        </w:rPr>
        <w:t>In February 2017, Settoon signed a definitive agreement to sell its Liquid Bulk division that is expected to close in the first half of 2017, subject to customary closing conditions, including receipt of regulatory approvals. Settoon intends to use a portion of the proceeds from such sale to pay off all of its outstanding debt.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140"/>
        <w:spacing w:after="0" w:line="312" w:lineRule="auto"/>
        <w:rPr>
          <w:rFonts w:ascii="Arial" w:cs="Arial" w:eastAsia="Arial" w:hAnsi="Arial"/>
          <w:sz w:val="13"/>
          <w:szCs w:val="13"/>
          <w:i w:val="1"/>
          <w:iCs w:val="1"/>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38" w:lineRule="exact"/>
        <w:rPr>
          <w:rFonts w:ascii="Arial" w:cs="Arial" w:eastAsia="Arial" w:hAnsi="Arial"/>
          <w:sz w:val="13"/>
          <w:szCs w:val="13"/>
          <w:i w:val="1"/>
          <w:iCs w:val="1"/>
          <w:color w:val="auto"/>
        </w:rPr>
      </w:pPr>
    </w:p>
    <w:p>
      <w:pPr>
        <w:ind w:left="980" w:hanging="324"/>
        <w:spacing w:after="0"/>
        <w:tabs>
          <w:tab w:leader="none" w:pos="980" w:val="left"/>
        </w:tabs>
        <w:numPr>
          <w:ilvl w:val="0"/>
          <w:numId w:val="75"/>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80" w:right="2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73"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40"/>
        <w:spacing w:after="0" w:line="286" w:lineRule="auto"/>
        <w:rPr>
          <w:rFonts w:ascii="Arial" w:cs="Arial" w:eastAsia="Arial" w:hAnsi="Arial"/>
          <w:sz w:val="13"/>
          <w:szCs w:val="13"/>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12 to our Consolidated Financial Statements for further discussion regarding our hedging strategies and objectives.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2016 that would be expected from a 10% price increase or decrease is shown in the table below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2016, approximately $1.6 billion, is subject to interest rate re-sets that range from less than one week to two months. The average interest rate on variable rate debt that was outstanding during the year ended December 31, 2016 was 1.7%, based upon rates in effect during the year. The fair value of our interest rate derivatives was a liability of $50 million as of December 31, 2016. A 10% increase in the forward LIBOR curve as of December 31, 2016 would have resulted in an increase of $32 million to the fair value of our interest rate derivatives. A 10% decrease in the forward LIBOR curve as of December 31, 2016 would have resulted in a decrease of $32 million to the fair value of our interest rate derivatives. See Note 12 to our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$3 million as of December 31, 2016. A 10% increase in the exchange rate (USD-to-CAD) would have resulted in a decrease of $22 million to the fair value of our foreign currency derivatives. A 10% decrease in the exchange rate (USD-to-CAD) would have resulted in an increase of $22 million to the fair value of our foreign currency derivatives. See Note 12 to our Consolidated Financial Statements for a discussion of our currency exchange rate risk hedging.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and default probabilities to ultimately calculate the fair value of PAA’s Series A preferred units with and without the Preferred Distribution Rate Reset Option. The fair value of this embedded derivative was a liability of $32 million as of December 31, 2016. A 10% increase in the fair value would have an impact of $3 million. A 10% decrease in the fair value would also have an impact of $3 million. See Note 12 to our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2016,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2016. See “Management’s Report on Internal Control Over Financial Reporting” on page F-2 of our Consolidated Financial Statements.</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2016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2016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125" w:right="4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and Governance</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own a 100% managing member interest in Plains All American GP LLC (“GP LLC”), which owns a non-economic general partner interest in Plains AAP, L.P. (“AAP”). As of December 31, 2016, we also owned, directly and through GP LLC, a 42% limited partner interest in AAP, which directly owns an approximate 33% limited partner interest in Plains All American Pipeline, L.P. (“PAA”) through its ownership of 241.7 million of PAA’s outstanding common units. AAP is the sole member of PAA GP LLC, which directly holds the non-economic general partner interest in PAA. PAA GP Holdings LLC (“PAGP GP”) holds a non-economic general partner interest in us and manages our operations and activities.</w:t>
      </w:r>
    </w:p>
    <w:p>
      <w:pPr>
        <w:spacing w:after="0" w:line="17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Prior to the Simplification Transactions completed on November 15, 2016, the board of directors of GP LLC managed the business and affairs of PAA and AAP. As a result of the Simplification Transactions, the board of directors of GP LLC was eliminated and the board of directors of PAGP GP now has responsibility for managing the business and affairs of PAGP, PAA and AAP. References to our directors are references to the directors of GP LLC prior to November 15, 2016 and to the directors of PAGP GP after November 15, 2016 or both as the context requires.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and our general partner have no employees. All of our officers and other personnel necessary for our business to function (to the extent not out-sourced) are employed by GP LLC. Pursuant to the Omnibus Agreement described below under “Item 13. Certain Relationships and Related Transactions, and Director Independence—Related Party Transactions—Omnibus Agreement”, all of our direct or indirect expenses, other than income taxes, if any, will be paid by PAA. These direct or indirect expenses include, but are not limited to (i) compensation for the non-employee directors or PAGP GP, (ii) director and officer liability insurance, (iii) listing exchange fees, (iv) investor relations expenses, and (v) fees related to legal, tax, financial advisory and accounting services.</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provided in the Third Amended and Restated Limited Liability Company Agreement of PAGP GP (the “PAGP GP LLC Agreement”), our board of directors consists of 12 members divided into three classes (excluding those directors who are also officers), with each class serving a three-year term as follows: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2640" w:type="dxa"/>
            <w:vAlign w:val="bottom"/>
          </w:tcPr>
          <w:p>
            <w:pPr>
              <w:ind w:left="1040"/>
              <w:spacing w:after="0"/>
              <w:rPr>
                <w:sz w:val="20"/>
                <w:szCs w:val="20"/>
                <w:color w:val="auto"/>
              </w:rPr>
            </w:pPr>
            <w:r>
              <w:rPr>
                <w:rFonts w:ascii="Arial" w:cs="Arial" w:eastAsia="Arial" w:hAnsi="Arial"/>
                <w:sz w:val="18"/>
                <w:szCs w:val="18"/>
                <w:b w:val="1"/>
                <w:bCs w:val="1"/>
                <w:color w:val="auto"/>
              </w:rPr>
              <w:t>Name</w:t>
            </w:r>
          </w:p>
        </w:tc>
        <w:tc>
          <w:tcPr>
            <w:tcW w:w="21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Class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4"/>
              </w:rPr>
              <w:t>Expiration of Initial Term</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Officer Directors:</w:t>
            </w:r>
          </w:p>
        </w:tc>
        <w:tc>
          <w:tcPr>
            <w:tcW w:w="216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Greg L. Armstrong</w:t>
            </w:r>
          </w:p>
        </w:tc>
        <w:tc>
          <w:tcPr>
            <w:tcW w:w="2160" w:type="dxa"/>
            <w:vAlign w:val="bottom"/>
          </w:tcPr>
          <w:p>
            <w:pPr>
              <w:jc w:val="center"/>
              <w:ind w:right="50"/>
              <w:spacing w:after="0"/>
              <w:rPr>
                <w:sz w:val="20"/>
                <w:szCs w:val="20"/>
                <w:color w:val="auto"/>
              </w:rPr>
            </w:pPr>
            <w:r>
              <w:rPr>
                <w:rFonts w:ascii="Arial" w:cs="Arial" w:eastAsia="Arial" w:hAnsi="Arial"/>
                <w:sz w:val="18"/>
                <w:szCs w:val="18"/>
                <w:color w:val="auto"/>
                <w:w w:val="99"/>
              </w:rPr>
              <w:t>N/A</w:t>
            </w:r>
          </w:p>
        </w:tc>
        <w:tc>
          <w:tcPr>
            <w:tcW w:w="38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Harry N. Pefanis</w:t>
            </w:r>
          </w:p>
        </w:tc>
        <w:tc>
          <w:tcPr>
            <w:tcW w:w="21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N/A</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Willie Chiang</w:t>
            </w:r>
          </w:p>
        </w:tc>
        <w:tc>
          <w:tcPr>
            <w:tcW w:w="2160" w:type="dxa"/>
            <w:vAlign w:val="bottom"/>
          </w:tcPr>
          <w:p>
            <w:pPr>
              <w:jc w:val="center"/>
              <w:ind w:right="50"/>
              <w:spacing w:after="0"/>
              <w:rPr>
                <w:sz w:val="20"/>
                <w:szCs w:val="20"/>
                <w:color w:val="auto"/>
              </w:rPr>
            </w:pPr>
            <w:r>
              <w:rPr>
                <w:rFonts w:ascii="Arial" w:cs="Arial" w:eastAsia="Arial" w:hAnsi="Arial"/>
                <w:sz w:val="18"/>
                <w:szCs w:val="18"/>
                <w:color w:val="auto"/>
                <w:w w:val="99"/>
              </w:rPr>
              <w:t>N/A</w:t>
            </w:r>
          </w:p>
        </w:tc>
        <w:tc>
          <w:tcPr>
            <w:tcW w:w="38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324"/>
        </w:trPr>
        <w:tc>
          <w:tcPr>
            <w:tcW w:w="26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Designated Directors:</w:t>
            </w:r>
          </w:p>
        </w:tc>
        <w:tc>
          <w:tcPr>
            <w:tcW w:w="2160" w:type="dxa"/>
            <w:vAlign w:val="bottom"/>
          </w:tcPr>
          <w:p>
            <w:pPr>
              <w:spacing w:after="0"/>
              <w:rPr>
                <w:sz w:val="21"/>
                <w:szCs w:val="21"/>
                <w:color w:val="auto"/>
              </w:rPr>
            </w:pPr>
          </w:p>
        </w:tc>
        <w:tc>
          <w:tcPr>
            <w:tcW w:w="388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T. Raymond</w:t>
            </w:r>
          </w:p>
        </w:tc>
        <w:tc>
          <w:tcPr>
            <w:tcW w:w="21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rPr>
              <w:t>I</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Robert V. Sinnott</w:t>
            </w:r>
          </w:p>
        </w:tc>
        <w:tc>
          <w:tcPr>
            <w:tcW w:w="2160" w:type="dxa"/>
            <w:vAlign w:val="bottom"/>
          </w:tcPr>
          <w:p>
            <w:pPr>
              <w:jc w:val="center"/>
              <w:ind w:right="30"/>
              <w:spacing w:after="0"/>
              <w:rPr>
                <w:sz w:val="20"/>
                <w:szCs w:val="20"/>
                <w:color w:val="auto"/>
              </w:rPr>
            </w:pPr>
            <w:r>
              <w:rPr>
                <w:rFonts w:ascii="Arial" w:cs="Arial" w:eastAsia="Arial" w:hAnsi="Arial"/>
                <w:sz w:val="18"/>
                <w:szCs w:val="18"/>
                <w:color w:val="auto"/>
              </w:rPr>
              <w:t>II</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Bernard (Ben) Figlock</w:t>
            </w:r>
          </w:p>
        </w:tc>
        <w:tc>
          <w:tcPr>
            <w:tcW w:w="21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rPr>
              <w:t>III</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324"/>
        </w:trPr>
        <w:tc>
          <w:tcPr>
            <w:tcW w:w="2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Independent Directors:</w:t>
            </w:r>
          </w:p>
        </w:tc>
        <w:tc>
          <w:tcPr>
            <w:tcW w:w="216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Everardo Goyanes</w:t>
            </w:r>
          </w:p>
        </w:tc>
        <w:tc>
          <w:tcPr>
            <w:tcW w:w="2160" w:type="dxa"/>
            <w:vAlign w:val="bottom"/>
          </w:tcPr>
          <w:p>
            <w:pPr>
              <w:jc w:val="center"/>
              <w:ind w:right="50"/>
              <w:spacing w:after="0"/>
              <w:rPr>
                <w:sz w:val="20"/>
                <w:szCs w:val="20"/>
                <w:color w:val="auto"/>
              </w:rPr>
            </w:pPr>
            <w:r>
              <w:rPr>
                <w:rFonts w:ascii="Arial" w:cs="Arial" w:eastAsia="Arial" w:hAnsi="Arial"/>
                <w:sz w:val="18"/>
                <w:szCs w:val="18"/>
                <w:color w:val="auto"/>
              </w:rPr>
              <w:t>I</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 Taft Symonds</w:t>
            </w:r>
          </w:p>
        </w:tc>
        <w:tc>
          <w:tcPr>
            <w:tcW w:w="21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rPr>
              <w:t>I</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Victor Burk</w:t>
            </w:r>
          </w:p>
        </w:tc>
        <w:tc>
          <w:tcPr>
            <w:tcW w:w="2160" w:type="dxa"/>
            <w:vAlign w:val="bottom"/>
          </w:tcPr>
          <w:p>
            <w:pPr>
              <w:jc w:val="center"/>
              <w:ind w:right="30"/>
              <w:spacing w:after="0"/>
              <w:rPr>
                <w:sz w:val="20"/>
                <w:szCs w:val="20"/>
                <w:color w:val="auto"/>
              </w:rPr>
            </w:pPr>
            <w:r>
              <w:rPr>
                <w:rFonts w:ascii="Arial" w:cs="Arial" w:eastAsia="Arial" w:hAnsi="Arial"/>
                <w:sz w:val="18"/>
                <w:szCs w:val="18"/>
                <w:color w:val="auto"/>
              </w:rPr>
              <w:t>II</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Gary R. Petersen</w:t>
            </w:r>
          </w:p>
        </w:tc>
        <w:tc>
          <w:tcPr>
            <w:tcW w:w="21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rPr>
              <w:t>II</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Bobby S. Shackouls</w:t>
            </w:r>
          </w:p>
        </w:tc>
        <w:tc>
          <w:tcPr>
            <w:tcW w:w="2160" w:type="dxa"/>
            <w:vAlign w:val="bottom"/>
          </w:tcPr>
          <w:p>
            <w:pPr>
              <w:jc w:val="center"/>
              <w:ind w:right="50"/>
              <w:spacing w:after="0"/>
              <w:rPr>
                <w:sz w:val="20"/>
                <w:szCs w:val="20"/>
                <w:color w:val="auto"/>
              </w:rPr>
            </w:pPr>
            <w:r>
              <w:rPr>
                <w:rFonts w:ascii="Arial" w:cs="Arial" w:eastAsia="Arial" w:hAnsi="Arial"/>
                <w:sz w:val="18"/>
                <w:szCs w:val="18"/>
                <w:color w:val="auto"/>
              </w:rPr>
              <w:t>III</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Christopher M. Temple</w:t>
            </w:r>
          </w:p>
        </w:tc>
        <w:tc>
          <w:tcPr>
            <w:tcW w:w="21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III</w:t>
            </w: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26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PAGP GP LLC Agreement, the directors of PAGP GP are appointed as follows:</w:t>
      </w:r>
    </w:p>
    <w:p>
      <w:pPr>
        <w:spacing w:after="0" w:line="225" w:lineRule="exact"/>
        <w:rPr>
          <w:sz w:val="20"/>
          <w:szCs w:val="20"/>
          <w:color w:val="auto"/>
        </w:rPr>
      </w:pPr>
    </w:p>
    <w:p>
      <w:pPr>
        <w:ind w:left="980" w:hanging="324"/>
        <w:spacing w:after="0" w:line="264" w:lineRule="auto"/>
        <w:tabs>
          <w:tab w:leader="none" w:pos="9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Three of the members are designated to serve on the board of directors of PAGP GP by the three members of PAGP GP that currently hold board designation rights (affiliates of The Energy &amp; Minerals Group, Kayne Anderson Investment Management Inc. and Occidental Petroleum Corporation);</w:t>
      </w:r>
    </w:p>
    <w:p>
      <w:pPr>
        <w:spacing w:after="0" w:line="73" w:lineRule="exact"/>
        <w:rPr>
          <w:rFonts w:ascii="Arial" w:cs="Arial" w:eastAsia="Arial" w:hAnsi="Arial"/>
          <w:sz w:val="13"/>
          <w:szCs w:val="13"/>
          <w:color w:val="auto"/>
        </w:rPr>
      </w:pPr>
    </w:p>
    <w:p>
      <w:pPr>
        <w:ind w:left="980" w:right="40" w:hanging="324"/>
        <w:spacing w:after="0" w:line="277" w:lineRule="auto"/>
        <w:tabs>
          <w:tab w:leader="none" w:pos="9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Six of the members (three of whom must be independent directors eligible to serve on the audit committee) are elected, and may be removed, by the board of directors of PAGP GP; and</w:t>
      </w:r>
    </w:p>
    <w:p>
      <w:pPr>
        <w:spacing w:after="0" w:line="62" w:lineRule="exact"/>
        <w:rPr>
          <w:rFonts w:ascii="Arial" w:cs="Arial" w:eastAsia="Arial" w:hAnsi="Arial"/>
          <w:sz w:val="13"/>
          <w:szCs w:val="13"/>
          <w:color w:val="auto"/>
        </w:rPr>
      </w:pPr>
    </w:p>
    <w:p>
      <w:pPr>
        <w:ind w:left="980" w:right="26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One of the members is the Chief Executive Officer and two of the members are appointed by majority vote of the board of directors of PAGP GP.</w:t>
      </w:r>
    </w:p>
    <w:p>
      <w:pPr>
        <w:spacing w:after="0" w:line="2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Any member of PAGP GP that accumulates a qualifying interest in AAP of at least 20% (based on the outstanding interests of AAP as of the closing of the Simplification Transactions) and does not otherwise have a PAGP GP board designation right may designate a PAGP GP director, except that there may be no more than three designated directors serving on the PAGP GP board at any one time. If PAA fails to make three distributions on its Series A Convertible Preferred Units (the “Preferred Units”) (whether or not consecutive), the holders of Preferred Units will have the right to appoint a new member of the board to serve until such time as all accrued and unpaid distributions on the Preferred Units have been paid in full.</w:t>
      </w:r>
    </w:p>
    <w:p>
      <w:pPr>
        <w:spacing w:after="0" w:line="17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Beginning in 2018, PAGP will hold an annual meeting of its shareholders for the purpose of electing PAGP GP directors with expiring terms other than the designated directors, any directors who are officers of PAGP GP and any director subject to appointment by the holders of the Preferred Units. PAA, which holds all of our issued and outstanding Class C shares, will hold an annual meeting of its limited partners in advance of PAGP’s annual meeting. The purpose of the PAA annual meeting will be to allow its limited partners, other than AAP, to cast a “pass-through” vote instructing PAA how to vote its PAGP Class C shares in the election of eligible PAGP GP directors. PAA will vote (or refrain from voting) its Class C shares for the election of eligible PAGP GP directors in the same proportion as the votes received from or withheld by its limited partners. At the PAA annual meeting, PAA common units held by AAP will not be voted and will not be counted for purposes of determining whether a quorum exists.</w:t>
      </w:r>
    </w:p>
    <w:p>
      <w:pPr>
        <w:spacing w:after="0" w:line="17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Our Class A shareholders are limited partners and do not participate in the management of our operations. As a general partner, PAGP GP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CEO also serves as Chairman of the Board. The board has no policy with respect to the separation of the offices of chairman and CEO; rather, that relationship is currently defined and governed by the PAGP GP LLC Agreement and the employment agreement with the CEO, which currently require coincidence of the offices. However, pursuant to the terms of the PAGP GP LLC Agreement, if and when our board of directors elects a successor to our current CEO, by majority vote our board of directors may determine to separate the offices of CEO and Chairman of the Board. We do not have a lead independent director.</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Class A shareholders. The board has delegated to PAA management the primary responsibility for ELR management, while the board has retained responsibility for oversight of management in that regard. Management provides an ELR assessment to the board at least once every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Non-management directors meet in executive session in connection with each regular board meeting. On a rotating basis (determined alphabetically by last name), one of the non-management directors acts as presiding director at each such regularly scheduled executive session. As circumstances warrant, non-management directors may also meet in executive sessions of special meetings of the board.</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We are, however, required to have an audit committee consisting of at least three members, all of whom are required to be “independent” as defined by the NYSE.</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(Messrs. Burk, Goyanes and Symonds) is (i) “independent” under applicable NYSE rules and (ii) an “Audit Committee Financial Expert,” as that term is defined in Item 407 of Regulation S-K.</w:t>
      </w:r>
    </w:p>
    <w:p>
      <w:pPr>
        <w:spacing w:after="0" w:line="188"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None of the members of our audit committee has any relationships with either PAGP GP, PAA or us, other than as a director, shareholder or unitholder. For additional information regarding the experience and qualifications of our directors, please read the biographical descriptions under “— Directors, Executive Officers and Other Officers”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2016. The compensation committee has delegated limited authority to the CEO to administer our long-term incentive plans with respect to employees other than executive officers.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Other Committees</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Although not required by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Shackouls and Symonds. Under applicable stock exchange rules, none of the members of our governance committee is required to be “independent.” With respect to any director nominations to be made by the board in connection with the commencement of director elections in 2018 or in the event of a vacancy in the three required independent director seats on our board, the governance committee will assist in identifying and screening potential candidates. Upon request , the governance committee is also available to assist in identifying and screening potential candidates for any vacancy with respect to directors other than independent directors or directors designated by a designating member. The governance committee will base any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and the PAGP GP LLC Agreement.</w:t>
      </w:r>
    </w:p>
    <w:p>
      <w:pPr>
        <w:spacing w:after="0" w:line="18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PAGP GP board. Our partnership agreement provides that any matters approved by the conflicts committee will be conclusively deemed to be fair and reasonable to us, approved by all of our partners, and not a breach by our general partner of any duties owed to us or our shareholders. See Item 13. “Certain Relationships and Related Transactions, and Director Independence—Review, Approval or Ratification of Transactions with Related Persons.”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During the last fiscal year, the PAGP GP board had eleven meetings and the audit committee had nine meetings. All directors have access to members of management, and a substantial amount of information transfer and informal communication occurs between meetings. None of our directors attended fewer than 75% of the aggregate number of meetings of the applicable board of directors and applicable committees of the board on which the director served.</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discussed above, our general partner manages our operations and activities under the direction of our board of directors, whose members will, until director elections commence for eligible directors starting in 2018, continue to be either designated by certain members of our general partner or appointed by vote of our board of directors. Accordingly, unlike holders of common stock in a corporation, our unitholders or shareholders have only limited voting rights on matters affecting our business or governance, including limited voting rights with respect to the election of directors. As a result, we have not historically held regular annual meetings of shareholders for the purpose of electing directors or soliciting approval of any other routine matters. See, however, “Partnership Management and Governance--Election of Directors” above for information regarding annual meetings to be held beginning in 2018.</w:t>
      </w:r>
    </w:p>
    <w:p>
      <w:pPr>
        <w:spacing w:after="0" w:line="16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All of our standing committees have charters. Our committee charters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under “Company Information” in the Investor Relations section of our Internet website at </w:t>
      </w:r>
      <w:r>
        <w:rPr>
          <w:rFonts w:ascii="Arial" w:cs="Arial" w:eastAsia="Arial" w:hAnsi="Arial"/>
          <w:sz w:val="17"/>
          <w:szCs w:val="17"/>
          <w:i w:val="1"/>
          <w:iCs w:val="1"/>
          <w:color w:val="auto"/>
        </w:rPr>
        <w:t>http://www.plainsallamerican.com</w:t>
      </w:r>
      <w:r>
        <w:rPr>
          <w:rFonts w:ascii="Arial" w:cs="Arial" w:eastAsia="Arial" w:hAnsi="Arial"/>
          <w:sz w:val="17"/>
          <w:szCs w:val="17"/>
          <w:color w:val="auto"/>
        </w:rPr>
        <w:t>. We intend to disclose any amendment to or waiver of the Code of Ethics for Senior Financial Officers and any waiver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Code of Business Conduct on behalf of an executive officer or director either on our Internet website or in an 8-K filing.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audit committee of our board of directors oversees the Partnership’s financial reporting process on behalf of the board of directors. Management has the primary responsibility for the financial statements and the reporting process, including the systems of internal controls.</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by Public Company Accounting Oversight Board Auditing Standard No. 16, Communications with Audit Committees. The audit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spacing w:after="0" w:line="18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2016 for filing with the SEC.</w:t>
      </w:r>
    </w:p>
    <w:p>
      <w:pPr>
        <w:spacing w:after="0" w:line="30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Victor Burk</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 Taft Symonds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following table sets forth certain information with respect to the directors and executive officers (for purposes of Item 401(b) of Regulation S-K) of our general partner. Directors are elected annually and all executive officers are appointed by the board of directors of our general partner. There is no family relationship between any executive officer and director. As discussed above, three of the owners of membership interests in PAGP GP currently each have the right to separately designate a member of our board of directors. Such designees are indicated in footnote 2 to the following table.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Age (as of</w:t>
            </w:r>
          </w:p>
        </w:tc>
        <w:tc>
          <w:tcPr>
            <w:tcW w:w="5920" w:type="dxa"/>
            <w:vAlign w:val="bottom"/>
            <w:vMerge w:val="restart"/>
          </w:tcPr>
          <w:p>
            <w:pPr>
              <w:ind w:left="266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12/31/16)</w:t>
            </w:r>
          </w:p>
        </w:tc>
        <w:tc>
          <w:tcPr>
            <w:tcW w:w="12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5"/>
                <w:szCs w:val="25"/>
                <w:color w:val="auto"/>
                <w:vertAlign w:val="superscript"/>
              </w:rPr>
              <w:t>(2)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23"/>
                <w:szCs w:val="23"/>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Chief Executive Officer and Director</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Harry N. Pefanis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and Chief Operating Officer and Director</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Wilfred (Willie) C. Chiang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 (U.S.) and Director</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Richard K. McGee</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J. Nerbonne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President—Operations and Engineering</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Al Swanson</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P. vonBerg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President—Commercial Activities</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Chris Herbold</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Victor Burk</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Bernard (Ben) Figlock </w:t>
            </w:r>
            <w:r>
              <w:rPr>
                <w:rFonts w:ascii="Arial" w:cs="Arial" w:eastAsia="Arial" w:hAnsi="Arial"/>
                <w:sz w:val="25"/>
                <w:szCs w:val="25"/>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3"/>
                <w:szCs w:val="23"/>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Everardo Goyanes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Gary R. Petersen</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Director and Member of Compensation and Governance Committees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5"/>
                <w:szCs w:val="25"/>
                <w:color w:val="auto"/>
                <w:vertAlign w:val="superscript"/>
              </w:rPr>
              <w:t>(2)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CCEEFF"/>
          </w:tcPr>
          <w:p>
            <w:pPr>
              <w:spacing w:after="0"/>
              <w:rPr>
                <w:sz w:val="23"/>
                <w:szCs w:val="23"/>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and Member of Compensation Committee</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Bobby S. Shackouls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Director and Member of Governance Committee*</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5"/>
                <w:szCs w:val="25"/>
                <w:color w:val="auto"/>
                <w:vertAlign w:val="superscript"/>
              </w:rPr>
              <w:t>(2)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shd w:val="clear" w:color="auto" w:fill="CCEEFF"/>
          </w:tcPr>
          <w:p>
            <w:pPr>
              <w:spacing w:after="0"/>
              <w:rPr>
                <w:sz w:val="23"/>
                <w:szCs w:val="23"/>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and Member of Compensation Committee*</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 Taft Symonds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2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Director and Member of Audit and Governance Committees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Christopher M. Temple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21"/>
                <w:szCs w:val="21"/>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chairman of committee.</w:t>
      </w:r>
    </w:p>
    <w:p>
      <w:pPr>
        <w:spacing w:after="0" w:line="117" w:lineRule="exact"/>
        <w:rPr>
          <w:sz w:val="20"/>
          <w:szCs w:val="20"/>
          <w:color w:val="auto"/>
        </w:rPr>
      </w:pPr>
    </w:p>
    <w:p>
      <w:pPr>
        <w:ind w:left="5580" w:right="1280" w:hanging="5572"/>
        <w:spacing w:after="0" w:line="466" w:lineRule="auto"/>
        <w:tabs>
          <w:tab w:leader="none" w:pos="33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Unless otherwise described, the position indicates the position held with GP LLC; directors serve on the board of directors of PAGP GP. 116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80" w:hanging="332"/>
        <w:spacing w:after="0" w:line="257" w:lineRule="auto"/>
        <w:tabs>
          <w:tab w:leader="none" w:pos="340" w:val="left"/>
        </w:tabs>
        <w:numPr>
          <w:ilvl w:val="0"/>
          <w:numId w:val="80"/>
        </w:numPr>
        <w:rPr>
          <w:rFonts w:ascii="Arial" w:cs="Arial" w:eastAsia="Arial" w:hAnsi="Arial"/>
          <w:sz w:val="24"/>
          <w:szCs w:val="24"/>
          <w:color w:val="auto"/>
          <w:vertAlign w:val="superscript"/>
        </w:rPr>
      </w:pPr>
      <w:r>
        <w:rPr>
          <w:rFonts w:ascii="Arial" w:cs="Arial" w:eastAsia="Arial" w:hAnsi="Arial"/>
          <w:sz w:val="17"/>
          <w:szCs w:val="17"/>
          <w:color w:val="auto"/>
        </w:rPr>
        <w:t>The PAGP GP LLC Agreement specifies that the Chief Executive Officer of PAGP GP will be a member of the board of directors. Under the PAGP GP LLC Agreement, three of the members of PAGP GP each have the right to appoint one director each to the PAGP GP board of directors. Mr. Raymond is serving as a member of our board of directors by virtue of his appointment by EMG Investment, LLC (“EMG”), of which he is the sole member of the general partner of its manager. Mr. Sinnott is serving as a member of our board of directors by virtue of his appointment by KAFU Holdings, L.P., which is affiliated with Kayne Anderson Investment Management, Inc., of which he is President. Mr. Figlock is serving as a member of our board of directors by virtue of his appointment by Occidental Holding Company (Pipeline), Inc., a subsidiary of Occidental Petroleum Corporation (“Oxy”), of which he is Vice President and Treasurer. The remaining directors, other than Mr. Armstrong who serves as a director by virtue of his capacity as CEO of PAGP GP, were appointed pursuant to the PAGP GP LLC Agreement. See Item 12. “Security Ownership of Certain Beneficial Owners and Management and Related Shareholder Matters—Beneficial Ownership of Plains AAP, L.P.”</w:t>
      </w:r>
    </w:p>
    <w:p>
      <w:pPr>
        <w:spacing w:after="0" w:line="29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Greg L. Armstrong </w:t>
      </w:r>
      <w:r>
        <w:rPr>
          <w:rFonts w:ascii="Arial" w:cs="Arial" w:eastAsia="Arial" w:hAnsi="Arial"/>
          <w:sz w:val="17"/>
          <w:szCs w:val="17"/>
          <w:color w:val="auto"/>
        </w:rPr>
        <w:t>has served as Chairman of the Board and Chief Executive Officer of our general partner since July 2013 and as Chairman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and Chief Executive Officer of GP LLC since PAA’s formation in 1998. He also served as a director of PAA’s general partner or former general partner from PAA’s formation until November 2016.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Deputy Chairman of the Federal Reserve Bank of Dallas, and a director of National Oilwell Varco, Inc. Mr. Armstrong is also a member of the advisory board of the Maguire Energy Institute at the Cox School of Business at Southern Methodist University, and the Foundation for The Council on Alcohol and Drugs Houston and is Vice Chairman of the National Petroleum Council.</w:t>
      </w:r>
    </w:p>
    <w:p>
      <w:pPr>
        <w:spacing w:after="0" w:line="18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Harry N. Pefanis </w:t>
      </w:r>
      <w:r>
        <w:rPr>
          <w:rFonts w:ascii="Arial" w:cs="Arial" w:eastAsia="Arial" w:hAnsi="Arial"/>
          <w:sz w:val="17"/>
          <w:szCs w:val="17"/>
          <w:color w:val="auto"/>
        </w:rPr>
        <w:t>has served as a Director of our general partner since February 2017, as President and Chief Operating Officer of our general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July 2013 and as President and Chief Operating Officer of PAA’s general partner since PAA’s formation in 1998. He was also a director of PAA’s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PAA’s formation. Mr. Pefanis is a director of Settoon Towing.</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Wilfred (Willie) C. Chiang </w:t>
      </w:r>
      <w:r>
        <w:rPr>
          <w:rFonts w:ascii="Arial" w:cs="Arial" w:eastAsia="Arial" w:hAnsi="Arial"/>
          <w:sz w:val="18"/>
          <w:szCs w:val="18"/>
          <w:color w:val="auto"/>
        </w:rPr>
        <w:t>has served as a Director of our general partner since February 2017 and as Executive Vice President and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(U.S.) since August 2015. Prior to joining Plains, Mr. Chiang served as Executive Vice President — Operations for Occidental Petroleum Corporation from 2012 until 2015. From 1996 until 2012, he served in various positions at ConocoPhillips, including most recently as Senior Vice President — Refining, Marketing, Transportation and Commercial.</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Richard K. McGee </w:t>
      </w:r>
      <w:r>
        <w:rPr>
          <w:rFonts w:ascii="Arial" w:cs="Arial" w:eastAsia="Arial" w:hAnsi="Arial"/>
          <w:sz w:val="16"/>
          <w:szCs w:val="16"/>
          <w:color w:val="auto"/>
        </w:rPr>
        <w:t>has served as Executive Vice President, General Counsel and Secretary of our general partner since July 2013 and as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General Counsel and Secretary of PAA’s general partner since February 2013. He served as Vice President, General Counsel and Secretary from 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w:t>
      </w:r>
    </w:p>
    <w:p>
      <w:pPr>
        <w:spacing w:after="0" w:line="16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Daniel J. Nerbonne </w:t>
      </w:r>
      <w:r>
        <w:rPr>
          <w:rFonts w:ascii="Arial" w:cs="Arial" w:eastAsia="Arial" w:hAnsi="Arial"/>
          <w:sz w:val="16"/>
          <w:szCs w:val="16"/>
          <w:color w:val="auto"/>
        </w:rPr>
        <w:t>has served as Executive Vice President - Operations and Engineering since August 2016. He served as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from February 2013 until August 2016 and as Vice President—Engineering from February 2005 until February 2013. Prior to joining Plains, Mr. Nerbonne was General Manager of Portfolio Projects for Shell Oil Products US and served in various capacities with Shell Pipeline Company or its predecessors from 1998 to January 2005. From 1980 to 1998, Mr. Nerbonne held numerous positions of increasing responsibility in engineering, operations, and business development, including Vice President of Business Development with Texaco Trading and Transportation or its affiliates.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of our general partner since July 2013 and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Financial Officer of PAA’s general partner since February 2011. He previously served as Senior Vice President 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w:t>
      </w:r>
    </w:p>
    <w:p>
      <w:pPr>
        <w:spacing w:after="0" w:line="18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i w:val="1"/>
          <w:iCs w:val="1"/>
          <w:color w:val="auto"/>
        </w:rPr>
        <w:t xml:space="preserve">John P. vonBerg </w:t>
      </w:r>
      <w:r>
        <w:rPr>
          <w:rFonts w:ascii="Arial" w:cs="Arial" w:eastAsia="Arial" w:hAnsi="Arial"/>
          <w:sz w:val="16"/>
          <w:szCs w:val="16"/>
          <w:color w:val="auto"/>
        </w:rPr>
        <w:t>has served as Executive Vice President—Commercial Activities of our general partner since February 2014 and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President—Commercial Activities of our general partner from July 2013 until February 2014. He has also served as Executive Vice President— Commercial Operations of PAA’s general partner since February 2014. Previously he served as Senior Vice President—Commercial Activities of PAA’s general partner from August 2008 until February 2014, as Vice President—Commercial Activities from August 2007 until August 2008 and as Vice President —Trading from May 2003 until August 2007. He served as Director of these activities from January 2002 until May 2003. Prior to joining us in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spacing w:after="0" w:line="1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of our general partner since July 2013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Chief Accounting Officer of PAA’s general partner since August 2010.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Victor Burk </w:t>
      </w:r>
      <w:r>
        <w:rPr>
          <w:rFonts w:ascii="Arial" w:cs="Arial" w:eastAsia="Arial" w:hAnsi="Arial"/>
          <w:sz w:val="16"/>
          <w:szCs w:val="16"/>
          <w:color w:val="auto"/>
        </w:rPr>
        <w:t>has served as a director of our general partner since January 2014. He has been a Managing Director for Alvarez and Marsal, a privately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 PNGS GP LLC, the general partner of PAA Natural Gas Storage, L.P., from April 2010 through December 2013. Mr. Burk also serves as a board member of the Sam Houston Area Council of the Boy Scouts of America. He received a BBA in Accounting from Stephen F. Austin State University, graduating with highest honors. The board has determined that 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experience and insight to the board.</w:t>
      </w:r>
    </w:p>
    <w:p>
      <w:pPr>
        <w:spacing w:after="0" w:line="17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Bernard (Ben) Figlock </w:t>
      </w:r>
      <w:r>
        <w:rPr>
          <w:rFonts w:ascii="Arial" w:cs="Arial" w:eastAsia="Arial" w:hAnsi="Arial"/>
          <w:sz w:val="16"/>
          <w:szCs w:val="16"/>
          <w:color w:val="auto"/>
        </w:rPr>
        <w:t>has served as a director of our general partner since January 2015. He served as a director of PAA’s general partner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2015 until November 2016. Mr. Figlock currently serves as Vice President and Treasurer at Oxy, where he directs and oversees management of Oxy’s treasury and risk management functions including finance, investments, insurance and operational risk, commodities trading credit and market risk, and currencies. Mr. Figlock joined Oxy in 1987, advancing to positions of increasing responsibility in Internal Audit, Corporate Finance Planning &amp; Analysis, Corporate Development, and Treasury. Mr. Figlock holds a BS in Accounting from Wake Forest University and an MBA from Loyola Marymount University. We believe that Mr. Figlock’s financial and analytical background provides the board a distinctive and valuable perspective.</w:t>
      </w:r>
    </w:p>
    <w:p>
      <w:pPr>
        <w:spacing w:after="0" w:line="165"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i w:val="1"/>
          <w:iCs w:val="1"/>
          <w:color w:val="auto"/>
        </w:rPr>
        <w:t xml:space="preserve">Everardo Goyanes </w:t>
      </w:r>
      <w:r>
        <w:rPr>
          <w:rFonts w:ascii="Arial" w:cs="Arial" w:eastAsia="Arial" w:hAnsi="Arial"/>
          <w:sz w:val="16"/>
          <w:szCs w:val="16"/>
          <w:color w:val="auto"/>
        </w:rPr>
        <w:t>has served as a director of our general partner since October 2013. He served as a director of PAA’s general partner or former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from May 1999 until November 2016.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Gary R. Petersen </w:t>
      </w:r>
      <w:r>
        <w:rPr>
          <w:rFonts w:ascii="Arial" w:cs="Arial" w:eastAsia="Arial" w:hAnsi="Arial"/>
          <w:sz w:val="17"/>
          <w:szCs w:val="17"/>
          <w:color w:val="auto"/>
        </w:rPr>
        <w:t>has served as a director of our general partner since November 2016. He served as a director of PAA’s general partner from</w:t>
      </w:r>
      <w:r>
        <w:rPr>
          <w:rFonts w:ascii="Arial" w:cs="Arial" w:eastAsia="Arial" w:hAnsi="Arial"/>
          <w:sz w:val="17"/>
          <w:szCs w:val="17"/>
          <w:i w:val="1"/>
          <w:iCs w:val="1"/>
          <w:color w:val="auto"/>
        </w:rPr>
        <w:t xml:space="preserve"> </w:t>
      </w:r>
      <w:r>
        <w:rPr>
          <w:rFonts w:ascii="Arial" w:cs="Arial" w:eastAsia="Arial" w:hAnsi="Arial"/>
          <w:sz w:val="17"/>
          <w:szCs w:val="17"/>
          <w:color w:val="auto"/>
        </w:rPr>
        <w:t>June 2001 until November 2016. Mr. Petersen is a Managing Partner of EnCap Investments L.P., an 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of directors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83"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October 2013. He served as a director of PAA’s general partner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2010 until November 2016. 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September 30, 2016, EMG has approximately $14.6 billion of regulatory assets under management and approximately $9.8 billion in commitments have been allocated across the energy sector since inception. Previous to that time,</w:t>
      </w:r>
    </w:p>
    <w:p>
      <w:pPr>
        <w:spacing w:after="0" w:line="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He serves 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w:t>
      </w:r>
    </w:p>
    <w:p>
      <w:pPr>
        <w:spacing w:after="0" w:line="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Raymond’s experience with investment in and management of a variety of upstream and midstream assets and operations provides a valuable resource to the board.</w:t>
      </w:r>
    </w:p>
    <w:p>
      <w:pPr>
        <w:spacing w:after="0" w:line="18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Bobby S. Shackouls </w:t>
      </w:r>
      <w:r>
        <w:rPr>
          <w:rFonts w:ascii="Arial" w:cs="Arial" w:eastAsia="Arial" w:hAnsi="Arial"/>
          <w:sz w:val="17"/>
          <w:szCs w:val="17"/>
          <w:color w:val="auto"/>
        </w:rPr>
        <w:t>has served as a director of our general partner since January 2014. Mr. Shackouls served as Chairman of Burlington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Inc. from 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8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i w:val="1"/>
          <w:iCs w:val="1"/>
          <w:color w:val="auto"/>
        </w:rPr>
        <w:t xml:space="preserve">Robert V. Sinnott </w:t>
      </w:r>
      <w:r>
        <w:rPr>
          <w:rFonts w:ascii="Arial" w:cs="Arial" w:eastAsia="Arial" w:hAnsi="Arial"/>
          <w:sz w:val="16"/>
          <w:szCs w:val="16"/>
          <w:color w:val="auto"/>
        </w:rPr>
        <w:t>has served as a director of our general partner since October 2013. He served as a director of PAA’s general partner or former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from September 1998 until November 2016.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 Mr. Sinnott received a BA from the University of Virginia and an MBA from Harvard. Mr. Sinnott’s extensive investment management background includes his current role of managing approximately $17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J. Taft Symonds </w:t>
      </w:r>
      <w:r>
        <w:rPr>
          <w:rFonts w:ascii="Arial" w:cs="Arial" w:eastAsia="Arial" w:hAnsi="Arial"/>
          <w:sz w:val="17"/>
          <w:szCs w:val="17"/>
          <w:color w:val="auto"/>
        </w:rPr>
        <w:t>has served as a director of our general partner since November 2016. He served as a director of PAA’s general partner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2001 until November 2016. Mr. Symonds is Chairman of the Board of Symonds Investment Company, Inc. (a private investment firm). From 1978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2004 he was Chairman of the Board and Chief Financial Officer of Maurice Pincoffs Company, Inc. (an international marketing firm). Mr. Symonds has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background in both investment and commercial banking, including merchant banking in New York, London and Hong Kong with Paine Webber, Robert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Fleming Group and Banque de la Societe Financiere Europeenne. He was Chairman of the Houston Arboretum and Nature Center and currently serves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of Howard Supply Company LLC. Mr. Symonds previously served as a director of Tetra Technologies Inc., Schilling Robotics LLC and Free Flow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Wines LLC, where he served on the audit committee. Mr. Symonds received a BA from Stanford University and an MBA from Harvard</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directors has determined that Mr. Symonds is “independent” under applicable NYSE rules and qualifies as an “Audit Committee Financial Expert.”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 to his qualifications as an Audit Committee Financial Expert, Mr. Symonds has a broad background in both commercial and investment banking,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investment management, all with a heavy emphasis on the energy sector. We believe that Mr. Symonds’ background offers to the board a distinct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valuable knowledge base representative of both the capital and physical markets and refined by the leadership qualities evident from his executive experience.</w:t>
      </w:r>
    </w:p>
    <w:p>
      <w:pPr>
        <w:spacing w:after="0" w:line="23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Christopher M. Temple </w:t>
      </w:r>
      <w:r>
        <w:rPr>
          <w:rFonts w:ascii="Arial" w:cs="Arial" w:eastAsia="Arial" w:hAnsi="Arial"/>
          <w:sz w:val="16"/>
          <w:szCs w:val="16"/>
          <w:color w:val="auto"/>
        </w:rPr>
        <w:t>has served as a director of our general partner since November 2016. He served as a director of PAA’s general partner from</w:t>
      </w:r>
      <w:r>
        <w:rPr>
          <w:rFonts w:ascii="Arial" w:cs="Arial" w:eastAsia="Arial" w:hAnsi="Arial"/>
          <w:sz w:val="16"/>
          <w:szCs w:val="16"/>
          <w:i w:val="1"/>
          <w:iCs w:val="1"/>
          <w:color w:val="auto"/>
        </w:rPr>
        <w:t xml:space="preserve"> </w:t>
      </w:r>
      <w:r>
        <w:rPr>
          <w:rFonts w:ascii="Arial" w:cs="Arial" w:eastAsia="Arial" w:hAnsi="Arial"/>
          <w:sz w:val="16"/>
          <w:szCs w:val="16"/>
          <w:color w:val="auto"/>
        </w:rPr>
        <w:t>May 2009 until November 2016. He is President of DelTex Capital LLC (a private investment firm) and served as Chairman of Brawler Industries, LLC, a Midland, Texas based distributor of engineered plastics used in the exploration and production of oil and gas, from September 2012 to July 2016.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of directors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compensation committee reviews and makes recommendations to the board of directors regarding the compensation for the executive officers and directors.</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fulfilling its oversight responsibilities, the compensation committee reviewed and discussed with management the compensation discussion and analysis contained in this Annual Report on Form 10-K. Based on those reviews and discussions, the compensation committee recommended to the board of directors that the compensation discussion and analysis be included in the Annual Report on Form 10-K for the year ended December 31, 2016 for filing with the SEC.</w:t>
      </w: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V. Sinnott, Chairman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Gary R. Petersen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T. Raymond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Messrs. Petersen, Raymond and Sinnott currently serve on the compensation committee and served on the compensation committee throughout 2016. During 2016,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Investments, L.P. (“EnCap”), Mr. Raymond is associated with EMG and Mr. Sinnott is associated with Kayne Anderson and its affiliates. We have relationships with these entities. See Item 13. “Certain Relationships and Related Transactions, and Director Independence—Transactions with Related Persons.”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Neither we nor our general partner have employees. All of our officers and other personnel necessary for our business to function (to the extent not out-sourced) are employed by GP LLC. Applicable disclosure rules require us to discuss certain aspects of the compensation of our “Named Executive Officers,” which include our Chief Executive Officer (“CEO”), our Chief Financial Officer (“CFO”), and the three most highly compensated executive officers who received compensation in excess of $100,000 during the previous fiscal year. For 2016, we are including an additional individual as a Named Executive Officer. Therefore, as used throughout this Compensation Discussion and Analysis, the term Named Executive Officers includes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Messrs. Armstrong, Pefanis, Chiang, Swanson, McGee and Nerbonne.</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do not separately compensate our Named Executive Officers; rather, their management of our business is part of the service provided by GP LLC under the Administrative Agreement. Our Named Executive Officers participate in the employee benefit plans and arrangements of GP LLC and PAA, including plans that may be established in the future. Neither we nor our general partner have entered into any employment or benefits-related agreements with any individual who provides executive officer services to us.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compensation information set forth in this section discloses the compensation discussion and analysis of PAA for the year ended December 31, 2016. This section will provide insight into GP LLC’s compensation philosophy and policies that governed the compensation of our Named Executive Officers as it relates to their services performed on behalf of PAA during the 2016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Background</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All of PAA’s officers and employees are employed by GP LLC. Under its partnership agreement, PAA is required to reimburse its general partner and its general partner’s affiliates for all employment-related costs, including compensation for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Since PAA’s inception, it has employed a compensation philosophy that emphasizes pay for performance, both on an individual and entity level, and places the majority of each Named Executive Officer’s (defined in the Summary Compensation Table below) compensation at risk. The primary long-term measure of PAA’s performance is its ability to sustain and increase its quarterly distribution to its unitholders, however, PAA also uses other measures such as the amount of distributable cash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flow generated over a specified period of time. PAA believes its pay-for-performance approach aligns the interests of the executive officers with that of equity holders, and at the same time enables PAA to maintain a lower level of base overhead in the event operating and financial performance is below expectations. PAA’s executive compensation is designed to attract and retain individuals with the background and skills necessary to successfully execute its business model in a demanding environment, to motivate those individuals to reach near-term and long-term goals in a way that aligns their interest with that of PAA’s unitholders, and to reward success in reaching such goals. PAA uses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PAA’s objectives. The determination of specific individuals’ cash bonuses is based on their relative contribution to achieving or exceeding annual goals and/or performance against opportunity and the determination of specific individuals’ long-term incentive awards is based on their expected contribution in respect of longer term performance objectives. PAA does not maintain a defined benefit or pension plan for executive officers as it believe such plans primarily reward longevity and not performance. PAA provides a basic benefits package generally to all employees, which includes a 401(k) plan and health, disability and life insurance. In instances considered necessary for the execution of their job responsibilities, PAA also reimburses certain Named Executive Officers and other employees for club dues and similar expenses. PAA considers these benefits and reimbursements to be typical of other employers, and does not believe they are distinctive of its compensation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“benchmark” salary or bonus amounts. In practice, PAA believes its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Cash Bonuses. </w:t>
      </w:r>
      <w:r>
        <w:rPr>
          <w:rFonts w:ascii="Arial" w:cs="Arial" w:eastAsia="Arial" w:hAnsi="Arial"/>
          <w:sz w:val="17"/>
          <w:szCs w:val="17"/>
          <w:color w:val="auto"/>
        </w:rPr>
        <w:t>PAA’s cash bonuses include annual discretionary bonuses in which all of the Named Executive Officers potentially participate.</w:t>
      </w:r>
    </w:p>
    <w:p>
      <w:pPr>
        <w:spacing w:after="0" w:line="23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The primary long-term measure of PAA’s performance is its ability to sustain and increase its quarterly distribution to</w:t>
      </w:r>
      <w:r>
        <w:rPr>
          <w:rFonts w:ascii="Arial" w:cs="Arial" w:eastAsia="Arial" w:hAnsi="Arial"/>
          <w:sz w:val="16"/>
          <w:szCs w:val="16"/>
          <w:i w:val="1"/>
          <w:iCs w:val="1"/>
          <w:color w:val="auto"/>
        </w:rPr>
        <w:t xml:space="preserve"> </w:t>
      </w:r>
      <w:r>
        <w:rPr>
          <w:rFonts w:ascii="Arial" w:cs="Arial" w:eastAsia="Arial" w:hAnsi="Arial"/>
          <w:sz w:val="16"/>
          <w:szCs w:val="16"/>
          <w:color w:val="auto"/>
        </w:rPr>
        <w:t>its unitholders, however, PAA also uses other measures such as the amount of distributable cash flow generated over a specified period of time. Historically, PAA has generally used performance-indexed phantom unit grants issued under its Long-Term Incentive Plans to encourage and reward timely achievement of targeted distribution levels and align the long-term interests of the Named Executive Officers with those of its unitholders. These grants require minimum service periods as further described below in order to encourage long-term retention. A phantom unit is the right to receive, upon the satisfaction of vesting criteria specified in the grant, a PAA common unit (or cash equivalent). PAA does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PAA’s targeted range for distribution growth. To encourage accelerated performance, if PAA meets certain distribution or other performance thresholds prior to meeting the minimum service requirement for vesting, the current Named Executive Officers have the right to receive distributions on phantom units prior to vesting in the underlying common units (referred to as distribution equivalent rights, or “DERs”).</w:t>
      </w:r>
    </w:p>
    <w:p>
      <w:pPr>
        <w:spacing w:after="0" w:line="16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2007, the owners of AAP authorized the creation of Class B units of AAP (“AAP Management Units”), each of which represents a profits interest in AAP, and authorized the compensation committee to issue grants of AAP Management Units to create additional long-term incentives for our management designed to attract talent and encourage retention over an extended period of time.</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AAP Management Units are subject to restrictions on transfer and generally become incrementally “earned” (entitled to receive a portion of the distributions that would otherwise be paid to holders of AAP units) upon achievement of certain performance thresholds related to achievement of targeted distribution levels and/or targeted distributable cash flow levels, which are aligned with the interests of PAA’s common unitholders. As of February 15, 2017, 100% of the outstanding AAP Management Units granted in 2007, 2009, 2010 and 2011 (including those held by Mr. McGee) had been earned, 75% of the AAP Management Units granted in 2013 (including a portion held by Mr. McGee) had been earned, and 25% of the AAP Management Units granted in 2014 had been earned. None of the AAP Management Units issued in 2015 (including those held by Messrs. Chiang and Nerbonne) have been earned. No AAP Management Units were granted in 2008, 2012 or 2016.</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 January 1, 2017, AAP Management Units granted in 2007, 2009 and 2010 (including those held by Messrs. Armstrong, Pefanis, and Swanson) were no longer subject to such call right and have vested. A significant portion of the vested AAP Management Units (including all or a portion of those held by Messrs. Armstrong, Pefanis and Swanson) have been converted as described below and are no longer outstanding. The applicable vesting dates for the remaining AAP Management Unit grants range from January 1, 2020 for AAP Management Units granted in 2011 to January 1, 2023 for AAP Management Units granted in 2015.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long as the PAGP Class A shares are publicly traded, each vested AAP Management Unit may be converted into AAP units and a like number of PAGP Class B shares based on a conversion ratio of approximately 0.941. Following any such conversion, the resulting AAP units and PAGP Class B shares are exchangeable for PAGP Class A shares or, subject to certain limitations, redeemable for PAA common units, in each case on a one-for-one basis as provided in the AAP limited partnership agreement. Between January 1, 2016 and February 15, 2017, approximately 17.1 million AAP Management Units became vested, of which 10.0 million were converted into 9.4 million AAP units and PAGP Class B shares and 5.9 million were converted and then exchanged for an aggregate of 5.6 million PAGP Class A shares. See Item 13. “Certain Relationships and Related Transactions, and Director Independence— Our General Partner—AAP Management Units.”</w:t>
      </w:r>
    </w:p>
    <w:p>
      <w:pPr>
        <w:spacing w:after="0" w:line="18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Prior to the Simplification Transactions, the entire economic burden of the AAP Management Units was borne by AAP. However, in connection with the closing of the Simplification Transactions, AAP received one PAA common unit for each outstanding earned and vested AAP Management Unit, and PAA withheld approximately 841,000 units from the Simplification consideration for future distribution or issuance when and if such units become earned.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6"/>
          <w:szCs w:val="16"/>
          <w:color w:val="auto"/>
        </w:rPr>
        <w:t>PAA’s compensation program is designed to motivate, reward and retain its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w:t>
      </w:r>
    </w:p>
    <w:p>
      <w:pPr>
        <w:spacing w:after="0" w:line="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Salaries and cash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the compensation committee in reviewing and making recommendations, a compensation “tally sheet” is prepared by the CEO and General Counsel and provided to the compensation committee.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 stresses performance-based compensation elements to attempt to create a performance-driven environment in which its executive officers are</w:t>
      </w:r>
    </w:p>
    <w:p>
      <w:pPr>
        <w:spacing w:after="0" w:line="46" w:lineRule="exact"/>
        <w:rPr>
          <w:sz w:val="20"/>
          <w:szCs w:val="20"/>
          <w:color w:val="auto"/>
        </w:rPr>
      </w:pPr>
    </w:p>
    <w:p>
      <w:pPr>
        <w:ind w:right="180" w:firstLine="8"/>
        <w:spacing w:after="0" w:line="288" w:lineRule="auto"/>
        <w:tabs>
          <w:tab w:leader="none" w:pos="2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PAA even after meeting long-term performance thresholds in order to meet the minimum service periods and by the potential for rewards yet to come. PAA believes its compensation philosophy as implemented by application of the three primary compensation elements (i) aligns the interests of the Named Executive Officers with PAA’s unitholders, (ii) positions PAA to achieve its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PAA believes its compensation program has been instrumental in the achievement of stated objectives. Over the five-year period ended December 31, 2016, PAA’s annual distribution per common unit has grown at a compound annual rate of 2.0% and the total return realized by PAA’s unitholders for that period averaged approximately 3.8% per annum as compared to the AMZ total return of 2.2%. During this period, PAA has enjoyed a very high rate of retention among executive officers.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Salary. </w:t>
      </w:r>
      <w:r>
        <w:rPr>
          <w:rFonts w:ascii="Arial" w:cs="Arial" w:eastAsia="Arial" w:hAnsi="Arial"/>
          <w:sz w:val="17"/>
          <w:szCs w:val="17"/>
          <w:color w:val="auto"/>
        </w:rPr>
        <w:t>PAA does not make systematic annual adjustments to the salaries of the Named Executive Officers. PAA does, however, make salary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adjustments as necessary to maintain hierarchical relationships among senior management levels after new senior management members are added to keep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pace with PAA’s overall growth. Since the date of its initial public offering in 1998 (or date of employment, if later) through December 31, 2016,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Messrs. Armstrong and Pefanis have each received one salary adjustment and Mr. Swanson, Mr. McGee and Mr. Nerbonne have received four, one and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adjustments, respectively, in connection with taking on increasing responsibilities and promotions. During 2016 and 2017, Mr. Armstrong unilaterally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elected to forego approximately 90% of his annual base salary.</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PAA’s performance relative to its annual plan forecast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guidance (typically provided quarterly in conjunction with release of earnings), distribution growth targets, and other quantitative and qualitative goals established at the beginning of each year. Such annual objectives are discussed and reviewed with the board of directors in conjunction with the review and authorization of the annual plan.</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the end of each year, the CEO performs a quantitative and qualitative assessment of PAA’s performance relative to goals. Key quantitative measures include earnings before interest, taxes, depreciation and amortization (including PAA’s proportionate share of depreciation and amortization of unconsolidated entities) and adjusted for certain selected items impacting comparability (“Adjusted EBITDA”), relative to established guidance, as well as the growth in the annualized quarterly distribution level per common unit relative to annual growth targets. PAA’s primary performance metric is its ability to sustain and increase cash distributions to its unitholders; PAA also uses distributable cash flow as a performance metric. Accordingly, although net income and net income per common unit are monitored to highlight inconsistencies with primary performance metrics, as is PAA’s market performance relative to its MLP peers and major indices, these metrics are considered secondary performance measures. The CEO’s written analysis of PAA’s performance examines PAA’s accomplishments, shortfalls and overall performance against opportunity, taking into account controllable and non-controllable factors encountered during the year.</w:t>
      </w:r>
    </w:p>
    <w:p>
      <w:pPr>
        <w:spacing w:after="0" w:line="182"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resulting document and supporting detail is submitted to the board of directors for review and comment. Based on the conclusions set forth in the annual performance review, the CEO submits recommendations to the compensation committee for bonuses to the other Named Executive Officers taking into account the relative contribution of the individual officer. There are no set formulas for determining the annual discretionary bonus for the Named Executive Officers; however, pursuant to his employment agreement, Mr. Chiang is entitled to a minimum bonus of $1.25 million for each of 2016 and 2017. Factors considered by the CEO in determining the level of bonus in general include (i) whether or not PAA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w:t>
      </w:r>
    </w:p>
    <w:p>
      <w:pPr>
        <w:spacing w:after="0" w:line="3" w:lineRule="exact"/>
        <w:rPr>
          <w:sz w:val="20"/>
          <w:szCs w:val="20"/>
          <w:color w:val="auto"/>
        </w:rPr>
      </w:pPr>
    </w:p>
    <w:p>
      <w:pPr>
        <w:ind w:right="220" w:firstLine="8"/>
        <w:spacing w:after="0" w:line="254" w:lineRule="auto"/>
        <w:tabs>
          <w:tab w:leader="none" w:pos="3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 (v) PAA’s relative prospects at the end of the year with respect to future growth and performance; and (vi) PAA’s positioning at the end of the year with respect to its targeted credit profile. The CEO takes these factors into consideration as well as the relative contributions of each of the Named Executive Officers to the year’s performance in developing his recommendations for bonus amounts.</w:t>
      </w:r>
    </w:p>
    <w:p>
      <w:pPr>
        <w:spacing w:after="0" w:line="190"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These recommendations are discussed with the compensation committee, adjusted as appropriate, and submitted to the board of directors for its review and approval. Similarly, the compensation committee typically assesses the CEO’s contribution toward meeting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With respect to 2016, despite executing a number of positive transactions in a difficult environment and several positive qualitative accomplishments, in consideration of weaker than expected financial and operating performance for 2016 and challenging industry conditions, each of the Named Executive Officers indicated that they will neither request nor accept a cash bonus for 2016. Accordingly, the typical practice of having the CEO submit to the compensation committee a preliminary draft of bonus recommendations was modified for 2016, and the CEO did not recommend any cash bonuses for the Named Executive Officers for 2016.</w:t>
      </w:r>
    </w:p>
    <w:p>
      <w:pPr>
        <w:spacing w:after="0" w:line="18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PAA does not make systematic annual grants of phantom unit awards to its Named Executive Officers. Although PAA</w:t>
      </w:r>
      <w:r>
        <w:rPr>
          <w:rFonts w:ascii="Arial" w:cs="Arial" w:eastAsia="Arial" w:hAnsi="Arial"/>
          <w:sz w:val="16"/>
          <w:szCs w:val="16"/>
          <w:i w:val="1"/>
          <w:iCs w:val="1"/>
          <w:color w:val="auto"/>
        </w:rPr>
        <w:t xml:space="preserve"> </w:t>
      </w:r>
      <w:r>
        <w:rPr>
          <w:rFonts w:ascii="Arial" w:cs="Arial" w:eastAsia="Arial" w:hAnsi="Arial"/>
          <w:sz w:val="16"/>
          <w:szCs w:val="16"/>
          <w:color w:val="auto"/>
        </w:rPr>
        <w:t>may make “off cycle” awards from time to time, generally the 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PAA believes that a grant cycle of approximately three years (and extended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time-vesting requirements) provides a balance between a meaningful retention period for PAA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the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6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AAP Management Units (each of which represents a “profits interest” in AAP) have been previously issued to provide an additional longer-term, performance-based officer incentive. As of December 31, 2016, 872,298 AAP Management Units were held by the Named Executive Officers. The compensation committee does not plan to issue any additional AAP Management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2016</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At the beginning of 2016, PAA established internal quantitative and qualitative goals that included implementing strategic plan initiatives; advancing multi-year programs and initiatives to prepare the organization for future growth; and enhancing and improving PAA’s focus on safe, compliant and reliable operations. Such goals were generally consistent with or overlapped PAA’s publicly stated objectives to:</w:t>
      </w:r>
    </w:p>
    <w:p>
      <w:pPr>
        <w:spacing w:after="0" w:line="181" w:lineRule="exact"/>
        <w:rPr>
          <w:sz w:val="20"/>
          <w:szCs w:val="20"/>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Maintain a solid balance sheet, sound credit metrics and ample liquidity;</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Execute PAA’s capital program in order to facilitate cash flow growth underpinned by MVCs and position PAA to benefit meaningfully as U.S. production volumes increase;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Optimize PAA’s assets and focus the organization to deliver the best results possible under whatever conditions are encountered in the near term.</w:t>
      </w:r>
    </w:p>
    <w:p>
      <w:pPr>
        <w:spacing w:after="0" w:line="3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2016 was a challenging year for the energy industry in general and PAA specifically, as industry sentiments and overall activity levels generally followed oil price movements throughout 2016. Accordingly, the overall environment for the crude oil and MLP sectors was extremely unfavorable for the first six months of 2016, recovered some over the next five months and then strengthened in relative terms throughout December in response to positive OPEC actions. In response to the drop in oil prices and severely limited capital market access, oil producers revised down their 2016 capital budgets relative to prior indications, and the lower 48 onshore oil rig count declined approximately 50% from year end 2015 levels of around 600 rigs to bottom at approximately 300 rigs in May 2016. The reduced activity level adversely impacted expected crude oil production levels which, in conjunction with pressures associated with MVC over-commitments, intensified competition for the marginal barrel for gathering, marketing and transport and exacerbated the already severe pressure on margins.</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PAA’s operating and financial results in 2016 came in below public guidance despite aggressive steps to compete in the highly competitive environment. However, PAA accomplished a number of positive events that included raising capital in a challenging environment, orchestrating a complex simplification transaction and executing a number of transactions that reduced risk and lowered leverage. PAA also executed its expansion capital program on time and on budget and advanced a number of multi-year efforts to improve our efficiency, lower operating costs and enhance our focus on safe, compliant and reliable operations. Selected actions/transactions included:</w:t>
      </w:r>
    </w:p>
    <w:p>
      <w:pPr>
        <w:spacing w:after="0" w:line="188" w:lineRule="exact"/>
        <w:rPr>
          <w:sz w:val="20"/>
          <w:szCs w:val="20"/>
          <w:color w:val="auto"/>
        </w:rPr>
      </w:pPr>
    </w:p>
    <w:p>
      <w:pPr>
        <w:ind w:left="660" w:right="18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Raising $2.4 billion of common and preferred equity on terms considered by PAA to be fair and reasonable during challenging and volatile market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Completing a complex simplification transaction that significantly reduced PAA’s cost of equity capital and enhanced its ability to fund its activities;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Executing a $1.4 billion capital expansion program generally on time and on budget;</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Initiating and completing approximately $550 million of asset sales at attractive multiples and advancing discussions on an additional $670 million of asset sales transactions that are now fully contracted and expected to close during the first half of 2017;</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Entering into various joint venture transactions that reduced risk and the level of PAA’s capital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Initiating a review to challenge and reduce operating costs to adapt and strengthen PAA’s organization for the future; and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0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Executing a strategic NGL acquisition for approximately $204 million and positioning PAA to complete the acquisition of a strategic crude oil gathering system in the Northern Delaware Basin in early 2017 for approximately $1.2 billion.</w:t>
      </w:r>
    </w:p>
    <w:p>
      <w:pPr>
        <w:spacing w:after="0" w:line="27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2016, the elements of compensation were applied as described below.</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Other than Mr. Armstrong’s unilateral election to forego a significant portion of his base salary in 2016 and an increase in Mr. Nerbonne’s</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in connection with his promotion to Executive Vice President, no salary adjustments for Named Executive Officers were recommended or made in 2016. See “—Employment Contracts” for additional information regarding the base salaries of the Named Executive Officers with employment contracts.</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Given the weaker than expected financial and operating performance for 2016 and challenging industry conditions,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indicated that they will neither request nor accept a cash bonus for 2016. Accordingly, PAA did not pay a cash bonus for 2016 to the Named Executive Officers.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Prior to 2016, the last grant cycle of equity awards to Named Executive Officers occurred in 2013. All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performance thresholds for vesting of the 2013 awards have been met, however, vesting under such awards remains subject to minimum service periods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extend to August 2018. Consistent with PAA’s policy of issuing new grants with extended time-vesting periods when attainment of the distribution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thresholds of existing grants has occurred, in August 2016, the board of directors granted new awards to certain of the Named Executive Officers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designed to incentivize continued growth and fundamental performance, as well as encourage retention. The phantom units covered by these awards will vest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follows: (i) one-third shall vest on the August 2019 distribution date, (ii) one-sixth shall vest on the August 2020 distribution date, (iii) one-sixth shall vest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 August 2021 distribution date, (iv) one-sixth shall vest on the date on which PAA pays an annualized quarterly distribution of at least $2.50 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unit; however, in the event the $2.50 distribution threshold is not met prior to the August 2022 distribution date, the applicable phantom units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 on such distribution date provided that on or prior to such date, PAA shall have achieved a minimum annualized distribution rate of $2.30 per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 and (v) one-sixth shall vest on the date on which PAA pays an annualized quarterly distribution of at least $2.65 per common unit; however, in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$2.65 distribution threshold is not met prior to the August 2022 distribution date, the applicable phantom units will vest on such distribution date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on or prior to such date, PAA shall have achieved a minimum annualized distribution rate of $2.30 per common unit. Any phantom units that have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vested as of the August 2022 distribution date will be forfeited. Upon vesting, the phantom units are payable on a one-for-one basis in PAA 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phantom units include tandem DERs that will vest (i.e., commence receiving cash distributions as if the underlying common units were owned)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follows: (i) one-third shall vest upon and effective with the earlier to occur of the August 2018 distribution date and the first date following the date of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which PAA pays an annualized quarterly distribution of at least $2.30 per common unit ($0.575 per quarter), (ii) one-third shall vest upon and effective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earlier to occur of the August 2019 distribution date and the first date following the date of grant on which PAA pays an annualized quarterly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of at least $2.40 per common unit ($0.60 per quarter), and (iii) one-third shall vest upon and effective with the earlier to occur of the August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distribution date and the first date following the date of grant on which PAA pays an annualized quarterly distribution of at least $2.50 per common unit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($0.625 per quarter). The 2016 awards included grants to the Named Executive Officers as follows: Mr. Armstrong - 0; Mr. Pefanis - 0; Mr. Chiang - 165,000;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Swanson - 138,000; Mr. McGee - 138,000 and Mr. Nerbonne - 95,000.</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connection with his promotion to Executive Vice President in 2016, Mr. Nerbonne received an additional grant of 25,000 phantom units. These phantom units, which include associated DERs payable in cash, will vest in full on December 14, 2018.</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addition, in connection with the Simplification Transactions, certain modifications were made to the phantom units previously granted to Mr. Chiang in 2015. Specifically, the vesting terms of such award were modified so that 40% of such award will vest on the later of the August 2018 distribution date and the date PAA pays an annualized quarterly distribution of $2.30 per common unit; 30% of such award will vest on the later of the August 2019 distribution date and the date PAA pays an annualized quarterly distribution of $2.40 per common unit; and 30% of such award will vest on the later of the August 2020 distribution date and the date PAA pays an annualized quarterly distribution of $2.50 per common unit.</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Outstanding unearned AAP Management Units, including those held by Messrs. Chiang, McGee and Nerbonne, were also modified in connection with the Simplification Transactions. Specifically, the following modifications were made: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Mr. Chiang, the AAP Management Units originally granted in August 2015 (approximately 375,000 units) will become earned as follows: (i) subsequent to March 31, 2017, 50% upon the payment by PAA of an annualized quarterly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distribution of $2.20 per common unit and the generation by PAA of distributable cash flow of $1.5 billion or more on a trailing four quarter basis (subject to adjustment under certain circumstances to account for significant asset sales); (ii) 25% upon the payment by PAA of an annualized quarterly distribution of $2.50 per common unit; and (iii) 25% upon the payment by PAA of an annualized quarterly distribution of $2.80 per common unit.</w:t>
      </w:r>
    </w:p>
    <w:p>
      <w:pPr>
        <w:spacing w:after="0" w:line="147"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For Mr. McGee, the remaining 25% of the AAP Management Units originally granted in March 2013 (approximately 61,000 units) will become earned on the first date subsequent to March 31, 2017 upon which PAA pays an annualized quarterly distribution of $2.20 per common unit and generates distributable cash flow of $1.5 billion or more on a trailing four quarter basis (subject to adjustment under certain circumstances to account for significant asset sales).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Mr. Nerbonne, the AAP Management Units originally granted in July 2015 (approximately 56,000 units) will become earned as follows: (i) subsequent to March 31, 2017, 25% upon the payment by PAA of an annualized quarterly distribution of $2.20 per common unit and the generation by PAA of distributable cash flow of $1.5 billion or more on a trailing four quarter basis; (ii) 25% upon the payment by PAA of an annualized quarterly distribution of $2.30 per common unit and the generation by PAA of distributable cash flow of $1.75 billion or more on a trailing four quarter basis; (iii) 25% upon the payment by PAA of an annualized quarterly distribution of $2.40 per common unit and the generation by PAA of distributable cash flow of $1.9 billion or more on a trailing four quarter basis; and (iv) 25% upon the payment by PAA of an annualized quarterly distribution of $2.40 per common unit and the generation by PAA of distributable cash flow of $2.05 billion or more on a trailing four quarter basis. Distributable cash flow will be subject to adjustment under certain circumstances to account for significant asset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PAA’s Named Executive Officers collectively own substantial equity in PAA as well as interests in the general partner. Although</w:t>
      </w:r>
      <w:r>
        <w:rPr>
          <w:rFonts w:ascii="Arial" w:cs="Arial" w:eastAsia="Arial" w:hAnsi="Arial"/>
          <w:sz w:val="18"/>
          <w:szCs w:val="18"/>
          <w:i w:val="1"/>
          <w:iCs w:val="1"/>
          <w:color w:val="auto"/>
        </w:rPr>
        <w:t xml:space="preserve"> </w:t>
      </w:r>
      <w:r>
        <w:rPr>
          <w:rFonts w:ascii="Arial" w:cs="Arial" w:eastAsia="Arial" w:hAnsi="Arial"/>
          <w:sz w:val="18"/>
          <w:szCs w:val="18"/>
          <w:color w:val="auto"/>
        </w:rPr>
        <w:t>PAA encourages the Named Executive Officers to acquire and retain ownership in PAA, it does not have a policy requiring maintenance of a specified equity ownership level. Our policies prohibit the Named Executive Officers from using puts, calls or options to hedge the economic risk of their ownership. As of February 15, 2017, the Named Executive Officers beneficially owned, in the aggregate, directly or indirectly approximately 16 million PAA common units with an approximate market value of over $500 million, which was significantly greater than the combined aggregate salaries and bonuses of these individuals for 2016.</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PAA does not have a policy with respect to adjustment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of awards or payments if relevant company performance measures upon which previous awards were based are restated or otherwise adjusted in a manner that would have reduced the size of such award or payment if previously known.</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PAA is a limited partnership and does not fall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a “corporation” under Section 162(m).</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Pefanis and Chiang, the long-term incentive plan grants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and the AAP Management Unit grant agreements to which certain of the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 GP LLC). PAA believes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all prior qualifying transactions. Mr. Chiang’s employment agreement provides for accelerated vesting of his 2015 long-term incentive plan grant and AAP Management Unit grant in the event of a change of control prior to December 31, 2018 if, in connection therewith, he is not designated to receive a promotion to the top leadership position of GP LLC and terminates his employment within a period of 90 days following such change of control.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125"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PAA’s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PAA, such risks would primarily attach to certain commercial activities conducted in the Supply and Logistics segment as well as to the execution of capital expansion projects and acquisitions and the realization of associated returns.</w:t>
      </w:r>
    </w:p>
    <w:p>
      <w:pPr>
        <w:spacing w:after="0" w:line="15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From a risk management perspective, PAA’s policy is to conduct its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Model—Risk Management” in Part I of this annual report. PAA also routinely monitors and measures the execution and performance of its capital projects and acquisitions relative to expectations.</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PAA’s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PAA’s risk management policies and practices or of the Code of Business Conduct. In addition, the vesting criteria for long-term incentive awards are typically based on the passage of time and/or the payment of distributions from currently available cash. See “Compensation Discussion and Analysis—Relation of Compensation Elements to Compensation Objectives.”</w:t>
      </w:r>
    </w:p>
    <w:p>
      <w:pPr>
        <w:spacing w:after="0" w:line="15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combination with its risk-management practices, PAA does not believe that risks arising from its compensation policies and practices for employees are reasonably likely to have a material adverse effect on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following table sets forth certain compensation information for PAA’s Chief Executive Officer, Chief Financial Officer, President and Chief Operating Officer plus the three most highly compensated executive officers in 2016 other than the CEO and CFO (collectively, the “Named Executive Officers”). PAA reimburses its general partner and its affiliates for expenses incurred on its behalf, including the costs of officer compensation. Mr. Chiang joined PAA in August 2015; therefore, his salary and bonus amounts for 2015 reflect a partial year of employment.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40"/>
          </w:cols>
          <w:pgMar w:left="240" w:top="125" w:right="31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Salary</w:t>
            </w:r>
          </w:p>
        </w:tc>
        <w:tc>
          <w:tcPr>
            <w:tcW w:w="16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Bonus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1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Year</w:t>
            </w:r>
          </w:p>
        </w:tc>
        <w:tc>
          <w:tcPr>
            <w:tcW w:w="128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22"/>
                <w:szCs w:val="22"/>
                <w:b w:val="1"/>
                <w:bCs w:val="1"/>
                <w:color w:val="auto"/>
                <w:w w:val="93"/>
                <w:vertAlign w:val="subscript"/>
              </w:rPr>
              <w:t>($)</w:t>
            </w:r>
            <w:r>
              <w:rPr>
                <w:rFonts w:ascii="Arial" w:cs="Arial" w:eastAsia="Arial" w:hAnsi="Arial"/>
                <w:sz w:val="8"/>
                <w:szCs w:val="8"/>
                <w:b w:val="1"/>
                <w:bCs w:val="1"/>
                <w:color w:val="auto"/>
                <w:w w:val="93"/>
              </w:rPr>
              <w:t>(1)</w:t>
            </w:r>
          </w:p>
        </w:tc>
        <w:tc>
          <w:tcPr>
            <w:tcW w:w="100" w:type="dxa"/>
            <w:vAlign w:val="bottom"/>
          </w:tcPr>
          <w:p>
            <w:pPr>
              <w:spacing w:after="0"/>
              <w:rPr>
                <w:sz w:val="17"/>
                <w:szCs w:val="17"/>
                <w:color w:val="auto"/>
              </w:rPr>
            </w:pPr>
          </w:p>
        </w:tc>
        <w:tc>
          <w:tcPr>
            <w:tcW w:w="1240" w:type="dxa"/>
            <w:vAlign w:val="bottom"/>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(2)</w:t>
            </w:r>
          </w:p>
        </w:tc>
        <w:tc>
          <w:tcPr>
            <w:tcW w:w="120" w:type="dxa"/>
            <w:vAlign w:val="bottom"/>
          </w:tcPr>
          <w:p>
            <w:pPr>
              <w:spacing w:after="0"/>
              <w:rPr>
                <w:sz w:val="17"/>
                <w:szCs w:val="17"/>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Greg L. Armstrong</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2,575</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42,575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and Chief Executive</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392,340</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375,000</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3,900,000</w:t>
            </w:r>
          </w:p>
        </w:tc>
        <w:tc>
          <w:tcPr>
            <w:tcW w:w="4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17,040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4,292,040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Harry N. Pefanis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317,340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Operating</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317,340</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3,800,000</w:t>
            </w:r>
          </w:p>
        </w:tc>
        <w:tc>
          <w:tcPr>
            <w:tcW w:w="4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17,040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4,117,040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Wilfred (Willie) C. Chiang</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2,542,650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2,809,990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 Chief</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89,102</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500,000</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5,330,830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5,886</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5,925,818</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Officer (U.S.)</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 Swanson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2,126,580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2,393,920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4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1,167,340</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1,650,000</w:t>
            </w:r>
          </w:p>
        </w:tc>
        <w:tc>
          <w:tcPr>
            <w:tcW w:w="4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17,040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1,917,040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Richard McGee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3,265,760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3,533,100</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Executive Vice President, General Counsel</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Secretary</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Daniel J. Nerbonne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232,292</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2,122,694</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25,638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2,380,624</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Executive Vice President - Operations and</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Engineering</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20" w:hanging="332"/>
        <w:spacing w:after="0" w:line="279" w:lineRule="auto"/>
        <w:tabs>
          <w:tab w:leader="none" w:pos="340" w:val="left"/>
        </w:tabs>
        <w:numPr>
          <w:ilvl w:val="0"/>
          <w:numId w:val="86"/>
        </w:numPr>
        <w:rPr>
          <w:rFonts w:ascii="Arial" w:cs="Arial" w:eastAsia="Arial" w:hAnsi="Arial"/>
          <w:sz w:val="22"/>
          <w:szCs w:val="22"/>
          <w:color w:val="auto"/>
          <w:vertAlign w:val="superscript"/>
        </w:rPr>
      </w:pPr>
      <w:r>
        <w:rPr>
          <w:rFonts w:ascii="Arial" w:cs="Arial" w:eastAsia="Arial" w:hAnsi="Arial"/>
          <w:sz w:val="16"/>
          <w:szCs w:val="16"/>
          <w:color w:val="auto"/>
        </w:rPr>
        <w:t>Grant date fair values are presented for (i) LTIP phantom unit grants awarded to Messrs. Swanson, Chiang, McGee and Nerbonne in 2016, (ii) LTIP phantom unit grants awarded to Mr. Chiang in 2015, (iii) AAP Management Unit grants awarded to Mr. Chiang in 2015, and (iv) a portion of an AAP Management Unit grant awarded to Mr. McGee in 2013 and amended in 2016. Dollar amounts in the table represent the aggregate grant date fair value of phantom units and AAP Management Units awarded based on the probable outcome of underlying performance conditions pursuant to FASB ASC Topic 718. The amount presented for Mr. McGee includes incremental grant date fair value of $1,139,180 resulting from the modification in 2016 of previously granted AAP Management Unit awards. Specifically, the AAP Management Unit award originally granted to Mr. McGee in March 2013 was amended in 2016 in connection with the Simplification Transactions so that the portion of such grant that had not yet become earned (approximately 61,000 units or 25%) would, instead of becoming earned upon the payment by PAA of an annualized quarterly distribution of $2.85 per common unit, become earned on the first date subsequent to March 31, 2017 upon which PAA pays an annualized quarterly distribution of $2.20 per common unit and generates distributable cash flow of $1.5 billion or more on a trailing four quarter basis (subject to adjustment under certain circumstances to account for significant asset sales). The incremental grant date fair value of $1,139,180 represents the increase in grant date fair value of such award relative to the original March 2013 grant date fair value of such AAP Management units. The modification in 2016 of previously granted LTIP phantom unit awards and AAP Management Unit awards for Messrs. Chiang and Nerbonne did not result in any incremental grant date fair value relative to the grant date fair value of such awards as of their respective dates of issuance. For LTIP phantom unit grants and AAP Management Unit grants awarded in 2015, the performance threshold for the first tranche of vesting was deemed probable of occurring on the grant date. The aggregate maximum grant date fair value of phantom unit grants and AAP Management Unit grants awarded to Mr. Chiang in 2015, assuming that the highest level of performance conditions will be met, was $17,197,332. For LTIP phantom unit grants awarded in 2016, the performance thresholds for the first, second and third tranches of vesting were deemed probable of occurring on the grant date. The maximum grant date fair</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right="80"/>
        <w:spacing w:after="0" w:line="311" w:lineRule="auto"/>
        <w:rPr>
          <w:sz w:val="20"/>
          <w:szCs w:val="20"/>
          <w:color w:val="auto"/>
        </w:rPr>
      </w:pPr>
      <w:r>
        <w:rPr>
          <w:rFonts w:ascii="Arial" w:cs="Arial" w:eastAsia="Arial" w:hAnsi="Arial"/>
          <w:sz w:val="18"/>
          <w:szCs w:val="18"/>
          <w:color w:val="auto"/>
        </w:rPr>
        <w:t>value of phantom unit grants awarded in 2016, assuming that the highest level of performance conditions will be met, was: $3,115,120 for Mr. Swanson, $3,724,600 for Mr. Chiang, $3,115,120 for Mr. McGee and $2,803,217 for Mr. Nerbonne. See Note 16 to our Consolidated Financial Statements for further discussion regarding the calculation of grant date fair values.</w:t>
      </w:r>
    </w:p>
    <w:p>
      <w:pPr>
        <w:spacing w:after="0" w:line="370" w:lineRule="exact"/>
        <w:rPr>
          <w:sz w:val="20"/>
          <w:szCs w:val="20"/>
          <w:color w:val="auto"/>
        </w:rPr>
      </w:pPr>
    </w:p>
    <w:p>
      <w:pPr>
        <w:ind w:left="340" w:hanging="332"/>
        <w:spacing w:after="0" w:line="232" w:lineRule="auto"/>
        <w:tabs>
          <w:tab w:leader="none" w:pos="340" w:val="left"/>
        </w:tabs>
        <w:numPr>
          <w:ilvl w:val="0"/>
          <w:numId w:val="87"/>
        </w:numPr>
        <w:rPr>
          <w:rFonts w:ascii="Arial" w:cs="Arial" w:eastAsia="Arial" w:hAnsi="Arial"/>
          <w:sz w:val="25"/>
          <w:szCs w:val="25"/>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2016 includes $2,348 in such contributions for Mr. Armstrong and $15,900 for each of Messrs. Pefanis, Chiang, Swanson, McGee and Nerbonne. The remaining amount represents premium payments on behalf of such Named Executive Officer for group term life insurance and, for Mr. Nerbonne only, a car allowance of $8,400.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PAA’s Named Executive Officers during the fiscal year ended December 31, 2016:</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 Stock Awards: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1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49"/>
        </w:trPr>
        <w:tc>
          <w:tcPr>
            <w:tcW w:w="6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Number Of Shares Of</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3"/>
              </w:rPr>
              <w:t>Stock and Option</w:t>
            </w:r>
          </w:p>
        </w:tc>
        <w:tc>
          <w:tcPr>
            <w:tcW w:w="0" w:type="dxa"/>
            <w:vAlign w:val="bottom"/>
          </w:tcPr>
          <w:p>
            <w:pPr>
              <w:spacing w:after="0"/>
              <w:rPr>
                <w:sz w:val="1"/>
                <w:szCs w:val="1"/>
                <w:color w:val="auto"/>
              </w:rPr>
            </w:pPr>
          </w:p>
        </w:tc>
      </w:tr>
      <w:tr>
        <w:trPr>
          <w:trHeight w:val="192"/>
        </w:trPr>
        <w:tc>
          <w:tcPr>
            <w:tcW w:w="6140" w:type="dxa"/>
            <w:vAlign w:val="bottom"/>
            <w:gridSpan w:val="2"/>
            <w:vMerge w:val="continue"/>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Stock or Units (#)</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8"/>
                <w:szCs w:val="8"/>
                <w:b w:val="1"/>
                <w:bCs w:val="1"/>
                <w:color w:val="auto"/>
                <w:w w:val="95"/>
              </w:rPr>
              <w:t>(4)</w:t>
            </w:r>
          </w:p>
        </w:tc>
        <w:tc>
          <w:tcPr>
            <w:tcW w:w="0" w:type="dxa"/>
            <w:vAlign w:val="bottom"/>
          </w:tcPr>
          <w:p>
            <w:pPr>
              <w:spacing w:after="0"/>
              <w:rPr>
                <w:sz w:val="1"/>
                <w:szCs w:val="1"/>
                <w:color w:val="auto"/>
              </w:rPr>
            </w:pPr>
          </w:p>
        </w:tc>
      </w:tr>
      <w:tr>
        <w:trPr>
          <w:trHeight w:val="283"/>
        </w:trPr>
        <w:tc>
          <w:tcPr>
            <w:tcW w:w="6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58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Al Swanson</w:t>
            </w:r>
          </w:p>
        </w:tc>
        <w:tc>
          <w:tcPr>
            <w:tcW w:w="1600" w:type="dxa"/>
            <w:vAlign w:val="bottom"/>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138,000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2,126,580</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Wilfred (Willie) C. Chiang</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2,542,650</w:t>
            </w:r>
          </w:p>
        </w:tc>
        <w:tc>
          <w:tcPr>
            <w:tcW w:w="0" w:type="dxa"/>
            <w:vAlign w:val="bottom"/>
          </w:tcPr>
          <w:p>
            <w:pPr>
              <w:spacing w:after="0"/>
              <w:rPr>
                <w:sz w:val="1"/>
                <w:szCs w:val="1"/>
                <w:color w:val="auto"/>
              </w:rPr>
            </w:pP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Richard McGee</w:t>
            </w:r>
          </w:p>
        </w:tc>
        <w:tc>
          <w:tcPr>
            <w:tcW w:w="1600" w:type="dxa"/>
            <w:vAlign w:val="bottom"/>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138,000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2,126,580</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61,174</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1,139,180</w:t>
            </w:r>
          </w:p>
        </w:tc>
        <w:tc>
          <w:tcPr>
            <w:tcW w:w="0" w:type="dxa"/>
            <w:vAlign w:val="bottom"/>
          </w:tcPr>
          <w:p>
            <w:pPr>
              <w:spacing w:after="0"/>
              <w:rPr>
                <w:sz w:val="1"/>
                <w:szCs w:val="1"/>
                <w:color w:val="auto"/>
              </w:rPr>
            </w:pP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Dan Nerbonne</w:t>
            </w:r>
          </w:p>
        </w:tc>
        <w:tc>
          <w:tcPr>
            <w:tcW w:w="1600" w:type="dxa"/>
            <w:vAlign w:val="bottom"/>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95,000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1,463,944</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8/25/16</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658,750</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right="600" w:hanging="332"/>
        <w:spacing w:after="0" w:line="216" w:lineRule="auto"/>
        <w:tabs>
          <w:tab w:leader="none" w:pos="340" w:val="left"/>
        </w:tabs>
        <w:numPr>
          <w:ilvl w:val="0"/>
          <w:numId w:val="88"/>
        </w:numPr>
        <w:rPr>
          <w:rFonts w:ascii="Arial" w:cs="Arial" w:eastAsia="Arial" w:hAnsi="Arial"/>
          <w:sz w:val="25"/>
          <w:szCs w:val="25"/>
          <w:color w:val="auto"/>
          <w:vertAlign w:val="superscript"/>
        </w:rPr>
      </w:pPr>
      <w:r>
        <w:rPr>
          <w:rFonts w:ascii="Arial" w:cs="Arial" w:eastAsia="Arial" w:hAnsi="Arial"/>
          <w:sz w:val="18"/>
          <w:szCs w:val="18"/>
          <w:color w:val="auto"/>
        </w:rPr>
        <w:t>For a description of the vesting terms of these awards, see “Compensation Discussion and Analysis—Application in 2016—Long Term Incentive Awards”.</w:t>
      </w:r>
    </w:p>
    <w:p>
      <w:pPr>
        <w:spacing w:after="0" w:line="95"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88"/>
        </w:numPr>
        <w:rPr>
          <w:rFonts w:ascii="Arial" w:cs="Arial" w:eastAsia="Arial" w:hAnsi="Arial"/>
          <w:sz w:val="25"/>
          <w:szCs w:val="25"/>
          <w:color w:val="auto"/>
          <w:vertAlign w:val="superscript"/>
        </w:rPr>
      </w:pPr>
      <w:r>
        <w:rPr>
          <w:rFonts w:ascii="Arial" w:cs="Arial" w:eastAsia="Arial" w:hAnsi="Arial"/>
          <w:sz w:val="18"/>
          <w:szCs w:val="18"/>
          <w:color w:val="auto"/>
        </w:rPr>
        <w:t>Represents incremental grant date fair value resulting from the modification in 2016 of the unearned portion of AAP Management Unit awards originally granted in March 2013. See Footnote 1 to the Summary Compensation Table for a description.</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88"/>
        </w:numPr>
        <w:rPr>
          <w:rFonts w:ascii="Arial" w:cs="Arial" w:eastAsia="Arial" w:hAnsi="Arial"/>
          <w:sz w:val="25"/>
          <w:szCs w:val="25"/>
          <w:color w:val="auto"/>
          <w:vertAlign w:val="superscript"/>
        </w:rPr>
      </w:pPr>
      <w:r>
        <w:rPr>
          <w:rFonts w:ascii="Arial" w:cs="Arial" w:eastAsia="Arial" w:hAnsi="Arial"/>
          <w:sz w:val="18"/>
          <w:szCs w:val="18"/>
          <w:color w:val="auto"/>
        </w:rPr>
        <w:t>These phantom units, which include associated DERs payable in cash, will vest 100% on December 14, 2018.</w:t>
      </w:r>
    </w:p>
    <w:p>
      <w:pPr>
        <w:spacing w:after="0" w:line="98" w:lineRule="exact"/>
        <w:rPr>
          <w:rFonts w:ascii="Arial" w:cs="Arial" w:eastAsia="Arial" w:hAnsi="Arial"/>
          <w:sz w:val="25"/>
          <w:szCs w:val="25"/>
          <w:color w:val="auto"/>
          <w:vertAlign w:val="superscript"/>
        </w:rPr>
      </w:pPr>
    </w:p>
    <w:p>
      <w:pPr>
        <w:ind w:left="340" w:right="120" w:hanging="332"/>
        <w:spacing w:after="0" w:line="234" w:lineRule="auto"/>
        <w:tabs>
          <w:tab w:leader="none" w:pos="340" w:val="left"/>
        </w:tabs>
        <w:numPr>
          <w:ilvl w:val="0"/>
          <w:numId w:val="88"/>
        </w:numPr>
        <w:rPr>
          <w:rFonts w:ascii="Arial" w:cs="Arial" w:eastAsia="Arial" w:hAnsi="Arial"/>
          <w:sz w:val="25"/>
          <w:szCs w:val="25"/>
          <w:color w:val="auto"/>
          <w:vertAlign w:val="superscript"/>
        </w:rPr>
      </w:pPr>
      <w:r>
        <w:rPr>
          <w:rFonts w:ascii="Arial" w:cs="Arial" w:eastAsia="Arial" w:hAnsi="Arial"/>
          <w:sz w:val="18"/>
          <w:szCs w:val="18"/>
          <w:color w:val="auto"/>
        </w:rPr>
        <w:t>Represents the grant date fair values of LTIP phantom units granted in 2016 based on the probable outcome of underlying performance conditions pursuant to FASB ASC Topic 718. The performance thresholds for the first, second and third tranches of vesting of the LTIP phantom units granted in 2016 was deemed probable of occurring on the grant date. The aggregate maximum grant date fair value of phantom unit grants awarded in 2016, assuming that the highest level of performance conditions will be met, was $3,115,120 for Mr. Swanson, $3,724,600 for Mr. Chiang, $3,115,120 for Mr. McGee and $2,803,217 for Mr. Nerbonne.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-1584325</wp:posOffset>
            </wp:positionV>
            <wp:extent cx="23837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“—Compensation Discussion and Analysis” and in the footnotes to such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25"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For 2016 and 2017, Mr. Armstrong unilaterally elected to forego approximately 90% of his annual base salary.</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158"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In connection with Mr. Chiang’s employment in August 2015, GP LLC and Mr. Chiang entered into an agreement setting forth the terms of his employment. The agreement, which may be terminated by either party at any time, provides for a base salary of $250,000 per year, and a minimum bonus of $500,000 for 2015 and $1.25 million for each of 2016 and 2017. GP LLC’s obligation to pay the minimum bonus is subject to Mr. Chiang’s continued employment through the bonus payment date. For 2016, in consideration of weaker than expected financial and operating performance and challenging industry conditions, Mr. Chiang has elected to forego his right to receive a cash bonus. Mr. Chiang was hired with the expectation that, contingent on his performance, he would be offered the top executive leadership position of GP LLC (the “Executive Promotion”) no later than December 31, 2018 (the “Reference Date”). Consistent with such expectation and as an inducement to Mr. Chiang, Mr. Chiang’s employment agreement provides for the accelerated vesting of the phantom units and AAP Management Units he received in 2015 in the event his employment is terminated under certain circumstances prior to the Reference Date. These circumstances include the following: (i) if Mr. Chiang has not received the Executive Promotion and is terminated other than for cause prior to the Reference Date; (ii) if Mr. Chiang has not received the Executive Promotion by the Reference Date and Mr. Chiang resigns within 90 days thereafter or if Mr. Chiang has not received the Executive Promotion and terminates his employment for “good reason” prior to the Reference Date; and</w:t>
      </w:r>
    </w:p>
    <w:p>
      <w:pPr>
        <w:spacing w:after="0" w:line="5" w:lineRule="exact"/>
        <w:rPr>
          <w:sz w:val="20"/>
          <w:szCs w:val="20"/>
          <w:color w:val="auto"/>
        </w:rPr>
      </w:pPr>
    </w:p>
    <w:p>
      <w:pPr>
        <w:ind w:right="120" w:firstLine="8"/>
        <w:spacing w:after="0" w:line="270" w:lineRule="auto"/>
        <w:tabs>
          <w:tab w:leader="none" w:pos="3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a change of control occurs prior to the Reference Date and in connection therewith Mr. Chiang is not designated to receive the Executive Promotion and terminates his employment within 90 days of such change of control. Mr. Chiang’s employment agreement also provides that in the event of his death or disability prior to the second anniversary of his employment date under circumstances where less than 187,760 of his AAP Management Units have previously become “earned”, he will immediately vest in such number of AAP Management Units as may be necessary to cause the number of vested AAP Management Units to equal 187,760. Mr. Chiang also entered into ancillary agreements pursuant to which he has agreed to maintain confidentiality and not to solicit customers, assets or employees for a period of two years following termination of his employment.</w:t>
      </w:r>
    </w:p>
    <w:p>
      <w:pPr>
        <w:spacing w:after="0" w:line="17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PAA uses salary and bonus to achieve compensation objectives. See “— Potential Payments upon Termination or Change-In-Control” for a discussion of the provisions in Messrs. Armstrong’s, Pefanis’ and Chiang’s employment agreements related to termination, change of control and related payment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at December 31, 2016 with respect to PAA’s Named Executive Officers: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95"/>
              </w:rPr>
              <w:t>Unit Awards</w:t>
            </w: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vMerge w:val="restart"/>
          </w:tcPr>
          <w:p>
            <w:pPr>
              <w:jc w:val="center"/>
              <w:ind w:right="257"/>
              <w:spacing w:after="0"/>
              <w:rPr>
                <w:sz w:val="20"/>
                <w:szCs w:val="20"/>
                <w:color w:val="auto"/>
              </w:rPr>
            </w:pPr>
            <w:r>
              <w:rPr>
                <w:rFonts w:ascii="Arial" w:cs="Arial" w:eastAsia="Arial" w:hAnsi="Arial"/>
                <w:sz w:val="14"/>
                <w:szCs w:val="14"/>
                <w:b w:val="1"/>
                <w:bCs w:val="1"/>
                <w:color w:val="auto"/>
                <w:w w:val="98"/>
              </w:rPr>
              <w:t>Equity</w:t>
            </w:r>
          </w:p>
        </w:tc>
        <w:tc>
          <w:tcPr>
            <w:tcW w:w="34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rPr>
              <w:t>Market</w:t>
            </w:r>
          </w:p>
        </w:tc>
        <w:tc>
          <w:tcPr>
            <w:tcW w:w="12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4"/>
              </w:rPr>
              <w:t>Awards:</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Payout Value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Value of</w:t>
            </w:r>
          </w:p>
        </w:tc>
        <w:tc>
          <w:tcPr>
            <w:tcW w:w="12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2"/>
              </w:rPr>
              <w:t>Unearned</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340" w:type="dxa"/>
            <w:vAlign w:val="bottom"/>
          </w:tcPr>
          <w:p>
            <w:pPr>
              <w:spacing w:after="0"/>
              <w:rPr>
                <w:sz w:val="12"/>
                <w:szCs w:val="12"/>
                <w:color w:val="auto"/>
              </w:rPr>
            </w:pPr>
          </w:p>
        </w:tc>
        <w:tc>
          <w:tcPr>
            <w:tcW w:w="2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Shares or</w:t>
            </w: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340" w:type="dxa"/>
            <w:vAlign w:val="bottom"/>
          </w:tcPr>
          <w:p>
            <w:pPr>
              <w:spacing w:after="0"/>
              <w:rPr>
                <w:sz w:val="12"/>
                <w:szCs w:val="12"/>
                <w:color w:val="auto"/>
              </w:rPr>
            </w:pPr>
          </w:p>
        </w:tc>
        <w:tc>
          <w:tcPr>
            <w:tcW w:w="2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Units of</w:t>
            </w: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7"/>
              </w:rPr>
              <w:t>or Other</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340" w:type="dxa"/>
            <w:vAlign w:val="bottom"/>
          </w:tcPr>
          <w:p>
            <w:pPr>
              <w:spacing w:after="0"/>
              <w:rPr>
                <w:sz w:val="12"/>
                <w:szCs w:val="12"/>
                <w:color w:val="auto"/>
              </w:rPr>
            </w:pPr>
          </w:p>
        </w:tc>
        <w:tc>
          <w:tcPr>
            <w:tcW w:w="2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2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3"/>
              </w:rPr>
              <w:t>Rights That</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340" w:type="dxa"/>
            <w:vAlign w:val="bottom"/>
          </w:tcPr>
          <w:p>
            <w:pPr>
              <w:spacing w:after="0"/>
              <w:rPr>
                <w:sz w:val="12"/>
                <w:szCs w:val="12"/>
                <w:color w:val="auto"/>
              </w:rPr>
            </w:pPr>
          </w:p>
        </w:tc>
        <w:tc>
          <w:tcPr>
            <w:tcW w:w="2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Have Not</w:t>
            </w: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5"/>
              </w:rPr>
              <w:t>Have Not</w:t>
            </w:r>
          </w:p>
        </w:tc>
        <w:tc>
          <w:tcPr>
            <w:tcW w:w="3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2"/>
        </w:trPr>
        <w:tc>
          <w:tcPr>
            <w:tcW w:w="4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340" w:type="dxa"/>
            <w:vAlign w:val="bottom"/>
          </w:tcPr>
          <w:p>
            <w:pPr>
              <w:spacing w:after="0"/>
              <w:rPr>
                <w:sz w:val="16"/>
                <w:szCs w:val="16"/>
                <w:color w:val="auto"/>
              </w:rPr>
            </w:pPr>
          </w:p>
        </w:tc>
        <w:tc>
          <w:tcPr>
            <w:tcW w:w="2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8"/>
                <w:szCs w:val="8"/>
                <w:b w:val="1"/>
                <w:bCs w:val="1"/>
                <w:color w:val="auto"/>
                <w:w w:val="93"/>
              </w:rPr>
              <w:t>(1)</w:t>
            </w:r>
          </w:p>
        </w:tc>
        <w:tc>
          <w:tcPr>
            <w:tcW w:w="1240" w:type="dxa"/>
            <w:vAlign w:val="bottom"/>
          </w:tcPr>
          <w:p>
            <w:pPr>
              <w:jc w:val="center"/>
              <w:ind w:right="277"/>
              <w:spacing w:after="0"/>
              <w:rPr>
                <w:sz w:val="20"/>
                <w:szCs w:val="20"/>
                <w:color w:val="auto"/>
              </w:rPr>
            </w:pPr>
            <w:r>
              <w:rPr>
                <w:rFonts w:ascii="Arial" w:cs="Arial" w:eastAsia="Arial" w:hAnsi="Arial"/>
                <w:sz w:val="14"/>
                <w:szCs w:val="14"/>
                <w:b w:val="1"/>
                <w:bCs w:val="1"/>
                <w:color w:val="auto"/>
                <w:w w:val="89"/>
              </w:rPr>
              <w:t>Vested (#)</w:t>
            </w:r>
          </w:p>
        </w:tc>
        <w:tc>
          <w:tcPr>
            <w:tcW w:w="3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324"/>
        </w:trPr>
        <w:tc>
          <w:tcPr>
            <w:tcW w:w="4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Greg L. Armstrong</w:t>
            </w:r>
          </w:p>
        </w:tc>
        <w:tc>
          <w:tcPr>
            <w:tcW w:w="174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100,000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3,229,000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Harry N. Pefanis</w:t>
            </w:r>
          </w:p>
        </w:tc>
        <w:tc>
          <w:tcPr>
            <w:tcW w:w="174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90,000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2,906,100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Wilfred (Willie) C. Chiang</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375,521</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(3)</w:t>
            </w: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12,258,999</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120,000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(7)</w:t>
            </w: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3,874,800</w:t>
            </w:r>
          </w:p>
        </w:tc>
        <w:tc>
          <w:tcPr>
            <w:tcW w:w="0" w:type="dxa"/>
            <w:vAlign w:val="bottom"/>
          </w:tcPr>
          <w:p>
            <w:pPr>
              <w:spacing w:after="0"/>
              <w:rPr>
                <w:sz w:val="1"/>
                <w:szCs w:val="1"/>
                <w:color w:val="auto"/>
              </w:rPr>
            </w:pPr>
          </w:p>
        </w:tc>
      </w:tr>
      <w:tr>
        <w:trPr>
          <w:trHeight w:val="277"/>
        </w:trPr>
        <w:tc>
          <w:tcPr>
            <w:tcW w:w="4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3,551,900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1,775,950</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 Swanson</w:t>
            </w:r>
          </w:p>
        </w:tc>
        <w:tc>
          <w:tcPr>
            <w:tcW w:w="17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66,667</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2,152,677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0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92,000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2,970,680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1,485,340</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Richard McGee</w:t>
            </w:r>
          </w:p>
        </w:tc>
        <w:tc>
          <w:tcPr>
            <w:tcW w:w="17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60,000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1,937,400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195,755</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(4)</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6,390,449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183,520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(4)</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5,991,074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61,174</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(5)</w:t>
            </w: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1,997,048</w:t>
            </w:r>
          </w:p>
        </w:tc>
        <w:tc>
          <w:tcPr>
            <w:tcW w:w="0" w:type="dxa"/>
            <w:vAlign w:val="bottom"/>
          </w:tcPr>
          <w:p>
            <w:pPr>
              <w:spacing w:after="0"/>
              <w:rPr>
                <w:sz w:val="1"/>
                <w:szCs w:val="1"/>
                <w:color w:val="auto"/>
              </w:rPr>
            </w:pPr>
          </w:p>
        </w:tc>
      </w:tr>
      <w:tr>
        <w:trPr>
          <w:trHeight w:val="277"/>
        </w:trPr>
        <w:tc>
          <w:tcPr>
            <w:tcW w:w="4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2,970,680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1,485,340</w:t>
            </w: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Dan Nerbonne</w:t>
            </w:r>
          </w:p>
        </w:tc>
        <w:tc>
          <w:tcPr>
            <w:tcW w:w="17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36,000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1,162,440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56,328</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(6)</w:t>
            </w: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1,838,838</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63,333</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2,045,023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31,667</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(8)</w:t>
            </w: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1,022,527</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(9)</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807,250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323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40" w:right="40" w:hanging="332"/>
        <w:spacing w:after="0" w:line="239" w:lineRule="auto"/>
        <w:tabs>
          <w:tab w:leader="none" w:pos="340" w:val="left"/>
        </w:tabs>
        <w:numPr>
          <w:ilvl w:val="0"/>
          <w:numId w:val="90"/>
        </w:numPr>
        <w:rPr>
          <w:rFonts w:ascii="Arial" w:cs="Arial" w:eastAsia="Arial" w:hAnsi="Arial"/>
          <w:sz w:val="25"/>
          <w:szCs w:val="25"/>
          <w:color w:val="auto"/>
          <w:vertAlign w:val="superscript"/>
        </w:rPr>
      </w:pPr>
      <w:r>
        <w:rPr>
          <w:rFonts w:ascii="Arial" w:cs="Arial" w:eastAsia="Arial" w:hAnsi="Arial"/>
          <w:sz w:val="18"/>
          <w:szCs w:val="18"/>
          <w:color w:val="auto"/>
        </w:rPr>
        <w:t>Market value of phantom units reported in these columns is calculated by multiplying the closing market price ($32.29) of PAA’s common units at December 30, 2016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($34.68) of PAGP’s Class A shares at December 30, 2016 (the last trading day of the fiscal year).</w:t>
      </w:r>
    </w:p>
    <w:p>
      <w:pPr>
        <w:spacing w:after="0" w:line="97" w:lineRule="exact"/>
        <w:rPr>
          <w:rFonts w:ascii="Arial" w:cs="Arial" w:eastAsia="Arial" w:hAnsi="Arial"/>
          <w:sz w:val="25"/>
          <w:szCs w:val="25"/>
          <w:color w:val="auto"/>
          <w:vertAlign w:val="superscript"/>
        </w:rPr>
      </w:pPr>
    </w:p>
    <w:p>
      <w:pPr>
        <w:ind w:left="340" w:right="80" w:hanging="332"/>
        <w:spacing w:after="0" w:line="268" w:lineRule="auto"/>
        <w:tabs>
          <w:tab w:leader="none" w:pos="340" w:val="left"/>
        </w:tabs>
        <w:numPr>
          <w:ilvl w:val="0"/>
          <w:numId w:val="90"/>
        </w:numPr>
        <w:rPr>
          <w:rFonts w:ascii="Arial" w:cs="Arial" w:eastAsia="Arial" w:hAnsi="Arial"/>
          <w:sz w:val="22"/>
          <w:szCs w:val="22"/>
          <w:color w:val="auto"/>
          <w:vertAlign w:val="superscript"/>
        </w:rPr>
      </w:pPr>
      <w:r>
        <w:rPr>
          <w:rFonts w:ascii="Arial" w:cs="Arial" w:eastAsia="Arial" w:hAnsi="Arial"/>
          <w:sz w:val="16"/>
          <w:szCs w:val="16"/>
          <w:color w:val="auto"/>
        </w:rPr>
        <w:t>Represents the unvested portion of phantom units granted in 2013 under PAA’s Long-Term Incentive Plan. All performance thresholds have been met. Accordingly, subject to continued employment, these phantom units will vest as follows: (i) one-half will vest on the August 2017 distribution date, and (ii) one-half will vest on the August 2018 distribution date. Upon vesting, the phantom units are payable on a one-for-one basis in PAA common units. All of the DERs associated with these phantom units are currently payable. The DERs expire when the associated phantom units vest.</w:t>
      </w:r>
    </w:p>
    <w:p>
      <w:pPr>
        <w:spacing w:after="0" w:line="73" w:lineRule="exact"/>
        <w:rPr>
          <w:rFonts w:ascii="Arial" w:cs="Arial" w:eastAsia="Arial" w:hAnsi="Arial"/>
          <w:sz w:val="22"/>
          <w:szCs w:val="22"/>
          <w:color w:val="auto"/>
          <w:vertAlign w:val="superscript"/>
        </w:rPr>
      </w:pPr>
    </w:p>
    <w:p>
      <w:pPr>
        <w:ind w:left="340" w:right="40" w:hanging="332"/>
        <w:spacing w:after="0" w:line="250" w:lineRule="auto"/>
        <w:tabs>
          <w:tab w:leader="none" w:pos="340" w:val="left"/>
        </w:tabs>
        <w:numPr>
          <w:ilvl w:val="0"/>
          <w:numId w:val="90"/>
        </w:numPr>
        <w:rPr>
          <w:rFonts w:ascii="Arial" w:cs="Arial" w:eastAsia="Arial" w:hAnsi="Arial"/>
          <w:sz w:val="24"/>
          <w:szCs w:val="24"/>
          <w:color w:val="auto"/>
          <w:vertAlign w:val="superscript"/>
        </w:rPr>
      </w:pPr>
      <w:r>
        <w:rPr>
          <w:rFonts w:ascii="Arial" w:cs="Arial" w:eastAsia="Arial" w:hAnsi="Arial"/>
          <w:sz w:val="17"/>
          <w:szCs w:val="17"/>
          <w:color w:val="auto"/>
        </w:rPr>
        <w:t>Represents the pre-conversion number of AAP Management Units held by Mr. Chiang, each of which represents a profits interest in AAP, entitling him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These AAP Management Units become earned as follows: 50% will become earned on the first date subsequent to March 31, 2017 upon which PAA pays a quarterly distribution of at least $0.55 per common unit ($2.20 annualized) and generates distributable cash flow of $1.5</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right="40"/>
        <w:spacing w:after="0" w:line="344" w:lineRule="auto"/>
        <w:rPr>
          <w:sz w:val="20"/>
          <w:szCs w:val="20"/>
          <w:color w:val="auto"/>
        </w:rPr>
      </w:pPr>
      <w:r>
        <w:rPr>
          <w:rFonts w:ascii="Arial" w:cs="Arial" w:eastAsia="Arial" w:hAnsi="Arial"/>
          <w:sz w:val="16"/>
          <w:szCs w:val="16"/>
          <w:color w:val="auto"/>
        </w:rPr>
        <w:t>billion or more on a trailing four quarter basis (subject to adjustment under certain circumstances to account for significant asset sales), 25% will become earned on the first date subsequent to March 31, 2017 upon which PAA pays a quarterly distribution of at least $0.625 per common unit ($2.50 annualized, and 25% will become earned on the first date subsequent to March 31, 2017 on which PAA pays a quarterly distribution of at least $0.70 per common unit ($2.80 annualized). These AAP Management Units are subject to a call right in the event Mr. Chiang’s employment is terminated under certain circumstances prior to December 31, 2022. If Mr. Chiang remains employed after such date, his AAP Management Units will be deemed to have vested. Mr. Chiang’s employment agreement provides for the accelerated vesting of his AAP Management Units under certain circumstances prior to December 31, 2018. See “—Employment Contracts” and “—Potential Payments Upon Termination or Change-in-Control.”</w:t>
      </w:r>
    </w:p>
    <w:p>
      <w:pPr>
        <w:spacing w:after="0" w:line="31" w:lineRule="exact"/>
        <w:rPr>
          <w:sz w:val="20"/>
          <w:szCs w:val="20"/>
          <w:color w:val="auto"/>
        </w:rPr>
      </w:pPr>
    </w:p>
    <w:p>
      <w:pPr>
        <w:ind w:left="340" w:right="260" w:hanging="332"/>
        <w:spacing w:after="0" w:line="250" w:lineRule="auto"/>
        <w:tabs>
          <w:tab w:leader="none" w:pos="340" w:val="left"/>
        </w:tabs>
        <w:numPr>
          <w:ilvl w:val="0"/>
          <w:numId w:val="91"/>
        </w:numPr>
        <w:rPr>
          <w:rFonts w:ascii="Arial" w:cs="Arial" w:eastAsia="Arial" w:hAnsi="Arial"/>
          <w:sz w:val="24"/>
          <w:szCs w:val="24"/>
          <w:color w:val="auto"/>
          <w:vertAlign w:val="superscript"/>
        </w:rPr>
      </w:pPr>
      <w:r>
        <w:rPr>
          <w:rFonts w:ascii="Arial" w:cs="Arial" w:eastAsia="Arial" w:hAnsi="Arial"/>
          <w:sz w:val="17"/>
          <w:szCs w:val="17"/>
          <w:color w:val="auto"/>
        </w:rPr>
        <w:t>Represents the pre-conversion number of earned AAP Management Units held by Mr. McGee. Despite the fact that these AAP Management Units are earned, they are treated as stock that has not vested for purposes of this table due to the fact that they remain subject to a call right held by AAP that entitles AAP to purchase such AAP Management Units for (i) an amount equal to 75% of their fair market value upon the termination of employment prior to December 31, 2019 (with respect to 195,755 AAP Management Units) or (ii) an amount equal to 50-75% of their fair market value upon the termination of employment prior to December 31, 2020 (with respect to 183,520 AAP Management Units).</w:t>
      </w:r>
    </w:p>
    <w:p>
      <w:pPr>
        <w:spacing w:after="0" w:line="86" w:lineRule="exact"/>
        <w:rPr>
          <w:rFonts w:ascii="Arial" w:cs="Arial" w:eastAsia="Arial" w:hAnsi="Arial"/>
          <w:sz w:val="24"/>
          <w:szCs w:val="24"/>
          <w:color w:val="auto"/>
          <w:vertAlign w:val="superscript"/>
        </w:rPr>
      </w:pPr>
    </w:p>
    <w:p>
      <w:pPr>
        <w:ind w:left="340" w:right="100" w:hanging="332"/>
        <w:spacing w:after="0" w:line="232" w:lineRule="auto"/>
        <w:tabs>
          <w:tab w:leader="none" w:pos="340" w:val="left"/>
        </w:tabs>
        <w:numPr>
          <w:ilvl w:val="0"/>
          <w:numId w:val="91"/>
        </w:numPr>
        <w:rPr>
          <w:rFonts w:ascii="Arial" w:cs="Arial" w:eastAsia="Arial" w:hAnsi="Arial"/>
          <w:sz w:val="25"/>
          <w:szCs w:val="25"/>
          <w:color w:val="auto"/>
          <w:vertAlign w:val="superscript"/>
        </w:rPr>
      </w:pPr>
      <w:r>
        <w:rPr>
          <w:rFonts w:ascii="Arial" w:cs="Arial" w:eastAsia="Arial" w:hAnsi="Arial"/>
          <w:sz w:val="18"/>
          <w:szCs w:val="18"/>
          <w:color w:val="auto"/>
        </w:rPr>
        <w:t>Represents the remaining 25% of the AAP Management Units originally granted to Mr. McGee in March 2013. These AAP Management Units will become earned on the first date subsequent to March 31, 2017 upon which PAA pays an annualized quarterly distribution of $2.20 per common unit and PAA generates distributable cash flow of $1.5 billion or more on a trailing four quarter basis (subject to adjustment under certain circumstances to account for significant asset sales).</w:t>
      </w:r>
    </w:p>
    <w:p>
      <w:pPr>
        <w:spacing w:after="0" w:line="94" w:lineRule="exact"/>
        <w:rPr>
          <w:rFonts w:ascii="Arial" w:cs="Arial" w:eastAsia="Arial" w:hAnsi="Arial"/>
          <w:sz w:val="25"/>
          <w:szCs w:val="25"/>
          <w:color w:val="auto"/>
          <w:vertAlign w:val="superscript"/>
        </w:rPr>
      </w:pPr>
    </w:p>
    <w:p>
      <w:pPr>
        <w:ind w:left="340" w:hanging="332"/>
        <w:spacing w:after="0" w:line="256" w:lineRule="auto"/>
        <w:tabs>
          <w:tab w:leader="none" w:pos="340" w:val="left"/>
        </w:tabs>
        <w:numPr>
          <w:ilvl w:val="0"/>
          <w:numId w:val="91"/>
        </w:numPr>
        <w:rPr>
          <w:rFonts w:ascii="Arial" w:cs="Arial" w:eastAsia="Arial" w:hAnsi="Arial"/>
          <w:sz w:val="24"/>
          <w:szCs w:val="24"/>
          <w:color w:val="auto"/>
          <w:vertAlign w:val="superscript"/>
        </w:rPr>
      </w:pPr>
      <w:r>
        <w:rPr>
          <w:rFonts w:ascii="Arial" w:cs="Arial" w:eastAsia="Arial" w:hAnsi="Arial"/>
          <w:sz w:val="17"/>
          <w:szCs w:val="17"/>
          <w:color w:val="auto"/>
        </w:rPr>
        <w:t>Represents AAP Management Units originally granted to Mr. Nerbonne in July 2015. These AAP Management Units will become earned as follows: (i) subsequent to March 31, 2017, 25% upon the payment by PAA of an annualized quarterly distribution of $2.20 per common unit and the generation by PAA of distributable cash flow of $1.5 billion or more on a trailing four quarter basis; (ii) 25% upon the payment by PAA of an annualized quarterly distribution of $2.30 per common unit and the generation by PAA of distributable cash flow of $1.75 billion or more on a trailing four quarter basis; (iii) 25% upon the payment by PAA of an annualized quarterly distribution of $2.40 per common unit and the generation by PAA of distributable cash flow of $1.9 billion or more on a trailing four quarter basis; and (iv) 25% upon the payment by PAA of an annualized quarterly distribution of $2.40 per common unit and the generation by PAA of distributable cash flow of $2.05 billion or more on a trailing four quarter basis. Distributable cash flow will be subject to adjustment under certain circumstances to account for significant asset sales.</w:t>
      </w:r>
    </w:p>
    <w:p>
      <w:pPr>
        <w:spacing w:after="0" w:line="82" w:lineRule="exact"/>
        <w:rPr>
          <w:rFonts w:ascii="Arial" w:cs="Arial" w:eastAsia="Arial" w:hAnsi="Arial"/>
          <w:sz w:val="24"/>
          <w:szCs w:val="24"/>
          <w:color w:val="auto"/>
          <w:vertAlign w:val="superscript"/>
        </w:rPr>
      </w:pPr>
    </w:p>
    <w:p>
      <w:pPr>
        <w:ind w:left="340" w:hanging="332"/>
        <w:spacing w:after="0" w:line="256" w:lineRule="auto"/>
        <w:tabs>
          <w:tab w:leader="none" w:pos="340" w:val="left"/>
        </w:tabs>
        <w:numPr>
          <w:ilvl w:val="0"/>
          <w:numId w:val="91"/>
        </w:numPr>
        <w:rPr>
          <w:rFonts w:ascii="Arial" w:cs="Arial" w:eastAsia="Arial" w:hAnsi="Arial"/>
          <w:sz w:val="24"/>
          <w:szCs w:val="24"/>
          <w:color w:val="auto"/>
          <w:vertAlign w:val="superscript"/>
        </w:rPr>
      </w:pPr>
      <w:r>
        <w:rPr>
          <w:rFonts w:ascii="Arial" w:cs="Arial" w:eastAsia="Arial" w:hAnsi="Arial"/>
          <w:sz w:val="17"/>
          <w:szCs w:val="17"/>
          <w:color w:val="auto"/>
        </w:rPr>
        <w:t>Represents phantom units granted to Mr. Chiang in 2015 under PAA’s Long-Term Incentive Plan. In August 2016, the terms of these phantom units were modified such that they will vest 40% on the later of the August 2018 distribution date and the date PAA pays an annualized quarterly distribution of $2.30 per common unit; 30% on the later of the August 2019 distribution date and the date PAA pays an annualized quarterly distribution of $2.40 per common unit; and 30% on the later of the August 2020 distribution date and the date PAA pays an annualized quarterly distribution of $2.50 per common unit. The phantom units also vest upon termination of employment under certain circumstances. See “—Employment Contracts” and “—Potential Payments Upon Termination or Change-in-Control.”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82" w:lineRule="exact"/>
        <w:rPr>
          <w:rFonts w:ascii="Arial" w:cs="Arial" w:eastAsia="Arial" w:hAnsi="Arial"/>
          <w:sz w:val="24"/>
          <w:szCs w:val="24"/>
          <w:color w:val="auto"/>
          <w:vertAlign w:val="superscript"/>
        </w:rPr>
      </w:pPr>
    </w:p>
    <w:p>
      <w:pPr>
        <w:ind w:left="340" w:right="880" w:hanging="332"/>
        <w:spacing w:after="0" w:line="216" w:lineRule="auto"/>
        <w:tabs>
          <w:tab w:leader="none" w:pos="340" w:val="left"/>
        </w:tabs>
        <w:numPr>
          <w:ilvl w:val="0"/>
          <w:numId w:val="91"/>
        </w:numPr>
        <w:rPr>
          <w:rFonts w:ascii="Arial" w:cs="Arial" w:eastAsia="Arial" w:hAnsi="Arial"/>
          <w:sz w:val="25"/>
          <w:szCs w:val="25"/>
          <w:color w:val="auto"/>
          <w:vertAlign w:val="superscript"/>
        </w:rPr>
      </w:pPr>
      <w:r>
        <w:rPr>
          <w:rFonts w:ascii="Arial" w:cs="Arial" w:eastAsia="Arial" w:hAnsi="Arial"/>
          <w:sz w:val="18"/>
          <w:szCs w:val="18"/>
          <w:color w:val="auto"/>
        </w:rPr>
        <w:t>Represents phantom units granted in 2016 under PAA’s Long-Term Incentive Plan. For a description of the vesting terms of these awards, see “Compensation Discussion and Analysis—Application in 2016—Long-Term Incentive Awards”.</w:t>
      </w:r>
    </w:p>
    <w:p>
      <w:pPr>
        <w:spacing w:after="0" w:line="95" w:lineRule="exact"/>
        <w:rPr>
          <w:rFonts w:ascii="Arial" w:cs="Arial" w:eastAsia="Arial" w:hAnsi="Arial"/>
          <w:sz w:val="25"/>
          <w:szCs w:val="25"/>
          <w:color w:val="auto"/>
          <w:vertAlign w:val="superscript"/>
        </w:rPr>
      </w:pPr>
    </w:p>
    <w:p>
      <w:pPr>
        <w:ind w:left="340" w:right="140" w:hanging="332"/>
        <w:spacing w:after="0" w:line="216" w:lineRule="auto"/>
        <w:tabs>
          <w:tab w:leader="none" w:pos="340" w:val="left"/>
        </w:tabs>
        <w:numPr>
          <w:ilvl w:val="0"/>
          <w:numId w:val="91"/>
        </w:numPr>
        <w:rPr>
          <w:rFonts w:ascii="Arial" w:cs="Arial" w:eastAsia="Arial" w:hAnsi="Arial"/>
          <w:sz w:val="25"/>
          <w:szCs w:val="25"/>
          <w:color w:val="auto"/>
          <w:vertAlign w:val="superscript"/>
        </w:rPr>
      </w:pPr>
      <w:r>
        <w:rPr>
          <w:rFonts w:ascii="Arial" w:cs="Arial" w:eastAsia="Arial" w:hAnsi="Arial"/>
          <w:sz w:val="18"/>
          <w:szCs w:val="18"/>
          <w:color w:val="auto"/>
        </w:rPr>
        <w:t>Represents phantom units granted to Mr. Nerbonne in 2016 under PAA’s Long-Term Incentive Plan. These phantom units, which include DERs payable in cash, will vest 100% on December 14,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2016 with respect to PAA’s Named Executive Officers.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ind w:left="1840"/>
              <w:spacing w:after="0"/>
              <w:rPr>
                <w:sz w:val="20"/>
                <w:szCs w:val="20"/>
                <w:color w:val="auto"/>
              </w:rPr>
            </w:pPr>
            <w:r>
              <w:rPr>
                <w:rFonts w:ascii="Arial" w:cs="Arial" w:eastAsia="Arial" w:hAnsi="Arial"/>
                <w:sz w:val="14"/>
                <w:szCs w:val="14"/>
                <w:b w:val="1"/>
                <w:bCs w:val="1"/>
                <w:color w:val="auto"/>
              </w:rPr>
              <w:t>Unit Awards</w:t>
            </w:r>
          </w:p>
        </w:tc>
        <w:tc>
          <w:tcPr>
            <w:tcW w:w="17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Number of Units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Value Realized on</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0" w:type="dxa"/>
            <w:vAlign w:val="bottom"/>
            <w:gridSpan w:val="2"/>
            <w:vMerge w:val="continue"/>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Vesting (#)</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ind w:right="614"/>
              <w:spacing w:after="0"/>
              <w:rPr>
                <w:sz w:val="20"/>
                <w:szCs w:val="20"/>
                <w:color w:val="auto"/>
              </w:rPr>
            </w:pPr>
            <w:r>
              <w:rPr>
                <w:rFonts w:ascii="Arial" w:cs="Arial" w:eastAsia="Arial" w:hAnsi="Arial"/>
                <w:sz w:val="14"/>
                <w:szCs w:val="14"/>
                <w:b w:val="1"/>
                <w:bCs w:val="1"/>
                <w:color w:val="auto"/>
              </w:rPr>
              <w:t>Vesting ($)</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Greg L. Armstrong</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7"/>
              </w:rPr>
              <w:t>(1)</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1,457,500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Harry N. Pefanis</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45,000</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7"/>
              </w:rPr>
              <w:t>(1)</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1,311,750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Wilfred (Willie) C. Chiang</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 Swanson</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33,333</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7"/>
              </w:rPr>
              <w:t>(1)</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966,657</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Richard McGee</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30,000</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7"/>
              </w:rPr>
              <w:t>(1)</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870,000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 Nerbonne</w:t>
            </w:r>
          </w:p>
        </w:tc>
        <w:tc>
          <w:tcPr>
            <w:tcW w:w="2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18,000</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7"/>
              </w:rPr>
              <w:t>(1)</w:t>
            </w:r>
          </w:p>
        </w:tc>
        <w:tc>
          <w:tcPr>
            <w:tcW w:w="3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522,000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7"/>
        </w:trPr>
        <w:tc>
          <w:tcPr>
            <w:tcW w:w="6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83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40" w:right="320" w:hanging="332"/>
        <w:spacing w:after="0" w:line="216" w:lineRule="auto"/>
        <w:tabs>
          <w:tab w:leader="none" w:pos="340" w:val="left"/>
        </w:tabs>
        <w:numPr>
          <w:ilvl w:val="0"/>
          <w:numId w:val="92"/>
        </w:numPr>
        <w:rPr>
          <w:rFonts w:ascii="Arial" w:cs="Arial" w:eastAsia="Arial" w:hAnsi="Arial"/>
          <w:sz w:val="25"/>
          <w:szCs w:val="25"/>
          <w:color w:val="auto"/>
          <w:vertAlign w:val="superscript"/>
        </w:rPr>
      </w:pPr>
      <w:r>
        <w:rPr>
          <w:rFonts w:ascii="Arial" w:cs="Arial" w:eastAsia="Arial" w:hAnsi="Arial"/>
          <w:sz w:val="18"/>
          <w:szCs w:val="18"/>
          <w:color w:val="auto"/>
        </w:rPr>
        <w:t>Represents the gross number of phantom units that vested during the year ended December 31, 2016. The actual number of units delivered was net of income tax withholding.</w:t>
      </w:r>
    </w:p>
    <w:p>
      <w:pPr>
        <w:spacing w:after="0" w:line="95" w:lineRule="exact"/>
        <w:rPr>
          <w:rFonts w:ascii="Arial" w:cs="Arial" w:eastAsia="Arial" w:hAnsi="Arial"/>
          <w:sz w:val="25"/>
          <w:szCs w:val="25"/>
          <w:color w:val="auto"/>
          <w:vertAlign w:val="superscript"/>
        </w:rPr>
      </w:pPr>
    </w:p>
    <w:p>
      <w:pPr>
        <w:ind w:left="340" w:right="320" w:hanging="332"/>
        <w:spacing w:after="0" w:line="227"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7"/>
          <w:szCs w:val="17"/>
          <w:color w:val="auto"/>
        </w:rPr>
        <w:t>Consistent with the terms of the applicable Long-Term Incentive Plan, the value realized upon vesting is computed by multiplying the closing market price ($29.00) of PAA’s common units on August 11, 2016 (the date preceding the vesting date) by the number of units that vested.</w:t>
      </w:r>
    </w:p>
    <w:p>
      <w:pPr>
        <w:spacing w:after="0" w:line="94" w:lineRule="exact"/>
        <w:rPr>
          <w:rFonts w:ascii="Arial" w:cs="Arial" w:eastAsia="Arial" w:hAnsi="Arial"/>
          <w:sz w:val="24"/>
          <w:szCs w:val="24"/>
          <w:color w:val="auto"/>
          <w:vertAlign w:val="superscript"/>
        </w:rPr>
      </w:pPr>
    </w:p>
    <w:p>
      <w:pPr>
        <w:ind w:left="340" w:right="320" w:hanging="332"/>
        <w:spacing w:after="0" w:line="216" w:lineRule="auto"/>
        <w:tabs>
          <w:tab w:leader="none" w:pos="340" w:val="left"/>
        </w:tabs>
        <w:numPr>
          <w:ilvl w:val="0"/>
          <w:numId w:val="92"/>
        </w:numPr>
        <w:rPr>
          <w:rFonts w:ascii="Arial" w:cs="Arial" w:eastAsia="Arial" w:hAnsi="Arial"/>
          <w:sz w:val="25"/>
          <w:szCs w:val="25"/>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($29.15) of PAA’s common units on August 12, 2016 (the vesting date) by the number of units that vested.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sponsors a 401(k) plan that is available to all U.S. employees, but it does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does not have a nonqualified deferred compensation plan or program for its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PAA’s Named Executive Officers upon termination of employment under various circumstances, and as if terminated on December 30,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125" w:right="25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By Reason of</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Death</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b w:val="1"/>
                <w:bCs w:val="1"/>
                <w:color w:val="auto"/>
              </w:rPr>
              <w:t>Greg L. Armstrong</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140"/>
              <w:spacing w:after="0"/>
              <w:rPr>
                <w:sz w:val="20"/>
                <w:szCs w:val="20"/>
                <w:color w:val="auto"/>
              </w:rPr>
            </w:pPr>
            <w:r>
              <w:rPr>
                <w:rFonts w:ascii="Arial" w:cs="Arial" w:eastAsia="Arial" w:hAnsi="Arial"/>
                <w:sz w:val="18"/>
                <w:szCs w:val="18"/>
                <w:color w:val="auto"/>
              </w:rPr>
              <w:t>Salary and Bonus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8,550,000</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3,229,000</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Health Benefits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Tax Gross-up</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11,779,000</w:t>
            </w:r>
          </w:p>
        </w:tc>
        <w:tc>
          <w:tcPr>
            <w:tcW w:w="0" w:type="dxa"/>
            <w:vAlign w:val="bottom"/>
          </w:tcPr>
          <w:p>
            <w:pPr>
              <w:spacing w:after="0"/>
              <w:rPr>
                <w:sz w:val="1"/>
                <w:szCs w:val="1"/>
                <w:color w:val="auto"/>
              </w:rPr>
            </w:pPr>
          </w:p>
        </w:tc>
      </w:tr>
      <w:tr>
        <w:trPr>
          <w:trHeight w:val="567"/>
        </w:trPr>
        <w:tc>
          <w:tcPr>
            <w:tcW w:w="2940" w:type="dxa"/>
            <w:vAlign w:val="bottom"/>
          </w:tcPr>
          <w:p>
            <w:pPr>
              <w:spacing w:after="0"/>
              <w:rPr>
                <w:sz w:val="20"/>
                <w:szCs w:val="20"/>
                <w:color w:val="auto"/>
              </w:rPr>
            </w:pPr>
            <w:r>
              <w:rPr>
                <w:rFonts w:ascii="Arial" w:cs="Arial" w:eastAsia="Arial" w:hAnsi="Arial"/>
                <w:sz w:val="18"/>
                <w:szCs w:val="18"/>
                <w:b w:val="1"/>
                <w:bCs w:val="1"/>
                <w:color w:val="auto"/>
              </w:rPr>
              <w:t>Harry N. Pefanis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Salary and Bonus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8,200,000</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2,906,100</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Health Benefits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Tax Gross-up</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11,106,100</w:t>
            </w:r>
          </w:p>
        </w:tc>
        <w:tc>
          <w:tcPr>
            <w:tcW w:w="0" w:type="dxa"/>
            <w:vAlign w:val="bottom"/>
          </w:tcPr>
          <w:p>
            <w:pPr>
              <w:spacing w:after="0"/>
              <w:rPr>
                <w:sz w:val="1"/>
                <w:szCs w:val="1"/>
                <w:color w:val="auto"/>
              </w:rPr>
            </w:pPr>
          </w:p>
        </w:tc>
      </w:tr>
      <w:tr>
        <w:trPr>
          <w:trHeight w:val="607"/>
        </w:trPr>
        <w:tc>
          <w:tcPr>
            <w:tcW w:w="2940" w:type="dxa"/>
            <w:vAlign w:val="bottom"/>
          </w:tcPr>
          <w:p>
            <w:pPr>
              <w:spacing w:after="0"/>
              <w:rPr>
                <w:sz w:val="20"/>
                <w:szCs w:val="20"/>
                <w:color w:val="auto"/>
              </w:rPr>
            </w:pPr>
            <w:r>
              <w:rPr>
                <w:rFonts w:ascii="Arial" w:cs="Arial" w:eastAsia="Arial" w:hAnsi="Arial"/>
                <w:sz w:val="18"/>
                <w:szCs w:val="18"/>
                <w:b w:val="1"/>
                <w:bCs w:val="1"/>
                <w:color w:val="auto"/>
              </w:rPr>
              <w:t xml:space="preserve">Wilfred (Willie) C. Chiang </w:t>
            </w:r>
            <w:r>
              <w:rPr>
                <w:rFonts w:ascii="Arial" w:cs="Arial" w:eastAsia="Arial" w:hAnsi="Arial"/>
                <w:sz w:val="25"/>
                <w:szCs w:val="25"/>
                <w:b w:val="1"/>
                <w:bCs w:val="1"/>
                <w:color w:val="auto"/>
                <w:vertAlign w:val="superscript"/>
              </w:rPr>
              <w:t>(10)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6,129,499</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6,129,499</w:t>
            </w:r>
          </w:p>
        </w:tc>
        <w:tc>
          <w:tcPr>
            <w:tcW w:w="0" w:type="dxa"/>
            <w:vAlign w:val="bottom"/>
          </w:tcPr>
          <w:p>
            <w:pPr>
              <w:spacing w:after="0"/>
              <w:rPr>
                <w:sz w:val="1"/>
                <w:szCs w:val="1"/>
                <w:color w:val="auto"/>
              </w:rPr>
            </w:pPr>
          </w:p>
        </w:tc>
      </w:tr>
      <w:tr>
        <w:trPr>
          <w:trHeight w:val="607"/>
        </w:trPr>
        <w:tc>
          <w:tcPr>
            <w:tcW w:w="2940" w:type="dxa"/>
            <w:vAlign w:val="bottom"/>
          </w:tcPr>
          <w:p>
            <w:pPr>
              <w:spacing w:after="0"/>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5"/>
                <w:szCs w:val="25"/>
                <w:b w:val="1"/>
                <w:bCs w:val="1"/>
                <w:color w:val="auto"/>
                <w:vertAlign w:val="superscript"/>
              </w:rPr>
              <w:t>(10)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2,152,645</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2,152,645</w:t>
            </w:r>
          </w:p>
        </w:tc>
        <w:tc>
          <w:tcPr>
            <w:tcW w:w="0" w:type="dxa"/>
            <w:vAlign w:val="bottom"/>
          </w:tcPr>
          <w:p>
            <w:pPr>
              <w:spacing w:after="0"/>
              <w:rPr>
                <w:sz w:val="1"/>
                <w:szCs w:val="1"/>
                <w:color w:val="auto"/>
              </w:rPr>
            </w:pPr>
          </w:p>
        </w:tc>
      </w:tr>
      <w:tr>
        <w:trPr>
          <w:trHeight w:val="607"/>
        </w:trPr>
        <w:tc>
          <w:tcPr>
            <w:tcW w:w="2940" w:type="dxa"/>
            <w:vAlign w:val="bottom"/>
          </w:tcPr>
          <w:p>
            <w:pPr>
              <w:spacing w:after="0"/>
              <w:rPr>
                <w:sz w:val="20"/>
                <w:szCs w:val="20"/>
                <w:color w:val="auto"/>
              </w:rPr>
            </w:pPr>
            <w:r>
              <w:rPr>
                <w:rFonts w:ascii="Arial" w:cs="Arial" w:eastAsia="Arial" w:hAnsi="Arial"/>
                <w:sz w:val="18"/>
                <w:szCs w:val="18"/>
                <w:b w:val="1"/>
                <w:bCs w:val="1"/>
                <w:color w:val="auto"/>
              </w:rPr>
              <w:t xml:space="preserve">Richard McGee </w:t>
            </w:r>
            <w:r>
              <w:rPr>
                <w:rFonts w:ascii="Arial" w:cs="Arial" w:eastAsia="Arial" w:hAnsi="Arial"/>
                <w:sz w:val="25"/>
                <w:szCs w:val="25"/>
                <w:b w:val="1"/>
                <w:bCs w:val="1"/>
                <w:color w:val="auto"/>
                <w:vertAlign w:val="superscript"/>
              </w:rPr>
              <w:t>(10)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1,937,400</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1,937,400</w:t>
            </w:r>
          </w:p>
        </w:tc>
        <w:tc>
          <w:tcPr>
            <w:tcW w:w="0" w:type="dxa"/>
            <w:vAlign w:val="bottom"/>
          </w:tcPr>
          <w:p>
            <w:pPr>
              <w:spacing w:after="0"/>
              <w:rPr>
                <w:sz w:val="1"/>
                <w:szCs w:val="1"/>
                <w:color w:val="auto"/>
              </w:rPr>
            </w:pPr>
          </w:p>
        </w:tc>
      </w:tr>
      <w:tr>
        <w:trPr>
          <w:trHeight w:val="634"/>
        </w:trPr>
        <w:tc>
          <w:tcPr>
            <w:tcW w:w="2940" w:type="dxa"/>
            <w:vAlign w:val="bottom"/>
          </w:tcPr>
          <w:p>
            <w:pPr>
              <w:spacing w:after="0"/>
              <w:rPr>
                <w:sz w:val="20"/>
                <w:szCs w:val="20"/>
                <w:color w:val="auto"/>
              </w:rPr>
            </w:pPr>
            <w:r>
              <w:rPr>
                <w:rFonts w:ascii="Arial" w:cs="Arial" w:eastAsia="Arial" w:hAnsi="Arial"/>
                <w:sz w:val="18"/>
                <w:szCs w:val="18"/>
                <w:b w:val="1"/>
                <w:bCs w:val="1"/>
                <w:color w:val="auto"/>
              </w:rPr>
              <w:t xml:space="preserve">Dan Nerbonne </w:t>
            </w:r>
            <w:r>
              <w:rPr>
                <w:rFonts w:ascii="Arial" w:cs="Arial" w:eastAsia="Arial" w:hAnsi="Arial"/>
                <w:sz w:val="25"/>
                <w:szCs w:val="25"/>
                <w:b w:val="1"/>
                <w:bCs w:val="1"/>
                <w:color w:val="auto"/>
                <w:vertAlign w:val="superscript"/>
              </w:rPr>
              <w:t>(10)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1,162,440</w:t>
            </w:r>
          </w:p>
        </w:tc>
        <w:tc>
          <w:tcPr>
            <w:tcW w:w="0" w:type="dxa"/>
            <w:vAlign w:val="bottom"/>
          </w:tcPr>
          <w:p>
            <w:pPr>
              <w:spacing w:after="0"/>
              <w:rPr>
                <w:sz w:val="1"/>
                <w:szCs w:val="1"/>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AAP Management Units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1,162,440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332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left="-459"/>
        <w:spacing w:after="0"/>
        <w:rPr>
          <w:sz w:val="20"/>
          <w:szCs w:val="20"/>
          <w:color w:val="auto"/>
        </w:rPr>
      </w:pPr>
      <w:r>
        <w:rPr>
          <w:rFonts w:ascii="Arial" w:cs="Arial" w:eastAsia="Arial" w:hAnsi="Arial"/>
          <w:sz w:val="14"/>
          <w:szCs w:val="14"/>
          <w:b w:val="1"/>
          <w:bCs w:val="1"/>
          <w:color w:val="auto"/>
        </w:rPr>
        <w:t>By Reason of</w:t>
      </w:r>
    </w:p>
    <w:p>
      <w:pPr>
        <w:jc w:val="center"/>
        <w:ind w:left="-459"/>
        <w:spacing w:after="0" w:line="226" w:lineRule="auto"/>
        <w:rPr>
          <w:sz w:val="20"/>
          <w:szCs w:val="20"/>
          <w:color w:val="auto"/>
        </w:rPr>
      </w:pPr>
      <w:r>
        <w:rPr>
          <w:rFonts w:ascii="Arial" w:cs="Arial" w:eastAsia="Arial" w:hAnsi="Arial"/>
          <w:sz w:val="14"/>
          <w:szCs w:val="14"/>
          <w:b w:val="1"/>
          <w:bCs w:val="1"/>
          <w:color w:val="auto"/>
        </w:rPr>
        <w:t>Disability</w:t>
      </w:r>
    </w:p>
    <w:p>
      <w:pPr>
        <w:spacing w:after="0" w:line="1" w:lineRule="exact"/>
        <w:rPr>
          <w:sz w:val="20"/>
          <w:szCs w:val="20"/>
          <w:color w:val="auto"/>
        </w:rPr>
      </w:pPr>
    </w:p>
    <w:p>
      <w:pPr>
        <w:jc w:val="center"/>
        <w:ind w:left="-459"/>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13335</wp:posOffset>
            </wp:positionV>
            <wp:extent cx="716915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275" w:lineRule="exact"/>
        <w:rPr>
          <w:sz w:val="20"/>
          <w:szCs w:val="20"/>
          <w:color w:val="auto"/>
        </w:rPr>
      </w:pPr>
    </w:p>
    <w:p>
      <w:pPr>
        <w:ind w:left="860" w:hanging="851"/>
        <w:spacing w:after="0"/>
        <w:tabs>
          <w:tab w:leader="none" w:pos="860" w:val="left"/>
        </w:tabs>
        <w:numPr>
          <w:ilvl w:val="0"/>
          <w:numId w:val="93"/>
        </w:numPr>
        <w:rPr>
          <w:rFonts w:ascii="Arial" w:cs="Arial" w:eastAsia="Arial" w:hAnsi="Arial"/>
          <w:sz w:val="22"/>
          <w:szCs w:val="22"/>
          <w:color w:val="auto"/>
          <w:vertAlign w:val="superscript"/>
        </w:rPr>
      </w:pPr>
      <w:r>
        <w:rPr>
          <w:rFonts w:ascii="Arial" w:cs="Arial" w:eastAsia="Arial" w:hAnsi="Arial"/>
          <w:sz w:val="16"/>
          <w:szCs w:val="16"/>
          <w:color w:val="auto"/>
        </w:rPr>
        <w:t>8,550,000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17145</wp:posOffset>
            </wp:positionV>
            <wp:extent cx="71691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ind w:left="860" w:hanging="851"/>
        <w:spacing w:after="0"/>
        <w:tabs>
          <w:tab w:leader="none" w:pos="860" w:val="left"/>
        </w:tabs>
        <w:numPr>
          <w:ilvl w:val="0"/>
          <w:numId w:val="94"/>
        </w:numPr>
        <w:rPr>
          <w:rFonts w:ascii="Arial" w:cs="Arial" w:eastAsia="Arial" w:hAnsi="Arial"/>
          <w:sz w:val="22"/>
          <w:szCs w:val="22"/>
          <w:color w:val="auto"/>
          <w:vertAlign w:val="superscript"/>
        </w:rPr>
      </w:pPr>
      <w:r>
        <w:rPr>
          <w:rFonts w:ascii="Arial" w:cs="Arial" w:eastAsia="Arial" w:hAnsi="Arial"/>
          <w:sz w:val="16"/>
          <w:szCs w:val="16"/>
          <w:color w:val="auto"/>
        </w:rPr>
        <w:t>3,229,000</w:t>
      </w:r>
    </w:p>
    <w:p>
      <w:pPr>
        <w:spacing w:after="0" w:line="55" w:lineRule="exact"/>
        <w:rPr>
          <w:rFonts w:ascii="Arial" w:cs="Arial" w:eastAsia="Arial" w:hAnsi="Arial"/>
          <w:sz w:val="22"/>
          <w:szCs w:val="22"/>
          <w:color w:val="auto"/>
          <w:vertAlign w:val="superscript"/>
        </w:rPr>
      </w:pPr>
    </w:p>
    <w:p>
      <w:pPr>
        <w:ind w:left="1080"/>
        <w:spacing w:after="0"/>
        <w:rPr>
          <w:rFonts w:ascii="Arial" w:cs="Arial" w:eastAsia="Arial" w:hAnsi="Arial"/>
          <w:sz w:val="22"/>
          <w:szCs w:val="22"/>
          <w:color w:val="auto"/>
          <w:vertAlign w:val="superscript"/>
        </w:rPr>
      </w:pPr>
      <w:r>
        <w:rPr>
          <w:rFonts w:ascii="Arial" w:cs="Arial" w:eastAsia="Arial" w:hAnsi="Arial"/>
          <w:sz w:val="16"/>
          <w:szCs w:val="16"/>
          <w:color w:val="auto"/>
        </w:rPr>
        <w:t>36,844</w:t>
      </w:r>
    </w:p>
    <w:p>
      <w:pPr>
        <w:spacing w:after="0" w:line="70"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63"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-310515</wp:posOffset>
            </wp:positionV>
            <wp:extent cx="71691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31750</wp:posOffset>
            </wp:positionV>
            <wp:extent cx="716915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11,815,844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220980</wp:posOffset>
            </wp:positionV>
            <wp:extent cx="71691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860" w:hanging="851"/>
        <w:spacing w:after="0"/>
        <w:tabs>
          <w:tab w:leader="none" w:pos="860" w:val="left"/>
        </w:tabs>
        <w:numPr>
          <w:ilvl w:val="0"/>
          <w:numId w:val="95"/>
        </w:numPr>
        <w:rPr>
          <w:rFonts w:ascii="Arial" w:cs="Arial" w:eastAsia="Arial" w:hAnsi="Arial"/>
          <w:sz w:val="22"/>
          <w:szCs w:val="22"/>
          <w:color w:val="auto"/>
          <w:vertAlign w:val="superscript"/>
        </w:rPr>
      </w:pPr>
      <w:r>
        <w:rPr>
          <w:rFonts w:ascii="Arial" w:cs="Arial" w:eastAsia="Arial" w:hAnsi="Arial"/>
          <w:sz w:val="16"/>
          <w:szCs w:val="16"/>
          <w:color w:val="auto"/>
        </w:rPr>
        <w:t>8,200,000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17145</wp:posOffset>
            </wp:positionV>
            <wp:extent cx="716915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ind w:left="860" w:hanging="851"/>
        <w:spacing w:after="0"/>
        <w:tabs>
          <w:tab w:leader="none" w:pos="86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2,906,100</w:t>
      </w:r>
    </w:p>
    <w:p>
      <w:pPr>
        <w:spacing w:after="0" w:line="55" w:lineRule="exact"/>
        <w:rPr>
          <w:rFonts w:ascii="Arial" w:cs="Arial" w:eastAsia="Arial" w:hAnsi="Arial"/>
          <w:sz w:val="22"/>
          <w:szCs w:val="22"/>
          <w:color w:val="auto"/>
          <w:vertAlign w:val="superscript"/>
        </w:rPr>
      </w:pPr>
    </w:p>
    <w:p>
      <w:pPr>
        <w:ind w:left="1080"/>
        <w:spacing w:after="0"/>
        <w:rPr>
          <w:rFonts w:ascii="Arial" w:cs="Arial" w:eastAsia="Arial" w:hAnsi="Arial"/>
          <w:sz w:val="22"/>
          <w:szCs w:val="22"/>
          <w:color w:val="auto"/>
          <w:vertAlign w:val="superscript"/>
        </w:rPr>
      </w:pPr>
      <w:r>
        <w:rPr>
          <w:rFonts w:ascii="Arial" w:cs="Arial" w:eastAsia="Arial" w:hAnsi="Arial"/>
          <w:sz w:val="16"/>
          <w:szCs w:val="16"/>
          <w:color w:val="auto"/>
        </w:rPr>
        <w:t>57,286</w:t>
      </w:r>
    </w:p>
    <w:p>
      <w:pPr>
        <w:spacing w:after="0" w:line="70"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63"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-310515</wp:posOffset>
            </wp:positionV>
            <wp:extent cx="71691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31750</wp:posOffset>
            </wp:positionV>
            <wp:extent cx="716915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11,163,386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220980</wp:posOffset>
            </wp:positionV>
            <wp:extent cx="71691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70" w:lineRule="exact"/>
        <w:rPr>
          <w:sz w:val="20"/>
          <w:szCs w:val="20"/>
          <w:color w:val="auto"/>
        </w:rPr>
      </w:pPr>
    </w:p>
    <w:p>
      <w:pPr>
        <w:ind w:left="1400" w:hanging="1391"/>
        <w:spacing w:after="0"/>
        <w:tabs>
          <w:tab w:leader="none" w:pos="1400" w:val="left"/>
        </w:tabs>
        <w:numPr>
          <w:ilvl w:val="0"/>
          <w:numId w:val="97"/>
        </w:numPr>
        <w:rPr>
          <w:rFonts w:ascii="Arial" w:cs="Arial" w:eastAsia="Arial" w:hAnsi="Arial"/>
          <w:sz w:val="11"/>
          <w:szCs w:val="11"/>
          <w:color w:val="auto"/>
        </w:rPr>
      </w:pPr>
      <w:r>
        <w:rPr>
          <w:rFonts w:ascii="Arial" w:cs="Arial" w:eastAsia="Arial" w:hAnsi="Arial"/>
          <w:sz w:val="27"/>
          <w:szCs w:val="27"/>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119380</wp:posOffset>
            </wp:positionV>
            <wp:extent cx="71691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158" w:lineRule="exact"/>
        <w:rPr>
          <w:sz w:val="20"/>
          <w:szCs w:val="20"/>
          <w:color w:val="auto"/>
        </w:rPr>
      </w:pPr>
    </w:p>
    <w:p>
      <w:pPr>
        <w:ind w:left="860" w:hanging="851"/>
        <w:spacing w:after="0"/>
        <w:tabs>
          <w:tab w:leader="none" w:pos="860" w:val="left"/>
        </w:tabs>
        <w:numPr>
          <w:ilvl w:val="0"/>
          <w:numId w:val="98"/>
        </w:numPr>
        <w:rPr>
          <w:rFonts w:ascii="Arial" w:cs="Arial" w:eastAsia="Arial" w:hAnsi="Arial"/>
          <w:sz w:val="22"/>
          <w:szCs w:val="22"/>
          <w:color w:val="auto"/>
          <w:vertAlign w:val="superscript"/>
        </w:rPr>
      </w:pPr>
      <w:r>
        <w:rPr>
          <w:rFonts w:ascii="Arial" w:cs="Arial" w:eastAsia="Arial" w:hAnsi="Arial"/>
          <w:sz w:val="16"/>
          <w:szCs w:val="16"/>
          <w:color w:val="auto"/>
        </w:rPr>
        <w:t>6,129,499</w:t>
      </w:r>
    </w:p>
    <w:p>
      <w:pPr>
        <w:spacing w:after="0" w:line="69" w:lineRule="exact"/>
        <w:rPr>
          <w:rFonts w:ascii="Arial" w:cs="Arial" w:eastAsia="Arial" w:hAnsi="Arial"/>
          <w:sz w:val="22"/>
          <w:szCs w:val="22"/>
          <w:color w:val="auto"/>
          <w:vertAlign w:val="superscript"/>
        </w:rPr>
      </w:pPr>
    </w:p>
    <w:p>
      <w:pPr>
        <w:ind w:left="860"/>
        <w:spacing w:after="0"/>
        <w:rPr>
          <w:rFonts w:ascii="Arial" w:cs="Arial" w:eastAsia="Arial" w:hAnsi="Arial"/>
          <w:sz w:val="22"/>
          <w:szCs w:val="22"/>
          <w:color w:val="auto"/>
          <w:vertAlign w:val="superscript"/>
        </w:rPr>
      </w:pPr>
      <w:r>
        <w:rPr>
          <w:rFonts w:ascii="Arial" w:cs="Arial" w:eastAsia="Arial" w:hAnsi="Arial"/>
          <w:sz w:val="16"/>
          <w:szCs w:val="16"/>
          <w:color w:val="auto"/>
        </w:rPr>
        <w:t>6,129,499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36195</wp:posOffset>
            </wp:positionV>
            <wp:extent cx="716915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188595"/>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396875</wp:posOffset>
            </wp:positionV>
            <wp:extent cx="71691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-142875</wp:posOffset>
            </wp:positionV>
            <wp:extent cx="866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860" w:hanging="851"/>
        <w:spacing w:after="0"/>
        <w:tabs>
          <w:tab w:leader="none" w:pos="86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2,152,645</w:t>
      </w:r>
    </w:p>
    <w:p>
      <w:pPr>
        <w:spacing w:after="0" w:line="55"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21590</wp:posOffset>
            </wp:positionV>
            <wp:extent cx="716915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2,152,645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235585</wp:posOffset>
            </wp:positionV>
            <wp:extent cx="71691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hanging="851"/>
        <w:spacing w:after="0"/>
        <w:tabs>
          <w:tab w:leader="none" w:pos="860" w:val="left"/>
        </w:tabs>
        <w:numPr>
          <w:ilvl w:val="0"/>
          <w:numId w:val="100"/>
        </w:numPr>
        <w:rPr>
          <w:rFonts w:ascii="Arial" w:cs="Arial" w:eastAsia="Arial" w:hAnsi="Arial"/>
          <w:sz w:val="22"/>
          <w:szCs w:val="22"/>
          <w:color w:val="auto"/>
          <w:vertAlign w:val="superscript"/>
        </w:rPr>
      </w:pPr>
      <w:r>
        <w:rPr>
          <w:rFonts w:ascii="Arial" w:cs="Arial" w:eastAsia="Arial" w:hAnsi="Arial"/>
          <w:sz w:val="16"/>
          <w:szCs w:val="16"/>
          <w:color w:val="auto"/>
        </w:rPr>
        <w:t>1,937,400</w:t>
      </w:r>
    </w:p>
    <w:p>
      <w:pPr>
        <w:spacing w:after="0" w:line="55"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-149225</wp:posOffset>
            </wp:positionV>
            <wp:extent cx="716915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1,937,400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46355</wp:posOffset>
            </wp:positionV>
            <wp:extent cx="716915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20574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424180</wp:posOffset>
            </wp:positionV>
            <wp:extent cx="71691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60" w:hanging="851"/>
        <w:spacing w:after="0"/>
        <w:tabs>
          <w:tab w:leader="none" w:pos="860" w:val="left"/>
        </w:tabs>
        <w:numPr>
          <w:ilvl w:val="0"/>
          <w:numId w:val="101"/>
        </w:numPr>
        <w:rPr>
          <w:rFonts w:ascii="Arial" w:cs="Arial" w:eastAsia="Arial" w:hAnsi="Arial"/>
          <w:sz w:val="22"/>
          <w:szCs w:val="22"/>
          <w:color w:val="auto"/>
          <w:vertAlign w:val="superscript"/>
        </w:rPr>
      </w:pPr>
      <w:r>
        <w:rPr>
          <w:rFonts w:ascii="Arial" w:cs="Arial" w:eastAsia="Arial" w:hAnsi="Arial"/>
          <w:sz w:val="16"/>
          <w:szCs w:val="16"/>
          <w:color w:val="auto"/>
        </w:rPr>
        <w:t>1,162,440</w:t>
      </w:r>
    </w:p>
    <w:p>
      <w:pPr>
        <w:spacing w:after="0" w:line="55" w:lineRule="exact"/>
        <w:rPr>
          <w:rFonts w:ascii="Arial" w:cs="Arial" w:eastAsia="Arial" w:hAnsi="Arial"/>
          <w:sz w:val="22"/>
          <w:szCs w:val="22"/>
          <w:color w:val="auto"/>
          <w:vertAlign w:val="superscript"/>
        </w:rPr>
      </w:pPr>
    </w:p>
    <w:p>
      <w:pPr>
        <w:ind w:left="1260"/>
        <w:spacing w:after="0"/>
        <w:rPr>
          <w:rFonts w:ascii="Arial" w:cs="Arial" w:eastAsia="Arial" w:hAnsi="Arial"/>
          <w:sz w:val="22"/>
          <w:szCs w:val="22"/>
          <w:color w:val="auto"/>
          <w:vertAlign w:val="superscript"/>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21590</wp:posOffset>
            </wp:positionV>
            <wp:extent cx="716915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1,162,440</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By Company</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By Executive</w:t>
            </w:r>
          </w:p>
        </w:tc>
        <w:tc>
          <w:tcPr>
            <w:tcW w:w="3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In Connection</w:t>
            </w:r>
          </w:p>
        </w:tc>
        <w:tc>
          <w:tcPr>
            <w:tcW w:w="180" w:type="dxa"/>
            <w:vAlign w:val="bottom"/>
          </w:tcPr>
          <w:p>
            <w:pPr>
              <w:spacing w:after="0"/>
              <w:rPr>
                <w:sz w:val="14"/>
                <w:szCs w:val="14"/>
                <w:color w:val="auto"/>
              </w:rPr>
            </w:pPr>
          </w:p>
        </w:tc>
      </w:tr>
      <w:tr>
        <w:trPr>
          <w:trHeight w:val="149"/>
        </w:trPr>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without</w:t>
            </w: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 Good</w:t>
            </w:r>
          </w:p>
        </w:tc>
        <w:tc>
          <w:tcPr>
            <w:tcW w:w="3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with a</w:t>
            </w:r>
          </w:p>
        </w:tc>
        <w:tc>
          <w:tcPr>
            <w:tcW w:w="180" w:type="dxa"/>
            <w:vAlign w:val="bottom"/>
          </w:tcPr>
          <w:p>
            <w:pPr>
              <w:spacing w:after="0"/>
              <w:rPr>
                <w:sz w:val="12"/>
                <w:szCs w:val="12"/>
                <w:color w:val="auto"/>
              </w:rPr>
            </w:pPr>
          </w:p>
        </w:tc>
      </w:tr>
      <w:tr>
        <w:trPr>
          <w:trHeight w:val="149"/>
        </w:trPr>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Cause</w:t>
            </w:r>
          </w:p>
        </w:tc>
        <w:tc>
          <w:tcPr>
            <w:tcW w:w="3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Reason</w:t>
            </w:r>
          </w:p>
        </w:tc>
        <w:tc>
          <w:tcPr>
            <w:tcW w:w="3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Change In Control</w:t>
            </w:r>
          </w:p>
        </w:tc>
        <w:tc>
          <w:tcPr>
            <w:tcW w:w="180" w:type="dxa"/>
            <w:vAlign w:val="bottom"/>
          </w:tcPr>
          <w:p>
            <w:pPr>
              <w:spacing w:after="0"/>
              <w:rPr>
                <w:sz w:val="12"/>
                <w:szCs w:val="12"/>
                <w:color w:val="auto"/>
              </w:rPr>
            </w:pPr>
          </w:p>
        </w:tc>
      </w:tr>
      <w:tr>
        <w:trPr>
          <w:trHeight w:val="192"/>
        </w:trPr>
        <w:tc>
          <w:tcPr>
            <w:tcW w:w="3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r>
      <w:tr>
        <w:trPr>
          <w:trHeight w:val="513"/>
        </w:trPr>
        <w:tc>
          <w:tcPr>
            <w:tcW w:w="320" w:type="dxa"/>
            <w:vAlign w:val="bottom"/>
          </w:tcPr>
          <w:p>
            <w:pPr>
              <w:spacing w:after="0"/>
              <w:rPr>
                <w:sz w:val="20"/>
                <w:szCs w:val="20"/>
                <w:color w:val="auto"/>
              </w:rPr>
            </w:pPr>
            <w:r>
              <w:rPr>
                <w:rFonts w:ascii="Arial" w:cs="Arial" w:eastAsia="Arial" w:hAnsi="Arial"/>
                <w:sz w:val="13"/>
                <w:szCs w:val="13"/>
                <w:color w:val="auto"/>
              </w:rPr>
              <w:t>(1)</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8,550,000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(1)</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8,550,000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(1)</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12,825,000</w:t>
            </w: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70"/>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3,229,000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3,229,000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3,229,000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0"/>
                <w:szCs w:val="20"/>
                <w:color w:val="auto"/>
              </w:rPr>
            </w:pPr>
            <w:r>
              <w:rPr>
                <w:rFonts w:ascii="Arial" w:cs="Arial" w:eastAsia="Arial" w:hAnsi="Arial"/>
                <w:sz w:val="13"/>
                <w:szCs w:val="13"/>
                <w:color w:val="auto"/>
              </w:rPr>
              <w:t>(6)</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36,844</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(6)</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36,844</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(6)</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36,844</w:t>
            </w:r>
          </w:p>
        </w:tc>
        <w:tc>
          <w:tcPr>
            <w:tcW w:w="1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112,219</w:t>
            </w: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11,815,844</w:t>
            </w:r>
          </w:p>
        </w:tc>
        <w:tc>
          <w:tcPr>
            <w:tcW w:w="3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11,815,844</w:t>
            </w:r>
          </w:p>
        </w:tc>
        <w:tc>
          <w:tcPr>
            <w:tcW w:w="34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16,203,063</w:t>
            </w:r>
          </w:p>
        </w:tc>
        <w:tc>
          <w:tcPr>
            <w:tcW w:w="180" w:type="dxa"/>
            <w:vAlign w:val="bottom"/>
          </w:tcPr>
          <w:p>
            <w:pPr>
              <w:spacing w:after="0"/>
              <w:rPr>
                <w:sz w:val="20"/>
                <w:szCs w:val="20"/>
                <w:color w:val="auto"/>
              </w:rPr>
            </w:pPr>
          </w:p>
        </w:tc>
      </w:tr>
      <w:tr>
        <w:trPr>
          <w:trHeight w:val="837"/>
        </w:trPr>
        <w:tc>
          <w:tcPr>
            <w:tcW w:w="320" w:type="dxa"/>
            <w:vAlign w:val="bottom"/>
          </w:tcPr>
          <w:p>
            <w:pPr>
              <w:spacing w:after="0"/>
              <w:rPr>
                <w:sz w:val="20"/>
                <w:szCs w:val="20"/>
                <w:color w:val="auto"/>
              </w:rPr>
            </w:pPr>
            <w:r>
              <w:rPr>
                <w:rFonts w:ascii="Arial" w:cs="Arial" w:eastAsia="Arial" w:hAnsi="Arial"/>
                <w:sz w:val="13"/>
                <w:szCs w:val="13"/>
                <w:color w:val="auto"/>
              </w:rPr>
              <w:t>(1)</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8,200,000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(1)</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8,200,000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(1)</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12,300,000</w:t>
            </w: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70"/>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2,906,100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2,906,100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2,906,100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0"/>
                <w:szCs w:val="20"/>
                <w:color w:val="auto"/>
              </w:rPr>
            </w:pPr>
            <w:r>
              <w:rPr>
                <w:rFonts w:ascii="Arial" w:cs="Arial" w:eastAsia="Arial" w:hAnsi="Arial"/>
                <w:sz w:val="13"/>
                <w:szCs w:val="13"/>
                <w:color w:val="auto"/>
              </w:rPr>
              <w:t>(6)</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57,286</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(6)</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57,286</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(6)</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57,286</w:t>
            </w:r>
          </w:p>
        </w:tc>
        <w:tc>
          <w:tcPr>
            <w:tcW w:w="1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603,349</w:t>
            </w: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11,163,386</w:t>
            </w:r>
          </w:p>
        </w:tc>
        <w:tc>
          <w:tcPr>
            <w:tcW w:w="3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11,163,386</w:t>
            </w:r>
          </w:p>
        </w:tc>
        <w:tc>
          <w:tcPr>
            <w:tcW w:w="34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15,866,735</w:t>
            </w:r>
          </w:p>
        </w:tc>
        <w:tc>
          <w:tcPr>
            <w:tcW w:w="180" w:type="dxa"/>
            <w:vAlign w:val="bottom"/>
          </w:tcPr>
          <w:p>
            <w:pPr>
              <w:spacing w:after="0"/>
              <w:rPr>
                <w:sz w:val="20"/>
                <w:szCs w:val="20"/>
                <w:color w:val="auto"/>
              </w:rPr>
            </w:pPr>
          </w:p>
        </w:tc>
      </w:tr>
      <w:tr>
        <w:trPr>
          <w:trHeight w:val="837"/>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3,874,800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3,874,800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9,202,650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0"/>
                <w:szCs w:val="20"/>
                <w:color w:val="auto"/>
              </w:rPr>
            </w:pPr>
            <w:r>
              <w:rPr>
                <w:rFonts w:ascii="Arial" w:cs="Arial" w:eastAsia="Arial" w:hAnsi="Arial"/>
                <w:sz w:val="13"/>
                <w:szCs w:val="13"/>
                <w:color w:val="auto"/>
              </w:rPr>
              <w:t>(11)</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12,258,999</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12,258,999</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12,258,999</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16,133,799</w:t>
            </w:r>
          </w:p>
        </w:tc>
        <w:tc>
          <w:tcPr>
            <w:tcW w:w="3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16,133,799</w:t>
            </w:r>
          </w:p>
        </w:tc>
        <w:tc>
          <w:tcPr>
            <w:tcW w:w="34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21,461,649</w:t>
            </w:r>
          </w:p>
        </w:tc>
        <w:tc>
          <w:tcPr>
            <w:tcW w:w="180" w:type="dxa"/>
            <w:vAlign w:val="bottom"/>
          </w:tcPr>
          <w:p>
            <w:pPr>
              <w:spacing w:after="0"/>
              <w:rPr>
                <w:sz w:val="20"/>
                <w:szCs w:val="20"/>
                <w:color w:val="auto"/>
              </w:rPr>
            </w:pPr>
          </w:p>
        </w:tc>
      </w:tr>
      <w:tr>
        <w:trPr>
          <w:trHeight w:val="837"/>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2,152,645</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6,608,665</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2,152,645</w:t>
            </w:r>
          </w:p>
        </w:tc>
        <w:tc>
          <w:tcPr>
            <w:tcW w:w="3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6,608,665</w:t>
            </w:r>
          </w:p>
        </w:tc>
        <w:tc>
          <w:tcPr>
            <w:tcW w:w="180" w:type="dxa"/>
            <w:vAlign w:val="bottom"/>
          </w:tcPr>
          <w:p>
            <w:pPr>
              <w:spacing w:after="0"/>
              <w:rPr>
                <w:sz w:val="20"/>
                <w:szCs w:val="20"/>
                <w:color w:val="auto"/>
              </w:rPr>
            </w:pPr>
          </w:p>
        </w:tc>
      </w:tr>
      <w:tr>
        <w:trPr>
          <w:trHeight w:val="837"/>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1,937,400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6,393,420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7,189,285</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7,189,285</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8,187,801</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9,126,685</w:t>
            </w:r>
          </w:p>
        </w:tc>
        <w:tc>
          <w:tcPr>
            <w:tcW w:w="3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7,189,285</w:t>
            </w:r>
          </w:p>
        </w:tc>
        <w:tc>
          <w:tcPr>
            <w:tcW w:w="34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14,581,221</w:t>
            </w:r>
          </w:p>
        </w:tc>
        <w:tc>
          <w:tcPr>
            <w:tcW w:w="180" w:type="dxa"/>
            <w:vAlign w:val="bottom"/>
          </w:tcPr>
          <w:p>
            <w:pPr>
              <w:spacing w:after="0"/>
              <w:rPr>
                <w:sz w:val="20"/>
                <w:szCs w:val="20"/>
                <w:color w:val="auto"/>
              </w:rPr>
            </w:pPr>
          </w:p>
        </w:tc>
      </w:tr>
      <w:tr>
        <w:trPr>
          <w:trHeight w:val="864"/>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1,162,440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5,037,240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70"/>
        </w:trPr>
        <w:tc>
          <w:tcPr>
            <w:tcW w:w="320" w:type="dxa"/>
            <w:vAlign w:val="bottom"/>
          </w:tcPr>
          <w:p>
            <w:pPr>
              <w:spacing w:after="0"/>
              <w:rPr>
                <w:sz w:val="23"/>
                <w:szCs w:val="23"/>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(8)</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459,709</w:t>
            </w:r>
          </w:p>
        </w:tc>
        <w:tc>
          <w:tcPr>
            <w:tcW w:w="1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7"/>
        </w:trPr>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1,162,440</w:t>
            </w:r>
          </w:p>
        </w:tc>
        <w:tc>
          <w:tcPr>
            <w:tcW w:w="3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5,496,949</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3">
            <w:col w:w="4280" w:space="20"/>
            <w:col w:w="1580" w:space="140"/>
            <w:col w:w="5300"/>
          </w:cols>
          <w:pgMar w:left="240" w:top="125"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340" w:hanging="332"/>
        <w:spacing w:after="0" w:line="254" w:lineRule="auto"/>
        <w:tabs>
          <w:tab w:leader="none" w:pos="340" w:val="left"/>
        </w:tabs>
        <w:numPr>
          <w:ilvl w:val="0"/>
          <w:numId w:val="102"/>
        </w:numPr>
        <w:rPr>
          <w:rFonts w:ascii="Arial" w:cs="Arial" w:eastAsia="Arial" w:hAnsi="Arial"/>
          <w:sz w:val="24"/>
          <w:szCs w:val="24"/>
          <w:color w:val="auto"/>
          <w:vertAlign w:val="superscript"/>
        </w:rPr>
      </w:pPr>
      <w:r>
        <w:rPr>
          <w:rFonts w:ascii="Arial" w:cs="Arial" w:eastAsia="Arial" w:hAnsi="Arial"/>
          <w:sz w:val="17"/>
          <w:szCs w:val="17"/>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 (b)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30, 2016, and also assumes a highest annual base salary of $375,000 and highest</w:t>
      </w:r>
    </w:p>
    <w:p>
      <w:pPr>
        <w:sectPr>
          <w:pgSz w:w="11900" w:h="16838" w:orient="portrait"/>
          <w:cols w:equalWidth="0" w:num="1">
            <w:col w:w="11320"/>
          </w:cols>
          <w:pgMar w:left="240" w:top="125" w:right="339" w:bottom="1440" w:gutter="0" w:footer="0" w:header="0"/>
          <w:type w:val="continuous"/>
        </w:sect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320"/>
          </w:cols>
          <w:pgMar w:left="240" w:top="125" w:right="33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right="280"/>
        <w:spacing w:after="0" w:line="370" w:lineRule="auto"/>
        <w:rPr>
          <w:sz w:val="20"/>
          <w:szCs w:val="20"/>
          <w:color w:val="auto"/>
        </w:rPr>
      </w:pPr>
      <w:r>
        <w:rPr>
          <w:rFonts w:ascii="Arial" w:cs="Arial" w:eastAsia="Arial" w:hAnsi="Arial"/>
          <w:sz w:val="16"/>
          <w:szCs w:val="16"/>
          <w:color w:val="auto"/>
        </w:rPr>
        <w:t>annual bonus of $3,900,000 for Mr. Armstrong, and a highest annual base salary of $300,000 and highest annual bonus of $3,800,000 for Mr. Pefanis. The employment agreements between GP LLC and Messrs. Armstrong and Pefanis define “cause” as (i) willfully engaging in gross misconduct, or</w:t>
      </w:r>
    </w:p>
    <w:p>
      <w:pPr>
        <w:spacing w:after="0" w:line="1" w:lineRule="exact"/>
        <w:rPr>
          <w:sz w:val="20"/>
          <w:szCs w:val="20"/>
          <w:color w:val="auto"/>
        </w:rPr>
      </w:pPr>
    </w:p>
    <w:p>
      <w:pPr>
        <w:ind w:left="340" w:right="200" w:hanging="8"/>
        <w:spacing w:after="0" w:line="288" w:lineRule="auto"/>
        <w:tabs>
          <w:tab w:leader="none" w:pos="60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of directors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pacing w:after="0" w:line="61"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w:t>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37" w:lineRule="auto"/>
        <w:tabs>
          <w:tab w:leader="none" w:pos="340" w:val="left"/>
        </w:tabs>
        <w:numPr>
          <w:ilvl w:val="0"/>
          <w:numId w:val="104"/>
        </w:numPr>
        <w:rPr>
          <w:rFonts w:ascii="Arial" w:cs="Arial" w:eastAsia="Arial" w:hAnsi="Arial"/>
          <w:sz w:val="25"/>
          <w:szCs w:val="25"/>
          <w:color w:val="auto"/>
          <w:vertAlign w:val="superscript"/>
        </w:rPr>
      </w:pPr>
      <w:r>
        <w:rPr>
          <w:rFonts w:ascii="Arial" w:cs="Arial" w:eastAsia="Arial" w:hAnsi="Arial"/>
          <w:sz w:val="18"/>
          <w:szCs w:val="18"/>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30, 2016, and also assumes a highest annual base salary of $375,000 and highest annual bonus of $3,900,000 for Mr. Armstrong, and a highest annual base salary of $300,000 and highest annual bonus of $3,800,000 for Mr. Pefanis.</w:t>
      </w:r>
    </w:p>
    <w:p>
      <w:pPr>
        <w:spacing w:after="0" w:line="98" w:lineRule="exact"/>
        <w:rPr>
          <w:rFonts w:ascii="Arial" w:cs="Arial" w:eastAsia="Arial" w:hAnsi="Arial"/>
          <w:sz w:val="25"/>
          <w:szCs w:val="25"/>
          <w:color w:val="auto"/>
          <w:vertAlign w:val="superscript"/>
        </w:rPr>
      </w:pPr>
    </w:p>
    <w:p>
      <w:pPr>
        <w:ind w:left="340"/>
        <w:spacing w:after="0" w:line="286" w:lineRule="auto"/>
        <w:rPr>
          <w:rFonts w:ascii="Arial" w:cs="Arial" w:eastAsia="Arial" w:hAnsi="Arial"/>
          <w:sz w:val="25"/>
          <w:szCs w:val="25"/>
          <w:color w:val="auto"/>
          <w:vertAlign w:val="superscript"/>
        </w:rPr>
      </w:pPr>
      <w:r>
        <w:rPr>
          <w:rFonts w:ascii="Arial" w:cs="Arial" w:eastAsia="Arial" w:hAnsi="Arial"/>
          <w:sz w:val="16"/>
          <w:szCs w:val="16"/>
          <w:color w:val="auto"/>
        </w:rPr>
        <w:t>In conjunction with events occurring in 2005, 2010 and 2013, Messrs. Armstrong and Pefanis executed various agreements waiving their rights to terminate employment and receive separation benefits under their employment agreements. In connection with such waivers,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PAGP GP; (iii) 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387" w:lineRule="exact"/>
        <w:rPr>
          <w:rFonts w:ascii="Arial" w:cs="Arial" w:eastAsia="Arial" w:hAnsi="Arial"/>
          <w:sz w:val="25"/>
          <w:szCs w:val="25"/>
          <w:color w:val="auto"/>
          <w:vertAlign w:val="superscript"/>
        </w:rPr>
      </w:pPr>
    </w:p>
    <w:p>
      <w:pPr>
        <w:ind w:left="340" w:right="60" w:hanging="332"/>
        <w:spacing w:after="0" w:line="232" w:lineRule="auto"/>
        <w:tabs>
          <w:tab w:leader="none" w:pos="340" w:val="left"/>
        </w:tabs>
        <w:numPr>
          <w:ilvl w:val="0"/>
          <w:numId w:val="104"/>
        </w:numPr>
        <w:rPr>
          <w:rFonts w:ascii="Arial" w:cs="Arial" w:eastAsia="Arial" w:hAnsi="Arial"/>
          <w:sz w:val="25"/>
          <w:szCs w:val="25"/>
          <w:color w:val="auto"/>
          <w:vertAlign w:val="superscript"/>
        </w:rPr>
      </w:pPr>
      <w:r>
        <w:rPr>
          <w:rFonts w:ascii="Arial" w:cs="Arial" w:eastAsia="Arial" w:hAnsi="Arial"/>
          <w:sz w:val="18"/>
          <w:szCs w:val="18"/>
          <w:color w:val="auto"/>
        </w:rPr>
        <w:t>The letters evidencing the 2013 phantom unit grants awarded to the Named Executive Officers, and the 2015 phantom unit grant awarded to Mr. Chiang,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right="20"/>
        <w:spacing w:after="0" w:line="343" w:lineRule="auto"/>
        <w:rPr>
          <w:sz w:val="20"/>
          <w:szCs w:val="20"/>
          <w:color w:val="auto"/>
        </w:rPr>
      </w:pPr>
      <w:r>
        <w:rPr>
          <w:rFonts w:ascii="Arial" w:cs="Arial" w:eastAsia="Arial" w:hAnsi="Arial"/>
          <w:sz w:val="16"/>
          <w:szCs w:val="16"/>
          <w:color w:val="auto"/>
        </w:rPr>
        <w:t>following distribution date and (ii) the remaining unvested outstanding phantom units will vest on the distribution date on which the vesting criteria is met. The letters evidencing the 2016 phantom unit grants awarded to the Named Executive Officers provide that in the event of their death or disability (as defined below), the following terms shall apply: (a) if such death or disability takes place prior to the second anniversary of the date of the applicable grant (August 25, 2018), all of their then outstanding phantom units and associated DERs will be automatically forfeited as of such date, and (b) if such death or disability takes place on or after such second anniversary, all of their then outstanding phantom units will be deemed nonforfeitable and will vest on the next following distribution date (and any associated DERs shall not be forfeited but shall vest, be payable and expire according to the terms of the applicable phantom unit grant letter). For these purposes, “disability” means a physical or mental infirmity that impairs the ability substantially to perform duties for a period of eighteen (18) months or that the general partner otherwise determines constitutes a disability.</w:t>
      </w:r>
    </w:p>
    <w:p>
      <w:pPr>
        <w:spacing w:after="0" w:line="354"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Assuming death or disability occurred on December 31, 2016, (A) all of the phantom unit grants and associated DERs held by the Named Executive Officers pursuant to their 2013 grant letters would have become nonforfeitable effective as of December 31, 2016, and would vest on February 14, 2017 (the February 2017 distribution date) given that the performance vesting criteria for all of the phantom units issued pursuant to such 2013 grant letters has already been satisfied, (B) all of the phantom unit grants and associated DERs held by the Named Executive Officers pursuant to their 2016 grant letters would have become automatically forfeited as of such date given that such death or disability would have taken place prior to the second anniversary of the date of such grants, and (C) all of the phantom units and associated DERs held by Mr. Chiang pursuant to his 2015 phantom unit grant letter would not have been forfeited but would vest on the future distribution date on which the applicable distribution vesting criteria is satisfied. At December 30, 2016, an annualized distribution level of $2.20 was deemed probable of occurrence. Because none of the performance thresholds contained in Mr. Chiang’s 2015 phantom unit grant letter were deemed probable of occurrence as of December 31, 2016, no value is given in the table. All of the performance thresholds for the 2013 LTIP grants have been satisfied and all outstanding 2013 grants were assumed to vest as a result. The dollar value given for the Named Executive Officers who hold 2013 phantom units is based on the market value of PAA’s common units on December 30, 2016 ($32.29 per unit) without discount for service period.</w:t>
      </w:r>
    </w:p>
    <w:p>
      <w:pPr>
        <w:spacing w:after="0" w:line="396" w:lineRule="exact"/>
        <w:rPr>
          <w:sz w:val="20"/>
          <w:szCs w:val="20"/>
          <w:color w:val="auto"/>
        </w:rPr>
      </w:pPr>
    </w:p>
    <w:p>
      <w:pPr>
        <w:ind w:left="340" w:right="40" w:hanging="332"/>
        <w:spacing w:after="0" w:line="279" w:lineRule="auto"/>
        <w:tabs>
          <w:tab w:leader="none" w:pos="340" w:val="left"/>
        </w:tabs>
        <w:numPr>
          <w:ilvl w:val="0"/>
          <w:numId w:val="105"/>
        </w:numPr>
        <w:rPr>
          <w:rFonts w:ascii="Arial" w:cs="Arial" w:eastAsia="Arial" w:hAnsi="Arial"/>
          <w:sz w:val="22"/>
          <w:szCs w:val="22"/>
          <w:color w:val="auto"/>
          <w:vertAlign w:val="superscript"/>
        </w:rPr>
      </w:pPr>
      <w:r>
        <w:rPr>
          <w:rFonts w:ascii="Arial" w:cs="Arial" w:eastAsia="Arial" w:hAnsi="Arial"/>
          <w:sz w:val="16"/>
          <w:szCs w:val="16"/>
          <w:color w:val="auto"/>
        </w:rPr>
        <w:t>Pursuant to the 2013 phantom unit grants held by the Named Executive Officers, in the event their employment is terminated other than in connection with a change of control (as defined in footnote 5 below) or by reason of death or disability (as defined in footnote 3 above),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Pursuant to the 2016 phantom unit grants held by the Named Executive Officers, in the event their employment is terminated other than in connection with a change of control (as defined in footnote 5 below) or by reason of death or disability (as defined in footnote 3 above),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would, but for such termination and forfeiture, vest on a specified distribution date (either August 2019, August 2020, August 2021 or August 2022) during the twelve month period immediately following such termination, shall be deemed nonforfeitable on the date of such termination and shall vest on the next following distribution date. Mr. Chiang’s employment agreement also provides that his 2015 phantom unit grant will vest in full if he has not received the Executive Promotion and is terminated by GP LLC other than for cause or he terminates his employment for good reason prior to December 31, 2018 (see “—Employment Contracts” for additional information regarding Mr. Chiang’s employment agreement). The dollar value amount provided assumes that (i) the Named Executive Officers (other than Mr. Chiang) were terminated without cause on December 30, 2016, and (ii) Mr. Chiang had not received the Executive Promotion and was terminated without cause or terminated his employment for good reason on December 30, 2016. As a result of the foregoing, in the event of the termination of the Named Executive Officers under the circumstances described above on December 31, 2016, (i) all of the phantom units covered by the 2013 phantom unit grants held by the Named Executive Officers and the 2015 phantom unit grant held by Mr. Chiang would have vested on or before February 14, 2017 (the February 2017 distribution date), and (ii) all remaining phantom units held by the Named Executive Officers would have become automatically forfeited as of such date of termination. That portion of the dollar value given that is attributable to PAA phantom units is based on the market value of PAA’s common units on December 30, 2016 ($32.29 per unit).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125"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PAA’s Long-Term Incentive Plan would immediately vest.</w:t>
      </w:r>
    </w:p>
    <w:p>
      <w:pPr>
        <w:spacing w:after="0" w:line="73" w:lineRule="exact"/>
        <w:rPr>
          <w:sz w:val="20"/>
          <w:szCs w:val="20"/>
          <w:color w:val="auto"/>
        </w:rPr>
      </w:pPr>
    </w:p>
    <w:p>
      <w:pPr>
        <w:ind w:left="340" w:hanging="332"/>
        <w:spacing w:after="0" w:line="258" w:lineRule="auto"/>
        <w:tabs>
          <w:tab w:leader="none" w:pos="340" w:val="left"/>
        </w:tabs>
        <w:numPr>
          <w:ilvl w:val="0"/>
          <w:numId w:val="106"/>
        </w:numPr>
        <w:rPr>
          <w:rFonts w:ascii="Arial" w:cs="Arial" w:eastAsia="Arial" w:hAnsi="Arial"/>
          <w:sz w:val="24"/>
          <w:szCs w:val="24"/>
          <w:color w:val="auto"/>
          <w:vertAlign w:val="superscript"/>
        </w:rPr>
      </w:pPr>
      <w:r>
        <w:rPr>
          <w:rFonts w:ascii="Arial" w:cs="Arial" w:eastAsia="Arial" w:hAnsi="Arial"/>
          <w:sz w:val="17"/>
          <w:szCs w:val="17"/>
          <w:color w:val="auto"/>
        </w:rPr>
        <w:t>The letters evidencing phantom unit grants awarded to the Named Executive Officers provide that in the event of a change in status (as defined below), all of the then outstanding phantom units and associated DERs will be deemed nonforfeitable, and such phantom units will vest in full (i.e., the phantom units will become payable in the form of one PAA common unit per phantom unit) upon the next following distribution date. Additionally, Mr. Chiang’s employment agreement provides that his phantom unit grants will vest in full if he terminates his employment within 90 days after a change of control (as defined below) prior to December 31, 2018 and in connection therewith he does not receive the Executive Promotion (see “—Employment Contracts” for additional information regarding Mr. Chiang’s employment agreement). Assuming (i) that a change in status occurred on December 30, 2016, (ii) that a change of control occurred 90 days prior to December 30, 2016, and (iii) that, in connection with the change of control, Mr. Chiang did not receive the Executive Promotion and terminated his employment on December 30, 2016, all outstanding phantom units and the associated DERs would have become nonforfeitable as of December 30, 2016, and such phantom units would vest on the February 2017 distribution date. That portion of the dollar value given that is attributable to PAA phantom units is based on the market value of PAA’s common units on December 30, 2016 ($32.29 per unit), without discount for service period.</w:t>
      </w:r>
    </w:p>
    <w:p>
      <w:pPr>
        <w:spacing w:after="0" w:line="86" w:lineRule="exact"/>
        <w:rPr>
          <w:rFonts w:ascii="Arial" w:cs="Arial" w:eastAsia="Arial" w:hAnsi="Arial"/>
          <w:sz w:val="24"/>
          <w:szCs w:val="24"/>
          <w:color w:val="auto"/>
          <w:vertAlign w:val="superscript"/>
        </w:rPr>
      </w:pPr>
    </w:p>
    <w:p>
      <w:pPr>
        <w:ind w:left="340" w:right="240"/>
        <w:spacing w:after="0" w:line="255" w:lineRule="auto"/>
        <w:rPr>
          <w:rFonts w:ascii="Arial" w:cs="Arial" w:eastAsia="Arial" w:hAnsi="Arial"/>
          <w:sz w:val="24"/>
          <w:szCs w:val="24"/>
          <w:color w:val="auto"/>
          <w:vertAlign w:val="superscript"/>
        </w:rPr>
      </w:pPr>
      <w:r>
        <w:rPr>
          <w:rFonts w:ascii="Arial" w:cs="Arial" w:eastAsia="Arial" w:hAnsi="Arial"/>
          <w:sz w:val="18"/>
          <w:szCs w:val="18"/>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85" w:lineRule="exact"/>
        <w:rPr>
          <w:rFonts w:ascii="Arial" w:cs="Arial" w:eastAsia="Arial" w:hAnsi="Arial"/>
          <w:sz w:val="24"/>
          <w:szCs w:val="24"/>
          <w:color w:val="auto"/>
          <w:vertAlign w:val="superscript"/>
        </w:rPr>
      </w:pPr>
    </w:p>
    <w:p>
      <w:pPr>
        <w:ind w:left="340" w:right="20"/>
        <w:spacing w:after="0" w:line="268" w:lineRule="auto"/>
        <w:rPr>
          <w:rFonts w:ascii="Arial" w:cs="Arial" w:eastAsia="Arial" w:hAnsi="Arial"/>
          <w:sz w:val="24"/>
          <w:szCs w:val="24"/>
          <w:color w:val="auto"/>
          <w:vertAlign w:val="superscript"/>
        </w:rPr>
      </w:pPr>
      <w:r>
        <w:rPr>
          <w:rFonts w:ascii="Arial" w:cs="Arial" w:eastAsia="Arial" w:hAnsi="Arial"/>
          <w:sz w:val="17"/>
          <w:szCs w:val="17"/>
          <w:color w:val="auto"/>
        </w:rPr>
        <w:t>The phrase “change of control” is defined in the phantom unit grants awarded to the Named Executive Officers other than Mr. Chiang to mean, and is deemed to have occurred upon the occurrence of, one or more of the following events: (i) GP LLC ceasing to be the general partner of PAA’s general partner; (ii) any sale, lease, exchange or other transfer (in one transaction or a series of related transactions) of all or substantially all of the assets of PAA or GP LLC to any person and/or its affiliates, other than to PAA or GP LLC, including any employee benefit plan thereof; (iii) the consolidation, reorganization, merger, or any other similar transaction involving (A) a person other than PAA or GP LLC and (B) PAA,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The initial public offering of PAGP did not constitute a change of control under the phantom unit grant letters. The term “cause” means (i) the failure to perform the duties and responsibilities of a position at an acceptable level as reasonably determined in good faith by the CEO of GP LLC (or by the board in the case of the CEO), or (ii) the violation of GP LLC’s Code of Business Conduct (unless waived in accordance with the terms thereof), in each case, with the specific failure or violation described in writing.</w:t>
      </w:r>
    </w:p>
    <w:p>
      <w:pPr>
        <w:spacing w:after="0" w:line="75" w:lineRule="exact"/>
        <w:rPr>
          <w:rFonts w:ascii="Arial" w:cs="Arial" w:eastAsia="Arial" w:hAnsi="Arial"/>
          <w:sz w:val="24"/>
          <w:szCs w:val="24"/>
          <w:color w:val="auto"/>
          <w:vertAlign w:val="superscript"/>
        </w:rPr>
      </w:pPr>
    </w:p>
    <w:p>
      <w:pPr>
        <w:ind w:left="340"/>
        <w:spacing w:after="0"/>
        <w:rPr>
          <w:rFonts w:ascii="Arial" w:cs="Arial" w:eastAsia="Arial" w:hAnsi="Arial"/>
          <w:sz w:val="24"/>
          <w:szCs w:val="24"/>
          <w:color w:val="auto"/>
          <w:vertAlign w:val="superscript"/>
        </w:rPr>
      </w:pPr>
      <w:r>
        <w:rPr>
          <w:rFonts w:ascii="Arial" w:cs="Arial" w:eastAsia="Arial" w:hAnsi="Arial"/>
          <w:sz w:val="16"/>
          <w:szCs w:val="16"/>
          <w:color w:val="auto"/>
        </w:rPr>
        <w:t>With respect to Mr. Chiang’s phantom units, “Change of Control” means the determination by the board that one of the following events has occurred:</w:t>
      </w:r>
    </w:p>
    <w:p>
      <w:pPr>
        <w:spacing w:after="0" w:line="46" w:lineRule="exact"/>
        <w:rPr>
          <w:rFonts w:ascii="Arial" w:cs="Arial" w:eastAsia="Arial" w:hAnsi="Arial"/>
          <w:sz w:val="24"/>
          <w:szCs w:val="24"/>
          <w:color w:val="auto"/>
          <w:vertAlign w:val="superscript"/>
        </w:rPr>
      </w:pPr>
    </w:p>
    <w:p>
      <w:pPr>
        <w:ind w:left="340" w:right="60" w:hanging="8"/>
        <w:spacing w:after="0" w:line="281" w:lineRule="auto"/>
        <w:tabs>
          <w:tab w:leader="none" w:pos="55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the member interest beneficially owned by such “person” or “group” exceeds the aggregate member interest in the general partner of PAGP beneficially owned, directly or indirectly, by the Owner Affiliates; or</w:t>
      </w:r>
    </w:p>
    <w:p>
      <w:pPr>
        <w:spacing w:after="0" w:line="3" w:lineRule="exact"/>
        <w:rPr>
          <w:rFonts w:ascii="Arial" w:cs="Arial" w:eastAsia="Arial" w:hAnsi="Arial"/>
          <w:sz w:val="16"/>
          <w:szCs w:val="16"/>
          <w:color w:val="auto"/>
        </w:rPr>
      </w:pPr>
    </w:p>
    <w:p>
      <w:pPr>
        <w:ind w:left="340" w:right="100" w:hanging="8"/>
        <w:spacing w:after="0" w:line="281" w:lineRule="auto"/>
        <w:tabs>
          <w:tab w:leader="none" w:pos="65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 “Cause” is defined in Mr. Chiang’s phantom unit grant agreement as</w:t>
      </w:r>
    </w:p>
    <w:p>
      <w:pPr>
        <w:spacing w:after="0" w:line="2" w:lineRule="exact"/>
        <w:rPr>
          <w:rFonts w:ascii="Arial" w:cs="Arial" w:eastAsia="Arial" w:hAnsi="Arial"/>
          <w:sz w:val="16"/>
          <w:szCs w:val="16"/>
          <w:color w:val="auto"/>
        </w:rPr>
      </w:pPr>
    </w:p>
    <w:p>
      <w:pPr>
        <w:ind w:left="340" w:right="200" w:hanging="8"/>
        <w:spacing w:after="0" w:line="261" w:lineRule="auto"/>
        <w:tabs>
          <w:tab w:leader="none" w:pos="55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substantial failure to perform the duties and responsibilities of his position at an acceptable level as reasonably determined in good faith by the CEO and President-COO of GP LLC (or if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80"/>
        <w:spacing w:after="0" w:line="276" w:lineRule="auto"/>
        <w:rPr>
          <w:sz w:val="20"/>
          <w:szCs w:val="20"/>
          <w:color w:val="auto"/>
        </w:rPr>
      </w:pPr>
      <w:r>
        <w:rPr>
          <w:rFonts w:ascii="Arial" w:cs="Arial" w:eastAsia="Arial" w:hAnsi="Arial"/>
          <w:sz w:val="17"/>
          <w:szCs w:val="17"/>
          <w:color w:val="auto"/>
        </w:rPr>
        <w:t>Mr. Chiang is the CEO, by vote of the board of directors) and after written notice specifying such failure in detail and after a reasonable period under the circumstances (determined by the CEO, or alternatively the board of directors,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389" w:lineRule="exact"/>
        <w:rPr>
          <w:sz w:val="20"/>
          <w:szCs w:val="20"/>
          <w:color w:val="auto"/>
        </w:rPr>
      </w:pPr>
    </w:p>
    <w:p>
      <w:pPr>
        <w:ind w:left="340" w:right="120" w:hanging="332"/>
        <w:spacing w:after="0" w:line="250" w:lineRule="auto"/>
        <w:tabs>
          <w:tab w:leader="none" w:pos="340" w:val="left"/>
        </w:tabs>
        <w:numPr>
          <w:ilvl w:val="0"/>
          <w:numId w:val="109"/>
        </w:numPr>
        <w:rPr>
          <w:rFonts w:ascii="Arial" w:cs="Arial" w:eastAsia="Arial" w:hAnsi="Arial"/>
          <w:sz w:val="24"/>
          <w:szCs w:val="24"/>
          <w:color w:val="auto"/>
          <w:vertAlign w:val="superscript"/>
        </w:rPr>
      </w:pPr>
      <w:r>
        <w:rPr>
          <w:rFonts w:ascii="Arial" w:cs="Arial" w:eastAsia="Arial" w:hAnsi="Arial"/>
          <w:sz w:val="17"/>
          <w:szCs w:val="17"/>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30, 2016.</w:t>
      </w:r>
    </w:p>
    <w:p>
      <w:pPr>
        <w:spacing w:after="0" w:line="86" w:lineRule="exact"/>
        <w:rPr>
          <w:rFonts w:ascii="Arial" w:cs="Arial" w:eastAsia="Arial" w:hAnsi="Arial"/>
          <w:sz w:val="24"/>
          <w:szCs w:val="24"/>
          <w:color w:val="auto"/>
          <w:vertAlign w:val="superscript"/>
        </w:rPr>
      </w:pPr>
    </w:p>
    <w:p>
      <w:pPr>
        <w:ind w:left="340" w:right="80" w:hanging="332"/>
        <w:spacing w:after="0" w:line="238" w:lineRule="auto"/>
        <w:tabs>
          <w:tab w:leader="none" w:pos="340" w:val="left"/>
        </w:tabs>
        <w:numPr>
          <w:ilvl w:val="0"/>
          <w:numId w:val="109"/>
        </w:numPr>
        <w:rPr>
          <w:rFonts w:ascii="Arial" w:cs="Arial" w:eastAsia="Arial" w:hAnsi="Arial"/>
          <w:sz w:val="24"/>
          <w:szCs w:val="24"/>
          <w:color w:val="auto"/>
          <w:vertAlign w:val="superscript"/>
        </w:rPr>
      </w:pPr>
      <w:r>
        <w:rPr>
          <w:rFonts w:ascii="Arial" w:cs="Arial" w:eastAsia="Arial" w:hAnsi="Arial"/>
          <w:sz w:val="17"/>
          <w:szCs w:val="17"/>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30, 2016.</w:t>
      </w:r>
    </w:p>
    <w:p>
      <w:pPr>
        <w:spacing w:after="0" w:line="94" w:lineRule="exact"/>
        <w:rPr>
          <w:rFonts w:ascii="Arial" w:cs="Arial" w:eastAsia="Arial" w:hAnsi="Arial"/>
          <w:sz w:val="24"/>
          <w:szCs w:val="24"/>
          <w:color w:val="auto"/>
          <w:vertAlign w:val="superscript"/>
        </w:rPr>
      </w:pPr>
    </w:p>
    <w:p>
      <w:pPr>
        <w:ind w:left="340" w:hanging="332"/>
        <w:spacing w:after="0" w:line="277" w:lineRule="auto"/>
        <w:tabs>
          <w:tab w:leader="none" w:pos="340" w:val="left"/>
        </w:tabs>
        <w:numPr>
          <w:ilvl w:val="0"/>
          <w:numId w:val="109"/>
        </w:numPr>
        <w:rPr>
          <w:rFonts w:ascii="Arial" w:cs="Arial" w:eastAsia="Arial" w:hAnsi="Arial"/>
          <w:sz w:val="22"/>
          <w:szCs w:val="22"/>
          <w:color w:val="auto"/>
          <w:vertAlign w:val="superscript"/>
        </w:rPr>
      </w:pPr>
      <w:r>
        <w:rPr>
          <w:rFonts w:ascii="Arial" w:cs="Arial" w:eastAsia="Arial" w:hAnsi="Arial"/>
          <w:sz w:val="16"/>
          <w:szCs w:val="16"/>
          <w:color w:val="auto"/>
        </w:rPr>
        <w:t>Pursuant to the AAP Management Unit grant agreements of Messrs. Chiang, McGee and Nerbonne,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2020 for Mr. McGee’s 2011 grant, January 1, 2021 for Mr. McGee’s 2013 grant and January 1, 2023 for the grants to Messrs. Chiang and Nerbonne; such dates being referred to as the “Applicable Stated Date”);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in the event of his death or disability. Additionally, Mr. Chiang’s employment agreement provides that his AAP Management Units will vest in full if he has not received the Executive Promotion and is terminated by GP LLC other than for cause (as defined below) or he terminates his employment for good reason prior to December 31, 2018 (see “—Employment Contracts” for additional information regarding Mr. Chiang’s employment agreement). If Messrs. Chiang, McGee and Nerbonne are terminated without cause or terminate their employment for good reason, or if such Named Executive Officer remains employed past their Applicable Stated Date, any earned AAP Management Units are no longer subject to the call right and are deemed to have “vested.” As of December 31, 2016, approximately 86% of the AAP Management Units held by Mr. McGee had been earned, but all of such AAP Management Units remained subject to AAP’s call right, and none of the AAP Management Units held by Mr. Chiang or Mr. Nerbonne had been earned. Assuming a termination of employment without cause or for good reason on December 31, 2016 and assuming that Mr. Chiang had not received the Executive Promotion prior to that date, all of the AAP Management Units held by Mr. Chiang, 86% of the AAP Management Units held by Mr. McGee, and none of the AAP Management Units held by Mr. Nerbonne would become vested and would no longer be subject to the call right. Because the call right provides for a discounted purchase price equal to 50% of fair market value in the case of Mr. McGee, in such event the applicable Named Executive Officer would “benefit” by virtue of the fact that such officer’s AAP Management Units could no longer be purchased by AAP at a discount. The value reflected in the table above for Mr. McGee represents the implied value of such “benefit”, calculated as of December 31, 2016 by (i) assuming that Mr. McGee’s earned AAP Management Units are converted into AAP units based on the conversion factor of approximately 0.941 AAP units and PAGP Class B shares for each AAP Management Unit,</w:t>
      </w:r>
    </w:p>
    <w:p>
      <w:pPr>
        <w:spacing w:after="0" w:line="16" w:lineRule="exact"/>
        <w:rPr>
          <w:rFonts w:ascii="Arial" w:cs="Arial" w:eastAsia="Arial" w:hAnsi="Arial"/>
          <w:sz w:val="22"/>
          <w:szCs w:val="22"/>
          <w:color w:val="auto"/>
          <w:vertAlign w:val="superscript"/>
        </w:rPr>
      </w:pPr>
    </w:p>
    <w:p>
      <w:pPr>
        <w:ind w:left="340" w:right="80"/>
        <w:spacing w:after="0" w:line="252" w:lineRule="auto"/>
        <w:rPr>
          <w:rFonts w:ascii="Arial" w:cs="Arial" w:eastAsia="Arial" w:hAnsi="Arial"/>
          <w:sz w:val="22"/>
          <w:szCs w:val="22"/>
          <w:color w:val="auto"/>
          <w:vertAlign w:val="superscript"/>
        </w:rPr>
      </w:pPr>
      <w:r>
        <w:rPr>
          <w:rFonts w:ascii="Arial" w:cs="Arial" w:eastAsia="Arial" w:hAnsi="Arial"/>
          <w:sz w:val="18"/>
          <w:szCs w:val="18"/>
          <w:color w:val="auto"/>
        </w:rPr>
        <w:t>(ii) assuming the exchange of the resulting AAP units and PAGP Class B shares for PAGP Class A shares on a one-for-one basis, and (iii) multiplying such resulting number of PAGP Class A shares by an amount equal to 50% of the closing market price ($34.68) of PAGP’s Class A shares at December 30, 2016 (the last trading day of the fiscal year). The value reflected in the table above for Mr. Chiang represents the implied value of such “benefit”, calculated as of December 30, 2016 by (i) assuming that Mr. Chiang’s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100% of the closing market price ($34.68) of PAGP’s Class A shares at December 30, 2016 (the last trading day of the fiscal year).</w:t>
      </w:r>
    </w:p>
    <w:p>
      <w:pPr>
        <w:spacing w:after="0" w:line="84"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“Cause” is defined in the AAP Management Unit grant agreements of Messrs. McGee and Nerbonne as (i) a reasonable determination made in good faith by the CEO that the executive has substantially failed to perform the duties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President-COO of GP LLC (or if Mr. Chiang is the CEO, by vote of the board of directors) and after written notice specifying such failure in detail and after a reasonable period under the circumstances (determined by the CEO, or alternatively the board of directors,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70" w:lineRule="exact"/>
        <w:rPr>
          <w:sz w:val="20"/>
          <w:szCs w:val="20"/>
          <w:color w:val="auto"/>
        </w:rPr>
      </w:pPr>
    </w:p>
    <w:p>
      <w:pPr>
        <w:jc w:val="both"/>
        <w:ind w:left="340" w:right="360"/>
        <w:spacing w:after="0" w:line="264"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73"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the PAGP Class A shares on the applicable date.</w:t>
      </w:r>
    </w:p>
    <w:p>
      <w:pPr>
        <w:spacing w:after="0" w:line="387" w:lineRule="exact"/>
        <w:rPr>
          <w:sz w:val="20"/>
          <w:szCs w:val="20"/>
          <w:color w:val="auto"/>
        </w:rPr>
      </w:pPr>
    </w:p>
    <w:p>
      <w:pPr>
        <w:ind w:left="340" w:right="340" w:hanging="332"/>
        <w:spacing w:after="0" w:line="256" w:lineRule="auto"/>
        <w:tabs>
          <w:tab w:leader="none" w:pos="340" w:val="left"/>
        </w:tabs>
        <w:numPr>
          <w:ilvl w:val="0"/>
          <w:numId w:val="110"/>
        </w:numPr>
        <w:rPr>
          <w:rFonts w:ascii="Arial" w:cs="Arial" w:eastAsia="Arial" w:hAnsi="Arial"/>
          <w:sz w:val="22"/>
          <w:szCs w:val="22"/>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pursuant to the applicable grant becomes vested.</w:t>
      </w:r>
    </w:p>
    <w:p>
      <w:pPr>
        <w:ind w:left="340"/>
        <w:spacing w:after="0" w:line="266" w:lineRule="auto"/>
        <w:rPr>
          <w:rFonts w:ascii="Arial" w:cs="Arial" w:eastAsia="Arial" w:hAnsi="Arial"/>
          <w:sz w:val="22"/>
          <w:szCs w:val="22"/>
          <w:color w:val="auto"/>
          <w:vertAlign w:val="superscript"/>
        </w:rPr>
      </w:pPr>
      <w:r>
        <w:rPr>
          <w:rFonts w:ascii="Arial" w:cs="Arial" w:eastAsia="Arial" w:hAnsi="Arial"/>
          <w:sz w:val="17"/>
          <w:szCs w:val="17"/>
          <w:color w:val="auto"/>
        </w:rPr>
        <w:t>Mr. Chiang’s employment agreement also provides that his AAP Management Units will vest in full if he terminates his employment within 90 days after a change of control prior to December 31, 2018 and in connection therewith he does not receive the Executive Promotion (see “—Employment Contracts” for additional information regarding Mr. Chiang’s employment agreement). As of December 31, 2016, none of the AAP Management Units held by Mr. Chiang or Mr. Nerbonne had been earned, but all of Mr. McGee’s AAP Management Units had become earned with the exception of 25% of the units covered by his 2013 grant. Accordingly, assuming that a Change in Control occurred on December 30, 2016 (or in the case of Mr. Chiang, 90 days prior to December 30, 2016) and that in connection with such Change in Control, Mr. Chiang had not received the Executive Promotion, all of the AAP Management Units held by Mr. Chiang and Mr. McGee, and 25% held by Mr. Nerbonne would become vested and would no longer be subject to the call right. Because the call right provides for a discounted purchase price relative to fair market value as described above, the applicable Named Executive Officer would “benefit” from a Change in Control by virtue of the fact that such officer’s AAP Management Units could no longer be purchased by AAP at such discount. The value reflected in the table above for Messrs. Chiang, McGee and Nerbonne represents the implied value of such “benefit”, calculated as of December 30, 2016 by (i) assuming that such executive’s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(100% for Mr. Chiang, 50% for Mr. McGee’s 2011 grant, 62.5% for Mr. McGee’s 2013 grant, and 25% for Mr. Nerbonne) (taking any applicable discount into account) of the closing market price ($34.68) of PAGP’s Class A shares at December 30, 2016 (the last trading day of the fiscal year).</w:t>
      </w:r>
    </w:p>
    <w:p>
      <w:pPr>
        <w:spacing w:after="0" w:line="200" w:lineRule="exact"/>
        <w:rPr>
          <w:rFonts w:ascii="Arial" w:cs="Arial" w:eastAsia="Arial" w:hAnsi="Arial"/>
          <w:sz w:val="22"/>
          <w:szCs w:val="22"/>
          <w:color w:val="auto"/>
          <w:vertAlign w:val="superscript"/>
        </w:rPr>
      </w:pPr>
    </w:p>
    <w:p>
      <w:pPr>
        <w:spacing w:after="0" w:line="208" w:lineRule="exact"/>
        <w:rPr>
          <w:rFonts w:ascii="Arial" w:cs="Arial" w:eastAsia="Arial" w:hAnsi="Arial"/>
          <w:sz w:val="22"/>
          <w:szCs w:val="22"/>
          <w:color w:val="auto"/>
          <w:vertAlign w:val="superscript"/>
        </w:rPr>
      </w:pPr>
    </w:p>
    <w:p>
      <w:pPr>
        <w:ind w:left="340"/>
        <w:spacing w:after="0" w:line="289" w:lineRule="auto"/>
        <w:rPr>
          <w:rFonts w:ascii="Arial" w:cs="Arial" w:eastAsia="Arial" w:hAnsi="Arial"/>
          <w:sz w:val="22"/>
          <w:szCs w:val="22"/>
          <w:color w:val="auto"/>
          <w:vertAlign w:val="superscript"/>
        </w:rPr>
      </w:pPr>
      <w:r>
        <w:rPr>
          <w:rFonts w:ascii="Arial" w:cs="Arial" w:eastAsia="Arial" w:hAnsi="Arial"/>
          <w:sz w:val="16"/>
          <w:szCs w:val="16"/>
          <w:color w:val="auto"/>
        </w:rPr>
        <w:t xml:space="preserve">“Change in Control” means the determination by the board that one of the following events has occurred: (i) the Persons who own member interests in PAGP GP immediately following the closing of the GP IPO,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125"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700" w:hanging="332"/>
        <w:spacing w:after="0" w:line="227" w:lineRule="auto"/>
        <w:tabs>
          <w:tab w:leader="none" w:pos="340" w:val="left"/>
        </w:tabs>
        <w:numPr>
          <w:ilvl w:val="0"/>
          <w:numId w:val="111"/>
        </w:numPr>
        <w:rPr>
          <w:rFonts w:ascii="Arial" w:cs="Arial" w:eastAsia="Arial" w:hAnsi="Arial"/>
          <w:sz w:val="24"/>
          <w:szCs w:val="24"/>
          <w:color w:val="auto"/>
          <w:vertAlign w:val="superscript"/>
        </w:rPr>
      </w:pPr>
      <w:r>
        <w:rPr>
          <w:rFonts w:ascii="Arial" w:cs="Arial" w:eastAsia="Arial" w:hAnsi="Arial"/>
          <w:sz w:val="17"/>
          <w:szCs w:val="17"/>
          <w:color w:val="auto"/>
        </w:rPr>
        <w:t>If Messrs. Swanson, Chiang, McGee or Nerbonne were terminated for cause, GP LLC would be obligated to pay base salary through the date of termination, with no other payment obligation triggered by the termination under any employment arrangement.</w:t>
      </w:r>
    </w:p>
    <w:p>
      <w:pPr>
        <w:spacing w:after="0" w:line="94" w:lineRule="exact"/>
        <w:rPr>
          <w:rFonts w:ascii="Arial" w:cs="Arial" w:eastAsia="Arial" w:hAnsi="Arial"/>
          <w:sz w:val="24"/>
          <w:szCs w:val="24"/>
          <w:color w:val="auto"/>
          <w:vertAlign w:val="superscript"/>
        </w:rPr>
      </w:pPr>
    </w:p>
    <w:p>
      <w:pPr>
        <w:ind w:left="340" w:right="20" w:hanging="332"/>
        <w:spacing w:after="0" w:line="243" w:lineRule="auto"/>
        <w:tabs>
          <w:tab w:leader="none" w:pos="34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Mr. Chiang’s employment agreement provides that in the event of his death or disability prior to December 31, 2018, if less than 187,760 of his AAP Management Units have been earned, he shall vest in such number of additional AAP Management Units as may be necessary to cause the total number of vested AAP Management Units to equal 187,760. Mr. Chiang’s AAP Management Unit grant agreement also provides that in the event of his death or disability, AAP will not have a call right and all of his earned AAP Management Units will vest. As of December 30, 2016, none of Mr. Chiang’s AAP Management Units had been earned. The dollar value given assumes Mr. Chiang’s death or disability on December 30, 2016 and represents the implied value of such “benefit,” calculated as of December 30, 2016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($34.68) of PAGP’s Class A shares at December 30, 2016 (the last trading day of the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ind w:right="100"/>
        <w:spacing w:after="0" w:line="255" w:lineRule="auto"/>
        <w:rPr>
          <w:sz w:val="20"/>
          <w:szCs w:val="20"/>
          <w:color w:val="auto"/>
        </w:rPr>
      </w:pPr>
      <w:r>
        <w:rPr>
          <w:rFonts w:ascii="Arial" w:cs="Arial" w:eastAsia="Arial" w:hAnsi="Arial"/>
          <w:sz w:val="18"/>
          <w:szCs w:val="18"/>
          <w:color w:val="auto"/>
        </w:rPr>
        <w:t>Mr. Chiang has agreed to maintain confidentiality and not to solicit customers, assets and employees for two years following termination of his employment. Mr. Nerbonne and Mr. McGee have each agreed to maintain confidentiality and not to solicit customers for a period of two years after termination of his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a result of the Simplification Transactions completed in November 2016, the board of directors of GP LLC was eliminated and the board of directors of PAGP GP now has responsibility for managing the business and affairs of PAGP, PAA and AAP. The following table sets forth a summary of the compensation paid to each person who served as a non-employee director of GP LLC or PAGP GP in 2016:</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Fees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Earned</w:t>
            </w:r>
          </w:p>
        </w:tc>
        <w:tc>
          <w:tcPr>
            <w:tcW w:w="17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Stock</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700" w:type="dxa"/>
            <w:vAlign w:val="bottom"/>
            <w:gridSpan w:val="2"/>
            <w:vMerge w:val="continue"/>
          </w:tcPr>
          <w:p>
            <w:pPr>
              <w:spacing w:after="0"/>
              <w:rPr>
                <w:sz w:val="12"/>
                <w:szCs w:val="12"/>
                <w:color w:val="auto"/>
              </w:rPr>
            </w:pPr>
          </w:p>
        </w:tc>
        <w:tc>
          <w:tcPr>
            <w:tcW w:w="15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6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Cash ($)</w:t>
            </w:r>
            <w:r>
              <w:rPr>
                <w:rFonts w:ascii="Arial" w:cs="Arial" w:eastAsia="Arial" w:hAnsi="Arial"/>
                <w:sz w:val="8"/>
                <w:szCs w:val="8"/>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Victor Burk</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42,500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45,040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87,540</w:t>
            </w:r>
          </w:p>
        </w:tc>
        <w:tc>
          <w:tcPr>
            <w:tcW w:w="0" w:type="dxa"/>
            <w:vAlign w:val="bottom"/>
          </w:tcPr>
          <w:p>
            <w:pPr>
              <w:spacing w:after="0"/>
              <w:rPr>
                <w:sz w:val="1"/>
                <w:szCs w:val="1"/>
                <w:color w:val="auto"/>
              </w:rPr>
            </w:pPr>
          </w:p>
        </w:tc>
      </w:tr>
      <w:tr>
        <w:trPr>
          <w:trHeight w:val="270"/>
        </w:trPr>
        <w:tc>
          <w:tcPr>
            <w:tcW w:w="63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Ben Figlock </w:t>
            </w:r>
            <w:r>
              <w:rPr>
                <w:rFonts w:ascii="Arial" w:cs="Arial" w:eastAsia="Arial" w:hAnsi="Arial"/>
                <w:sz w:val="25"/>
                <w:szCs w:val="25"/>
                <w:color w:val="auto"/>
                <w:vertAlign w:val="superscript"/>
              </w:rPr>
              <w:t>(3)</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3"/>
                <w:szCs w:val="23"/>
                <w:color w:val="auto"/>
              </w:rPr>
            </w:pP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n/a</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Everardo Goyanes</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172,774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247,774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Gary R. Petersen</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121,250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72,875</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194,125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T. Raymond</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72,875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117,875</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Bobby S. Shackouls</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40,875</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45,040</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85,915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V. Sinnott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72,875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119,875</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J. Taft Symonds</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138,250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145,750</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284,000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M. Temple</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145,750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300,750</w:t>
            </w:r>
          </w:p>
        </w:tc>
        <w:tc>
          <w:tcPr>
            <w:tcW w:w="0" w:type="dxa"/>
            <w:vAlign w:val="bottom"/>
          </w:tcPr>
          <w:p>
            <w:pPr>
              <w:spacing w:after="0"/>
              <w:rPr>
                <w:sz w:val="1"/>
                <w:szCs w:val="1"/>
                <w:color w:val="auto"/>
              </w:rPr>
            </w:pPr>
          </w:p>
        </w:tc>
      </w:tr>
      <w:tr>
        <w:trPr>
          <w:trHeight w:val="27"/>
        </w:trPr>
        <w:tc>
          <w:tcPr>
            <w:tcW w:w="6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323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40" w:right="60" w:hanging="332"/>
        <w:spacing w:after="0" w:line="216" w:lineRule="auto"/>
        <w:tabs>
          <w:tab w:leader="none" w:pos="340" w:val="left"/>
        </w:tabs>
        <w:numPr>
          <w:ilvl w:val="0"/>
          <w:numId w:val="112"/>
        </w:numPr>
        <w:rPr>
          <w:rFonts w:ascii="Arial" w:cs="Arial" w:eastAsia="Arial" w:hAnsi="Arial"/>
          <w:sz w:val="25"/>
          <w:szCs w:val="25"/>
          <w:color w:val="auto"/>
          <w:vertAlign w:val="superscript"/>
        </w:rPr>
      </w:pPr>
      <w:r>
        <w:rPr>
          <w:rFonts w:ascii="Arial" w:cs="Arial" w:eastAsia="Arial" w:hAnsi="Arial"/>
          <w:sz w:val="18"/>
          <w:szCs w:val="18"/>
          <w:color w:val="auto"/>
        </w:rPr>
        <w:t>For Messrs. Petersen, Symonds and Temple, fees paid in 2016 include fees for service on the conflicts committee established by the board of directors of GP LLC in connection with the Simplification Transactions.</w:t>
      </w:r>
    </w:p>
    <w:p>
      <w:pPr>
        <w:spacing w:after="0" w:line="95" w:lineRule="exact"/>
        <w:rPr>
          <w:rFonts w:ascii="Arial" w:cs="Arial" w:eastAsia="Arial" w:hAnsi="Arial"/>
          <w:sz w:val="25"/>
          <w:szCs w:val="25"/>
          <w:color w:val="auto"/>
          <w:vertAlign w:val="superscript"/>
        </w:rPr>
      </w:pPr>
    </w:p>
    <w:p>
      <w:pPr>
        <w:ind w:left="340" w:right="120" w:hanging="332"/>
        <w:spacing w:after="0" w:line="271" w:lineRule="auto"/>
        <w:tabs>
          <w:tab w:leader="none" w:pos="340" w:val="left"/>
        </w:tabs>
        <w:numPr>
          <w:ilvl w:val="0"/>
          <w:numId w:val="112"/>
        </w:numPr>
        <w:rPr>
          <w:rFonts w:ascii="Arial" w:cs="Arial" w:eastAsia="Arial" w:hAnsi="Arial"/>
          <w:sz w:val="22"/>
          <w:szCs w:val="22"/>
          <w:color w:val="auto"/>
          <w:vertAlign w:val="superscript"/>
        </w:rPr>
      </w:pPr>
      <w:r>
        <w:rPr>
          <w:rFonts w:ascii="Arial" w:cs="Arial" w:eastAsia="Arial" w:hAnsi="Arial"/>
          <w:sz w:val="16"/>
          <w:szCs w:val="16"/>
          <w:color w:val="auto"/>
        </w:rPr>
        <w:t>The dollar value of LTIPs granted during 2016 is based on the grant date fair value computed in accordance with FASB ASC Topic 718. See Note 16 to our Consolidated Financial Statements for additional discussion regarding the calculation of grant date fair values. In connection with the August 2016 vesting of director LTIP awards issued prior to the consummation of the Simplification Transactions, Messrs. Goyanes, Symonds and Temple each were granted 5,000 PAA phantom units, and Messrs. Petersen, Raymond and Sinnott each were granted 2,500 PAA phantom units by virtue of the automatic re-grant feature of the vested awards. Upon vesting of such PAA director LTIP awards in August 2016 (other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125"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right="20"/>
        <w:spacing w:after="0" w:line="344" w:lineRule="auto"/>
        <w:rPr>
          <w:sz w:val="20"/>
          <w:szCs w:val="20"/>
          <w:color w:val="auto"/>
        </w:rPr>
      </w:pPr>
      <w:r>
        <w:rPr>
          <w:rFonts w:ascii="Arial" w:cs="Arial" w:eastAsia="Arial" w:hAnsi="Arial"/>
          <w:sz w:val="16"/>
          <w:szCs w:val="16"/>
          <w:color w:val="auto"/>
        </w:rPr>
        <w:t>than the incremental audit committee awards), a cash payment of $89,600 was made to Oxy as directed by Mr. Figlock. Such cash payment was based on the unit value of Mr. Sinnott’s award on the previous year’s vesting date. In connection with the February 2016 vesting of PAGP director LTIP awards, Messrs. Burk and Shackouls each were granted 3,004 phantom PAGP Class A shares and Mr. Goyanes was granted 1,803 phantom PAGP Class A shares by virtue of the automatic re-grant feature of the vested awards. As of December 31, 2016, the number of outstanding PAA LTIPs held by our directors was as follows: Goyanes - 20,000; Petersen - 10,000; Raymond - 10,000; Sinnott - 10,000; Symonds - 20,000; and Temple - 20,000. As of December 31, 2016, the number of outstanding PAGP LTIPs held by our directors was as follows: Burk - 12,016; Goyanes - 7,210; and Shackouls - 12,016. These arrangements were modified in February 2017 (see below for a description of the modified arrangements).</w:t>
      </w:r>
    </w:p>
    <w:p>
      <w:pPr>
        <w:ind w:left="340" w:hanging="332"/>
        <w:spacing w:after="0" w:line="218" w:lineRule="auto"/>
        <w:tabs>
          <w:tab w:leader="none" w:pos="340" w:val="left"/>
        </w:tabs>
        <w:numPr>
          <w:ilvl w:val="0"/>
          <w:numId w:val="113"/>
        </w:numPr>
        <w:rPr>
          <w:rFonts w:ascii="Arial" w:cs="Arial" w:eastAsia="Arial" w:hAnsi="Arial"/>
          <w:sz w:val="25"/>
          <w:szCs w:val="25"/>
          <w:color w:val="auto"/>
          <w:vertAlign w:val="superscript"/>
        </w:rPr>
      </w:pPr>
      <w:r>
        <w:rPr>
          <w:rFonts w:ascii="Arial" w:cs="Arial" w:eastAsia="Arial" w:hAnsi="Arial"/>
          <w:sz w:val="18"/>
          <w:szCs w:val="18"/>
          <w:color w:val="auto"/>
        </w:rPr>
        <w:t>Mr. Figlock’s compensation is assigned to Oxy.</w:t>
      </w:r>
    </w:p>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Each director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however, the annual retainer fee for the director designated by Oxy is paid to Oxy.</w:t>
      </w:r>
    </w:p>
    <w:p>
      <w:pPr>
        <w:ind w:right="160"/>
        <w:spacing w:after="0" w:line="254" w:lineRule="auto"/>
        <w:rPr>
          <w:sz w:val="20"/>
          <w:szCs w:val="20"/>
          <w:color w:val="auto"/>
        </w:rPr>
      </w:pPr>
      <w:r>
        <w:rPr>
          <w:rFonts w:ascii="Arial" w:cs="Arial" w:eastAsia="Arial" w:hAnsi="Arial"/>
          <w:sz w:val="18"/>
          <w:szCs w:val="18"/>
          <w:color w:val="auto"/>
        </w:rPr>
        <w:t>Messrs. Armstrong, Chiang and Pefanis are otherwise compensated for their services as employees and therefore receive no separate compensation for services as directors.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w:t>
      </w:r>
    </w:p>
    <w:p>
      <w:pPr>
        <w:spacing w:after="0" w:line="19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non-employee directors receive LTIP awards or cash equivalent awards as part of their compensation. In February 2017, the board of directors approved a modified equity compensation structure for non-employee directors and a plan for transitioning to the new structure. Specifically, the board of directors approved making new grants, cancelling existing grants or amending and restating the director’s existing grants as necessary to effect the following (with the grants described below being denominated in either PAA phantom units or PAGP phantom units based on a one-time election to be made by each director): (i) for each designated director other than the Oxy designee (i.e., Messrs. Raymond and Sinnott, but excluding Mr. Figlock), a phantom unit grant of 10,000 units vesting 25% on the August distribution date of each year, with an automatic re-grant of an additional 25% immediately upon each such vesting, together with associated DERs, (ii) for each independent director who is not serving on the Audit Committee (Messrs. Petersen, Shackouls and Temple), a phantom unit grant of 15,000 units vesting 25% on the August distribution date of each year, with an automatic re-grant of an additional 25% immediately upon each such vesting, together with associated DERs, (iii) for each independent director who is serving on the Audit Committee (Messrs. Burk, Goyanes and Symonds), two phantom unit grants of 10,000 units each (one for service as an independent director and a supplemental grant for service on the Audit Committee, for a total of 20,000 units) vesting 25% on the August distribution date of each year, with an automatic re-grant of an additional 25% immediately upon each such vesting, together with associated DERs, and (iv) for the director designated by Oxy (Mr. Figlock), concurrent with the annual August vesting of the awards made to the other designated directors, a cash payment will be made to Oxy based on the unit value of Mr. Sinnott’s award on the previous year’s vesting date.</w:t>
      </w:r>
    </w:p>
    <w:p>
      <w:pPr>
        <w:spacing w:after="0" w:line="18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All director LTIP awards vest in full upon the next following distribution date after the death or disability (as determined in good faith by the board) of the director. For supplemental audit committee grants, the awards also vest in full if such director (i) retires (no longer with full-time employment and no longer serving as an officer or director of any public company) or (ii) is removed from the board of directors or the Audit Committee or is not reelected to the board of directors or the Audit Committee, unless such removal or failure to reelect is for “good cause,” as defined in the letter granting the units.</w:t>
      </w:r>
    </w:p>
    <w:p>
      <w:pPr>
        <w:spacing w:after="0" w:line="15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During 2016, prior to the closing of the Simplification Transactions, Messrs. Figlock, Goyanes, Raymond and Sinnott also served as directors of PAGP GP, and Mr. Goyanes served as chairman of the PAGP GP audit committee. Messrs. Figlock, Raymond and Sinnott did not receive additional compensation for their service on the PAGP GP board. During 2016, prior to the closing of the Simplification Transactions, Messrs. Sinnott and Goyanes served as chairmen of the compensation and audit committees, respectively, of the GP LLC board. Mr. Symonds served as chairman of the governance committee of the GP LLC board prior to the Simplification Transactions; Mr. Shackouls has served as chairman of the governance committee of the PAGP GP board since the Simplification Transactions.</w:t>
      </w:r>
    </w:p>
    <w:p>
      <w:pPr>
        <w:spacing w:after="0" w:line="19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2016, prior to the Simplification Transactions, Messrs. Burk and Shackouls each received an annual retainer of $40,000 for service on the PAGP GP board and audit committee. Messrs. Burk and Shackouls each also received initial equity compensation in the form of an LTIP award for 12,016 phantom Class A shares of PAGP. Mr. Goyanes did not receive additional cash compensation for his service as a director and chairman of the audit committee of the PAGP GP board, but he received initial equity compensation in the form of an LTIP award for 7,210 phantom Class A shares of PAGP.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125"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does not pay its general partner a management fee, but it does reimburse its general partner for all direct and indirect costs of services provided to PAA, incurred on PAA’s behalf, including the costs of employee, officer and director compensation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set forth certain information regarding the beneficial ownership of our Class A shares and Class B shares as of February 15,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more than 5% of the Class A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more than 5% of the Class B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Named Executive Officers of our general partner;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the directors of our general partner;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225" w:lineRule="exact"/>
        <w:rPr>
          <w:sz w:val="20"/>
          <w:szCs w:val="20"/>
          <w:color w:val="auto"/>
        </w:rPr>
      </w:pPr>
    </w:p>
    <w:p>
      <w:pPr>
        <w:ind w:right="20" w:firstLine="351"/>
        <w:spacing w:after="0" w:line="342" w:lineRule="auto"/>
        <w:rPr>
          <w:sz w:val="20"/>
          <w:szCs w:val="20"/>
          <w:color w:val="auto"/>
        </w:rPr>
      </w:pPr>
      <w:r>
        <w:rPr>
          <w:rFonts w:ascii="Arial" w:cs="Arial" w:eastAsia="Arial" w:hAnsi="Arial"/>
          <w:sz w:val="16"/>
          <w:szCs w:val="16"/>
          <w:color w:val="auto"/>
        </w:rPr>
        <w:t>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ectPr>
          <w:pgSz w:w="11900" w:h="16838" w:orient="portrait"/>
          <w:cols w:equalWidth="0" w:num="1">
            <w:col w:w="11380"/>
          </w:cols>
          <w:pgMar w:left="240" w:top="125" w:right="279" w:bottom="1440" w:gutter="0" w:footer="0" w:header="0"/>
        </w:sectPr>
      </w:pP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left="348"/>
              <w:spacing w:after="0"/>
              <w:rPr>
                <w:sz w:val="20"/>
                <w:szCs w:val="20"/>
                <w:color w:val="auto"/>
              </w:rPr>
            </w:pPr>
            <w:r>
              <w:rPr>
                <w:rFonts w:ascii="Arial" w:cs="Arial" w:eastAsia="Arial" w:hAnsi="Arial"/>
                <w:sz w:val="14"/>
                <w:szCs w:val="14"/>
                <w:b w:val="1"/>
                <w:bCs w:val="1"/>
                <w:color w:val="auto"/>
                <w:w w:val="88"/>
              </w:rPr>
              <w:t>Percentage of</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Class B Shares</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Class A Shares</w:t>
            </w:r>
          </w:p>
        </w:tc>
        <w:tc>
          <w:tcPr>
            <w:tcW w:w="13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Address of Beneficial Owner</w:t>
            </w:r>
          </w:p>
        </w:tc>
        <w:tc>
          <w:tcPr>
            <w:tcW w:w="120" w:type="dxa"/>
            <w:vAlign w:val="bottom"/>
            <w:vMerge w:val="restart"/>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2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right"/>
              <w:ind w:right="393"/>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 xml:space="preserve">Beneficially Owned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4"/>
              </w:rPr>
              <w:t>Owned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 xml:space="preserve">Owned </w:t>
            </w:r>
            <w:r>
              <w:rPr>
                <w:rFonts w:ascii="Arial" w:cs="Arial" w:eastAsia="Arial" w:hAnsi="Arial"/>
                <w:sz w:val="8"/>
                <w:szCs w:val="8"/>
                <w:b w:val="1"/>
                <w:bCs w:val="1"/>
                <w:color w:val="auto"/>
              </w:rPr>
              <w:t>(1) (2)</w:t>
            </w:r>
          </w:p>
        </w:tc>
        <w:tc>
          <w:tcPr>
            <w:tcW w:w="0" w:type="dxa"/>
            <w:vAlign w:val="bottom"/>
          </w:tcPr>
          <w:p>
            <w:pPr>
              <w:spacing w:after="0"/>
              <w:rPr>
                <w:sz w:val="1"/>
                <w:szCs w:val="1"/>
                <w:color w:val="auto"/>
              </w:rPr>
            </w:pPr>
          </w:p>
        </w:tc>
      </w:tr>
      <w:tr>
        <w:trPr>
          <w:trHeight w:val="228"/>
        </w:trPr>
        <w:tc>
          <w:tcPr>
            <w:tcW w:w="3820" w:type="dxa"/>
            <w:vAlign w:val="bottom"/>
            <w:gridSpan w:val="2"/>
          </w:tcPr>
          <w:p>
            <w:pPr>
              <w:ind w:left="40"/>
              <w:spacing w:after="0" w:line="228" w:lineRule="exact"/>
              <w:rPr>
                <w:sz w:val="20"/>
                <w:szCs w:val="20"/>
                <w:color w:val="auto"/>
              </w:rPr>
            </w:pPr>
            <w:r>
              <w:rPr>
                <w:rFonts w:ascii="Arial" w:cs="Arial" w:eastAsia="Arial" w:hAnsi="Arial"/>
                <w:sz w:val="18"/>
                <w:szCs w:val="18"/>
                <w:color w:val="auto"/>
              </w:rPr>
              <w:t xml:space="preserve">Chickasaw Capital Management, LLC </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6075</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6,524,411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6.3%</w:t>
            </w:r>
          </w:p>
        </w:tc>
        <w:tc>
          <w:tcPr>
            <w:tcW w:w="12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0"/>
              <w:spacing w:after="0"/>
              <w:rPr>
                <w:sz w:val="20"/>
                <w:szCs w:val="20"/>
                <w:color w:val="auto"/>
              </w:rPr>
            </w:pPr>
            <w:r>
              <w:rPr>
                <w:rFonts w:ascii="Arial" w:cs="Arial" w:eastAsia="Arial" w:hAnsi="Arial"/>
                <w:sz w:val="18"/>
                <w:szCs w:val="18"/>
                <w:color w:val="auto"/>
              </w:rPr>
              <w:t>Poplar Ave., Suite 720 Memphis, TN 38119</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20" w:type="dxa"/>
            <w:vAlign w:val="bottom"/>
            <w:gridSpan w:val="2"/>
          </w:tcPr>
          <w:p>
            <w:pPr>
              <w:ind w:left="40"/>
              <w:spacing w:after="0"/>
              <w:rPr>
                <w:sz w:val="20"/>
                <w:szCs w:val="20"/>
                <w:color w:val="auto"/>
              </w:rPr>
            </w:pPr>
            <w:r>
              <w:rPr>
                <w:rFonts w:ascii="Arial" w:cs="Arial" w:eastAsia="Arial" w:hAnsi="Arial"/>
                <w:sz w:val="18"/>
                <w:szCs w:val="18"/>
                <w:color w:val="auto"/>
                <w:w w:val="99"/>
              </w:rPr>
              <w:t>Kayne Anderson Capital Advisors, L.P./Richard</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6,913,958</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6.7%</w:t>
            </w:r>
          </w:p>
        </w:tc>
        <w:tc>
          <w:tcPr>
            <w:tcW w:w="120" w:type="dxa"/>
            <w:vAlign w:val="bottom"/>
          </w:tcPr>
          <w:p>
            <w:pPr>
              <w:spacing w:after="0"/>
              <w:rPr>
                <w:sz w:val="22"/>
                <w:szCs w:val="22"/>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A. Kayne</w:t>
            </w:r>
            <w:r>
              <w:rPr>
                <w:rFonts w:ascii="Arial" w:cs="Arial" w:eastAsia="Arial" w:hAnsi="Arial"/>
                <w:sz w:val="25"/>
                <w:szCs w:val="25"/>
                <w:color w:val="auto"/>
                <w:vertAlign w:val="superscript"/>
              </w:rPr>
              <w:t>(4)</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00"/>
              <w:spacing w:after="0"/>
              <w:rPr>
                <w:sz w:val="20"/>
                <w:szCs w:val="20"/>
                <w:color w:val="auto"/>
              </w:rPr>
            </w:pPr>
            <w:r>
              <w:rPr>
                <w:rFonts w:ascii="Arial" w:cs="Arial" w:eastAsia="Arial" w:hAnsi="Arial"/>
                <w:sz w:val="18"/>
                <w:szCs w:val="18"/>
                <w:color w:val="auto"/>
              </w:rPr>
              <w:t>1800 Avenue of the Stars, 3rd Floor</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0"/>
              <w:spacing w:after="0"/>
              <w:rPr>
                <w:sz w:val="20"/>
                <w:szCs w:val="20"/>
                <w:color w:val="auto"/>
              </w:rPr>
            </w:pPr>
            <w:r>
              <w:rPr>
                <w:rFonts w:ascii="Arial" w:cs="Arial" w:eastAsia="Arial" w:hAnsi="Arial"/>
                <w:sz w:val="18"/>
                <w:szCs w:val="18"/>
                <w:color w:val="auto"/>
              </w:rPr>
              <w:t>Los Angeles, CA 90067</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EMG Investment, LLC</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2"/>
                <w:szCs w:val="22"/>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45,632,121</w:t>
            </w:r>
          </w:p>
        </w:tc>
        <w:tc>
          <w:tcPr>
            <w:tcW w:w="0" w:type="dxa"/>
            <w:vAlign w:val="bottom"/>
          </w:tcPr>
          <w:p>
            <w:pPr>
              <w:spacing w:after="0"/>
              <w:rPr>
                <w:sz w:val="1"/>
                <w:szCs w:val="1"/>
                <w:color w:val="auto"/>
              </w:rPr>
            </w:pPr>
          </w:p>
        </w:tc>
      </w:tr>
      <w:tr>
        <w:trPr>
          <w:trHeight w:val="216"/>
        </w:trPr>
        <w:tc>
          <w:tcPr>
            <w:tcW w:w="3820" w:type="dxa"/>
            <w:vAlign w:val="bottom"/>
            <w:gridSpan w:val="2"/>
          </w:tcPr>
          <w:p>
            <w:pPr>
              <w:ind w:left="200"/>
              <w:spacing w:after="0"/>
              <w:rPr>
                <w:sz w:val="20"/>
                <w:szCs w:val="20"/>
                <w:color w:val="auto"/>
              </w:rPr>
            </w:pPr>
            <w:r>
              <w:rPr>
                <w:rFonts w:ascii="Arial" w:cs="Arial" w:eastAsia="Arial" w:hAnsi="Arial"/>
                <w:sz w:val="18"/>
                <w:szCs w:val="18"/>
                <w:color w:val="auto"/>
              </w:rPr>
              <w:t>811 Main, Suite 4200</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0"/>
              <w:spacing w:after="0"/>
              <w:rPr>
                <w:sz w:val="20"/>
                <w:szCs w:val="20"/>
                <w:color w:val="auto"/>
              </w:rPr>
            </w:pPr>
            <w:r>
              <w:rPr>
                <w:rFonts w:ascii="Arial" w:cs="Arial" w:eastAsia="Arial" w:hAnsi="Arial"/>
                <w:sz w:val="18"/>
                <w:szCs w:val="18"/>
                <w:color w:val="auto"/>
              </w:rPr>
              <w:t>Houston, TX 77002</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KAFU Holdings, L.P. et al</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2"/>
                <w:szCs w:val="22"/>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26,969,660</w:t>
            </w:r>
          </w:p>
        </w:tc>
        <w:tc>
          <w:tcPr>
            <w:tcW w:w="0" w:type="dxa"/>
            <w:vAlign w:val="bottom"/>
          </w:tcPr>
          <w:p>
            <w:pPr>
              <w:spacing w:after="0"/>
              <w:rPr>
                <w:sz w:val="1"/>
                <w:szCs w:val="1"/>
                <w:color w:val="auto"/>
              </w:rPr>
            </w:pP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1800 Avenue of the Stars, 3rd Floor</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0"/>
              <w:spacing w:after="0"/>
              <w:rPr>
                <w:sz w:val="20"/>
                <w:szCs w:val="20"/>
                <w:color w:val="auto"/>
              </w:rPr>
            </w:pPr>
            <w:r>
              <w:rPr>
                <w:rFonts w:ascii="Arial" w:cs="Arial" w:eastAsia="Arial" w:hAnsi="Arial"/>
                <w:sz w:val="18"/>
                <w:szCs w:val="18"/>
                <w:color w:val="auto"/>
              </w:rPr>
              <w:t>Los Angeles, CA 90067</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Oxy Holding Company (Pipeline), Inc.</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2"/>
                <w:szCs w:val="22"/>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29,977,890</w:t>
            </w:r>
          </w:p>
        </w:tc>
        <w:tc>
          <w:tcPr>
            <w:tcW w:w="0" w:type="dxa"/>
            <w:vAlign w:val="bottom"/>
          </w:tcPr>
          <w:p>
            <w:pPr>
              <w:spacing w:after="0"/>
              <w:rPr>
                <w:sz w:val="1"/>
                <w:szCs w:val="1"/>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5 Greenway Plaza</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Houston, TX 77046</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Greg L. Armstrong</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450,625</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5,757,268</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Harry N. Pefanis</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183,654</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3,768,988</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Al Swanson</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918,219</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433,620</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Wilfred (Willie) C. Chiang</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75,104</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353,489</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Richard McGee</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3"/>
                <w:szCs w:val="23"/>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429,346</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Daniel J. Nerbonne</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184,010</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57,936</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Victor Burk</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Ben Figlock</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3"/>
                <w:szCs w:val="23"/>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Everardo Goyanes</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22,305</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Gary R. Petersen</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-3935730</wp:posOffset>
            </wp:positionV>
            <wp:extent cx="7220585" cy="317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0585"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-3035300</wp:posOffset>
            </wp:positionV>
            <wp:extent cx="7220585" cy="4457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0585"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7220585"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0585"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722058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722058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22058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2058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2058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r>
      <w:tr>
        <w:trPr>
          <w:trHeight w:val="149"/>
        </w:trPr>
        <w:tc>
          <w:tcPr>
            <w:tcW w:w="4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Class B Shares</w:t>
            </w:r>
          </w:p>
        </w:tc>
      </w:tr>
      <w:tr>
        <w:trPr>
          <w:trHeight w:val="149"/>
        </w:trPr>
        <w:tc>
          <w:tcPr>
            <w:tcW w:w="4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92"/>
        </w:trPr>
        <w:tc>
          <w:tcPr>
            <w:tcW w:w="4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Owned </w:t>
            </w:r>
            <w:r>
              <w:rPr>
                <w:rFonts w:ascii="Arial" w:cs="Arial" w:eastAsia="Arial" w:hAnsi="Arial"/>
                <w:sz w:val="8"/>
                <w:szCs w:val="8"/>
                <w:b w:val="1"/>
                <w:bCs w:val="1"/>
                <w:color w:val="auto"/>
                <w:w w:val="96"/>
              </w:rPr>
              <w:t>(2)</w:t>
            </w:r>
          </w:p>
        </w:tc>
      </w:tr>
      <w:tr>
        <w:trPr>
          <w:trHeight w:val="243"/>
        </w:trPr>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18"/>
        </w:trPr>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702"/>
        </w:trPr>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702"/>
        </w:trPr>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702"/>
        </w:trPr>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20" w:type="dxa"/>
            <w:vAlign w:val="bottom"/>
          </w:tcPr>
          <w:p>
            <w:pPr>
              <w:spacing w:after="0"/>
              <w:rPr>
                <w:sz w:val="23"/>
                <w:szCs w:val="23"/>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jc w:val="right"/>
              <w:ind w:right="217"/>
              <w:spacing w:after="0"/>
              <w:rPr>
                <w:sz w:val="20"/>
                <w:szCs w:val="20"/>
                <w:color w:val="auto"/>
              </w:rPr>
            </w:pPr>
            <w:r>
              <w:rPr>
                <w:rFonts w:ascii="Arial" w:cs="Arial" w:eastAsia="Arial" w:hAnsi="Arial"/>
                <w:sz w:val="13"/>
                <w:szCs w:val="13"/>
                <w:color w:val="auto"/>
                <w:w w:val="75"/>
              </w:rPr>
              <w:t>(5)</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jc w:val="right"/>
              <w:ind w:right="217"/>
              <w:spacing w:after="0"/>
              <w:rPr>
                <w:sz w:val="20"/>
                <w:szCs w:val="20"/>
                <w:color w:val="auto"/>
              </w:rPr>
            </w:pPr>
            <w:r>
              <w:rPr>
                <w:rFonts w:ascii="Arial" w:cs="Arial" w:eastAsia="Arial" w:hAnsi="Arial"/>
                <w:sz w:val="13"/>
                <w:szCs w:val="13"/>
                <w:color w:val="auto"/>
                <w:w w:val="75"/>
              </w:rPr>
              <w:t>(6)</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jc w:val="right"/>
              <w:ind w:right="217"/>
              <w:spacing w:after="0"/>
              <w:rPr>
                <w:sz w:val="20"/>
                <w:szCs w:val="20"/>
                <w:color w:val="auto"/>
              </w:rPr>
            </w:pPr>
            <w:r>
              <w:rPr>
                <w:rFonts w:ascii="Arial" w:cs="Arial" w:eastAsia="Arial" w:hAnsi="Arial"/>
                <w:sz w:val="13"/>
                <w:szCs w:val="13"/>
                <w:color w:val="auto"/>
                <w:w w:val="75"/>
              </w:rPr>
              <w:t>(7)</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9280" w:space="20"/>
            <w:col w:w="2080"/>
          </w:cols>
          <w:pgMar w:left="240" w:top="125" w:right="279" w:bottom="1440" w:gutter="0" w:footer="0" w:header="0"/>
          <w:type w:val="continuous"/>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380"/>
          </w:cols>
          <w:pgMar w:left="240" w:top="125" w:right="27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left="348"/>
              <w:spacing w:after="0"/>
              <w:rPr>
                <w:sz w:val="20"/>
                <w:szCs w:val="20"/>
                <w:color w:val="auto"/>
              </w:rPr>
            </w:pPr>
            <w:r>
              <w:rPr>
                <w:rFonts w:ascii="Arial" w:cs="Arial" w:eastAsia="Arial" w:hAnsi="Arial"/>
                <w:sz w:val="14"/>
                <w:szCs w:val="14"/>
                <w:b w:val="1"/>
                <w:bCs w:val="1"/>
                <w:color w:val="auto"/>
                <w:w w:val="88"/>
              </w:rPr>
              <w:t>Percentage of</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Class B Shares</w:t>
            </w:r>
          </w:p>
        </w:tc>
        <w:tc>
          <w:tcPr>
            <w:tcW w:w="4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Class A Shares</w:t>
            </w:r>
          </w:p>
        </w:tc>
        <w:tc>
          <w:tcPr>
            <w:tcW w:w="13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Class B Shares</w:t>
            </w: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Address of Beneficial Owner</w:t>
            </w:r>
          </w:p>
        </w:tc>
        <w:tc>
          <w:tcPr>
            <w:tcW w:w="120" w:type="dxa"/>
            <w:vAlign w:val="bottom"/>
            <w:vMerge w:val="restart"/>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2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right"/>
              <w:ind w:right="396"/>
              <w:spacing w:after="0" w:line="149" w:lineRule="exact"/>
              <w:rPr>
                <w:sz w:val="20"/>
                <w:szCs w:val="20"/>
                <w:color w:val="auto"/>
              </w:rPr>
            </w:pPr>
            <w:r>
              <w:rPr>
                <w:rFonts w:ascii="Arial" w:cs="Arial" w:eastAsia="Arial" w:hAnsi="Arial"/>
                <w:sz w:val="14"/>
                <w:szCs w:val="14"/>
                <w:b w:val="1"/>
                <w:bCs w:val="1"/>
                <w:color w:val="auto"/>
              </w:rPr>
              <w:t>Beneficially</w:t>
            </w:r>
          </w:p>
        </w:tc>
        <w:tc>
          <w:tcPr>
            <w:tcW w:w="4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xml:space="preserve">Beneficially Owned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4"/>
              </w:rPr>
              <w:t>Owned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xml:space="preserve">Owned </w:t>
            </w:r>
            <w:r>
              <w:rPr>
                <w:rFonts w:ascii="Arial" w:cs="Arial" w:eastAsia="Arial" w:hAnsi="Arial"/>
                <w:sz w:val="8"/>
                <w:szCs w:val="8"/>
                <w:b w:val="1"/>
                <w:bCs w:val="1"/>
                <w:color w:val="auto"/>
              </w:rPr>
              <w:t>(1) (2)</w:t>
            </w:r>
          </w:p>
        </w:tc>
        <w:tc>
          <w:tcPr>
            <w:tcW w:w="44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Owned </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John T. Raymond</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215,531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48,815,337</w:t>
            </w:r>
          </w:p>
        </w:tc>
        <w:tc>
          <w:tcPr>
            <w:tcW w:w="440" w:type="dxa"/>
            <w:vAlign w:val="bottom"/>
          </w:tcPr>
          <w:p>
            <w:pPr>
              <w:ind w:left="20"/>
              <w:spacing w:after="0"/>
              <w:rPr>
                <w:sz w:val="20"/>
                <w:szCs w:val="20"/>
                <w:color w:val="auto"/>
              </w:rPr>
            </w:pPr>
            <w:r>
              <w:rPr>
                <w:rFonts w:ascii="Arial" w:cs="Arial" w:eastAsia="Arial" w:hAnsi="Arial"/>
                <w:sz w:val="13"/>
                <w:szCs w:val="13"/>
                <w:color w:val="auto"/>
              </w:rPr>
              <w:t>(8)</w:t>
            </w:r>
          </w:p>
        </w:tc>
        <w:tc>
          <w:tcPr>
            <w:tcW w:w="166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Bobby S. Shackouls</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Robert V. Sinnott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1,229,640</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1.2%</w:t>
            </w:r>
          </w:p>
        </w:tc>
        <w:tc>
          <w:tcPr>
            <w:tcW w:w="12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24,657,834</w:t>
            </w:r>
          </w:p>
        </w:tc>
        <w:tc>
          <w:tcPr>
            <w:tcW w:w="440" w:type="dxa"/>
            <w:vAlign w:val="bottom"/>
          </w:tcPr>
          <w:p>
            <w:pPr>
              <w:ind w:left="20"/>
              <w:spacing w:after="0"/>
              <w:rPr>
                <w:sz w:val="20"/>
                <w:szCs w:val="20"/>
                <w:color w:val="auto"/>
              </w:rPr>
            </w:pPr>
            <w:r>
              <w:rPr>
                <w:rFonts w:ascii="Arial" w:cs="Arial" w:eastAsia="Arial" w:hAnsi="Arial"/>
                <w:sz w:val="13"/>
                <w:szCs w:val="13"/>
                <w:color w:val="auto"/>
              </w:rPr>
              <w:t>(9)</w:t>
            </w:r>
          </w:p>
        </w:tc>
        <w:tc>
          <w:tcPr>
            <w:tcW w:w="16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Taft Symonds</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8"/>
                <w:szCs w:val="18"/>
                <w:color w:val="auto"/>
              </w:rPr>
              <w:t>Chris Temple</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All directors and executive officers of our general</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partner as a group (18 persons) </w:t>
            </w:r>
            <w:r>
              <w:rPr>
                <w:rFonts w:ascii="Arial" w:cs="Arial" w:eastAsia="Arial" w:hAnsi="Arial"/>
                <w:sz w:val="25"/>
                <w:szCs w:val="25"/>
                <w:color w:val="auto"/>
                <w:vertAlign w:val="superscript"/>
              </w:rPr>
              <w:t>(11)</w:t>
            </w: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5,239,508</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85,545,817</w:t>
            </w: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323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97" w:lineRule="exact"/>
        <w:rPr>
          <w:sz w:val="20"/>
          <w:szCs w:val="20"/>
          <w:color w:val="auto"/>
        </w:rPr>
      </w:pPr>
    </w:p>
    <w:p>
      <w:pPr>
        <w:ind w:left="340" w:right="200" w:hanging="332"/>
        <w:spacing w:after="0" w:line="271" w:lineRule="auto"/>
        <w:tabs>
          <w:tab w:leader="none" w:pos="340" w:val="left"/>
        </w:tabs>
        <w:numPr>
          <w:ilvl w:val="0"/>
          <w:numId w:val="115"/>
        </w:numPr>
        <w:rPr>
          <w:rFonts w:ascii="Arial" w:cs="Arial" w:eastAsia="Arial" w:hAnsi="Arial"/>
          <w:sz w:val="22"/>
          <w:szCs w:val="22"/>
          <w:color w:val="auto"/>
          <w:vertAlign w:val="superscript"/>
        </w:rPr>
      </w:pPr>
      <w:r>
        <w:rPr>
          <w:rFonts w:ascii="Arial" w:cs="Arial" w:eastAsia="Arial" w:hAnsi="Arial"/>
          <w:sz w:val="16"/>
          <w:szCs w:val="16"/>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71" w:lineRule="exact"/>
        <w:rPr>
          <w:rFonts w:ascii="Arial" w:cs="Arial" w:eastAsia="Arial" w:hAnsi="Arial"/>
          <w:sz w:val="22"/>
          <w:szCs w:val="22"/>
          <w:color w:val="auto"/>
          <w:vertAlign w:val="superscript"/>
        </w:rPr>
      </w:pPr>
    </w:p>
    <w:p>
      <w:pPr>
        <w:ind w:left="340" w:right="160" w:hanging="332"/>
        <w:spacing w:after="0" w:line="235" w:lineRule="auto"/>
        <w:tabs>
          <w:tab w:leader="none" w:pos="34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As long as our Class A shares are publicly traded, a holder of vested AAP Management Units will be entitled to convert such AAP Management Units into Class B shares and a like number of AAP units based on a conversion ratio of approximately 0.941 AAP units (and Class B shares) for each AAP Management Unit.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39"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This information has been derived from a Schedule 13G filed with the SEC on January 27, 2017.</w:t>
      </w:r>
    </w:p>
    <w:p>
      <w:pPr>
        <w:spacing w:after="0" w:line="98" w:lineRule="exact"/>
        <w:rPr>
          <w:rFonts w:ascii="Arial" w:cs="Arial" w:eastAsia="Arial" w:hAnsi="Arial"/>
          <w:sz w:val="25"/>
          <w:szCs w:val="25"/>
          <w:color w:val="auto"/>
          <w:vertAlign w:val="superscript"/>
        </w:rPr>
      </w:pPr>
    </w:p>
    <w:p>
      <w:pPr>
        <w:ind w:left="340" w:right="440" w:hanging="332"/>
        <w:spacing w:after="0" w:line="242" w:lineRule="auto"/>
        <w:tabs>
          <w:tab w:leader="none" w:pos="340" w:val="left"/>
        </w:tabs>
        <w:numPr>
          <w:ilvl w:val="0"/>
          <w:numId w:val="115"/>
        </w:numPr>
        <w:rPr>
          <w:rFonts w:ascii="Arial" w:cs="Arial" w:eastAsia="Arial" w:hAnsi="Arial"/>
          <w:sz w:val="22"/>
          <w:szCs w:val="22"/>
          <w:color w:val="auto"/>
          <w:vertAlign w:val="superscript"/>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under the management or control of KACALP own 6,364,041 Class A shares.</w:t>
      </w:r>
    </w:p>
    <w:p>
      <w:pPr>
        <w:spacing w:after="0" w:line="1" w:lineRule="exact"/>
        <w:rPr>
          <w:rFonts w:ascii="Arial" w:cs="Arial" w:eastAsia="Arial" w:hAnsi="Arial"/>
          <w:sz w:val="22"/>
          <w:szCs w:val="22"/>
          <w:color w:val="auto"/>
          <w:vertAlign w:val="superscript"/>
        </w:rPr>
      </w:pPr>
    </w:p>
    <w:p>
      <w:pPr>
        <w:ind w:left="340" w:right="140"/>
        <w:spacing w:after="0" w:line="255" w:lineRule="auto"/>
        <w:rPr>
          <w:rFonts w:ascii="Arial" w:cs="Arial" w:eastAsia="Arial" w:hAnsi="Arial"/>
          <w:sz w:val="22"/>
          <w:szCs w:val="22"/>
          <w:color w:val="auto"/>
          <w:vertAlign w:val="superscript"/>
        </w:rPr>
      </w:pPr>
      <w:r>
        <w:rPr>
          <w:rFonts w:ascii="Arial" w:cs="Arial" w:eastAsia="Arial" w:hAnsi="Arial"/>
          <w:sz w:val="18"/>
          <w:szCs w:val="18"/>
          <w:color w:val="auto"/>
        </w:rPr>
        <w:t>Mr. Kayne may be deemed to beneficially own such shares. In addition, Mr. Kayne directly owns or has sole voting and dispositive power over 549,917 Class A shares. Mr. Kayne disclaims beneficial ownership of any of our Class A shares other than Class A shares held by him or attributable to him by virtue of his interests in the accounts that own our Class A shares.</w:t>
      </w:r>
    </w:p>
    <w:p>
      <w:pPr>
        <w:spacing w:after="0" w:line="82" w:lineRule="exact"/>
        <w:rPr>
          <w:rFonts w:ascii="Arial" w:cs="Arial" w:eastAsia="Arial" w:hAnsi="Arial"/>
          <w:sz w:val="22"/>
          <w:szCs w:val="22"/>
          <w:color w:val="auto"/>
          <w:vertAlign w:val="superscript"/>
        </w:rPr>
      </w:pPr>
    </w:p>
    <w:p>
      <w:pPr>
        <w:ind w:left="340" w:right="160" w:hanging="332"/>
        <w:spacing w:after="0" w:line="216" w:lineRule="auto"/>
        <w:tabs>
          <w:tab w:leader="none" w:pos="34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Class B shares beneficially owned by Mr. Chiang through his beneficial ownership of 353,489 AAP units and Class B shares, based on a conversion ratio of 0.941 AAP units and Class B shares for each AAP Management Unit.</w:t>
      </w:r>
    </w:p>
    <w:p>
      <w:pPr>
        <w:spacing w:after="0" w:line="72"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15"/>
        </w:numPr>
        <w:rPr>
          <w:rFonts w:ascii="Arial" w:cs="Arial" w:eastAsia="Arial" w:hAnsi="Arial"/>
          <w:sz w:val="22"/>
          <w:szCs w:val="22"/>
          <w:color w:val="auto"/>
          <w:vertAlign w:val="superscript"/>
        </w:rPr>
      </w:pPr>
      <w:r>
        <w:rPr>
          <w:rFonts w:ascii="Arial" w:cs="Arial" w:eastAsia="Arial" w:hAnsi="Arial"/>
          <w:sz w:val="16"/>
          <w:szCs w:val="16"/>
          <w:color w:val="auto"/>
        </w:rPr>
        <w:t>Represents the number of Class B shares beneficially owned by Mr. McGee through his (i) direct ownership of 14,739 AAP units and Class B shares and</w:t>
      </w:r>
    </w:p>
    <w:p>
      <w:pPr>
        <w:spacing w:after="0" w:line="1" w:lineRule="exact"/>
        <w:rPr>
          <w:rFonts w:ascii="Arial" w:cs="Arial" w:eastAsia="Arial" w:hAnsi="Arial"/>
          <w:sz w:val="22"/>
          <w:szCs w:val="22"/>
          <w:color w:val="auto"/>
          <w:vertAlign w:val="superscript"/>
        </w:rPr>
      </w:pPr>
    </w:p>
    <w:p>
      <w:pPr>
        <w:ind w:left="340" w:right="360" w:hanging="8"/>
        <w:spacing w:after="0" w:line="259" w:lineRule="auto"/>
        <w:tabs>
          <w:tab w:leader="none" w:pos="60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beneficial ownership of 414,607 AAP units and Class B shares, based on a conversion ratio of 0.941 AAP units and Class B shares for each AAP Management Unit.</w:t>
      </w:r>
    </w:p>
    <w:p>
      <w:pPr>
        <w:spacing w:after="0" w:line="77" w:lineRule="exact"/>
        <w:rPr>
          <w:rFonts w:ascii="Arial" w:cs="Arial" w:eastAsia="Arial" w:hAnsi="Arial"/>
          <w:sz w:val="18"/>
          <w:szCs w:val="18"/>
          <w:color w:val="auto"/>
        </w:rPr>
      </w:pPr>
    </w:p>
    <w:p>
      <w:pPr>
        <w:ind w:left="340" w:right="140" w:hanging="332"/>
        <w:spacing w:after="0" w:line="226" w:lineRule="auto"/>
        <w:tabs>
          <w:tab w:leader="none" w:pos="34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Class B shares beneficially owned by Mr. Nerbonne through his (i) direct ownership of 4,913 AAP units and Class B shares and (ii) beneficial ownership of 53,023 AAP units and Class B shares, based on a conversion ratio of 0.941 AAP units and Class B shares for each AAP Management Unit.</w:t>
      </w:r>
    </w:p>
    <w:p>
      <w:pPr>
        <w:spacing w:after="0" w:line="73"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15"/>
        </w:numPr>
        <w:rPr>
          <w:rFonts w:ascii="Arial" w:cs="Arial" w:eastAsia="Arial" w:hAnsi="Arial"/>
          <w:sz w:val="22"/>
          <w:szCs w:val="22"/>
          <w:color w:val="auto"/>
          <w:vertAlign w:val="superscript"/>
        </w:rPr>
      </w:pPr>
      <w:r>
        <w:rPr>
          <w:rFonts w:ascii="Arial" w:cs="Arial" w:eastAsia="Arial" w:hAnsi="Arial"/>
          <w:sz w:val="16"/>
          <w:szCs w:val="16"/>
          <w:color w:val="auto"/>
        </w:rPr>
        <w:t>Mr. Raymond is (i) the sole member of the general partner of the manager of EMG Investment, LLC, which entity owns 45,632,121 Class B shares, and</w:t>
      </w:r>
    </w:p>
    <w:p>
      <w:pPr>
        <w:spacing w:after="0" w:line="1" w:lineRule="exact"/>
        <w:rPr>
          <w:rFonts w:ascii="Arial" w:cs="Arial" w:eastAsia="Arial" w:hAnsi="Arial"/>
          <w:sz w:val="22"/>
          <w:szCs w:val="22"/>
          <w:color w:val="auto"/>
          <w:vertAlign w:val="superscript"/>
        </w:rPr>
      </w:pPr>
    </w:p>
    <w:p>
      <w:pPr>
        <w:ind w:left="340" w:hanging="8"/>
        <w:spacing w:after="0" w:line="254" w:lineRule="auto"/>
        <w:tabs>
          <w:tab w:leader="none" w:pos="60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sole member of Lynx Holdings I, LLC, which entity owns 3,183,216 Class B shares. As such, Mr. Raymond has sole voting and dispositive power over the Class B shares owned by each of EMG Investment, LLC and Lynx Holdings I, LLC. Mr. Raymond disclaims any deemed beneficial ownership of the interests owned by EMG Investment, LLC beyond his pecuniary interest therein.</w:t>
      </w:r>
    </w:p>
    <w:p>
      <w:pPr>
        <w:spacing w:after="0" w:line="83" w:lineRule="exact"/>
        <w:rPr>
          <w:rFonts w:ascii="Arial" w:cs="Arial" w:eastAsia="Arial" w:hAnsi="Arial"/>
          <w:sz w:val="18"/>
          <w:szCs w:val="18"/>
          <w:color w:val="auto"/>
        </w:rPr>
      </w:pPr>
    </w:p>
    <w:p>
      <w:pPr>
        <w:jc w:val="both"/>
        <w:ind w:left="340" w:right="160" w:hanging="332"/>
        <w:spacing w:after="0" w:line="232" w:lineRule="auto"/>
        <w:tabs>
          <w:tab w:leader="none" w:pos="340" w:val="left"/>
        </w:tabs>
        <w:numPr>
          <w:ilvl w:val="0"/>
          <w:numId w:val="115"/>
        </w:numPr>
        <w:rPr>
          <w:rFonts w:ascii="Arial" w:cs="Arial" w:eastAsia="Arial" w:hAnsi="Arial"/>
          <w:sz w:val="25"/>
          <w:szCs w:val="25"/>
          <w:color w:val="auto"/>
          <w:vertAlign w:val="superscript"/>
        </w:rPr>
      </w:pPr>
      <w:r>
        <w:rPr>
          <w:rFonts w:ascii="Arial" w:cs="Arial" w:eastAsia="Arial" w:hAnsi="Arial"/>
          <w:sz w:val="18"/>
          <w:szCs w:val="18"/>
          <w:color w:val="auto"/>
        </w:rPr>
        <w:t>Mr. Sinnott has shared voting and dispositive power over the Class B shares owned by (i) KAFU Holdings, L.P. (“KAFU”), which entity owns 933,224 Class B shares, (ii) KAFU Holdings (QP), L.P. (“KAFU QP”), which entity owns 21,172,741 Class B shares, and (iii) KAFU Holdings II, L.P. (“KAFU II”), which entity owns 2,551,869 Class B shares. Mr. Sinnott disclaims any deemed beneficial ownership of the interests owned by KAFU, KAFU QP and KAFU II beyond his pecuniary interest therein.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100" w:hanging="332"/>
        <w:spacing w:after="0" w:line="227" w:lineRule="auto"/>
        <w:tabs>
          <w:tab w:leader="none" w:pos="340" w:val="left"/>
        </w:tabs>
        <w:numPr>
          <w:ilvl w:val="0"/>
          <w:numId w:val="116"/>
        </w:numPr>
        <w:rPr>
          <w:rFonts w:ascii="Arial" w:cs="Arial" w:eastAsia="Arial" w:hAnsi="Arial"/>
          <w:sz w:val="24"/>
          <w:szCs w:val="24"/>
          <w:color w:val="auto"/>
          <w:vertAlign w:val="superscript"/>
        </w:rPr>
      </w:pPr>
      <w:r>
        <w:rPr>
          <w:rFonts w:ascii="Arial" w:cs="Arial" w:eastAsia="Arial" w:hAnsi="Arial"/>
          <w:sz w:val="17"/>
          <w:szCs w:val="17"/>
          <w:color w:val="auto"/>
        </w:rPr>
        <w:t>The executive officers of our general partner as a group directly own 11,113,323 AAP units and Class B shares and beneficially own 959,323 AAP units and Class B shares based on a conversion ratio of 0.941 AAP units and Class B shares for each AAP Management Unit.</w:t>
      </w:r>
    </w:p>
    <w:p>
      <w:pPr>
        <w:spacing w:after="0" w:line="37"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116"/>
        </w:numPr>
        <w:rPr>
          <w:rFonts w:ascii="Arial" w:cs="Arial" w:eastAsia="Arial" w:hAnsi="Arial"/>
          <w:sz w:val="25"/>
          <w:szCs w:val="25"/>
          <w:color w:val="auto"/>
          <w:vertAlign w:val="superscript"/>
        </w:rPr>
      </w:pPr>
      <w:r>
        <w:rPr>
          <w:rFonts w:ascii="Arial" w:cs="Arial" w:eastAsia="Arial" w:hAnsi="Arial"/>
          <w:sz w:val="18"/>
          <w:szCs w:val="18"/>
          <w:color w:val="auto"/>
        </w:rPr>
        <w:t>As of February 15, 2017, no Class A shares or Class B shares were pledged by directors or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the percentage ownership of the Class A limited partners of AAP and the resulting economic interest of such limited partners and the holders of the AAP Management Units as a group, in each case as of February 15,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 of</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7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00" w:type="dxa"/>
            <w:vAlign w:val="bottom"/>
            <w:vMerge w:val="restart"/>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Class A LP</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Plains</w:t>
            </w:r>
          </w:p>
        </w:tc>
        <w:tc>
          <w:tcPr>
            <w:tcW w:w="0" w:type="dxa"/>
            <w:vAlign w:val="bottom"/>
          </w:tcPr>
          <w:p>
            <w:pPr>
              <w:spacing w:after="0"/>
              <w:rPr>
                <w:sz w:val="1"/>
                <w:szCs w:val="1"/>
                <w:color w:val="auto"/>
              </w:rPr>
            </w:pPr>
          </w:p>
        </w:tc>
      </w:tr>
      <w:tr>
        <w:trPr>
          <w:trHeight w:val="192"/>
        </w:trPr>
        <w:tc>
          <w:tcPr>
            <w:tcW w:w="7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AAP, L.P.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28"/>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Plains GP Holdings, L.P. and Plains All American GP LLC</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333 Clay Street, Suite 1600</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Houston, TX 77002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EMG Investment, LLC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200"/>
              <w:spacing w:after="0"/>
              <w:rPr>
                <w:sz w:val="20"/>
                <w:szCs w:val="20"/>
                <w:color w:val="auto"/>
              </w:rPr>
            </w:pPr>
            <w:r>
              <w:rPr>
                <w:rFonts w:ascii="Arial" w:cs="Arial" w:eastAsia="Arial" w:hAnsi="Arial"/>
                <w:sz w:val="18"/>
                <w:szCs w:val="18"/>
                <w:color w:val="auto"/>
              </w:rPr>
              <w:t>811 Main, Suite 4200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0"/>
              <w:spacing w:after="0"/>
              <w:rPr>
                <w:sz w:val="20"/>
                <w:szCs w:val="20"/>
                <w:color w:val="auto"/>
              </w:rPr>
            </w:pPr>
            <w:r>
              <w:rPr>
                <w:rFonts w:ascii="Arial" w:cs="Arial" w:eastAsia="Arial" w:hAnsi="Arial"/>
                <w:sz w:val="18"/>
                <w:szCs w:val="18"/>
                <w:color w:val="auto"/>
              </w:rPr>
              <w:t>Houston, TX 77002</w:t>
            </w:r>
          </w:p>
        </w:tc>
        <w:tc>
          <w:tcPr>
            <w:tcW w:w="16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KAFU Holdings, L.P. and Affiliates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1800 Avenue of the Stars, 3rd Floor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 Angeles, CA 90067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Oxy Holding Company (Pipeline), Inc.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200"/>
              <w:spacing w:after="0"/>
              <w:rPr>
                <w:sz w:val="20"/>
                <w:szCs w:val="20"/>
                <w:color w:val="auto"/>
              </w:rPr>
            </w:pPr>
            <w:r>
              <w:rPr>
                <w:rFonts w:ascii="Arial" w:cs="Arial" w:eastAsia="Arial" w:hAnsi="Arial"/>
                <w:sz w:val="18"/>
                <w:szCs w:val="18"/>
                <w:color w:val="auto"/>
              </w:rPr>
              <w:t>5 Greenway Plaza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0"/>
              <w:spacing w:after="0"/>
              <w:rPr>
                <w:sz w:val="20"/>
                <w:szCs w:val="20"/>
                <w:color w:val="auto"/>
              </w:rPr>
            </w:pPr>
            <w:r>
              <w:rPr>
                <w:rFonts w:ascii="Arial" w:cs="Arial" w:eastAsia="Arial" w:hAnsi="Arial"/>
                <w:sz w:val="18"/>
                <w:szCs w:val="18"/>
                <w:color w:val="auto"/>
              </w:rPr>
              <w:t>Houston, TX 77046</w:t>
            </w:r>
          </w:p>
        </w:tc>
        <w:tc>
          <w:tcPr>
            <w:tcW w:w="16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Strome PAA, L.P. and Affiliate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Windy, L.L.C.</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Lynx Holdings I, LLC</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79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Various Individual Investors and Former PAA Management LP Investors </w:t>
            </w:r>
            <w:r>
              <w:rPr>
                <w:rFonts w:ascii="Arial" w:cs="Arial" w:eastAsia="Arial" w:hAnsi="Arial"/>
                <w:sz w:val="25"/>
                <w:szCs w:val="25"/>
                <w:color w:val="auto"/>
                <w:vertAlign w:val="superscript"/>
              </w:rPr>
              <w:t>(2)(3)</w:t>
            </w:r>
          </w:p>
        </w:tc>
        <w:tc>
          <w:tcPr>
            <w:tcW w:w="16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AAP Management Unitholders </w:t>
            </w:r>
            <w:r>
              <w:rPr>
                <w:rFonts w:ascii="Arial" w:cs="Arial" w:eastAsia="Arial" w:hAnsi="Arial"/>
                <w:sz w:val="25"/>
                <w:szCs w:val="25"/>
                <w:color w:val="auto"/>
                <w:vertAlign w:val="superscript"/>
              </w:rPr>
              <w:t>(4)</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340" w:right="320" w:hanging="332"/>
        <w:spacing w:after="0" w:line="216" w:lineRule="auto"/>
        <w:tabs>
          <w:tab w:leader="none" w:pos="340" w:val="left"/>
        </w:tabs>
        <w:numPr>
          <w:ilvl w:val="0"/>
          <w:numId w:val="117"/>
        </w:numPr>
        <w:rPr>
          <w:rFonts w:ascii="Arial" w:cs="Arial" w:eastAsia="Arial" w:hAnsi="Arial"/>
          <w:sz w:val="25"/>
          <w:szCs w:val="25"/>
          <w:color w:val="auto"/>
          <w:vertAlign w:val="superscript"/>
        </w:rPr>
      </w:pPr>
      <w:r>
        <w:rPr>
          <w:rFonts w:ascii="Arial" w:cs="Arial" w:eastAsia="Arial" w:hAnsi="Arial"/>
          <w:sz w:val="18"/>
          <w:szCs w:val="18"/>
          <w:color w:val="auto"/>
        </w:rPr>
        <w:t>AAP owns approximately 243.4 million PAA common units and a 100% member interest in PAA GP LLC, which owns PAA’s non-economic general partner interest.</w:t>
      </w:r>
    </w:p>
    <w:p>
      <w:pPr>
        <w:spacing w:after="0" w:line="95" w:lineRule="exact"/>
        <w:rPr>
          <w:rFonts w:ascii="Arial" w:cs="Arial" w:eastAsia="Arial" w:hAnsi="Arial"/>
          <w:sz w:val="25"/>
          <w:szCs w:val="25"/>
          <w:color w:val="auto"/>
          <w:vertAlign w:val="superscript"/>
        </w:rPr>
      </w:pPr>
    </w:p>
    <w:p>
      <w:pPr>
        <w:ind w:left="340" w:hanging="332"/>
        <w:spacing w:after="0" w:line="237" w:lineRule="auto"/>
        <w:tabs>
          <w:tab w:leader="none" w:pos="340" w:val="left"/>
        </w:tabs>
        <w:numPr>
          <w:ilvl w:val="0"/>
          <w:numId w:val="117"/>
        </w:numPr>
        <w:rPr>
          <w:rFonts w:ascii="Arial" w:cs="Arial" w:eastAsia="Arial" w:hAnsi="Arial"/>
          <w:sz w:val="25"/>
          <w:szCs w:val="25"/>
          <w:color w:val="auto"/>
          <w:vertAlign w:val="superscript"/>
        </w:rPr>
      </w:pPr>
      <w:r>
        <w:rPr>
          <w:rFonts w:ascii="Arial" w:cs="Arial" w:eastAsia="Arial" w:hAnsi="Arial"/>
          <w:sz w:val="18"/>
          <w:szCs w:val="18"/>
          <w:color w:val="auto"/>
        </w:rPr>
        <w:t>Prior to December 31, 2016, PAA Management, L.P. owned an approximate 3.3% interest in AAP represented by approximately 8.2 million AAP units. Effective as of December 31, 2016, PAA Management, L.P. was liquidated and the AAP units owned by it (together with the associated Class B shares and GP Units) were distributed pro rata to its owners, including certain current and former members of senior management. AAP units received by our Named Executive Officers in connection with this pro rata distribution included 2,071,859 for Mr. Armstrong; 1,181,676 for Mr. Pefanis; 433,620 for Mr. Swanson; 14,739 for Mr. McGee and 4,913 for Mr. Nerbonne; all executive officers as a group received an aggregate of 4,840,602 AAP units. Mr. Chiang did not have an ownership interest in PAA Management, L.P.</w:t>
      </w:r>
    </w:p>
    <w:p>
      <w:pPr>
        <w:spacing w:after="0" w:line="98" w:lineRule="exact"/>
        <w:rPr>
          <w:rFonts w:ascii="Arial" w:cs="Arial" w:eastAsia="Arial" w:hAnsi="Arial"/>
          <w:sz w:val="25"/>
          <w:szCs w:val="25"/>
          <w:color w:val="auto"/>
          <w:vertAlign w:val="superscript"/>
        </w:rPr>
      </w:pPr>
    </w:p>
    <w:p>
      <w:pPr>
        <w:ind w:left="340" w:right="100" w:hanging="332"/>
        <w:spacing w:after="0" w:line="226" w:lineRule="auto"/>
        <w:tabs>
          <w:tab w:leader="none" w:pos="340" w:val="left"/>
        </w:tabs>
        <w:numPr>
          <w:ilvl w:val="0"/>
          <w:numId w:val="117"/>
        </w:numPr>
        <w:rPr>
          <w:rFonts w:ascii="Arial" w:cs="Arial" w:eastAsia="Arial" w:hAnsi="Arial"/>
          <w:sz w:val="25"/>
          <w:szCs w:val="25"/>
          <w:color w:val="auto"/>
          <w:vertAlign w:val="superscript"/>
        </w:rPr>
      </w:pPr>
      <w:r>
        <w:rPr>
          <w:rFonts w:ascii="Arial" w:cs="Arial" w:eastAsia="Arial" w:hAnsi="Arial"/>
          <w:sz w:val="18"/>
          <w:szCs w:val="18"/>
          <w:color w:val="auto"/>
        </w:rPr>
        <w:t>Includes, among others, certain current and former members of management who (i) have converted AAP Management Units into AAP units and PAGP Class B shares and (ii) received AAP units and PAGP Class B shares as a result of the pro rata distribution by PAA Management, L.P. described in footnote 2 above.</w:t>
      </w:r>
    </w:p>
    <w:p>
      <w:pPr>
        <w:spacing w:after="0" w:line="95" w:lineRule="exact"/>
        <w:rPr>
          <w:rFonts w:ascii="Arial" w:cs="Arial" w:eastAsia="Arial" w:hAnsi="Arial"/>
          <w:sz w:val="25"/>
          <w:szCs w:val="25"/>
          <w:color w:val="auto"/>
          <w:vertAlign w:val="superscript"/>
        </w:rPr>
      </w:pPr>
    </w:p>
    <w:p>
      <w:pPr>
        <w:ind w:left="340" w:right="20" w:hanging="332"/>
        <w:spacing w:after="0" w:line="271" w:lineRule="auto"/>
        <w:tabs>
          <w:tab w:leader="none" w:pos="340" w:val="left"/>
        </w:tabs>
        <w:numPr>
          <w:ilvl w:val="0"/>
          <w:numId w:val="117"/>
        </w:numPr>
        <w:rPr>
          <w:rFonts w:ascii="Arial" w:cs="Arial" w:eastAsia="Arial" w:hAnsi="Arial"/>
          <w:sz w:val="22"/>
          <w:szCs w:val="22"/>
          <w:color w:val="auto"/>
          <w:vertAlign w:val="superscript"/>
        </w:rPr>
      </w:pPr>
      <w:r>
        <w:rPr>
          <w:rFonts w:ascii="Arial" w:cs="Arial" w:eastAsia="Arial" w:hAnsi="Arial"/>
          <w:sz w:val="16"/>
          <w:szCs w:val="16"/>
          <w:color w:val="auto"/>
        </w:rPr>
        <w:t>Represents a profits interest in AAP in the form of AAP Management Units owned by certain members of management. On January 1, 2016, a significant number of AAP Management Units vested and a portion of such vested units have since been converted into AAP units and our Class B shares. Additionally, a portion of the resulting AAP units and Class B shares has been exchanged for our Class A shares. As a result of such conversions and exchanges as well as open market purchases, as of February 15, 2017, Named Executive Officers and executive officers as a group owned the following AAP Management Units, AAP units and Class A shares (none of our outside directors own any AAP Management 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125"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ind w:left="360"/>
              <w:spacing w:after="0"/>
              <w:rPr>
                <w:sz w:val="20"/>
                <w:szCs w:val="20"/>
                <w:color w:val="auto"/>
              </w:rPr>
            </w:pPr>
            <w:r>
              <w:rPr>
                <w:rFonts w:ascii="Arial" w:cs="Arial" w:eastAsia="Arial" w:hAnsi="Arial"/>
                <w:sz w:val="14"/>
                <w:szCs w:val="14"/>
                <w:b w:val="1"/>
                <w:bCs w:val="1"/>
                <w:color w:val="auto"/>
              </w:rPr>
              <w:t>AAP Management</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rPr>
              <w:t>PAGP Class A</w:t>
            </w:r>
          </w:p>
        </w:tc>
      </w:tr>
      <w:tr>
        <w:trPr>
          <w:trHeight w:val="21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Owner</w:t>
            </w:r>
          </w:p>
        </w:tc>
        <w:tc>
          <w:tcPr>
            <w:tcW w:w="14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AAP Units*</w:t>
            </w: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Shares</w:t>
            </w: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Greg L. Armstrong</w:t>
            </w:r>
          </w:p>
        </w:tc>
        <w:tc>
          <w:tcPr>
            <w:tcW w:w="19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5,757,268</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450,625</w:t>
            </w: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Harry N. Pefanis</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3,768,988</w:t>
            </w:r>
          </w:p>
        </w:tc>
        <w:tc>
          <w:tcPr>
            <w:tcW w:w="120" w:type="dxa"/>
            <w:vAlign w:val="bottom"/>
          </w:tcPr>
          <w:p>
            <w:pPr>
              <w:spacing w:after="0"/>
              <w:rPr>
                <w:sz w:val="21"/>
                <w:szCs w:val="21"/>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183,654</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Wilfred (Willie) C. Chiang</w:t>
            </w:r>
          </w:p>
        </w:tc>
        <w:tc>
          <w:tcPr>
            <w:tcW w:w="18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375,521</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75,104</w:t>
            </w: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Al Swanson</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433,620</w:t>
            </w:r>
          </w:p>
        </w:tc>
        <w:tc>
          <w:tcPr>
            <w:tcW w:w="120" w:type="dxa"/>
            <w:vAlign w:val="bottom"/>
          </w:tcPr>
          <w:p>
            <w:pPr>
              <w:spacing w:after="0"/>
              <w:rPr>
                <w:sz w:val="21"/>
                <w:szCs w:val="21"/>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918,219</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Richard McGee</w:t>
            </w:r>
          </w:p>
        </w:tc>
        <w:tc>
          <w:tcPr>
            <w:tcW w:w="18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440,449</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14,739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Daniel J. Nerbonne</w:t>
            </w: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56,328</w:t>
            </w:r>
          </w:p>
        </w:tc>
        <w:tc>
          <w:tcPr>
            <w:tcW w:w="100" w:type="dxa"/>
            <w:vAlign w:val="bottom"/>
          </w:tcPr>
          <w:p>
            <w:pPr>
              <w:spacing w:after="0"/>
              <w:rPr>
                <w:sz w:val="21"/>
                <w:szCs w:val="21"/>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4,913</w:t>
            </w:r>
          </w:p>
        </w:tc>
        <w:tc>
          <w:tcPr>
            <w:tcW w:w="120" w:type="dxa"/>
            <w:vAlign w:val="bottom"/>
          </w:tcPr>
          <w:p>
            <w:pPr>
              <w:spacing w:after="0"/>
              <w:rPr>
                <w:sz w:val="21"/>
                <w:szCs w:val="21"/>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184,010</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executive officers as a group</w:t>
            </w:r>
          </w:p>
        </w:tc>
        <w:tc>
          <w:tcPr>
            <w:tcW w:w="1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1,019,115</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11,113,323</w:t>
            </w:r>
          </w:p>
        </w:tc>
        <w:tc>
          <w:tcPr>
            <w:tcW w:w="12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3,739,871</w:t>
            </w:r>
          </w:p>
        </w:tc>
      </w:tr>
      <w:tr>
        <w:trPr>
          <w:trHeight w:val="27"/>
        </w:trPr>
        <w:tc>
          <w:tcPr>
            <w:tcW w:w="5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Includes AAP units acquired upon liquidation of PAA Management, L.P. See footnote 2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right="420" w:firstLine="648"/>
        <w:spacing w:after="0" w:line="342" w:lineRule="auto"/>
        <w:rPr>
          <w:sz w:val="20"/>
          <w:szCs w:val="20"/>
          <w:color w:val="auto"/>
        </w:rPr>
      </w:pPr>
      <w:r>
        <w:rPr>
          <w:rFonts w:ascii="Arial" w:cs="Arial" w:eastAsia="Arial" w:hAnsi="Arial"/>
          <w:sz w:val="16"/>
          <w:szCs w:val="16"/>
          <w:color w:val="auto"/>
        </w:rPr>
        <w:t>The following table sets forth certain information with respect to our equity compensation plan as of December 31, 2016. For a description, see Item 13. “Certain Relationships and Related Transactions, and Director Independence—Plains GP Holdings, L.P. Long Term Incentive Plan.”</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180" w:type="dxa"/>
            <w:vAlign w:val="bottom"/>
          </w:tcPr>
          <w:p>
            <w:pPr>
              <w:jc w:val="center"/>
              <w:ind w:left="2068"/>
              <w:spacing w:after="0"/>
              <w:rPr>
                <w:sz w:val="20"/>
                <w:szCs w:val="20"/>
                <w:color w:val="auto"/>
              </w:rPr>
            </w:pPr>
            <w:r>
              <w:rPr>
                <w:rFonts w:ascii="Arial" w:cs="Arial" w:eastAsia="Arial" w:hAnsi="Arial"/>
                <w:sz w:val="14"/>
                <w:szCs w:val="14"/>
                <w:b w:val="1"/>
                <w:bCs w:val="1"/>
                <w:color w:val="auto"/>
                <w:w w:val="92"/>
              </w:rPr>
              <w:t>Number of Shares</w:t>
            </w:r>
          </w:p>
        </w:tc>
        <w:tc>
          <w:tcPr>
            <w:tcW w:w="1940" w:type="dxa"/>
            <w:vAlign w:val="bottom"/>
          </w:tcPr>
          <w:p>
            <w:pPr>
              <w:spacing w:after="0"/>
              <w:rPr>
                <w:sz w:val="14"/>
                <w:szCs w:val="14"/>
                <w:color w:val="auto"/>
              </w:rPr>
            </w:pPr>
          </w:p>
        </w:tc>
        <w:tc>
          <w:tcPr>
            <w:tcW w:w="146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180" w:type="dxa"/>
            <w:vAlign w:val="bottom"/>
          </w:tcPr>
          <w:p>
            <w:pPr>
              <w:jc w:val="center"/>
              <w:ind w:left="2068"/>
              <w:spacing w:after="0" w:line="149" w:lineRule="exact"/>
              <w:rPr>
                <w:sz w:val="20"/>
                <w:szCs w:val="20"/>
                <w:color w:val="auto"/>
              </w:rPr>
            </w:pPr>
            <w:r>
              <w:rPr>
                <w:rFonts w:ascii="Arial" w:cs="Arial" w:eastAsia="Arial" w:hAnsi="Arial"/>
                <w:sz w:val="14"/>
                <w:szCs w:val="14"/>
                <w:b w:val="1"/>
                <w:bCs w:val="1"/>
                <w:color w:val="auto"/>
                <w:w w:val="90"/>
              </w:rPr>
              <w:t>to</w:t>
            </w:r>
          </w:p>
        </w:tc>
        <w:tc>
          <w:tcPr>
            <w:tcW w:w="19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180" w:type="dxa"/>
            <w:vAlign w:val="bottom"/>
          </w:tcPr>
          <w:p>
            <w:pPr>
              <w:jc w:val="center"/>
              <w:ind w:left="2068"/>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19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0"/>
              </w:rPr>
              <w:t>Weighted Average</w:t>
            </w:r>
          </w:p>
        </w:tc>
        <w:tc>
          <w:tcPr>
            <w:tcW w:w="14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180" w:type="dxa"/>
            <w:vAlign w:val="bottom"/>
          </w:tcPr>
          <w:p>
            <w:pPr>
              <w:jc w:val="center"/>
              <w:ind w:left="2068"/>
              <w:spacing w:after="0" w:line="149" w:lineRule="exact"/>
              <w:rPr>
                <w:sz w:val="20"/>
                <w:szCs w:val="20"/>
                <w:color w:val="auto"/>
              </w:rPr>
            </w:pPr>
            <w:r>
              <w:rPr>
                <w:rFonts w:ascii="Arial" w:cs="Arial" w:eastAsia="Arial" w:hAnsi="Arial"/>
                <w:sz w:val="14"/>
                <w:szCs w:val="14"/>
                <w:b w:val="1"/>
                <w:bCs w:val="1"/>
                <w:color w:val="auto"/>
                <w:w w:val="89"/>
              </w:rPr>
              <w:t>Exercise/Vesting</w:t>
            </w:r>
          </w:p>
        </w:tc>
        <w:tc>
          <w:tcPr>
            <w:tcW w:w="1940" w:type="dxa"/>
            <w:vAlign w:val="bottom"/>
            <w:vMerge w:val="continue"/>
          </w:tcPr>
          <w:p>
            <w:pPr>
              <w:spacing w:after="0"/>
              <w:rPr>
                <w:sz w:val="12"/>
                <w:szCs w:val="12"/>
                <w:color w:val="auto"/>
              </w:rPr>
            </w:pPr>
          </w:p>
        </w:tc>
        <w:tc>
          <w:tcPr>
            <w:tcW w:w="14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180" w:type="dxa"/>
            <w:vAlign w:val="bottom"/>
          </w:tcPr>
          <w:p>
            <w:pPr>
              <w:jc w:val="center"/>
              <w:ind w:left="2068"/>
              <w:spacing w:after="0" w:line="149" w:lineRule="exact"/>
              <w:rPr>
                <w:sz w:val="20"/>
                <w:szCs w:val="20"/>
                <w:color w:val="auto"/>
              </w:rPr>
            </w:pPr>
            <w:r>
              <w:rPr>
                <w:rFonts w:ascii="Arial" w:cs="Arial" w:eastAsia="Arial" w:hAnsi="Arial"/>
                <w:sz w:val="14"/>
                <w:szCs w:val="14"/>
                <w:b w:val="1"/>
                <w:bCs w:val="1"/>
                <w:color w:val="auto"/>
                <w:w w:val="90"/>
              </w:rPr>
              <w:t>of</w:t>
            </w:r>
          </w:p>
        </w:tc>
        <w:tc>
          <w:tcPr>
            <w:tcW w:w="19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180" w:type="dxa"/>
            <w:vAlign w:val="bottom"/>
          </w:tcPr>
          <w:p>
            <w:pPr>
              <w:jc w:val="center"/>
              <w:ind w:left="206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9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180" w:type="dxa"/>
            <w:vAlign w:val="bottom"/>
          </w:tcPr>
          <w:p>
            <w:pPr>
              <w:jc w:val="center"/>
              <w:ind w:left="2068"/>
              <w:spacing w:after="0" w:line="149" w:lineRule="exact"/>
              <w:rPr>
                <w:sz w:val="20"/>
                <w:szCs w:val="20"/>
                <w:color w:val="auto"/>
              </w:rPr>
            </w:pPr>
            <w:r>
              <w:rPr>
                <w:rFonts w:ascii="Arial" w:cs="Arial" w:eastAsia="Arial" w:hAnsi="Arial"/>
                <w:sz w:val="14"/>
                <w:szCs w:val="14"/>
                <w:b w:val="1"/>
                <w:bCs w:val="1"/>
                <w:color w:val="auto"/>
                <w:w w:val="91"/>
              </w:rPr>
              <w:t>Options,</w:t>
            </w:r>
          </w:p>
        </w:tc>
        <w:tc>
          <w:tcPr>
            <w:tcW w:w="19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Options,</w:t>
            </w:r>
          </w:p>
        </w:tc>
        <w:tc>
          <w:tcPr>
            <w:tcW w:w="14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Plan</w:t>
            </w:r>
          </w:p>
        </w:tc>
        <w:tc>
          <w:tcPr>
            <w:tcW w:w="418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9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3160" w:type="dxa"/>
            <w:vAlign w:val="bottom"/>
            <w:vMerge w:val="continue"/>
          </w:tcPr>
          <w:p>
            <w:pPr>
              <w:spacing w:after="0"/>
              <w:rPr>
                <w:sz w:val="12"/>
                <w:szCs w:val="12"/>
                <w:color w:val="auto"/>
              </w:rPr>
            </w:pPr>
          </w:p>
        </w:tc>
        <w:tc>
          <w:tcPr>
            <w:tcW w:w="4180" w:type="dxa"/>
            <w:vAlign w:val="bottom"/>
          </w:tcPr>
          <w:p>
            <w:pPr>
              <w:jc w:val="center"/>
              <w:ind w:left="2068"/>
              <w:spacing w:after="0" w:line="149" w:lineRule="exact"/>
              <w:rPr>
                <w:sz w:val="20"/>
                <w:szCs w:val="20"/>
                <w:color w:val="auto"/>
              </w:rPr>
            </w:pPr>
            <w:r>
              <w:rPr>
                <w:rFonts w:ascii="Arial" w:cs="Arial" w:eastAsia="Arial" w:hAnsi="Arial"/>
                <w:sz w:val="14"/>
                <w:szCs w:val="14"/>
                <w:b w:val="1"/>
                <w:bCs w:val="1"/>
                <w:color w:val="auto"/>
                <w:w w:val="91"/>
              </w:rPr>
              <w:t>Rights</w:t>
            </w:r>
          </w:p>
        </w:tc>
        <w:tc>
          <w:tcPr>
            <w:tcW w:w="19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Rights</w:t>
            </w:r>
          </w:p>
        </w:tc>
        <w:tc>
          <w:tcPr>
            <w:tcW w:w="14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4180" w:type="dxa"/>
            <w:vAlign w:val="bottom"/>
          </w:tcPr>
          <w:p>
            <w:pPr>
              <w:jc w:val="center"/>
              <w:ind w:left="2068"/>
              <w:spacing w:after="0"/>
              <w:rPr>
                <w:sz w:val="20"/>
                <w:szCs w:val="20"/>
                <w:color w:val="auto"/>
              </w:rPr>
            </w:pPr>
            <w:r>
              <w:rPr>
                <w:rFonts w:ascii="Arial" w:cs="Arial" w:eastAsia="Arial" w:hAnsi="Arial"/>
                <w:sz w:val="14"/>
                <w:szCs w:val="14"/>
                <w:b w:val="1"/>
                <w:bCs w:val="1"/>
                <w:color w:val="auto"/>
                <w:w w:val="93"/>
              </w:rPr>
              <w:t>(a)</w:t>
            </w:r>
          </w:p>
        </w:tc>
        <w:tc>
          <w:tcPr>
            <w:tcW w:w="1940" w:type="dxa"/>
            <w:vAlign w:val="bottom"/>
          </w:tcPr>
          <w:p>
            <w:pPr>
              <w:jc w:val="center"/>
              <w:ind w:left="48"/>
              <w:spacing w:after="0"/>
              <w:rPr>
                <w:sz w:val="20"/>
                <w:szCs w:val="20"/>
                <w:color w:val="auto"/>
              </w:rPr>
            </w:pPr>
            <w:r>
              <w:rPr>
                <w:rFonts w:ascii="Arial" w:cs="Arial" w:eastAsia="Arial" w:hAnsi="Arial"/>
                <w:sz w:val="14"/>
                <w:szCs w:val="14"/>
                <w:b w:val="1"/>
                <w:bCs w:val="1"/>
                <w:color w:val="auto"/>
              </w:rPr>
              <w:t>(b)</w:t>
            </w:r>
          </w:p>
        </w:tc>
        <w:tc>
          <w:tcPr>
            <w:tcW w:w="146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3773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compensation plans approved by shareholders: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180"/>
              <w:spacing w:after="0"/>
              <w:rPr>
                <w:sz w:val="20"/>
                <w:szCs w:val="20"/>
                <w:color w:val="auto"/>
              </w:rPr>
            </w:pPr>
            <w:r>
              <w:rPr>
                <w:rFonts w:ascii="Arial" w:cs="Arial" w:eastAsia="Arial" w:hAnsi="Arial"/>
                <w:sz w:val="18"/>
                <w:szCs w:val="18"/>
                <w:color w:val="auto"/>
              </w:rPr>
              <w:t>Long Term Incentive Plan</w:t>
            </w:r>
          </w:p>
        </w:tc>
        <w:tc>
          <w:tcPr>
            <w:tcW w:w="1800" w:type="dxa"/>
            <w:vAlign w:val="bottom"/>
          </w:tcPr>
          <w:p>
            <w:pPr>
              <w:jc w:val="right"/>
              <w:spacing w:after="0"/>
              <w:rPr>
                <w:sz w:val="20"/>
                <w:szCs w:val="20"/>
                <w:color w:val="auto"/>
              </w:rPr>
            </w:pPr>
            <w:r>
              <w:rPr>
                <w:rFonts w:ascii="Arial" w:cs="Arial" w:eastAsia="Arial" w:hAnsi="Arial"/>
                <w:sz w:val="18"/>
                <w:szCs w:val="18"/>
                <w:color w:val="auto"/>
              </w:rPr>
              <w:t>31,242</w:t>
            </w:r>
          </w:p>
        </w:tc>
        <w:tc>
          <w:tcPr>
            <w:tcW w:w="980" w:type="dxa"/>
            <w:vAlign w:val="bottom"/>
          </w:tcPr>
          <w:p>
            <w:pPr>
              <w:jc w:val="right"/>
              <w:ind w:right="697"/>
              <w:spacing w:after="0"/>
              <w:rPr>
                <w:sz w:val="20"/>
                <w:szCs w:val="20"/>
                <w:color w:val="auto"/>
              </w:rPr>
            </w:pPr>
            <w:r>
              <w:rPr>
                <w:rFonts w:ascii="Arial" w:cs="Arial" w:eastAsia="Arial" w:hAnsi="Arial"/>
                <w:sz w:val="13"/>
                <w:szCs w:val="13"/>
                <w:b w:val="1"/>
                <w:bCs w:val="1"/>
                <w:color w:val="auto"/>
              </w:rPr>
              <w:t>(1)</w:t>
            </w:r>
          </w:p>
        </w:tc>
        <w:tc>
          <w:tcPr>
            <w:tcW w:w="1580" w:type="dxa"/>
            <w:vAlign w:val="bottom"/>
          </w:tcPr>
          <w:p>
            <w:pPr>
              <w:ind w:left="760"/>
              <w:spacing w:after="0"/>
              <w:rPr>
                <w:sz w:val="20"/>
                <w:szCs w:val="20"/>
                <w:color w:val="auto"/>
              </w:rPr>
            </w:pPr>
            <w:r>
              <w:rPr>
                <w:rFonts w:ascii="Arial" w:cs="Arial" w:eastAsia="Arial" w:hAnsi="Arial"/>
                <w:sz w:val="18"/>
                <w:szCs w:val="18"/>
                <w:color w:val="auto"/>
              </w:rPr>
              <w:t>N/A</w:t>
            </w:r>
          </w:p>
        </w:tc>
        <w:tc>
          <w:tcPr>
            <w:tcW w:w="1280" w:type="dxa"/>
            <w:vAlign w:val="bottom"/>
          </w:tcPr>
          <w:p>
            <w:pPr>
              <w:jc w:val="right"/>
              <w:spacing w:after="0"/>
              <w:rPr>
                <w:sz w:val="20"/>
                <w:szCs w:val="20"/>
                <w:color w:val="auto"/>
              </w:rPr>
            </w:pPr>
            <w:r>
              <w:rPr>
                <w:rFonts w:ascii="Arial" w:cs="Arial" w:eastAsia="Arial" w:hAnsi="Arial"/>
                <w:sz w:val="18"/>
                <w:szCs w:val="18"/>
                <w:color w:val="auto"/>
              </w:rPr>
              <w:t>3,708,345</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(1)</w:t>
            </w:r>
          </w:p>
        </w:tc>
      </w:tr>
      <w:tr>
        <w:trPr>
          <w:trHeight w:val="27"/>
        </w:trPr>
        <w:tc>
          <w:tcPr>
            <w:tcW w:w="5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97"/>
        </w:trPr>
        <w:tc>
          <w:tcPr>
            <w:tcW w:w="53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N/A</w:t>
            </w:r>
          </w:p>
        </w:tc>
        <w:tc>
          <w:tcPr>
            <w:tcW w:w="980" w:type="dxa"/>
            <w:vAlign w:val="bottom"/>
          </w:tcPr>
          <w:p>
            <w:pPr>
              <w:spacing w:after="0"/>
              <w:rPr>
                <w:sz w:val="21"/>
                <w:szCs w:val="21"/>
                <w:color w:val="auto"/>
              </w:rPr>
            </w:pPr>
          </w:p>
        </w:tc>
        <w:tc>
          <w:tcPr>
            <w:tcW w:w="1580" w:type="dxa"/>
            <w:vAlign w:val="bottom"/>
          </w:tcPr>
          <w:p>
            <w:pPr>
              <w:ind w:left="760"/>
              <w:spacing w:after="0"/>
              <w:rPr>
                <w:sz w:val="20"/>
                <w:szCs w:val="20"/>
                <w:color w:val="auto"/>
              </w:rPr>
            </w:pPr>
            <w:r>
              <w:rPr>
                <w:rFonts w:ascii="Arial" w:cs="Arial" w:eastAsia="Arial" w:hAnsi="Arial"/>
                <w:sz w:val="18"/>
                <w:szCs w:val="18"/>
                <w:color w:val="auto"/>
              </w:rPr>
              <w:t>N/A</w:t>
            </w: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71" w:lineRule="exact"/>
        <w:rPr>
          <w:sz w:val="20"/>
          <w:szCs w:val="20"/>
          <w:color w:val="auto"/>
        </w:rPr>
      </w:pPr>
    </w:p>
    <w:p>
      <w:pPr>
        <w:ind w:left="340" w:right="60" w:hanging="332"/>
        <w:spacing w:after="0" w:line="232" w:lineRule="auto"/>
        <w:tabs>
          <w:tab w:leader="none" w:pos="340" w:val="left"/>
        </w:tabs>
        <w:numPr>
          <w:ilvl w:val="0"/>
          <w:numId w:val="118"/>
        </w:numPr>
        <w:rPr>
          <w:rFonts w:ascii="Arial" w:cs="Arial" w:eastAsia="Arial" w:hAnsi="Arial"/>
          <w:sz w:val="25"/>
          <w:szCs w:val="25"/>
          <w:color w:val="auto"/>
          <w:vertAlign w:val="superscript"/>
        </w:rPr>
      </w:pPr>
      <w:r>
        <w:rPr>
          <w:rFonts w:ascii="Arial" w:cs="Arial" w:eastAsia="Arial" w:hAnsi="Arial"/>
          <w:sz w:val="18"/>
          <w:szCs w:val="18"/>
          <w:color w:val="auto"/>
        </w:rPr>
        <w:t>The Plains GP Holdings, L.P. Long Term Incentive Plan (the “LTIP”) was adopted by our general partner in connection with our IPO in October 2013. The LTIP contemplates the issuance or delivery of up to 3,755,208 Class A shares to satisfy awards under the LTIP. In accordance with Item 201(d) of Regulation S-K, column (c) excludes the securities disclosed in column (a). However, any phantom Class A shares represented in column (a) that are not satisfied by the issuance of Class A shares become “available for future issuance.”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discussion of director independence, see Item 10. “Directors and Executive Officers of Our General Partner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 “—Related Party Transactions—Omnibus Agreement,” all of our direct or indirect expenses, other than income taxes, if any, will be paid by PAA. These direct or indirect expenses include, but are not limited to (i) compensation for the non-employee directors or PAGP GP, (ii) director and officer liability insurance, (iii) listing exchange fees, (iv) investor relations expenses, and (v) fees related to legal, tax, financial advisory and accounting services.</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Plains GP Holdings, L.P. Long Term Incentive Plan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our initial public offering, our general partner adopted the Plains GP Holdings, L.P. Long Term Incentive Plan (the “LTIP”) on our behalf for (i) the employees of our general partner and its affiliates who perform services for us and (ii) the non-employee directors of our general partner. Awards that may be granted under the LTIP include restricted shares, phantom shares, options and share appreciation rights. The LTIP limits the number of shares that may be delivered pursuant to awards to 3,755,208 Class A shares (subject to any adjustment due to recapitalization, reorganization or a similar event permitted under the LTIP). Shares (other than restricted shares) that are forfeited or withheld to satisfy exercise price or tax withholding obligations are available for delivery pursuant to other awards. As of December 31, 2016, grants of 31,242 unvested phantom Class A shares were outstanding under the LTIP.</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LTIP is administered by the board of directors of our general partner. The board of directors of our general partner has the right to terminate or amend the LTIP or any part of the LTIP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LTIP will expire upon the earlier of the termination of the LTIP by the board of directors of our general partner or the date that no shares remain available under the LTIP for awards. Upon termination of the LTIP, awards then outstanding will continue pursuant to the terms of their grants.</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Class A shares to be delivered in settlement of awards under the LTIP may be newly issued Class A shares, Class A shares acquired in the open market, Class A shares acquired from any other person, or any combination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 restricted share is a Class A share that vests over a period of time and that during such time is subject to forfeiture.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determine the period over which restricted shares granted to participants will vest. The board of directors, in its discretion, may base its determination upon the achievement of performance metrics. Distributions made on restricted shares may be subjected to the same vesting provisions as the restricted share. If a grantee’s employment or membership on the board of directors terminates for any reason, the grantee’s restricted shares will be automatically forfeited unless, and to the extent, the board of directors or the terms of the award agreement provide otherwise.</w:t>
      </w:r>
    </w:p>
    <w:p>
      <w:pPr>
        <w:spacing w:after="0" w:line="15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intend the restricted shares under the LTIP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entitles the grantee to receive a Class A share upon the vesting of the phantom share or, in the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cash equivalent to the value of a Class A share. The board of directors will determine the period over which phantom shares granted to participants will vest. The board of directors, in its discretion, may base its determination upon the achievement of performance metrics. If a grantee’s employment or membership on the board of directors terminates for any reason, the grantee’s phantom shares will be automatically forfeited unless, and to the extent, the board of directors or the terms of the award agreement provide otherwise.</w:t>
      </w:r>
    </w:p>
    <w:p>
      <w:pPr>
        <w:spacing w:after="0" w:line="18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board of directors, in its discretion, may grant distribution equivalent rights, which we refer to as DERs, with respect to a phantom share. DERs entitle the grantee to receive an amount in cash equal to the cash distributions made on a Class A share during the period the related award is outstanding. The board of directors will establish whether the DERs are paid currently, when the tandem phantom share vests or on some other basis.</w:t>
      </w:r>
    </w:p>
    <w:p>
      <w:pPr>
        <w:spacing w:after="0" w:line="16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intend the issuance of any Class A shares upon vesting of the phantom shares under the LTIP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An option provides a participant with the option to acquire Class A shares at a specified price. The exercise price of each option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LTIP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of directors determines for each option. The board of directors will determine the methods and form of payment for the exercise price of an option and the methods and forms in which Class A shares will be delivered to a participant. The board of directors, in its discretion, may grant DERs with respect to an option.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Share Appreciation Rights. </w:t>
      </w:r>
      <w:r>
        <w:rPr>
          <w:rFonts w:ascii="Arial" w:cs="Arial" w:eastAsia="Arial" w:hAnsi="Arial"/>
          <w:sz w:val="17"/>
          <w:szCs w:val="17"/>
          <w:color w:val="auto"/>
        </w:rPr>
        <w:t>A share appreciation right is an award that, upon exercise, entitles the holder to receive the excess, if any, of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value of a Class A share on the exercise date over the grant price of the share appreciation right. The excess may be paid in cash and/or in Class A shares, as determined by the board of directors in its discretion. The board of directors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of directors at the time the share appreciation right is granted, but each share appreciation right must have an exercise price that is not less than the fair market value of the Class A shares on the date of grant. The board of directors will determine the time or times at which a share appreciation right may be exercised in whole or in part. Unless otherwise waived by the board of directors, or set forth in an award agreement, outstanding share appreciation rights awarded to a participant will be automatically forfeited upon a termination of the individual’s employment or membership on the board of directors terminates for any reason. The board of directors, in its discretion, may grant DERs with respect to a share appreciation right.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LTIP Provisions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Unless other arrangements are made, our general partner and its affiliates will be authorized to withhold from any award,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Upon the occurrence of any “equity restructuring” event that could result in an additional compensation expense under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Standards Board Accounting Standards Codification Topic 718 (“FASB ASC Topic 718”) if adjustments to awards with respect to such event were discretionary, the board of directors will equitably adjust the number and type of shares covered by each outstanding award and the terms and conditions of such award to equitably reflect the restructuring event, and the board of directors will adjust the number and type of shares with respect to which future awards may be granted. With respect to a similar event that would not result in a FASB ASC Topic 718 accounting charge if adjustment to awards were discretionary, the board of directors shall have complete discretion to adjust awards in the manner it deems appropriate.</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 defined in the award agreement), the award may</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vest and be payable or become exercisable in full, as the case may be.</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 participant during the participant’s lifetime,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to whom the 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board of directors may, in its discretion, allow a participant to transfer an option or a share appreciation right without consideration to an immediate family member or a related family trust, limited partnership, or similar entity on the terms and conditions established by the board of directors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AAP Management Units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to issue grants of AAP Management Units to create long-term incentives for our management. Each AAP Management Unit represents a “profits interest” in AAP, which entitles the holder to participate in future profits and losses from operations, current distributions from operations, and an interest in future appreciation or depreciation in AAP’s asset values. As of December 31, 2016, 3,414,812 AAP Management Units were issued and outstanding. The compensation committee does not plan to issue any additional AAP Management Units.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outstanding AAP Management Units are subject to restrictions on transfer and generally become “earned” (entitled to receive a portion of the distributions that would otherwise be paid to holders of AAP units) in percentage increments when certain performance thresholds related to achievement of targeted distribution levels and/or targeted distributable cash flow levels are achieved. As of February 15, 2017, approximately 73% of the outstanding AAP Management Units had been earned. The remaining AAP Management Units will be earned upon achievement of certain distribution and distributable cash flow levels.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 January 1, 2017, AAP Management Units granted in 2007, 2009 and 2010 are no longer subject to such call right and have vested. The applicable vesting dates for the remaining AAP Management Unit grants range from January 1, 2020 for AAP Management Units granted in 2011 to January 1, 2023 for AAP Management Units granted in 2015.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long as the PAGP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subject to certain limitations, redeemable for PAA common units, in each case on a one-for-one basis as provided in the AAP limited partnership agreement. Between January 1, 2016 and February 15, 2017, approximately 17.1 million AAP Management Units became vested, of which 10.0 million were converted into 9.4 million AAP units and PAGP Class B shares, and 5.9 million were converted and then exchanged for an aggregate of 5.6 million PAGP Class A shares. As of February 15, 2017, none of the converted AAP Management Units had been redeemed for PAA common units.</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Prior to the Simplification Transactions, the entire economic burden of the AAP Management Units was borne by AAP. However, in connection with the closing of the Simplification Transactions, AAP received one PAA common unit for each outstanding earned and vested AAP Management Unit, and PAA withheld approximately 841,000 units from the Simplification consideration for future distribution or issuance when and if such units become earned.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Agreement</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connection with the closing of the initial public offering of PAGP in 2013, PAA entered into an administrative agreement (the “Administrative Agreement”) with PAGP, PAGP GP, AAP, PAA GP LLC and GP LLC to address, among other things, potential conflicts with respect to business opportunities that may arise among PAGP, PAGP GP, AAP, PAA, PAA GP LLC and GP LLC. The agreement provides that if any business opportunity is presented to PAGP, PAGP GP, AAP, PAA, PAA GP LLC or GP LLC, then PAA will have the first right to pursue such business opportunity. PAGP will have the right to pursue and/or participate in such business opportunity if invited to do so by PAA, or if PAA abandons the business opportunity and GP LLC so notifies PAGP GP. PAA also granted PAGP a license to use the names “PAA” and “Plains” and any associated or related marks.</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Under the Administrative Agreement, AAP was required to pay GP LLC an annual fee for general and administrative services performed by GP LLC on behalf of PAGP. During 2016, the annual fee paid by AAP to GP LLC totaled $1.5 million. The Administrative Agreement also provided that any direct expenses incurred by PAGP, PAGP GP and AAP (other than income taxes payable by PAGP) would be borne by AAP and that AAP would be required to reimburse GP LLC and PAGP GP for any additional expenses incurred by them on PAGP’s or PAGP GP’s behalf.</w:t>
      </w:r>
    </w:p>
    <w:p>
      <w:pPr>
        <w:spacing w:after="0" w:line="17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connection with the Simplification Transactions completed in November 2016, the Administrative Agreement was amended to remove the annual fee payment obligation and expense allocation provisions; allocation expense provisions are now included in the Omnibus Agreement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Simplification Transactions completed in November 2016 included, among other things:</w:t>
      </w:r>
    </w:p>
    <w:p>
      <w:pPr>
        <w:spacing w:after="0" w:line="225" w:lineRule="exact"/>
        <w:rPr>
          <w:sz w:val="20"/>
          <w:szCs w:val="20"/>
          <w:color w:val="auto"/>
        </w:rPr>
      </w:pPr>
    </w:p>
    <w:p>
      <w:pPr>
        <w:ind w:left="660" w:right="40" w:hanging="328"/>
        <w:spacing w:after="0" w:line="264"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permanent elimination of PAA’s IDRs and the economic rights associated with PAA’s 2% general partner interest in exchange for the issuance by PAA to AAP of 245.5 million PAA common units (including approximately 0.8 million units to be issued in the future) and the assumption by PAA of all of AAP’s outstanding debt ($642 million);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125"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10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PAGP GP assumed oversight responsibility over both PAA and PAGP;</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provision for annual PAGP shareholder elections beginning in 2018 with certain directors with expiring terms in 2018, and the participation of PAA common unitholders and Series A preferred unitholders in such elections through PAA’s ownership of newly issued Class C shares in PAGP, which provide PAA, as the sole holder, the right to vote in elections of eligible PAGP directors together with the holders of PAGP Class A and Class B shares;</w:t>
      </w:r>
    </w:p>
    <w:p>
      <w:pPr>
        <w:spacing w:after="0" w:line="186"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execution by AAP of a reverse split to adjust the number of AAP units such that the number of outstanding AAP units (assuming the conversion of AAP Management Units into AAP units) equaled the number of PAA common units received by AAP at the closing of the Simplification Transactions. Simultaneously, PAGP executed a reverse split to adjust the number of PAGP Class A and Class B shares outstanding to equal the number of AAP units it owns following AAP’s reverse unit split. These reverse splits, along with the Omnibus Agreement described below, resulted in economic alignment between PAA’s common unitholders and PAGP’s Class A shareholders, such that the number of outstanding PAGP Class A shares equals the number of AAP units owned by PAGP, which in turn equals the number of PAA common units held by AAP. PAA also entered into an Omnibus Agreement with the PAGP Entities, pursuant to which such one-to-one relationship will be maintained subsequent to the closing of the Simplification Transactions; and</w:t>
      </w:r>
    </w:p>
    <w:p>
      <w:pPr>
        <w:spacing w:after="0" w:line="19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creation of a right, subject to certain limitations, for certain holders of the AAP units to cause AAP to redeem such AAP units in exchange for an equal number of PAA common units held by AAP.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connection with the Simplification Transactions completed in November 2016, PAA entered into an omnibus agreement (the “Omnibus Agreement”) with PAGP, PAGP GP, AAP, PAA GP LLC and GP LLC (collectively with PAA, the “Plains Entities”), which provides for, among other things, the following:</w:t>
      </w:r>
    </w:p>
    <w:p>
      <w:pPr>
        <w:spacing w:after="0" w:line="181" w:lineRule="exact"/>
        <w:rPr>
          <w:sz w:val="20"/>
          <w:szCs w:val="20"/>
          <w:color w:val="auto"/>
        </w:rPr>
      </w:pPr>
    </w:p>
    <w:p>
      <w:pPr>
        <w:ind w:left="660" w:right="140" w:hanging="328"/>
        <w:spacing w:after="0" w:line="259"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all direct or indirect expenses of any of the Plains Entities will be paid by PAA, other than income taxes, if any, of PAGP GP, PAGP, GP LLC, AAP and PAA GP LLC.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8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mechanics by which the number of PAGP Class C shares outstanding will equal, at all times, the number of PAA’s units that are outstanding and entitled to vote, other than such voting units held by AAP;</w:t>
      </w:r>
    </w:p>
    <w:p>
      <w:pPr>
        <w:spacing w:after="0" w:line="170"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mechanics by which (i) the total number of PAGP’s outstanding Class A shares will equal the number of AAP Units held by PAGP, and (ii) the total number of PAA common units held by AAP will equal the sum of the number of outstanding AAP units and the number of AAP units that are issuable to the holders of vested and earned AAP Management Units;</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ability of PAGP to issue additional Class A shares and related obligation of PAGP to use the net proceeds therefrom to purchase a like number of AAP units from AAP, and the corresponding obligation of AAP to use the net proceeds therefrom to purchase a like number of PAA common units from PAA; and</w:t>
      </w:r>
    </w:p>
    <w:p>
      <w:pPr>
        <w:spacing w:after="0" w:line="18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ability of PAGP to lend proceeds of any future indebtedness incurred by it to AAP, and AAP’s corresponding obligation to lend such proceeds to PAA, in each case on substantially the same terms as incurred by PAGP (also clarifying that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and Redemption Rights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Holders of AAP units and their permitted transferees each have the right to exchange all or a portion of their AAP units for Class A shares at an exchange ratio of one Class A share for each AAP unit exchanged (the “Exchange Right”). This Exchange Right may be exercised only if, simultaneously therewith, an equal number of Class B shares and general partner units are transferred by the exercising party to us. Additionally, a holder of vested AAP Management Units is entitled to convert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125" w:right="2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his or her AAP Management Units into AAP units and a like number of our Class B shares based on a conversion ratio of approximately 0.941 AAP units for each AAP Management Unit.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Additionally, subject to certain limitations during the first twelve months following the closing of the Simplification Transactions, a holder of AAP units (other than us and GP LLC) will have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Class B shares and general partner units (if any), in each case, to us. The AAP units transferred to AAP will be canceled, the Class B shares transferred to us will be canceled and the general partner units transferred to us will remain outstanding and increase our ownership percentage in our general partner.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9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connection with the Simplification Transactions completed in November 2016, the holders of AAP Units other than PAGP and GP LLC (the “Holders”) entered into a Registration Rights Agreement with PAA, pursuant to which PAA agreed to use commercially reasonable efforts to file, and cause to be continuously effective, a shelf registration statement to permit the public resale of the PAA common units held by AAP immediately following the closing of the Simplification Transactions that are distributable to the Holders pursuant to an AAP Unit Redemption. Additionally, PAA agreed to register the resale of any PAA common units issued to AAP following the closing of the Simplification Transactions pursuant to the Omnibus Agreement in respect of certain of the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Preferred Unit Offering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January 2016, PAA sold approximately 61.0 million unregistered Series A Convertible Preferred Units (the “Preferred Units”) in a private placement offering to a group of purchasers that included affiliates of EnCap, KAFU and EMG. Net proceeds of the sale, after deducting offering expenses and a transaction fee due to the purchasers, were approximately $1.6 billion.</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connection with the closing of PAA’s private placement of Preferred Units, PAA entered into a Registration Rights Agreement (the “Registration Rights Agreement”) with the purchasers of the Preferred Units relating to the registered resale of the PAA common units issuable upon conversion of the Preferred Units. Pursuant to the Registration Rights Agreement, PAA is required to file or cause to be filed a registration statement for such registered resale and is required to cause the registration statement to become effective no later than two years after the closing.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 Holders of registrable securities will cease to have registration rights under the Registration Rights Agreement on the later of (i) the fourth anniversary of the date on which all Preferred Units have been converted into PAA common units pursuant to PAA’s partnership agreement and (ii) the earlier of (x) the date on which such holder is no longer an “affiliate” as such term is defined in Rule 144 promulgated under the Securities Act of 1933, as amended, and (y) the tenth anniversary of the closing.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2016, PAA recognized sales and transportation revenues of approximately $655 million from companies affiliated with Oxy. During 2016, PAA also purchased approximately $42 million of petroleum products from companies affiliated with Oxy. These transactions were conducted at posted tariff rates or prices that PAA believes approximate market. Included in these transactions was a crude oil buy/sell agreement that includes a multi-year minimum volume commitment. These amounts do not include revenues from unconsolidated equity investments.</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2016, PAA recognized sales and transportation and storage revenues of approximately $9 million from companies affiliated with EMG. During 2016, PAA also purchased approximately $191 million of oil from companies affiliated with EMG. These transactions were conducted at posted tariff rates or prices that PAA believes approximate market.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2016, PAA purchased approximately $5 million of oil from companies owned and controlled by funds managed by KACALP. PAA pays the same amount per barrel to these companies that it pays to other producers in the area.</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An employee in PAA’s marketing department is the son of Phil Kramer, who served as an executive officer during 2016. Mr. Kramer’s son’s total compensation for 2016 (which amount includes the grant date fair value of LTIPs awarded to him on terms consistent with all eligible employees) was approximately $231,000.</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An employee in PAA’s supply chain management department is the son of Daniel J. Nerbonne, one of our executive officers. Mr. Nerbonne’s son’s total compensation for 2016 (which amount includes the grant date fair value of LTIPs awarded to him on terms consistent with all eligible employees) was approximately $140,000.</w:t>
      </w:r>
    </w:p>
    <w:p>
      <w:pPr>
        <w:spacing w:after="0" w:line="181"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An employee in PAA’s marketing department is the son of Daniel J. Nerbonne, one of our executive officers. Mr. Nerbonne’s son’s total compensation for 2016 (which amount includes the grant date fair value of LTIPs awarded to him on terms consistent with all eligible employees) was approximately $189,000.</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An employee with PAA’s Canadian operations is the son of W. David Duckett, who served as an executive officer during 2016. Mr. Duckett’s son’s total compensation for 2016 (which amount includes the grant date fair value of LTIPs awarded to him on terms consistent with all eligible employees) was approximately $649,000.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of directors or by a “conflicts committee” meeting the definitional requirements for such a committee under the applicable partnership agreement.</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170"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570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36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4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466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Total</w:t>
            </w:r>
          </w:p>
        </w:tc>
        <w:tc>
          <w:tcPr>
            <w:tcW w:w="570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vMerge w:val="restart"/>
          </w:tcPr>
          <w:p>
            <w:pPr>
              <w:jc w:val="right"/>
              <w:ind w:right="2410"/>
              <w:spacing w:after="0"/>
              <w:rPr>
                <w:sz w:val="20"/>
                <w:szCs w:val="20"/>
                <w:color w:val="auto"/>
              </w:rPr>
            </w:pPr>
            <w:r>
              <w:rPr>
                <w:rFonts w:ascii="Arial" w:cs="Arial" w:eastAsia="Arial" w:hAnsi="Arial"/>
                <w:sz w:val="18"/>
                <w:szCs w:val="18"/>
                <w:color w:val="auto"/>
              </w:rPr>
              <w:t>152</w:t>
            </w: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6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tcBorders>
              <w:bottom w:val="single" w:sz="8" w:color="auto"/>
            </w:tcBorders>
          </w:tcPr>
          <w:p>
            <w:pPr>
              <w:spacing w:after="0"/>
              <w:rPr>
                <w:sz w:val="20"/>
                <w:szCs w:val="20"/>
                <w:color w:val="auto"/>
              </w:rPr>
            </w:pPr>
          </w:p>
        </w:tc>
        <w:tc>
          <w:tcPr>
            <w:tcW w:w="466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6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right="340" w:hanging="332"/>
        <w:spacing w:after="0" w:line="216" w:lineRule="auto"/>
        <w:tabs>
          <w:tab w:leader="none" w:pos="34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95" w:lineRule="exact"/>
        <w:rPr>
          <w:rFonts w:ascii="Arial" w:cs="Arial" w:eastAsia="Arial" w:hAnsi="Arial"/>
          <w:sz w:val="25"/>
          <w:szCs w:val="25"/>
          <w:color w:val="auto"/>
          <w:vertAlign w:val="superscript"/>
        </w:rPr>
      </w:pPr>
    </w:p>
    <w:p>
      <w:pPr>
        <w:jc w:val="both"/>
        <w:ind w:left="340" w:right="140" w:hanging="332"/>
        <w:spacing w:after="0" w:line="226" w:lineRule="auto"/>
        <w:tabs>
          <w:tab w:leader="none" w:pos="34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Audit-related fees for the year ended December 31, 2016 are primarily comprised of fees associated with the audits of financial statements prepared in conjunction with divestiture transactions. Such fees were reimbursed to us by the purchasers. Audit-related fees also include fees for the audits of our benefit plan in both periods presented.</w:t>
      </w:r>
    </w:p>
    <w:p>
      <w:pPr>
        <w:spacing w:after="0" w:line="95" w:lineRule="exact"/>
        <w:rPr>
          <w:rFonts w:ascii="Arial" w:cs="Arial" w:eastAsia="Arial" w:hAnsi="Arial"/>
          <w:sz w:val="25"/>
          <w:szCs w:val="25"/>
          <w:color w:val="auto"/>
          <w:vertAlign w:val="superscript"/>
        </w:rPr>
      </w:pPr>
    </w:p>
    <w:p>
      <w:pPr>
        <w:ind w:left="340" w:right="160" w:hanging="332"/>
        <w:spacing w:after="0" w:line="216" w:lineRule="auto"/>
        <w:tabs>
          <w:tab w:leader="none" w:pos="34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Tax fees are related to tax processing as well as the preparation of Forms K-1 for PAA unitholders and international tax planning work associated with the structure of our Canadian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 discussed above, we have an audit committee that reviews our external financial reporting, engages our independent auditors and reviews the adequacy of our internal accounting controls. Our consolidated subsidiary, PAA, also has an audit committee that performs similar functions on PAA’s behalf. All services provided by our independent auditor are subject to pre-approval by our audit committee or the audit committee of PAA (for services provided to PAA).</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Except as noted above, all services provided by our independent auditor during the years ended December 31, 2016 and 2015 were approved in advance by the applicable audit committee.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20"/>
          </w:cols>
          <w:pgMar w:left="240" w:top="125" w:right="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720" w:hanging="388"/>
        <w:spacing w:after="0"/>
        <w:tabs>
          <w:tab w:leader="none" w:pos="7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25" w:lineRule="exact"/>
        <w:rPr>
          <w:sz w:val="20"/>
          <w:szCs w:val="20"/>
          <w:color w:val="auto"/>
        </w:rPr>
      </w:pPr>
    </w:p>
    <w:p>
      <w:pPr>
        <w:ind w:left="1040" w:hanging="384"/>
        <w:spacing w:after="0"/>
        <w:tabs>
          <w:tab w:leader="none" w:pos="1040" w:val="left"/>
        </w:tabs>
        <w:numPr>
          <w:ilvl w:val="0"/>
          <w:numId w:val="124"/>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040" w:hanging="384"/>
        <w:spacing w:after="0"/>
        <w:tabs>
          <w:tab w:leader="none" w:pos="1040" w:val="left"/>
        </w:tabs>
        <w:numPr>
          <w:ilvl w:val="0"/>
          <w:numId w:val="125"/>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240" w:top="126" w:right="5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PLAINS GP HOLDINGS, L.P.</w:t>
      </w:r>
    </w:p>
    <w:p>
      <w:pPr>
        <w:spacing w:after="0" w:line="67" w:lineRule="exact"/>
        <w:rPr>
          <w:sz w:val="20"/>
          <w:szCs w:val="20"/>
          <w:color w:val="auto"/>
        </w:rPr>
      </w:pPr>
    </w:p>
    <w:p>
      <w:pPr>
        <w:ind w:left="3000"/>
        <w:spacing w:after="0"/>
        <w:tabs>
          <w:tab w:leader="none" w:pos="3440" w:val="left"/>
        </w:tabs>
        <w:rPr>
          <w:sz w:val="20"/>
          <w:szCs w:val="20"/>
          <w:color w:val="auto"/>
        </w:rPr>
      </w:pPr>
      <w:r>
        <w:rPr>
          <w:rFonts w:ascii="Arial" w:cs="Arial" w:eastAsia="Arial" w:hAnsi="Arial"/>
          <w:sz w:val="18"/>
          <w:szCs w:val="18"/>
          <w:color w:val="auto"/>
        </w:rPr>
        <w:t>By:</w:t>
        <w:tab/>
        <w:t>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its general partner</w:t>
      </w:r>
    </w:p>
    <w:p>
      <w:pPr>
        <w:spacing w:after="0" w:line="333" w:lineRule="exact"/>
        <w:rPr>
          <w:sz w:val="20"/>
          <w:szCs w:val="20"/>
          <w:color w:val="auto"/>
        </w:rPr>
      </w:pPr>
    </w:p>
    <w:p>
      <w:pPr>
        <w:ind w:left="3000"/>
        <w:spacing w:after="0"/>
        <w:tabs>
          <w:tab w:leader="none" w:pos="3440" w:val="left"/>
        </w:tabs>
        <w:rPr>
          <w:sz w:val="20"/>
          <w:szCs w:val="20"/>
          <w:color w:val="auto"/>
        </w:rPr>
      </w:pPr>
      <w:r>
        <w:rPr>
          <w:rFonts w:ascii="Arial" w:cs="Arial" w:eastAsia="Arial" w:hAnsi="Arial"/>
          <w:sz w:val="18"/>
          <w:szCs w:val="18"/>
          <w:color w:val="auto"/>
        </w:rPr>
        <w:t>By:</w:t>
        <w:tab/>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Greg L. Armstrong,</w:t>
      </w:r>
    </w:p>
    <w:p>
      <w:pPr>
        <w:spacing w:after="0" w:line="67"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Chairman of the Board, Chief Executive Officer</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and Director 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63" w:lineRule="exact"/>
        <w:rPr>
          <w:sz w:val="20"/>
          <w:szCs w:val="20"/>
          <w:color w:val="auto"/>
        </w:rPr>
      </w:pPr>
    </w:p>
    <w:p>
      <w:pPr>
        <w:ind w:left="3000"/>
        <w:spacing w:after="0"/>
        <w:tabs>
          <w:tab w:leader="none" w:pos="344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63" w:lineRule="exact"/>
        <w:rPr>
          <w:sz w:val="20"/>
          <w:szCs w:val="20"/>
          <w:color w:val="auto"/>
        </w:rPr>
      </w:pPr>
    </w:p>
    <w:p>
      <w:pPr>
        <w:ind w:left="3000"/>
        <w:spacing w:after="0"/>
        <w:tabs>
          <w:tab w:leader="none" w:pos="344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Vice President—Accounting and Chief Accounting Officer 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60"/>
          </w:cols>
          <w:pgMar w:left="240" w:top="125" w:right="2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684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25"/>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Chairman of the Board, Chief Executive Officer and 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3"/>
              </w:rPr>
              <w:t>Greg L. Armstrong</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President and Chief Operating Officer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2"/>
              </w:rPr>
              <w:t>Harry N. Pefanis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2520" w:type="dxa"/>
            <w:vAlign w:val="bottom"/>
          </w:tcPr>
          <w:p>
            <w:pPr>
              <w:jc w:val="center"/>
              <w:spacing w:after="0"/>
              <w:rPr>
                <w:sz w:val="20"/>
                <w:szCs w:val="20"/>
                <w:color w:val="auto"/>
              </w:rPr>
            </w:pPr>
            <w:r>
              <w:rPr>
                <w:rFonts w:ascii="Arial" w:cs="Arial" w:eastAsia="Arial" w:hAnsi="Arial"/>
                <w:sz w:val="18"/>
                <w:szCs w:val="18"/>
                <w:color w:val="auto"/>
                <w:w w:val="94"/>
              </w:rPr>
              <w:t>/s/ Willie Chiang</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w w:val="96"/>
              </w:rPr>
              <w:t>Director, Executive Vice President and Chief Operating Officer (U.S.) of PAA GP Holdings</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LLC</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5"/>
              </w:rPr>
              <w:t>Willie Chiang</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Al Swanson</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w w:val="98"/>
              </w:rPr>
              <w:t>Executive Vice President and Chief Financial Officer of PAA GP Holdings LLC (Principal</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Financial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2"/>
              </w:rPr>
              <w:t>Al Swanson</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Vice President—Accounting and Chief Accounting Officer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41"/>
        </w:trPr>
        <w:tc>
          <w:tcPr>
            <w:tcW w:w="25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9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2"/>
              </w:rPr>
              <w:t>Chris Herbold</w:t>
            </w:r>
          </w:p>
        </w:tc>
        <w:tc>
          <w:tcPr>
            <w:tcW w:w="120" w:type="dxa"/>
            <w:vAlign w:val="bottom"/>
            <w:vMerge w:val="continue"/>
          </w:tcPr>
          <w:p>
            <w:pPr>
              <w:spacing w:after="0"/>
              <w:rPr>
                <w:sz w:val="14"/>
                <w:szCs w:val="14"/>
                <w:color w:val="auto"/>
              </w:rPr>
            </w:pPr>
          </w:p>
        </w:tc>
        <w:tc>
          <w:tcPr>
            <w:tcW w:w="69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6"/>
              </w:rPr>
              <w:t>/s/ Victor Burk</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7"/>
              </w:rPr>
              <w:t>Victor Burk</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3"/>
              </w:rPr>
              <w:t>/s/ Bernard Figlock</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3"/>
              </w:rPr>
              <w:t>Bernard Figlock</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Everardo Goyanes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9"/>
              </w:rPr>
              <w:t>Everardo Goyanes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8"/>
              </w:rPr>
              <w:t>/s/ Gary R. Petersen</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7"/>
              </w:rPr>
              <w:t>Gary R. Petersen</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John T. Raymond</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0"/>
              </w:rPr>
              <w:t>John T. Raymond</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Bobby S. Shackouls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0"/>
              </w:rPr>
              <w:t>Bobby S. Shackouls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/s/ Robert V. Sinnott</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1"/>
              </w:rPr>
              <w:t>Robert V. Sinnott</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 J. Taft Symonds</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89"/>
              </w:rPr>
              <w:t>J. Taft Symonds</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20" w:type="dxa"/>
            <w:vAlign w:val="bottom"/>
          </w:tcPr>
          <w:p>
            <w:pPr>
              <w:jc w:val="center"/>
              <w:spacing w:after="0"/>
              <w:rPr>
                <w:sz w:val="20"/>
                <w:szCs w:val="20"/>
                <w:color w:val="auto"/>
              </w:rPr>
            </w:pPr>
            <w:r>
              <w:rPr>
                <w:rFonts w:ascii="Arial" w:cs="Arial" w:eastAsia="Arial" w:hAnsi="Arial"/>
                <w:sz w:val="18"/>
                <w:szCs w:val="18"/>
                <w:color w:val="auto"/>
                <w:w w:val="91"/>
              </w:rPr>
              <w:t>/s/ Christopher M. Temple</w:t>
            </w:r>
          </w:p>
        </w:tc>
        <w:tc>
          <w:tcPr>
            <w:tcW w:w="120" w:type="dxa"/>
            <w:vAlign w:val="bottom"/>
          </w:tcPr>
          <w:p>
            <w:pPr>
              <w:spacing w:after="0"/>
              <w:rPr>
                <w:sz w:val="24"/>
                <w:szCs w:val="24"/>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23,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jc w:val="center"/>
              <w:spacing w:after="0"/>
              <w:rPr>
                <w:sz w:val="20"/>
                <w:szCs w:val="20"/>
                <w:color w:val="auto"/>
              </w:rPr>
            </w:pPr>
            <w:r>
              <w:rPr>
                <w:rFonts w:ascii="Arial" w:cs="Arial" w:eastAsia="Arial" w:hAnsi="Arial"/>
                <w:sz w:val="18"/>
                <w:szCs w:val="18"/>
                <w:color w:val="auto"/>
                <w:w w:val="91"/>
              </w:rPr>
              <w:t>Christopher M. Temple</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1420"/>
          </w:cols>
          <w:pgMar w:left="240" w:top="125" w:right="23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230"/>
        </w:trPr>
        <w:tc>
          <w:tcPr>
            <w:tcW w:w="10360" w:type="dxa"/>
            <w:vAlign w:val="bottom"/>
            <w:gridSpan w:val="31"/>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19"/>
                <w:szCs w:val="19"/>
                <w:color w:val="auto"/>
              </w:rPr>
            </w:pPr>
          </w:p>
        </w:tc>
      </w:tr>
      <w:tr>
        <w:trPr>
          <w:trHeight w:val="243"/>
        </w:trPr>
        <w:tc>
          <w:tcPr>
            <w:tcW w:w="490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58">
              <w:r>
                <w:rPr>
                  <w:rFonts w:ascii="Arial" w:cs="Arial" w:eastAsia="Arial" w:hAnsi="Arial"/>
                  <w:sz w:val="18"/>
                  <w:szCs w:val="18"/>
                  <w:color w:val="0000EE"/>
                  <w:w w:val="91"/>
                </w:rPr>
                <w:t>Management’s Report on Internal Control Over Financial Reporting</w:t>
              </w:r>
            </w:hyperlink>
          </w:p>
        </w:tc>
        <w:tc>
          <w:tcPr>
            <w:tcW w:w="5460" w:type="dxa"/>
            <w:vAlign w:val="bottom"/>
            <w:gridSpan w:val="6"/>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158">
              <w:r>
                <w:rPr>
                  <w:rFonts w:ascii="Arial" w:cs="Arial" w:eastAsia="Arial" w:hAnsi="Arial"/>
                  <w:sz w:val="18"/>
                  <w:szCs w:val="18"/>
                  <w:color w:val="auto"/>
                </w:rPr>
                <w:t>F-2</w:t>
              </w:r>
            </w:hyperlink>
          </w:p>
        </w:tc>
      </w:tr>
      <w:tr>
        <w:trPr>
          <w:trHeight w:val="250"/>
        </w:trPr>
        <w:tc>
          <w:tcPr>
            <w:tcW w:w="42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Report of Independent Registered Public Accounting Firm</w:t>
              </w:r>
            </w:hyperlink>
          </w:p>
        </w:tc>
        <w:tc>
          <w:tcPr>
            <w:tcW w:w="614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159">
              <w:r>
                <w:rPr>
                  <w:rFonts w:ascii="Arial" w:cs="Arial" w:eastAsia="Arial" w:hAnsi="Arial"/>
                  <w:sz w:val="18"/>
                  <w:szCs w:val="18"/>
                  <w:color w:val="auto"/>
                </w:rPr>
                <w:t>F-3</w:t>
              </w:r>
            </w:hyperlink>
          </w:p>
        </w:tc>
      </w:tr>
      <w:tr>
        <w:trPr>
          <w:trHeight w:val="250"/>
        </w:trPr>
        <w:tc>
          <w:tcPr>
            <w:tcW w:w="10360" w:type="dxa"/>
            <w:vAlign w:val="bottom"/>
            <w:gridSpan w:val="31"/>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Consolidated Balance Sheets as of December 31, 2016 and 2015</w:t>
              </w:r>
            </w:hyperlink>
          </w:p>
        </w:tc>
        <w:tc>
          <w:tcPr>
            <w:tcW w:w="1020" w:type="dxa"/>
            <w:vAlign w:val="bottom"/>
          </w:tcPr>
          <w:p>
            <w:pPr>
              <w:jc w:val="right"/>
              <w:spacing w:after="0"/>
              <w:rPr>
                <w:rFonts w:ascii="Arial" w:cs="Arial" w:eastAsia="Arial" w:hAnsi="Arial"/>
                <w:sz w:val="18"/>
                <w:szCs w:val="18"/>
                <w:color w:val="auto"/>
              </w:rPr>
            </w:pPr>
            <w:hyperlink w:anchor="page160">
              <w:r>
                <w:rPr>
                  <w:rFonts w:ascii="Arial" w:cs="Arial" w:eastAsia="Arial" w:hAnsi="Arial"/>
                  <w:sz w:val="18"/>
                  <w:szCs w:val="18"/>
                  <w:color w:val="auto"/>
                </w:rPr>
                <w:t>F-4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1"/>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Operations for the years ended December 31, 2016, 2015 and 2014</w:t>
              </w:r>
            </w:hyperlink>
          </w:p>
        </w:tc>
        <w:tc>
          <w:tcPr>
            <w:tcW w:w="1020" w:type="dxa"/>
            <w:vAlign w:val="bottom"/>
          </w:tcPr>
          <w:p>
            <w:pPr>
              <w:jc w:val="right"/>
              <w:spacing w:after="0"/>
              <w:rPr>
                <w:rFonts w:ascii="Arial" w:cs="Arial" w:eastAsia="Arial" w:hAnsi="Arial"/>
                <w:sz w:val="18"/>
                <w:szCs w:val="18"/>
                <w:color w:val="auto"/>
              </w:rPr>
            </w:pPr>
            <w:hyperlink w:anchor="page161">
              <w:r>
                <w:rPr>
                  <w:rFonts w:ascii="Arial" w:cs="Arial" w:eastAsia="Arial" w:hAnsi="Arial"/>
                  <w:sz w:val="18"/>
                  <w:szCs w:val="18"/>
                  <w:color w:val="auto"/>
                </w:rPr>
                <w:t>F-5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778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162">
              <w:r>
                <w:rPr>
                  <w:rFonts w:ascii="Arial" w:cs="Arial" w:eastAsia="Arial" w:hAnsi="Arial"/>
                  <w:sz w:val="18"/>
                  <w:szCs w:val="18"/>
                  <w:color w:val="0000EE"/>
                  <w:w w:val="89"/>
                </w:rPr>
                <w:t>Consolidated Statements of Comprehensive Income for the years ended December 31, 2016, 2015 and 2014</w:t>
              </w:r>
            </w:hyperlink>
          </w:p>
        </w:tc>
        <w:tc>
          <w:tcPr>
            <w:tcW w:w="2580" w:type="dxa"/>
            <w:vAlign w:val="bottom"/>
            <w:gridSpan w:val="3"/>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162">
              <w:r>
                <w:rPr>
                  <w:rFonts w:ascii="Arial" w:cs="Arial" w:eastAsia="Arial" w:hAnsi="Arial"/>
                  <w:sz w:val="18"/>
                  <w:szCs w:val="18"/>
                  <w:color w:val="auto"/>
                </w:rPr>
                <w:t>F-6</w:t>
              </w:r>
            </w:hyperlink>
          </w:p>
        </w:tc>
      </w:tr>
      <w:tr>
        <w:trPr>
          <w:trHeight w:val="250"/>
        </w:trPr>
        <w:tc>
          <w:tcPr>
            <w:tcW w:w="10360" w:type="dxa"/>
            <w:vAlign w:val="bottom"/>
            <w:gridSpan w:val="31"/>
          </w:tcPr>
          <w:p>
            <w:pP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Consolidated Statements of Changes in Accumulated Other Comprehensive Income/(Loss) for the years ended December 31, 2016, 2015 and</w:t>
              </w:r>
            </w:hyperlink>
          </w:p>
        </w:tc>
        <w:tc>
          <w:tcPr>
            <w:tcW w:w="1020" w:type="dxa"/>
            <w:vAlign w:val="bottom"/>
          </w:tcPr>
          <w:p>
            <w:pPr>
              <w:spacing w:after="0"/>
              <w:rPr>
                <w:sz w:val="21"/>
                <w:szCs w:val="21"/>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gridSpan w:val="3"/>
          </w:tcPr>
          <w:p>
            <w:pPr>
              <w:ind w:left="40"/>
              <w:spacing w:after="0" w:line="196" w:lineRule="exact"/>
              <w:rPr>
                <w:rFonts w:ascii="Arial" w:cs="Arial" w:eastAsia="Arial" w:hAnsi="Arial"/>
                <w:sz w:val="18"/>
                <w:szCs w:val="18"/>
                <w:color w:val="0000EE"/>
                <w:w w:val="84"/>
              </w:rPr>
            </w:pPr>
            <w:hyperlink w:anchor="page162">
              <w:r>
                <w:rPr>
                  <w:rFonts w:ascii="Arial" w:cs="Arial" w:eastAsia="Arial" w:hAnsi="Arial"/>
                  <w:sz w:val="18"/>
                  <w:szCs w:val="18"/>
                  <w:color w:val="0000EE"/>
                  <w:w w:val="84"/>
                </w:rPr>
                <w:t>2014</w:t>
              </w:r>
            </w:hyperlink>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162">
              <w:r>
                <w:rPr>
                  <w:rFonts w:ascii="Arial" w:cs="Arial" w:eastAsia="Arial" w:hAnsi="Arial"/>
                  <w:sz w:val="18"/>
                  <w:szCs w:val="18"/>
                  <w:color w:val="auto"/>
                </w:rPr>
                <w:t>F-6</w:t>
              </w:r>
            </w:hyperlink>
          </w:p>
        </w:tc>
      </w:tr>
      <w:tr>
        <w:trPr>
          <w:trHeight w:val="20"/>
        </w:trPr>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1"/>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Cash Flows for the years ended December 31, 2016, 2015 and 2014</w:t>
              </w:r>
            </w:hyperlink>
          </w:p>
        </w:tc>
        <w:tc>
          <w:tcPr>
            <w:tcW w:w="1020" w:type="dxa"/>
            <w:vAlign w:val="bottom"/>
          </w:tcPr>
          <w:p>
            <w:pPr>
              <w:jc w:val="right"/>
              <w:spacing w:after="0"/>
              <w:rPr>
                <w:rFonts w:ascii="Arial" w:cs="Arial" w:eastAsia="Arial" w:hAnsi="Arial"/>
                <w:sz w:val="18"/>
                <w:szCs w:val="18"/>
                <w:color w:val="auto"/>
              </w:rPr>
            </w:pPr>
            <w:hyperlink w:anchor="page163">
              <w:r>
                <w:rPr>
                  <w:rFonts w:ascii="Arial" w:cs="Arial" w:eastAsia="Arial" w:hAnsi="Arial"/>
                  <w:sz w:val="18"/>
                  <w:szCs w:val="18"/>
                  <w:color w:val="auto"/>
                </w:rPr>
                <w:t>F-7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31"/>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Changes in Partners’ Capital for the years ended December 31, 2016, 2015 and 2014</w:t>
              </w:r>
            </w:hyperlink>
          </w:p>
        </w:tc>
        <w:tc>
          <w:tcPr>
            <w:tcW w:w="1020" w:type="dxa"/>
            <w:vAlign w:val="bottom"/>
          </w:tcPr>
          <w:p>
            <w:pPr>
              <w:jc w:val="right"/>
              <w:spacing w:after="0"/>
              <w:rPr>
                <w:rFonts w:ascii="Arial" w:cs="Arial" w:eastAsia="Arial" w:hAnsi="Arial"/>
                <w:sz w:val="18"/>
                <w:szCs w:val="18"/>
                <w:color w:val="auto"/>
              </w:rPr>
            </w:pPr>
            <w:hyperlink w:anchor="page164">
              <w:r>
                <w:rPr>
                  <w:rFonts w:ascii="Arial" w:cs="Arial" w:eastAsia="Arial" w:hAnsi="Arial"/>
                  <w:sz w:val="18"/>
                  <w:szCs w:val="18"/>
                  <w:color w:val="auto"/>
                </w:rPr>
                <w:t>F-8</w:t>
              </w:r>
            </w:hyperlink>
          </w:p>
        </w:tc>
      </w:tr>
      <w:tr>
        <w:trPr>
          <w:trHeight w:val="250"/>
        </w:trPr>
        <w:tc>
          <w:tcPr>
            <w:tcW w:w="34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165">
              <w:r>
                <w:rPr>
                  <w:rFonts w:ascii="Arial" w:cs="Arial" w:eastAsia="Arial" w:hAnsi="Arial"/>
                  <w:sz w:val="18"/>
                  <w:szCs w:val="18"/>
                  <w:color w:val="0000EE"/>
                  <w:w w:val="89"/>
                </w:rPr>
                <w:t>Notes to the Consolidated Financial Statements:</w:t>
              </w:r>
            </w:hyperlink>
          </w:p>
        </w:tc>
        <w:tc>
          <w:tcPr>
            <w:tcW w:w="4660" w:type="dxa"/>
            <w:vAlign w:val="bottom"/>
            <w:tcBorders>
              <w:top w:val="single" w:sz="8" w:color="0000EE"/>
            </w:tcBorders>
            <w:gridSpan w:val="12"/>
          </w:tcPr>
          <w:p>
            <w:pPr>
              <w:spacing w:after="0"/>
              <w:rPr>
                <w:sz w:val="21"/>
                <w:szCs w:val="21"/>
                <w:color w:val="auto"/>
              </w:rPr>
            </w:pPr>
          </w:p>
        </w:tc>
        <w:tc>
          <w:tcPr>
            <w:tcW w:w="2240" w:type="dxa"/>
            <w:vAlign w:val="bottom"/>
            <w:gridSpan w:val="2"/>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165">
              <w:r>
                <w:rPr>
                  <w:rFonts w:ascii="Arial" w:cs="Arial" w:eastAsia="Arial" w:hAnsi="Arial"/>
                  <w:sz w:val="18"/>
                  <w:szCs w:val="18"/>
                  <w:color w:val="auto"/>
                </w:rPr>
                <w:t>F-9</w:t>
              </w:r>
            </w:hyperlink>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65">
              <w:r>
                <w:rPr>
                  <w:rFonts w:ascii="Arial" w:cs="Arial" w:eastAsia="Arial" w:hAnsi="Arial"/>
                  <w:sz w:val="18"/>
                  <w:szCs w:val="18"/>
                  <w:color w:val="0000EE"/>
                  <w:w w:val="79"/>
                </w:rPr>
                <w:t>1.</w:t>
              </w:r>
            </w:hyperlink>
          </w:p>
        </w:tc>
        <w:tc>
          <w:tcPr>
            <w:tcW w:w="10080" w:type="dxa"/>
            <w:vAlign w:val="bottom"/>
            <w:gridSpan w:val="29"/>
          </w:tcPr>
          <w:p>
            <w:pPr>
              <w:ind w:left="40"/>
              <w:spacing w:after="0"/>
              <w:rPr>
                <w:rFonts w:ascii="Arial" w:cs="Arial" w:eastAsia="Arial" w:hAnsi="Arial"/>
                <w:sz w:val="18"/>
                <w:szCs w:val="18"/>
                <w:color w:val="0000EE"/>
              </w:rPr>
            </w:pPr>
            <w:hyperlink w:anchor="page165">
              <w:r>
                <w:rPr>
                  <w:rFonts w:ascii="Arial" w:cs="Arial" w:eastAsia="Arial" w:hAnsi="Arial"/>
                  <w:sz w:val="18"/>
                  <w:szCs w:val="18"/>
                  <w:color w:val="0000EE"/>
                </w:rPr>
                <w:t>Organization and Basis of Consolidation and Presentation</w:t>
              </w:r>
            </w:hyperlink>
          </w:p>
        </w:tc>
        <w:tc>
          <w:tcPr>
            <w:tcW w:w="1020" w:type="dxa"/>
            <w:vAlign w:val="bottom"/>
          </w:tcPr>
          <w:p>
            <w:pPr>
              <w:jc w:val="right"/>
              <w:spacing w:after="0"/>
              <w:rPr>
                <w:rFonts w:ascii="Arial" w:cs="Arial" w:eastAsia="Arial" w:hAnsi="Arial"/>
                <w:sz w:val="18"/>
                <w:szCs w:val="18"/>
                <w:color w:val="auto"/>
              </w:rPr>
            </w:pPr>
            <w:hyperlink w:anchor="page165">
              <w:r>
                <w:rPr>
                  <w:rFonts w:ascii="Arial" w:cs="Arial" w:eastAsia="Arial" w:hAnsi="Arial"/>
                  <w:sz w:val="18"/>
                  <w:szCs w:val="18"/>
                  <w:color w:val="auto"/>
                </w:rPr>
                <w:t>F-9</w:t>
              </w:r>
            </w:hyperlink>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67">
              <w:r>
                <w:rPr>
                  <w:rFonts w:ascii="Arial" w:cs="Arial" w:eastAsia="Arial" w:hAnsi="Arial"/>
                  <w:sz w:val="18"/>
                  <w:szCs w:val="18"/>
                  <w:color w:val="0000EE"/>
                  <w:w w:val="79"/>
                </w:rPr>
                <w:t>2.</w:t>
              </w:r>
            </w:hyperlink>
          </w:p>
        </w:tc>
        <w:tc>
          <w:tcPr>
            <w:tcW w:w="10080" w:type="dxa"/>
            <w:vAlign w:val="bottom"/>
            <w:gridSpan w:val="29"/>
          </w:tcPr>
          <w:p>
            <w:pPr>
              <w:ind w:left="40"/>
              <w:spacing w:after="0"/>
              <w:rPr>
                <w:rFonts w:ascii="Arial" w:cs="Arial" w:eastAsia="Arial" w:hAnsi="Arial"/>
                <w:sz w:val="18"/>
                <w:szCs w:val="18"/>
                <w:color w:val="0000EE"/>
              </w:rPr>
            </w:pPr>
            <w:hyperlink w:anchor="page167">
              <w:r>
                <w:rPr>
                  <w:rFonts w:ascii="Arial" w:cs="Arial" w:eastAsia="Arial" w:hAnsi="Arial"/>
                  <w:sz w:val="18"/>
                  <w:szCs w:val="18"/>
                  <w:color w:val="0000EE"/>
                </w:rPr>
                <w:t>Summary of Significant Accounting Policies</w:t>
              </w:r>
            </w:hyperlink>
          </w:p>
        </w:tc>
        <w:tc>
          <w:tcPr>
            <w:tcW w:w="1020" w:type="dxa"/>
            <w:vAlign w:val="bottom"/>
          </w:tcPr>
          <w:p>
            <w:pPr>
              <w:jc w:val="right"/>
              <w:spacing w:after="0"/>
              <w:rPr>
                <w:rFonts w:ascii="Arial" w:cs="Arial" w:eastAsia="Arial" w:hAnsi="Arial"/>
                <w:sz w:val="18"/>
                <w:szCs w:val="18"/>
                <w:color w:val="auto"/>
              </w:rPr>
            </w:pPr>
            <w:hyperlink w:anchor="page167">
              <w:r>
                <w:rPr>
                  <w:rFonts w:ascii="Arial" w:cs="Arial" w:eastAsia="Arial" w:hAnsi="Arial"/>
                  <w:sz w:val="18"/>
                  <w:szCs w:val="18"/>
                  <w:color w:val="auto"/>
                </w:rPr>
                <w:t>F-11</w:t>
              </w:r>
            </w:hyperlink>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3.</w:t>
              </w:r>
            </w:hyperlink>
          </w:p>
        </w:tc>
        <w:tc>
          <w:tcPr>
            <w:tcW w:w="10080" w:type="dxa"/>
            <w:vAlign w:val="bottom"/>
            <w:gridSpan w:val="29"/>
          </w:tcPr>
          <w:p>
            <w:pPr>
              <w:ind w:left="40"/>
              <w:spacing w:after="0"/>
              <w:rPr>
                <w:rFonts w:ascii="Arial" w:cs="Arial" w:eastAsia="Arial" w:hAnsi="Arial"/>
                <w:sz w:val="18"/>
                <w:szCs w:val="18"/>
                <w:color w:val="0000EE"/>
              </w:rPr>
            </w:pPr>
            <w:hyperlink w:anchor="page172">
              <w:r>
                <w:rPr>
                  <w:rFonts w:ascii="Arial" w:cs="Arial" w:eastAsia="Arial" w:hAnsi="Arial"/>
                  <w:sz w:val="18"/>
                  <w:szCs w:val="18"/>
                  <w:color w:val="0000EE"/>
                </w:rPr>
                <w:t>Net Income Per Class A Share</w:t>
              </w:r>
            </w:hyperlink>
          </w:p>
        </w:tc>
        <w:tc>
          <w:tcPr>
            <w:tcW w:w="1020" w:type="dxa"/>
            <w:vAlign w:val="bottom"/>
          </w:tcPr>
          <w:p>
            <w:pPr>
              <w:jc w:val="right"/>
              <w:spacing w:after="0"/>
              <w:rPr>
                <w:rFonts w:ascii="Arial" w:cs="Arial" w:eastAsia="Arial" w:hAnsi="Arial"/>
                <w:sz w:val="18"/>
                <w:szCs w:val="18"/>
                <w:color w:val="auto"/>
              </w:rPr>
            </w:pPr>
            <w:hyperlink w:anchor="page172">
              <w:r>
                <w:rPr>
                  <w:rFonts w:ascii="Arial" w:cs="Arial" w:eastAsia="Arial" w:hAnsi="Arial"/>
                  <w:sz w:val="18"/>
                  <w:szCs w:val="18"/>
                  <w:color w:val="auto"/>
                </w:rPr>
                <w:t>F-16</w:t>
              </w:r>
            </w:hyperlink>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4.</w:t>
              </w:r>
            </w:hyperlink>
          </w:p>
        </w:tc>
        <w:tc>
          <w:tcPr>
            <w:tcW w:w="10080" w:type="dxa"/>
            <w:vAlign w:val="bottom"/>
            <w:gridSpan w:val="29"/>
          </w:tcPr>
          <w:p>
            <w:pPr>
              <w:ind w:left="40"/>
              <w:spacing w:after="0"/>
              <w:rPr>
                <w:rFonts w:ascii="Arial" w:cs="Arial" w:eastAsia="Arial" w:hAnsi="Arial"/>
                <w:sz w:val="18"/>
                <w:szCs w:val="18"/>
                <w:color w:val="0000EE"/>
              </w:rPr>
            </w:pPr>
            <w:hyperlink w:anchor="page173">
              <w:r>
                <w:rPr>
                  <w:rFonts w:ascii="Arial" w:cs="Arial" w:eastAsia="Arial" w:hAnsi="Arial"/>
                  <w:sz w:val="18"/>
                  <w:szCs w:val="18"/>
                  <w:color w:val="0000EE"/>
                </w:rPr>
                <w:t>Inventory, Linefill and Base Gas and Long-term Inventory</w:t>
              </w:r>
            </w:hyperlink>
          </w:p>
        </w:tc>
        <w:tc>
          <w:tcPr>
            <w:tcW w:w="1020" w:type="dxa"/>
            <w:vAlign w:val="bottom"/>
          </w:tcPr>
          <w:p>
            <w:pPr>
              <w:jc w:val="right"/>
              <w:spacing w:after="0"/>
              <w:rPr>
                <w:rFonts w:ascii="Arial" w:cs="Arial" w:eastAsia="Arial" w:hAnsi="Arial"/>
                <w:sz w:val="18"/>
                <w:szCs w:val="18"/>
                <w:color w:val="auto"/>
              </w:rPr>
            </w:pPr>
            <w:hyperlink w:anchor="page173">
              <w:r>
                <w:rPr>
                  <w:rFonts w:ascii="Arial" w:cs="Arial" w:eastAsia="Arial" w:hAnsi="Arial"/>
                  <w:sz w:val="18"/>
                  <w:szCs w:val="18"/>
                  <w:color w:val="auto"/>
                </w:rPr>
                <w:t>F-17</w:t>
              </w:r>
            </w:hyperlink>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74">
              <w:r>
                <w:rPr>
                  <w:rFonts w:ascii="Arial" w:cs="Arial" w:eastAsia="Arial" w:hAnsi="Arial"/>
                  <w:sz w:val="18"/>
                  <w:szCs w:val="18"/>
                  <w:color w:val="0000EE"/>
                  <w:w w:val="79"/>
                </w:rPr>
                <w:t>5.</w:t>
              </w:r>
            </w:hyperlink>
          </w:p>
        </w:tc>
        <w:tc>
          <w:tcPr>
            <w:tcW w:w="10080" w:type="dxa"/>
            <w:vAlign w:val="bottom"/>
            <w:gridSpan w:val="29"/>
          </w:tcPr>
          <w:p>
            <w:pPr>
              <w:ind w:left="40"/>
              <w:spacing w:after="0"/>
              <w:rPr>
                <w:rFonts w:ascii="Arial" w:cs="Arial" w:eastAsia="Arial" w:hAnsi="Arial"/>
                <w:sz w:val="18"/>
                <w:szCs w:val="18"/>
                <w:color w:val="0000EE"/>
              </w:rPr>
            </w:pPr>
            <w:hyperlink w:anchor="page174">
              <w:r>
                <w:rPr>
                  <w:rFonts w:ascii="Arial" w:cs="Arial" w:eastAsia="Arial" w:hAnsi="Arial"/>
                  <w:sz w:val="18"/>
                  <w:szCs w:val="18"/>
                  <w:color w:val="0000EE"/>
                </w:rPr>
                <w:t>Property and Equipment</w:t>
              </w:r>
            </w:hyperlink>
          </w:p>
        </w:tc>
        <w:tc>
          <w:tcPr>
            <w:tcW w:w="1020" w:type="dxa"/>
            <w:vAlign w:val="bottom"/>
          </w:tcPr>
          <w:p>
            <w:pPr>
              <w:jc w:val="right"/>
              <w:spacing w:after="0"/>
              <w:rPr>
                <w:rFonts w:ascii="Arial" w:cs="Arial" w:eastAsia="Arial" w:hAnsi="Arial"/>
                <w:sz w:val="18"/>
                <w:szCs w:val="18"/>
                <w:color w:val="auto"/>
              </w:rPr>
            </w:pPr>
            <w:hyperlink w:anchor="page174">
              <w:r>
                <w:rPr>
                  <w:rFonts w:ascii="Arial" w:cs="Arial" w:eastAsia="Arial" w:hAnsi="Arial"/>
                  <w:sz w:val="18"/>
                  <w:szCs w:val="18"/>
                  <w:color w:val="auto"/>
                </w:rPr>
                <w:t>F-18</w:t>
              </w:r>
            </w:hyperlink>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76">
              <w:r>
                <w:rPr>
                  <w:rFonts w:ascii="Arial" w:cs="Arial" w:eastAsia="Arial" w:hAnsi="Arial"/>
                  <w:sz w:val="18"/>
                  <w:szCs w:val="18"/>
                  <w:color w:val="0000EE"/>
                  <w:w w:val="79"/>
                </w:rPr>
                <w:t>6.</w:t>
              </w:r>
            </w:hyperlink>
          </w:p>
        </w:tc>
        <w:tc>
          <w:tcPr>
            <w:tcW w:w="10080" w:type="dxa"/>
            <w:vAlign w:val="bottom"/>
            <w:gridSpan w:val="29"/>
          </w:tcPr>
          <w:p>
            <w:pPr>
              <w:ind w:left="40"/>
              <w:spacing w:after="0"/>
              <w:rPr>
                <w:rFonts w:ascii="Arial" w:cs="Arial" w:eastAsia="Arial" w:hAnsi="Arial"/>
                <w:sz w:val="18"/>
                <w:szCs w:val="18"/>
                <w:color w:val="0000EE"/>
              </w:rPr>
            </w:pPr>
            <w:hyperlink w:anchor="page176">
              <w:r>
                <w:rPr>
                  <w:rFonts w:ascii="Arial" w:cs="Arial" w:eastAsia="Arial" w:hAnsi="Arial"/>
                  <w:sz w:val="18"/>
                  <w:szCs w:val="18"/>
                  <w:color w:val="0000EE"/>
                </w:rPr>
                <w:t>Acquisitions and Dispositions</w:t>
              </w:r>
            </w:hyperlink>
          </w:p>
        </w:tc>
        <w:tc>
          <w:tcPr>
            <w:tcW w:w="1020" w:type="dxa"/>
            <w:vAlign w:val="bottom"/>
          </w:tcPr>
          <w:p>
            <w:pPr>
              <w:jc w:val="right"/>
              <w:spacing w:after="0"/>
              <w:rPr>
                <w:rFonts w:ascii="Arial" w:cs="Arial" w:eastAsia="Arial" w:hAnsi="Arial"/>
                <w:sz w:val="18"/>
                <w:szCs w:val="18"/>
                <w:color w:val="auto"/>
              </w:rPr>
            </w:pPr>
            <w:hyperlink w:anchor="page176">
              <w:r>
                <w:rPr>
                  <w:rFonts w:ascii="Arial" w:cs="Arial" w:eastAsia="Arial" w:hAnsi="Arial"/>
                  <w:sz w:val="18"/>
                  <w:szCs w:val="18"/>
                  <w:color w:val="auto"/>
                </w:rPr>
                <w:t>F-20</w:t>
              </w:r>
            </w:hyperlink>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77">
              <w:r>
                <w:rPr>
                  <w:rFonts w:ascii="Arial" w:cs="Arial" w:eastAsia="Arial" w:hAnsi="Arial"/>
                  <w:sz w:val="18"/>
                  <w:szCs w:val="18"/>
                  <w:color w:val="0000EE"/>
                  <w:w w:val="79"/>
                </w:rPr>
                <w:t>7.</w:t>
              </w:r>
            </w:hyperlink>
          </w:p>
        </w:tc>
        <w:tc>
          <w:tcPr>
            <w:tcW w:w="10080" w:type="dxa"/>
            <w:vAlign w:val="bottom"/>
            <w:gridSpan w:val="29"/>
          </w:tcPr>
          <w:p>
            <w:pPr>
              <w:ind w:left="40"/>
              <w:spacing w:after="0"/>
              <w:rPr>
                <w:rFonts w:ascii="Arial" w:cs="Arial" w:eastAsia="Arial" w:hAnsi="Arial"/>
                <w:sz w:val="18"/>
                <w:szCs w:val="18"/>
                <w:color w:val="0000EE"/>
              </w:rPr>
            </w:pPr>
            <w:hyperlink w:anchor="page177">
              <w:r>
                <w:rPr>
                  <w:rFonts w:ascii="Arial" w:cs="Arial" w:eastAsia="Arial" w:hAnsi="Arial"/>
                  <w:sz w:val="18"/>
                  <w:szCs w:val="18"/>
                  <w:color w:val="0000EE"/>
                </w:rPr>
                <w:t>Goodwill</w:t>
              </w:r>
            </w:hyperlink>
          </w:p>
        </w:tc>
        <w:tc>
          <w:tcPr>
            <w:tcW w:w="1020" w:type="dxa"/>
            <w:vAlign w:val="bottom"/>
          </w:tcPr>
          <w:p>
            <w:pPr>
              <w:jc w:val="right"/>
              <w:spacing w:after="0"/>
              <w:rPr>
                <w:rFonts w:ascii="Arial" w:cs="Arial" w:eastAsia="Arial" w:hAnsi="Arial"/>
                <w:sz w:val="18"/>
                <w:szCs w:val="18"/>
                <w:color w:val="auto"/>
              </w:rPr>
            </w:pPr>
            <w:hyperlink w:anchor="page177">
              <w:r>
                <w:rPr>
                  <w:rFonts w:ascii="Arial" w:cs="Arial" w:eastAsia="Arial" w:hAnsi="Arial"/>
                  <w:sz w:val="18"/>
                  <w:szCs w:val="18"/>
                  <w:color w:val="auto"/>
                </w:rPr>
                <w:t>F-21</w:t>
              </w:r>
            </w:hyperlink>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77">
              <w:r>
                <w:rPr>
                  <w:rFonts w:ascii="Arial" w:cs="Arial" w:eastAsia="Arial" w:hAnsi="Arial"/>
                  <w:sz w:val="18"/>
                  <w:szCs w:val="18"/>
                  <w:color w:val="0000EE"/>
                  <w:w w:val="79"/>
                </w:rPr>
                <w:t>8.</w:t>
              </w:r>
            </w:hyperlink>
          </w:p>
        </w:tc>
        <w:tc>
          <w:tcPr>
            <w:tcW w:w="10080" w:type="dxa"/>
            <w:vAlign w:val="bottom"/>
            <w:gridSpan w:val="29"/>
          </w:tcPr>
          <w:p>
            <w:pPr>
              <w:ind w:left="40"/>
              <w:spacing w:after="0"/>
              <w:rPr>
                <w:rFonts w:ascii="Arial" w:cs="Arial" w:eastAsia="Arial" w:hAnsi="Arial"/>
                <w:sz w:val="18"/>
                <w:szCs w:val="18"/>
                <w:color w:val="0000EE"/>
              </w:rPr>
            </w:pPr>
            <w:hyperlink w:anchor="page177">
              <w:r>
                <w:rPr>
                  <w:rFonts w:ascii="Arial" w:cs="Arial" w:eastAsia="Arial" w:hAnsi="Arial"/>
                  <w:sz w:val="18"/>
                  <w:szCs w:val="18"/>
                  <w:color w:val="0000EE"/>
                </w:rPr>
                <w:t>Investments in Unconsolidated Entities</w:t>
              </w:r>
            </w:hyperlink>
          </w:p>
        </w:tc>
        <w:tc>
          <w:tcPr>
            <w:tcW w:w="1020" w:type="dxa"/>
            <w:vAlign w:val="bottom"/>
          </w:tcPr>
          <w:p>
            <w:pPr>
              <w:jc w:val="right"/>
              <w:spacing w:after="0"/>
              <w:rPr>
                <w:rFonts w:ascii="Arial" w:cs="Arial" w:eastAsia="Arial" w:hAnsi="Arial"/>
                <w:sz w:val="18"/>
                <w:szCs w:val="18"/>
                <w:color w:val="auto"/>
              </w:rPr>
            </w:pPr>
            <w:hyperlink w:anchor="page177">
              <w:r>
                <w:rPr>
                  <w:rFonts w:ascii="Arial" w:cs="Arial" w:eastAsia="Arial" w:hAnsi="Arial"/>
                  <w:sz w:val="18"/>
                  <w:szCs w:val="18"/>
                  <w:color w:val="auto"/>
                </w:rPr>
                <w:t>F-21</w:t>
              </w:r>
            </w:hyperlink>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280" w:type="dxa"/>
            <w:vAlign w:val="bottom"/>
            <w:gridSpan w:val="2"/>
          </w:tcPr>
          <w:p>
            <w:pPr>
              <w:ind w:left="140"/>
              <w:spacing w:after="0"/>
              <w:rPr>
                <w:rFonts w:ascii="Arial" w:cs="Arial" w:eastAsia="Arial" w:hAnsi="Arial"/>
                <w:sz w:val="18"/>
                <w:szCs w:val="18"/>
                <w:color w:val="0000EE"/>
                <w:w w:val="79"/>
              </w:rPr>
            </w:pPr>
            <w:hyperlink w:anchor="page179">
              <w:r>
                <w:rPr>
                  <w:rFonts w:ascii="Arial" w:cs="Arial" w:eastAsia="Arial" w:hAnsi="Arial"/>
                  <w:sz w:val="18"/>
                  <w:szCs w:val="18"/>
                  <w:color w:val="0000EE"/>
                  <w:w w:val="79"/>
                </w:rPr>
                <w:t>9.</w:t>
              </w:r>
            </w:hyperlink>
          </w:p>
        </w:tc>
        <w:tc>
          <w:tcPr>
            <w:tcW w:w="10080" w:type="dxa"/>
            <w:vAlign w:val="bottom"/>
            <w:gridSpan w:val="29"/>
          </w:tcPr>
          <w:p>
            <w:pPr>
              <w:ind w:left="40"/>
              <w:spacing w:after="0"/>
              <w:rPr>
                <w:rFonts w:ascii="Arial" w:cs="Arial" w:eastAsia="Arial" w:hAnsi="Arial"/>
                <w:sz w:val="18"/>
                <w:szCs w:val="18"/>
                <w:color w:val="0000EE"/>
              </w:rPr>
            </w:pPr>
            <w:hyperlink w:anchor="page179">
              <w:r>
                <w:rPr>
                  <w:rFonts w:ascii="Arial" w:cs="Arial" w:eastAsia="Arial" w:hAnsi="Arial"/>
                  <w:sz w:val="18"/>
                  <w:szCs w:val="18"/>
                  <w:color w:val="0000EE"/>
                </w:rPr>
                <w:t>Other Long-Term Assets, Net</w:t>
              </w:r>
            </w:hyperlink>
          </w:p>
        </w:tc>
        <w:tc>
          <w:tcPr>
            <w:tcW w:w="1020" w:type="dxa"/>
            <w:vAlign w:val="bottom"/>
          </w:tcPr>
          <w:p>
            <w:pPr>
              <w:jc w:val="right"/>
              <w:spacing w:after="0"/>
              <w:rPr>
                <w:rFonts w:ascii="Arial" w:cs="Arial" w:eastAsia="Arial" w:hAnsi="Arial"/>
                <w:sz w:val="18"/>
                <w:szCs w:val="18"/>
                <w:color w:val="auto"/>
              </w:rPr>
            </w:pPr>
            <w:hyperlink w:anchor="page179">
              <w:r>
                <w:rPr>
                  <w:rFonts w:ascii="Arial" w:cs="Arial" w:eastAsia="Arial" w:hAnsi="Arial"/>
                  <w:sz w:val="18"/>
                  <w:szCs w:val="18"/>
                  <w:color w:val="auto"/>
                </w:rPr>
                <w:t>F-23</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1">
              <w:r>
                <w:rPr>
                  <w:rFonts w:ascii="Arial" w:cs="Arial" w:eastAsia="Arial" w:hAnsi="Arial"/>
                  <w:sz w:val="18"/>
                  <w:szCs w:val="18"/>
                  <w:color w:val="0000EE"/>
                  <w:w w:val="87"/>
                </w:rPr>
                <w:t>10.</w:t>
              </w:r>
            </w:hyperlink>
          </w:p>
        </w:tc>
        <w:tc>
          <w:tcPr>
            <w:tcW w:w="9980" w:type="dxa"/>
            <w:vAlign w:val="bottom"/>
            <w:gridSpan w:val="27"/>
          </w:tcPr>
          <w:p>
            <w:pPr>
              <w:ind w:left="20"/>
              <w:spacing w:after="0"/>
              <w:rPr>
                <w:rFonts w:ascii="Arial" w:cs="Arial" w:eastAsia="Arial" w:hAnsi="Arial"/>
                <w:sz w:val="18"/>
                <w:szCs w:val="18"/>
                <w:color w:val="0000EE"/>
              </w:rPr>
            </w:pPr>
            <w:hyperlink w:anchor="page181">
              <w:r>
                <w:rPr>
                  <w:rFonts w:ascii="Arial" w:cs="Arial" w:eastAsia="Arial" w:hAnsi="Arial"/>
                  <w:sz w:val="18"/>
                  <w:szCs w:val="18"/>
                  <w:color w:val="0000EE"/>
                </w:rPr>
                <w:t>Debt</w:t>
              </w:r>
            </w:hyperlink>
          </w:p>
        </w:tc>
        <w:tc>
          <w:tcPr>
            <w:tcW w:w="1020" w:type="dxa"/>
            <w:vAlign w:val="bottom"/>
          </w:tcPr>
          <w:p>
            <w:pPr>
              <w:jc w:val="right"/>
              <w:spacing w:after="0"/>
              <w:rPr>
                <w:rFonts w:ascii="Arial" w:cs="Arial" w:eastAsia="Arial" w:hAnsi="Arial"/>
                <w:sz w:val="18"/>
                <w:szCs w:val="18"/>
                <w:color w:val="auto"/>
              </w:rPr>
            </w:pPr>
            <w:hyperlink w:anchor="page181">
              <w:r>
                <w:rPr>
                  <w:rFonts w:ascii="Arial" w:cs="Arial" w:eastAsia="Arial" w:hAnsi="Arial"/>
                  <w:sz w:val="18"/>
                  <w:szCs w:val="18"/>
                  <w:color w:val="auto"/>
                </w:rPr>
                <w:t>F-25</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7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84">
              <w:r>
                <w:rPr>
                  <w:rFonts w:ascii="Arial" w:cs="Arial" w:eastAsia="Arial" w:hAnsi="Arial"/>
                  <w:sz w:val="18"/>
                  <w:szCs w:val="18"/>
                  <w:color w:val="0000EE"/>
                  <w:w w:val="90"/>
                </w:rPr>
                <w:t>11. Partners’ Capital and Distributions</w:t>
              </w:r>
            </w:hyperlink>
          </w:p>
        </w:tc>
        <w:tc>
          <w:tcPr>
            <w:tcW w:w="7460" w:type="dxa"/>
            <w:vAlign w:val="bottom"/>
            <w:gridSpan w:val="17"/>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184">
              <w:r>
                <w:rPr>
                  <w:rFonts w:ascii="Arial" w:cs="Arial" w:eastAsia="Arial" w:hAnsi="Arial"/>
                  <w:sz w:val="18"/>
                  <w:szCs w:val="18"/>
                  <w:color w:val="auto"/>
                </w:rPr>
                <w:t>F-28</w:t>
              </w:r>
            </w:hyperlink>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88">
              <w:r>
                <w:rPr>
                  <w:rFonts w:ascii="Arial" w:cs="Arial" w:eastAsia="Arial" w:hAnsi="Arial"/>
                  <w:sz w:val="18"/>
                  <w:szCs w:val="18"/>
                  <w:color w:val="0000EE"/>
                  <w:w w:val="87"/>
                </w:rPr>
                <w:t>12.</w:t>
              </w:r>
            </w:hyperlink>
          </w:p>
        </w:tc>
        <w:tc>
          <w:tcPr>
            <w:tcW w:w="9980" w:type="dxa"/>
            <w:vAlign w:val="bottom"/>
            <w:gridSpan w:val="27"/>
          </w:tcPr>
          <w:p>
            <w:pPr>
              <w:ind w:left="20"/>
              <w:spacing w:after="0"/>
              <w:rPr>
                <w:rFonts w:ascii="Arial" w:cs="Arial" w:eastAsia="Arial" w:hAnsi="Arial"/>
                <w:sz w:val="18"/>
                <w:szCs w:val="18"/>
                <w:color w:val="0000EE"/>
              </w:rPr>
            </w:pPr>
            <w:hyperlink w:anchor="page188">
              <w:r>
                <w:rPr>
                  <w:rFonts w:ascii="Arial" w:cs="Arial" w:eastAsia="Arial" w:hAnsi="Arial"/>
                  <w:sz w:val="18"/>
                  <w:szCs w:val="18"/>
                  <w:color w:val="0000EE"/>
                </w:rPr>
                <w:t>Derivatives and Risk Management Activities</w:t>
              </w:r>
            </w:hyperlink>
          </w:p>
        </w:tc>
        <w:tc>
          <w:tcPr>
            <w:tcW w:w="1020" w:type="dxa"/>
            <w:vAlign w:val="bottom"/>
          </w:tcPr>
          <w:p>
            <w:pPr>
              <w:jc w:val="right"/>
              <w:spacing w:after="0"/>
              <w:rPr>
                <w:rFonts w:ascii="Arial" w:cs="Arial" w:eastAsia="Arial" w:hAnsi="Arial"/>
                <w:sz w:val="18"/>
                <w:szCs w:val="18"/>
                <w:color w:val="auto"/>
              </w:rPr>
            </w:pPr>
            <w:hyperlink w:anchor="page188">
              <w:r>
                <w:rPr>
                  <w:rFonts w:ascii="Arial" w:cs="Arial" w:eastAsia="Arial" w:hAnsi="Arial"/>
                  <w:sz w:val="18"/>
                  <w:szCs w:val="18"/>
                  <w:color w:val="auto"/>
                </w:rPr>
                <w:t>F-32</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97">
              <w:r>
                <w:rPr>
                  <w:rFonts w:ascii="Arial" w:cs="Arial" w:eastAsia="Arial" w:hAnsi="Arial"/>
                  <w:sz w:val="18"/>
                  <w:szCs w:val="18"/>
                  <w:color w:val="0000EE"/>
                  <w:w w:val="87"/>
                </w:rPr>
                <w:t>13.</w:t>
              </w:r>
            </w:hyperlink>
          </w:p>
        </w:tc>
        <w:tc>
          <w:tcPr>
            <w:tcW w:w="9980" w:type="dxa"/>
            <w:vAlign w:val="bottom"/>
            <w:gridSpan w:val="27"/>
          </w:tcPr>
          <w:p>
            <w:pPr>
              <w:ind w:left="20"/>
              <w:spacing w:after="0"/>
              <w:rPr>
                <w:rFonts w:ascii="Arial" w:cs="Arial" w:eastAsia="Arial" w:hAnsi="Arial"/>
                <w:sz w:val="18"/>
                <w:szCs w:val="18"/>
                <w:color w:val="0000EE"/>
              </w:rPr>
            </w:pPr>
            <w:hyperlink w:anchor="page197">
              <w:r>
                <w:rPr>
                  <w:rFonts w:ascii="Arial" w:cs="Arial" w:eastAsia="Arial" w:hAnsi="Arial"/>
                  <w:sz w:val="18"/>
                  <w:szCs w:val="18"/>
                  <w:color w:val="0000EE"/>
                </w:rPr>
                <w:t>Income Taxes</w:t>
              </w:r>
            </w:hyperlink>
          </w:p>
        </w:tc>
        <w:tc>
          <w:tcPr>
            <w:tcW w:w="1020" w:type="dxa"/>
            <w:vAlign w:val="bottom"/>
          </w:tcPr>
          <w:p>
            <w:pPr>
              <w:jc w:val="right"/>
              <w:spacing w:after="0"/>
              <w:rPr>
                <w:rFonts w:ascii="Arial" w:cs="Arial" w:eastAsia="Arial" w:hAnsi="Arial"/>
                <w:sz w:val="18"/>
                <w:szCs w:val="18"/>
                <w:color w:val="auto"/>
              </w:rPr>
            </w:pPr>
            <w:hyperlink w:anchor="page197">
              <w:r>
                <w:rPr>
                  <w:rFonts w:ascii="Arial" w:cs="Arial" w:eastAsia="Arial" w:hAnsi="Arial"/>
                  <w:sz w:val="18"/>
                  <w:szCs w:val="18"/>
                  <w:color w:val="auto"/>
                </w:rPr>
                <w:t>F-41</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199">
              <w:r>
                <w:rPr>
                  <w:rFonts w:ascii="Arial" w:cs="Arial" w:eastAsia="Arial" w:hAnsi="Arial"/>
                  <w:sz w:val="18"/>
                  <w:szCs w:val="18"/>
                  <w:color w:val="0000EE"/>
                  <w:w w:val="87"/>
                </w:rPr>
                <w:t>14.</w:t>
              </w:r>
            </w:hyperlink>
          </w:p>
        </w:tc>
        <w:tc>
          <w:tcPr>
            <w:tcW w:w="9980" w:type="dxa"/>
            <w:vAlign w:val="bottom"/>
            <w:gridSpan w:val="27"/>
          </w:tcPr>
          <w:p>
            <w:pPr>
              <w:ind w:left="20"/>
              <w:spacing w:after="0"/>
              <w:rPr>
                <w:rFonts w:ascii="Arial" w:cs="Arial" w:eastAsia="Arial" w:hAnsi="Arial"/>
                <w:sz w:val="18"/>
                <w:szCs w:val="18"/>
                <w:color w:val="0000EE"/>
              </w:rPr>
            </w:pPr>
            <w:hyperlink w:anchor="page199">
              <w:r>
                <w:rPr>
                  <w:rFonts w:ascii="Arial" w:cs="Arial" w:eastAsia="Arial" w:hAnsi="Arial"/>
                  <w:sz w:val="18"/>
                  <w:szCs w:val="18"/>
                  <w:color w:val="0000EE"/>
                </w:rPr>
                <w:t>Major Customers and Concentration of Credit Risk</w:t>
              </w:r>
            </w:hyperlink>
          </w:p>
        </w:tc>
        <w:tc>
          <w:tcPr>
            <w:tcW w:w="1020" w:type="dxa"/>
            <w:vAlign w:val="bottom"/>
          </w:tcPr>
          <w:p>
            <w:pPr>
              <w:jc w:val="right"/>
              <w:spacing w:after="0"/>
              <w:rPr>
                <w:rFonts w:ascii="Arial" w:cs="Arial" w:eastAsia="Arial" w:hAnsi="Arial"/>
                <w:sz w:val="18"/>
                <w:szCs w:val="18"/>
                <w:color w:val="auto"/>
              </w:rPr>
            </w:pPr>
            <w:hyperlink w:anchor="page199">
              <w:r>
                <w:rPr>
                  <w:rFonts w:ascii="Arial" w:cs="Arial" w:eastAsia="Arial" w:hAnsi="Arial"/>
                  <w:sz w:val="18"/>
                  <w:szCs w:val="18"/>
                  <w:color w:val="auto"/>
                </w:rPr>
                <w:t>F-43</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200">
              <w:r>
                <w:rPr>
                  <w:rFonts w:ascii="Arial" w:cs="Arial" w:eastAsia="Arial" w:hAnsi="Arial"/>
                  <w:sz w:val="18"/>
                  <w:szCs w:val="18"/>
                  <w:color w:val="0000EE"/>
                  <w:w w:val="87"/>
                </w:rPr>
                <w:t>15.</w:t>
              </w:r>
            </w:hyperlink>
          </w:p>
        </w:tc>
        <w:tc>
          <w:tcPr>
            <w:tcW w:w="9980" w:type="dxa"/>
            <w:vAlign w:val="bottom"/>
            <w:gridSpan w:val="27"/>
          </w:tcPr>
          <w:p>
            <w:pPr>
              <w:ind w:left="20"/>
              <w:spacing w:after="0"/>
              <w:rPr>
                <w:rFonts w:ascii="Arial" w:cs="Arial" w:eastAsia="Arial" w:hAnsi="Arial"/>
                <w:sz w:val="18"/>
                <w:szCs w:val="18"/>
                <w:color w:val="0000EE"/>
              </w:rPr>
            </w:pPr>
            <w:hyperlink w:anchor="page200">
              <w:r>
                <w:rPr>
                  <w:rFonts w:ascii="Arial" w:cs="Arial" w:eastAsia="Arial" w:hAnsi="Arial"/>
                  <w:sz w:val="18"/>
                  <w:szCs w:val="18"/>
                  <w:color w:val="0000EE"/>
                </w:rPr>
                <w:t>Related Party Transactions</w:t>
              </w:r>
            </w:hyperlink>
          </w:p>
        </w:tc>
        <w:tc>
          <w:tcPr>
            <w:tcW w:w="1020" w:type="dxa"/>
            <w:vAlign w:val="bottom"/>
          </w:tcPr>
          <w:p>
            <w:pPr>
              <w:jc w:val="right"/>
              <w:spacing w:after="0"/>
              <w:rPr>
                <w:rFonts w:ascii="Arial" w:cs="Arial" w:eastAsia="Arial" w:hAnsi="Arial"/>
                <w:sz w:val="18"/>
                <w:szCs w:val="18"/>
                <w:color w:val="auto"/>
              </w:rPr>
            </w:pPr>
            <w:hyperlink w:anchor="page200">
              <w:r>
                <w:rPr>
                  <w:rFonts w:ascii="Arial" w:cs="Arial" w:eastAsia="Arial" w:hAnsi="Arial"/>
                  <w:sz w:val="18"/>
                  <w:szCs w:val="18"/>
                  <w:color w:val="auto"/>
                </w:rPr>
                <w:t>F-44</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201">
              <w:r>
                <w:rPr>
                  <w:rFonts w:ascii="Arial" w:cs="Arial" w:eastAsia="Arial" w:hAnsi="Arial"/>
                  <w:sz w:val="18"/>
                  <w:szCs w:val="18"/>
                  <w:color w:val="0000EE"/>
                  <w:w w:val="87"/>
                </w:rPr>
                <w:t>16.</w:t>
              </w:r>
            </w:hyperlink>
          </w:p>
        </w:tc>
        <w:tc>
          <w:tcPr>
            <w:tcW w:w="9980" w:type="dxa"/>
            <w:vAlign w:val="bottom"/>
            <w:gridSpan w:val="27"/>
          </w:tcPr>
          <w:p>
            <w:pPr>
              <w:ind w:left="20"/>
              <w:spacing w:after="0"/>
              <w:rPr>
                <w:rFonts w:ascii="Arial" w:cs="Arial" w:eastAsia="Arial" w:hAnsi="Arial"/>
                <w:sz w:val="18"/>
                <w:szCs w:val="18"/>
                <w:color w:val="0000EE"/>
              </w:rPr>
            </w:pPr>
            <w:hyperlink w:anchor="page201">
              <w:r>
                <w:rPr>
                  <w:rFonts w:ascii="Arial" w:cs="Arial" w:eastAsia="Arial" w:hAnsi="Arial"/>
                  <w:sz w:val="18"/>
                  <w:szCs w:val="18"/>
                  <w:color w:val="0000EE"/>
                </w:rPr>
                <w:t>Equity-Indexed Compensation Plans</w:t>
              </w:r>
            </w:hyperlink>
          </w:p>
        </w:tc>
        <w:tc>
          <w:tcPr>
            <w:tcW w:w="1020" w:type="dxa"/>
            <w:vAlign w:val="bottom"/>
          </w:tcPr>
          <w:p>
            <w:pPr>
              <w:jc w:val="right"/>
              <w:spacing w:after="0"/>
              <w:rPr>
                <w:rFonts w:ascii="Arial" w:cs="Arial" w:eastAsia="Arial" w:hAnsi="Arial"/>
                <w:sz w:val="18"/>
                <w:szCs w:val="18"/>
                <w:color w:val="auto"/>
              </w:rPr>
            </w:pPr>
            <w:hyperlink w:anchor="page201">
              <w:r>
                <w:rPr>
                  <w:rFonts w:ascii="Arial" w:cs="Arial" w:eastAsia="Arial" w:hAnsi="Arial"/>
                  <w:sz w:val="18"/>
                  <w:szCs w:val="18"/>
                  <w:color w:val="auto"/>
                </w:rPr>
                <w:t>F-45</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205">
              <w:r>
                <w:rPr>
                  <w:rFonts w:ascii="Arial" w:cs="Arial" w:eastAsia="Arial" w:hAnsi="Arial"/>
                  <w:sz w:val="18"/>
                  <w:szCs w:val="18"/>
                  <w:color w:val="0000EE"/>
                  <w:w w:val="87"/>
                </w:rPr>
                <w:t>17.</w:t>
              </w:r>
            </w:hyperlink>
          </w:p>
        </w:tc>
        <w:tc>
          <w:tcPr>
            <w:tcW w:w="9980" w:type="dxa"/>
            <w:vAlign w:val="bottom"/>
            <w:gridSpan w:val="27"/>
          </w:tcPr>
          <w:p>
            <w:pPr>
              <w:ind w:left="20"/>
              <w:spacing w:after="0"/>
              <w:rPr>
                <w:rFonts w:ascii="Arial" w:cs="Arial" w:eastAsia="Arial" w:hAnsi="Arial"/>
                <w:sz w:val="18"/>
                <w:szCs w:val="18"/>
                <w:color w:val="0000EE"/>
              </w:rPr>
            </w:pPr>
            <w:hyperlink w:anchor="page205">
              <w:r>
                <w:rPr>
                  <w:rFonts w:ascii="Arial" w:cs="Arial" w:eastAsia="Arial" w:hAnsi="Arial"/>
                  <w:sz w:val="18"/>
                  <w:szCs w:val="18"/>
                  <w:color w:val="0000EE"/>
                </w:rPr>
                <w:t>Commitments and Contingencies</w:t>
              </w:r>
            </w:hyperlink>
          </w:p>
        </w:tc>
        <w:tc>
          <w:tcPr>
            <w:tcW w:w="1020" w:type="dxa"/>
            <w:vAlign w:val="bottom"/>
          </w:tcPr>
          <w:p>
            <w:pPr>
              <w:jc w:val="right"/>
              <w:spacing w:after="0"/>
              <w:rPr>
                <w:rFonts w:ascii="Arial" w:cs="Arial" w:eastAsia="Arial" w:hAnsi="Arial"/>
                <w:sz w:val="18"/>
                <w:szCs w:val="18"/>
                <w:color w:val="auto"/>
              </w:rPr>
            </w:pPr>
            <w:hyperlink w:anchor="page205">
              <w:r>
                <w:rPr>
                  <w:rFonts w:ascii="Arial" w:cs="Arial" w:eastAsia="Arial" w:hAnsi="Arial"/>
                  <w:sz w:val="18"/>
                  <w:szCs w:val="18"/>
                  <w:color w:val="auto"/>
                </w:rPr>
                <w:t>F-49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211">
              <w:r>
                <w:rPr>
                  <w:rFonts w:ascii="Arial" w:cs="Arial" w:eastAsia="Arial" w:hAnsi="Arial"/>
                  <w:sz w:val="18"/>
                  <w:szCs w:val="18"/>
                  <w:color w:val="0000EE"/>
                  <w:w w:val="87"/>
                </w:rPr>
                <w:t>18.</w:t>
              </w:r>
            </w:hyperlink>
          </w:p>
        </w:tc>
        <w:tc>
          <w:tcPr>
            <w:tcW w:w="9980" w:type="dxa"/>
            <w:vAlign w:val="bottom"/>
            <w:gridSpan w:val="27"/>
          </w:tcPr>
          <w:p>
            <w:pPr>
              <w:ind w:left="20"/>
              <w:spacing w:after="0"/>
              <w:rPr>
                <w:rFonts w:ascii="Arial" w:cs="Arial" w:eastAsia="Arial" w:hAnsi="Arial"/>
                <w:sz w:val="18"/>
                <w:szCs w:val="18"/>
                <w:color w:val="0000EE"/>
              </w:rPr>
            </w:pPr>
            <w:hyperlink w:anchor="page211">
              <w:r>
                <w:rPr>
                  <w:rFonts w:ascii="Arial" w:cs="Arial" w:eastAsia="Arial" w:hAnsi="Arial"/>
                  <w:sz w:val="18"/>
                  <w:szCs w:val="18"/>
                  <w:color w:val="0000EE"/>
                </w:rPr>
                <w:t>Quarterly Financial Data (Unaudited)</w:t>
              </w:r>
            </w:hyperlink>
          </w:p>
        </w:tc>
        <w:tc>
          <w:tcPr>
            <w:tcW w:w="1020" w:type="dxa"/>
            <w:vAlign w:val="bottom"/>
          </w:tcPr>
          <w:p>
            <w:pPr>
              <w:jc w:val="right"/>
              <w:spacing w:after="0"/>
              <w:rPr>
                <w:rFonts w:ascii="Arial" w:cs="Arial" w:eastAsia="Arial" w:hAnsi="Arial"/>
                <w:sz w:val="18"/>
                <w:szCs w:val="18"/>
                <w:color w:val="auto"/>
              </w:rPr>
            </w:pPr>
            <w:hyperlink w:anchor="page211">
              <w:r>
                <w:rPr>
                  <w:rFonts w:ascii="Arial" w:cs="Arial" w:eastAsia="Arial" w:hAnsi="Arial"/>
                  <w:sz w:val="18"/>
                  <w:szCs w:val="18"/>
                  <w:color w:val="auto"/>
                </w:rPr>
                <w:t>F-55</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Arial" w:cs="Arial" w:eastAsia="Arial" w:hAnsi="Arial"/>
                <w:sz w:val="18"/>
                <w:szCs w:val="18"/>
                <w:color w:val="0000EE"/>
                <w:w w:val="87"/>
              </w:rPr>
            </w:pPr>
            <w:hyperlink w:anchor="page211">
              <w:r>
                <w:rPr>
                  <w:rFonts w:ascii="Arial" w:cs="Arial" w:eastAsia="Arial" w:hAnsi="Arial"/>
                  <w:sz w:val="18"/>
                  <w:szCs w:val="18"/>
                  <w:color w:val="0000EE"/>
                  <w:w w:val="87"/>
                </w:rPr>
                <w:t>19.</w:t>
              </w:r>
            </w:hyperlink>
          </w:p>
        </w:tc>
        <w:tc>
          <w:tcPr>
            <w:tcW w:w="9980" w:type="dxa"/>
            <w:vAlign w:val="bottom"/>
            <w:gridSpan w:val="27"/>
          </w:tcPr>
          <w:p>
            <w:pPr>
              <w:ind w:left="20"/>
              <w:spacing w:after="0"/>
              <w:rPr>
                <w:rFonts w:ascii="Arial" w:cs="Arial" w:eastAsia="Arial" w:hAnsi="Arial"/>
                <w:sz w:val="18"/>
                <w:szCs w:val="18"/>
                <w:color w:val="0000EE"/>
              </w:rPr>
            </w:pPr>
            <w:hyperlink w:anchor="page211">
              <w:r>
                <w:rPr>
                  <w:rFonts w:ascii="Arial" w:cs="Arial" w:eastAsia="Arial" w:hAnsi="Arial"/>
                  <w:sz w:val="18"/>
                  <w:szCs w:val="18"/>
                  <w:color w:val="0000EE"/>
                </w:rPr>
                <w:t>Operating Segments</w:t>
              </w:r>
            </w:hyperlink>
          </w:p>
        </w:tc>
        <w:tc>
          <w:tcPr>
            <w:tcW w:w="1020" w:type="dxa"/>
            <w:vAlign w:val="bottom"/>
          </w:tcPr>
          <w:p>
            <w:pPr>
              <w:jc w:val="right"/>
              <w:spacing w:after="0"/>
              <w:rPr>
                <w:rFonts w:ascii="Arial" w:cs="Arial" w:eastAsia="Arial" w:hAnsi="Arial"/>
                <w:sz w:val="18"/>
                <w:szCs w:val="18"/>
                <w:color w:val="auto"/>
              </w:rPr>
            </w:pPr>
            <w:hyperlink w:anchor="page211">
              <w:r>
                <w:rPr>
                  <w:rFonts w:ascii="Arial" w:cs="Arial" w:eastAsia="Arial" w:hAnsi="Arial"/>
                  <w:sz w:val="18"/>
                  <w:szCs w:val="18"/>
                  <w:color w:val="auto"/>
                </w:rPr>
                <w:t>F-55</w:t>
              </w:r>
            </w:hyperlink>
          </w:p>
        </w:tc>
      </w:tr>
      <w:tr>
        <w:trPr>
          <w:trHeight w:val="723"/>
        </w:trPr>
        <w:tc>
          <w:tcPr>
            <w:tcW w:w="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6"/>
          </w:tcPr>
          <w:p>
            <w:pPr>
              <w:ind w:left="640"/>
              <w:spacing w:after="0"/>
              <w:rPr>
                <w:sz w:val="20"/>
                <w:szCs w:val="20"/>
                <w:color w:val="auto"/>
              </w:rPr>
            </w:pPr>
            <w:r>
              <w:rPr>
                <w:rFonts w:ascii="Arial" w:cs="Arial" w:eastAsia="Arial" w:hAnsi="Arial"/>
                <w:sz w:val="18"/>
                <w:szCs w:val="18"/>
                <w:color w:val="auto"/>
              </w:rPr>
              <w:t>F-1</w:t>
            </w: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2016.</w:t>
      </w:r>
    </w:p>
    <w:p>
      <w:pPr>
        <w:spacing w:after="0" w:line="147" w:lineRule="exact"/>
        <w:rPr>
          <w:sz w:val="20"/>
          <w:szCs w:val="20"/>
          <w:color w:val="auto"/>
        </w:rPr>
      </w:pPr>
    </w:p>
    <w:p>
      <w:pPr>
        <w:jc w:val="both"/>
        <w:ind w:right="17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2016 has been audited by PricewaterhouseCoopers LLP, an independent registered public accounting firm, as stated in their report which appears on Page F-3.</w:t>
      </w:r>
    </w:p>
    <w:p>
      <w:pPr>
        <w:spacing w:after="0" w:line="28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Chairman of the Board, Chief Executive Officer and Director 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50685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Executive Vice President and Chief Financial Officer of PAA GP Holdings LLC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(Principal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125" w:right="2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accumulated other comprehensive income/(loss), of changes in partners’ capital, and of cash flows present fairly, in all material respects, the financial position of Plains GP Holdings, L.P.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Partnership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2016</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916</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2,972</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16,261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15,695</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13,890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13,493</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2,027</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898</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2,040</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3,409</w:t>
            </w:r>
          </w:p>
        </w:tc>
      </w:tr>
      <w:tr>
        <w:trPr>
          <w:trHeight w:val="277"/>
        </w:trPr>
        <w:tc>
          <w:tcPr>
            <w:tcW w:w="85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9,698</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 net of unamortized debt issuance costs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11,499</w:t>
            </w:r>
          </w:p>
        </w:tc>
      </w:tr>
      <w:tr>
        <w:trPr>
          <w:trHeight w:val="277"/>
        </w:trPr>
        <w:tc>
          <w:tcPr>
            <w:tcW w:w="85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84"/>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Class A Shareholders (101,206,526 and 86,099,037 shares outstanding, respectively)</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1,762</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7,472</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9,234</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19,004</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21,927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42,114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43,464</w:t>
            </w: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19,726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39,500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21,894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41,673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$47, $57 and $48, respectively)</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1"/>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318"/>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980" w:type="dxa"/>
            <w:vAlign w:val="bottom"/>
            <w:gridSpan w:val="6"/>
          </w:tcPr>
          <w:p>
            <w:pPr>
              <w:ind w:left="258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7080" w:type="dxa"/>
            <w:vAlign w:val="bottom"/>
          </w:tcPr>
          <w:p>
            <w:pPr>
              <w:ind w:left="5580"/>
              <w:spacing w:after="0"/>
              <w:rPr>
                <w:sz w:val="20"/>
                <w:szCs w:val="20"/>
                <w:color w:val="auto"/>
              </w:rPr>
            </w:pPr>
            <w:r>
              <w:rPr>
                <w:rFonts w:ascii="Arial" w:cs="Arial" w:eastAsia="Arial" w:hAnsi="Arial"/>
                <w:sz w:val="18"/>
                <w:szCs w:val="18"/>
                <w:color w:val="auto"/>
              </w:rPr>
              <w:t>F-5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(618)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Translation</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loss on cash flow hedges, net of tax</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2014 Activity</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2015 Activity</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Trade accounts receivable and 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r>
      <w:tr>
        <w:trPr>
          <w:trHeight w:val="183"/>
        </w:trPr>
        <w:tc>
          <w:tcPr>
            <w:tcW w:w="7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 (Note 6)</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 (Note 8)</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7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PAA commercial paper program (Note 10)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borrowings under PAA senior secured hedged inventory facility (Note 10)</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borrowings/(repayments) under AAP senior secured revolving credit facility (Note 10)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Proceeds from AAP term loan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AAP term loan (Note 10)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Proceeds from the issuance of PAA senior notes (Note 10)</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PAA senior notes (Note 10)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proceeds from the sale of Series A preferred units (Note 11)</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common units by subsidiaries (Note 11)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Distributions paid to Class A shareholders (Note 11)</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noncontrolling interests (Note 11)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r>
      <w:tr>
        <w:trPr>
          <w:trHeight w:val="183"/>
        </w:trPr>
        <w:tc>
          <w:tcPr>
            <w:tcW w:w="7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89"/>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462</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Class A Shareholders</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Total Partners’</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1200" w:type="dxa"/>
            <w:vAlign w:val="bottom"/>
          </w:tcPr>
          <w:p>
            <w:pPr>
              <w:jc w:val="right"/>
              <w:ind w:right="371"/>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75"/>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tax asset (Note 13)</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 of common units by a subsidiary</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tax asset (Note 13)</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 of common units by a subsidiary</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tax asset (Note 13)</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 (Note 11)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 of Series A preferred units by a subsidiary</w:t>
            </w:r>
          </w:p>
        </w:tc>
        <w:tc>
          <w:tcPr>
            <w:tcW w:w="5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common units by a subsidiary</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comprehensive income (Note 11)</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8,970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December 31, 2016,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2016, our sole assets consisted of (i) a 100% managing member interest in Plains All American GP LLC (“GP LLC”) that has also elected to be taxed as a corporation for United States federal income tax purposes and (ii) an approximate 42% limited partner interest in Plains AAP, L.P. (“AAP”) through our direct ownership of approximately 100.2 million Class A units of AAP (“AAP units”) and indirect ownership of approximately 1.0 million AAP units through GP LLC. GP LLC is a Delaware limited liability company that also holds the non-economic general partner interest in AAP. AAP is a Delaware limited partnership that, as of December 31, 2016, directly owned an approximate 33% limited partner interest in PAA represented by 241.7 million PAA common units. AAP is the sole member of PAA GP LLC (“PAA GP”), a Delaware limited liability company that directly holds the non-economic general partner interest in PAA.</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19 for further discussion of our operating segments.</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ind w:left="660" w:hanging="328"/>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permanent elimination of PAA’s incentive distribution rights (“IDRs”) and the economic rights associated with its 2% general partner interest in exchange for the issuance by PAA to AAP of 245.5 million PAA common units (including approximately 0.8 million units to be issued in the future) and the assumption by PAA of all of AAP’s outstanding debt ($642 million);</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our general partner assumed oversight responsibility over both us and PAA;</w:t>
      </w:r>
    </w:p>
    <w:p>
      <w:pPr>
        <w:spacing w:after="0" w:line="170" w:lineRule="exact"/>
        <w:rPr>
          <w:rFonts w:ascii="Arial" w:cs="Arial" w:eastAsia="Arial" w:hAnsi="Arial"/>
          <w:sz w:val="18"/>
          <w:szCs w:val="18"/>
          <w:color w:val="auto"/>
        </w:rPr>
      </w:pPr>
    </w:p>
    <w:p>
      <w:pPr>
        <w:ind w:left="660" w:right="180" w:hanging="328"/>
        <w:spacing w:after="0" w:line="312" w:lineRule="auto"/>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provision for annual shareholder elections beginning in 2018 with certain directors with expiring terms in 2018, and the participation of PAA’s common unitholders and Series A preferred unitholders in such elections through PAA’s ownership of our newly issued Class C shares, which provide PAA, as the sole holder, the right to vote in elections of eligible directors together with the holders of our Class A and Class B shares;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125" w:right="2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91"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execution by AAP of a reverse split to adjust the number of AAP units such that the number of outstanding AAP units (assuming the conversion of AAP Class B units (the “AAP Management Units”) into AAP units) equaled the number of PAA common units received by AAP at the closing of the Simplification Transactions. Simultaneously, we executed a reverse split to adjust the number of Class A and Class B shares outstanding to equal the number of AAP units we own following AAP’s reverse unit split. These reverse splits, along with the Omnibus Agreement, resulted in economic alignment between our Class A shareholders and PAA’s common unitholders, such that the number of outstanding Class A shares equals the number of AAP units owned by us, which in turn equals the number of PAA common units held by AAP. The Plains Entities also entered into an Omnibus Agreement, pursuant to which such one-to-one relationship will be maintained subsequent to the closing of the Simplification Transactions; and</w:t>
      </w:r>
    </w:p>
    <w:p>
      <w:pPr>
        <w:spacing w:after="0" w:line="167" w:lineRule="exact"/>
        <w:rPr>
          <w:rFonts w:ascii="Arial" w:cs="Arial" w:eastAsia="Arial" w:hAnsi="Arial"/>
          <w:sz w:val="16"/>
          <w:szCs w:val="16"/>
          <w:color w:val="auto"/>
        </w:rPr>
      </w:pPr>
    </w:p>
    <w:p>
      <w:pPr>
        <w:ind w:left="660" w:right="100" w:hanging="328"/>
        <w:spacing w:after="0" w:line="286"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creation of a right for certain holders of the AAP units to cause AAP to redeem such AAP units in exchange for an equal number of PAA common units held by AAP. Holders of AAP units other than us and GP LLC continue to have the right to exchange their AAP units (together with the corresponding Class B shares and, if applicable, units of our general partner) for our Class A shares on a one-for-one basis.</w:t>
      </w:r>
    </w:p>
    <w:p>
      <w:pPr>
        <w:spacing w:after="0" w:line="1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Simplification Transactions were between and among consolidated subsidiaries of PAGP that are considered entities under common control. These equity transactions did not result in a change in the carrying value of the underlying assets and liabilities. In addition, the Simplification Transactions did not result in a change in ownership interest of PAGP in PAA as described in Accounting Standards Codification (“ASC”) 810-10-45-22, but instead were designed to be an exchange of equal economic ownership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Split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part of the Simplification Transactions, as discussed above, we effected a reverse split of our Class A and Class B shares, in each case, at a ratio of approximately 1-for-2.663. Accordingly, our Class A shares began trading on a split-adjusted basis on the NYSE at the opening of trading on November 16, 2016. The effect of the reverse split has been retroactively applied to all share and per-share amounts presented in this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AOCI</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Bcf</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Btu</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CAD</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DERs</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EBITDA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EPA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FASB</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GAAP</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ICE</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IPO</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Initial public offering</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Mcf</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NGL</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NYMEX</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Oxy</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PLA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USD</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WTI</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125" w:right="2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accompanying financial statements and related notes present and discuss our consolidated financial position as of December 31, 2016 and 2015, and the consolidated results of our operations, cash flows, changes in partners’ capital, comprehensive income and changes in accumulated other comprehensive income/(loss) for the years ended December 31, 2016, 2015 and 2014. All significant intercompany transactions have been eliminated in consolidation, and certain reclassifications have been made to information from previous years to conform to the current presentation. These reclassifications do not affect net income attributable to PAGP. The accompanying consolidated financial statements include the accounts of PAGP and all of its wholly owned subsidiaries and those entities that it controls. Under GAAP, we consolidate PAA, AAP and GP LLC. Amounts associated with the interests in these entities not owned by us are reflected in our results of operations as net income attributable to noncontrolling interests and on our balance sheet in the partners’ capital section as noncontrolling interests. Investments in entities over which we have significant influence but not control are accounted for by the equity method. We apply proportionate consolidation for pipelines and other assets in which we own undivided joint interests.</w:t>
      </w:r>
    </w:p>
    <w:p>
      <w:pPr>
        <w:spacing w:after="0" w:line="16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1, 2016 we adopted FASB guidance regarding the analysis that a reporting entity must perform to determine whether it should consolidate certain types of legal entities. Among other things, the guidance modified the evaluation of whether limited partnerships are variable interest entities (“VIE”) and eliminates the presumption that a general partner should consolidate a limited partnership. Prior to the closing of the Simplification Transactions, we determined that PAA and AAP were VIEs, which did not impact our consolidation conclusions, but did result in a change in our analysis and an increase in disclosures regarding our analysis. PAA was a VIE due to its allocation of income, but not losses, to the holder(s) of IDRs. AAP was a VIE because GP LLC controlled AAP through its general partnership interest, but did not have an economic interest in AAP. AAP was the primary beneficiary of PAA because it had the power to direct the activities that most significantly impact PAA’s performance. PAGP was the primary beneficiary of AAP because it had the power, through its control of GP LLC, to direct the activities that most significantly impacted AAP’s performance. However, because of the elimination of the IDRs and the conversion of GP LLC’s ownership interest in AAP to an economic interest as a result of the Simplification Transactions, AAP and PAA no longer meet the requirements to be considered VIEs. This did not result in a change in our consolidation conclusions.</w:t>
      </w:r>
    </w:p>
    <w:p>
      <w:pPr>
        <w:spacing w:after="0" w:line="16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equity-indexed compensation plan accruals, (v) property and equipment, depreciation expense and asset retirement obligations, (vi) allowance for doubtful accounts and(vii) inventory valuations. Although we believe these estimates are reasonable, actual results could differ from these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NGL and natural gas are recognized at the time title to the product sold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w:t>
      </w:r>
      <w:r>
        <w:rPr>
          <w:rFonts w:ascii="Arial" w:cs="Arial" w:eastAsia="Arial" w:hAnsi="Arial"/>
          <w:sz w:val="18"/>
          <w:szCs w:val="18"/>
          <w:color w:val="auto"/>
        </w:rPr>
        <w:t>Our Transportation segment operations generally consist of fee-based activities associated with transporting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and NGL on pipelines, gathering systems, trucks and barges. Revenues from pipeline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tariffs and fees are associated with the transportation of crude oil and NGL at a published tariff, as well as revenues associated with agreements for committed space on various assets. Tariff revenues are recognized either at the point of delivery or at the point of receipt pursuant to specifications outlined in the tariffs. Revenues associated with fees are recognized in the month to which the fee applies.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Facilities Segment Revenues. </w:t>
      </w:r>
      <w:r>
        <w:rPr>
          <w:rFonts w:ascii="Arial" w:cs="Arial" w:eastAsia="Arial" w:hAnsi="Arial"/>
          <w:sz w:val="18"/>
          <w:szCs w:val="18"/>
          <w:color w:val="auto"/>
        </w:rPr>
        <w:t>Our Facilities segment operations generally consist of fee-based activities associated with providing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terminalling and throughput services for crude oil, refined products,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w:t>
      </w:r>
    </w:p>
    <w:p>
      <w:pPr>
        <w:spacing w:after="0" w:line="18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generate revenue through a combination of month-to-month and multi-year agreements.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deliver, transport or throughput a minimum volume over</w:t>
      </w:r>
      <w:r>
        <w:rPr>
          <w:rFonts w:ascii="Arial" w:cs="Arial" w:eastAsia="Arial" w:hAnsi="Arial"/>
          <w:sz w:val="17"/>
          <w:szCs w:val="17"/>
          <w:i w:val="1"/>
          <w:iCs w:val="1"/>
          <w:color w:val="auto"/>
        </w:rPr>
        <w:t xml:space="preserve"> </w:t>
      </w:r>
      <w:r>
        <w:rPr>
          <w:rFonts w:ascii="Arial" w:cs="Arial" w:eastAsia="Arial" w:hAnsi="Arial"/>
          <w:sz w:val="17"/>
          <w:szCs w:val="17"/>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At December 31, 2016 and 2015, counterparty deficiencies associated with agreements that include minimum volume commitments totaled $66 million and $33 million, respectively, of which $54 million and $17 million, respectively, was recorded as deferred revenue. The balance of $12 million and $16 million at each respective date was related to deficiencies for which the counterparties had not met their contractual minimum commitments and were not reflected in our Consolidated Financial Statements as we had not yet billed or collected such amounts.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Purchases and related costs include (i) the cost of crude oil, NGL and natural gas obtained in outright purchases, (ii) fees incurred for third-party storage and transportation, whether by pipeline, truck, rail, ship or barge and (iii) performance-related bonus costs. These costs are recognized when incurred except in the case of products purchased, which are recognized at the time title transfers to us. Purchases that are part of inventory exchanges under buy/sell transactions are netted with the related sales, with any margin presented in “Purchases and related costs” in our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Field operating costs consist of various field operating expenses, including fuel and power costs (including the impact of gains and losses from derivative related activities), telecommunications, payroll and benefit costs (including equity-indexed compensation expense) for truck drivers and field and other operations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equity-indexed compensation expense), certain information systems and legal costs, office rent, contract and consultant costs and audit and tax fees.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net loss of $8 million for the year ended December 31, 2016, a net gain of $21 million for the year ended December 31, 2015 and a net loss of $13 million for the year ended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accordance with our policy, outstanding checks are classified as accounts payable rather than negative cash. As of December 31, 2016 and 2015, accounts payable included $66 million and $60 million, respectively, of outstanding checks that were reclassified from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sustained decrease in commodity prices since late 2014 has caused liquidity issues throughout the energy industry, which in turn has increased the potential credit risks associated with certain counterparties with which we do business.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December 31, 2016 and 2015, we had received $89 million and $88 million, respectively, of advance cash payments from third parties to mitigate credit risk. We also received $66 million and $36 million as of December 31, 2016 and 2015,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7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2016 and 2015, substantially all of our trade accounts receivable (net of allowance for doubtful accounts) were less than 30 days past their scheduled invoice date. Our allowance for doubtful accounts receivable totaled $3 million and $4 million at December 31, 2016 and 2015, respectively. Although we consider our allowance for doubtful accounts receivable to be adequate, actual amounts could vary significantly from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account for noncontrolling interests in subsidiaries in accordance with FASB guidance, which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11 for additional discussion regarding our noncontrolling interests.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$44 million and $35 million, respectively, at December 31, 2016 and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See the respective footnotes for our accounting policies regarding (i) net income per Class A share, (ii) inventory, linefill and base gas and long-term inventory, (iii) property and equipment, (iv) acquisitions, (v) goodwill, (vi) investments in unconsolidated entities, (vii) other long-term assets, net, (viii) derivatives and risk management activities, (ix) income taxes, (x) equity-indexed compensation and (xi) legal and environmental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November 2016, the FASB issued guidance requiring that a statement of cash flows explain the change in total cash, cash equivalents, and amounts generally described as restricted 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will become effective for interim and annual periods beginning after December 31, 2017. We expect to adopt this guidance on January 1, 2018, and we do not currently anticipate that our adoption will have a material impact on our statement of cash flows.</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October 2016, the FASB issued guidance to improve the accounting for the income tax consequences of intra-entity transfers of assets other than inventory. This guidance will become effective for interim and annual periods beginning after December 15, 2017, with early adoption permitted in the first interim period of an annual reporting period. We expect to adopt this guidance on January 1, 2018, and we are currently evaluating the effect that adopting this guidance will have on our financial position, results of operations and cash flows.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October 2016, the FASB issued guidance changing how a reporting entity that is the single decision maker of a variable interest entity (“VIE”) should treat indirect interests in the entity held through related parties that are under common control with the reporting entity when determining whether it is the primary beneficiary of that VIE. This guidance is effective for interim and annual periods beginning after December 31, 2016. We adopted this guidance on January 1, 2017. Our adoption did not have a material impact on our financial position, results of operations or cash flows.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August 2016, the FASB issued guidance relating to the classification and presentation of eight specific cash flow issues. This guidance will become effective for interim and annual periods beginning after December 15, 2018, with early adoption permitted. We early adopted this guidance during the fourth quarter of 2016, and our adoption had no impact on our statement of cash flows.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June 2016, the FASB issued new guidance for the accounting for credit losses on certain financial instruments. This guidance will become effective for interim and annual periods beginning after December 15, 2019, with early adoption permitted by one year. We expect to adopt this guidance on January 1, 2020, and we are currently evaluating the effect that adopting this guidance will have on our financial position, results of operations and cash flows.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March 2016, the FASB issued guidance to simplify several aspects of the accounting for share-based payment transactions, including the income tax consequences, classification of awards as either equity or liabilities and classification of certain related payments on the statement of cash flows. This guidance is effective for interim and annual periods beginning after December 15, 2016, with early adoption permitted. We adopted this guidance on January 1, 2017 and elected to account for forfeitures as they occur, utilizing the modified retrospective approach of adoption. Our adoption did not have a material impact on our financial position, results of operations or cash flows.</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February 2016, the FASB issued guidance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We are currently evaluating the effect that adopting this guidance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September 2015, the FASB issued guidance to simplify the accounting for measurement-period adjustments for provisional amounts recognized in a business combination by eliminating the requirement for an acquirer to retrospectively account for measurement-period adjustments. Under the updated guidance, the acquirer must recognize adjustments in the reporting period in which the adjustment amounts are determined and the effect on earnings as a result of the change to the provisional amounts must be calculated as if the accounting had been completed at the acquisition date. This guidance was effective for interim and annual periods beginning after December 15, 2015, with early adoption permitted, and prospective application required. We adopted this guidance on January 1, 2016. Our adoption did not have a material impact on our financial position, results of operations or cash flows.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July 2015, the FASB issued guidance to simplify the measurement of inventory. This updated guidance requires entities to measure inventory at the lower of cost and net realizable value; however, inventory measured using last-in, first-out and the retail inventory method is unchanged by this update. This guidance is effective for interim and annual periods beginning after December 15, 2016, with prospective application required. We adopted this guidance on January 1, 2017. Our adoption did not have a material impact on our financial position, results of operations or cash flows.</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w:t>
      </w:r>
    </w:p>
    <w:p>
      <w:pPr>
        <w:ind w:right="40" w:firstLine="8"/>
        <w:spacing w:after="0" w:line="253" w:lineRule="auto"/>
        <w:tabs>
          <w:tab w:leader="none" w:pos="2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was effective for interim and annual periods beginning after December 15, 2015, with early adoption permitted. We adopted this guidance on January 1, 2016. Our adoption did not have a material impact on our financial position, results of operations or cash flows.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August 2014, the FASB issued guidance that requires management to evaluate whether there is substantial doubt about an entity’s ability to continue as a going concern and to provide related footnote disclosures in certain situations. This guidance is effective for the annual period ending after December 15, 2016, and for interim and annual periods thereafter. We adopted this guidance for the 2016 annual reporting period. Our adoption has not had any impact on our financial position, results of operations or cash flows.</w:t>
      </w:r>
    </w:p>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can be adopted either with a full retrospective approach or a modified retrospective approach with a cumulative-effect adjustment as of the date of adoption. This guidance is effective for interim and annual periods beginning after December 15, 2017. We implemented a process to evaluate the impact of adopting this guidance on each type of revenue contract entered into with customers and our implementation team is in the process of determining appropriate changes to our business processes, systems and controls to support recognition and disclosure under the new standard. In addition, while we have not identified any significant revenue recognition timing differences for types of revenue streams assessed to date, our evaluation is not complete, and we have not quantified the impact to our financial statements, including assessing the impact of changes to disclosures. We expect this determination will near completion during the first half of 2017. We will adopt this guidance on January 1, 2018, and are currently evaluating which transition approach to apply.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16 for a complete discussion of PAGP LTIP awards.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For the years ended December 31, 2016 and 2015, the possible exchange of any AAP units and certain AAP Management Units would have had an antidilutive effect on basic net income per Class A share. For the year ended December 31, 2014, the possible exchange of any AAP units and certain AAP Management Units would have had a dilutive effect on basic net income per Class A share. For the same periods, our PAGP LTIP awards were dilutive; however, there were less than 0.1 million dilutive LTIP awards for each period, which did not change the presentation of weighted average Class A shares outstanding or net income per Class A share. The following table illustrates the calculation of basic and diluted net income per Class A share (in millions, except per share data):</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5"/>
              </w:rPr>
              <w:t>0.94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Incremental net income attributable to PAGP resulting from assumed exchange of AAP units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and AAP Management Units</w:t>
            </w:r>
          </w:p>
        </w:tc>
        <w:tc>
          <w:tcPr>
            <w:tcW w:w="7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9"/>
        </w:trPr>
        <w:tc>
          <w:tcPr>
            <w:tcW w:w="7780" w:type="dxa"/>
            <w:vAlign w:val="bottom"/>
          </w:tcPr>
          <w:p>
            <w:pPr>
              <w:ind w:left="180"/>
              <w:spacing w:after="0"/>
              <w:rPr>
                <w:sz w:val="20"/>
                <w:szCs w:val="20"/>
                <w:color w:val="auto"/>
              </w:rPr>
            </w:pPr>
            <w:r>
              <w:rPr>
                <w:rFonts w:ascii="Arial" w:cs="Arial" w:eastAsia="Arial" w:hAnsi="Arial"/>
                <w:sz w:val="18"/>
                <w:szCs w:val="18"/>
                <w:color w:val="auto"/>
                <w:w w:val="95"/>
              </w:rPr>
              <w:t>Net income attributable to PAGP including incremental net income from assumed exchange of AAP</w:t>
            </w:r>
          </w:p>
        </w:tc>
        <w:tc>
          <w:tcPr>
            <w:tcW w:w="7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118</w:t>
            </w:r>
          </w:p>
        </w:tc>
        <w:tc>
          <w:tcPr>
            <w:tcW w:w="3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7"/>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units and AAP Management Units</w:t>
            </w:r>
          </w:p>
        </w:tc>
        <w:tc>
          <w:tcPr>
            <w:tcW w:w="7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7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shares resulting from assumed exchange of AAP units and AAP Management Units</w:t>
            </w: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7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7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 net income per Class A share</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0.94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2016, 2015 and 2014, we recorded charges of $3 million, $117 million and $289 million, respectively, related to the writedown of our crude oil, NGL and natural gas inventory due to declines in prices. In addition, the charges recorded during the year ended December 31, 2014 included the writedown of our natural gas inventory that was purchased in conjunction with managing natural gas storage deliverability requirements during the extended period of severe cold weather in the first quarter of 2014. A portion of these inventory valuation adjustments was offset by the recognition of gains on derivative instruments being utilized to hedge the future sales of our crude oil and NGL inventory. Substantially all of such gains were recorded to “Supply and Logistics segment revenues” in our accompanying Consolidated Statement of Operations. See Note 12 for discussion of our derivative and risk management activities.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Linefill and base gas in assets we own are recorded at historical cost and consist of crude oil, NGL and natural gas. We classify as linefill or base gas</w:t>
      </w:r>
    </w:p>
    <w:p>
      <w:pPr>
        <w:spacing w:after="0" w:line="46" w:lineRule="exact"/>
        <w:rPr>
          <w:sz w:val="20"/>
          <w:szCs w:val="20"/>
          <w:color w:val="auto"/>
        </w:rPr>
      </w:pPr>
    </w:p>
    <w:p>
      <w:pPr>
        <w:ind w:right="100" w:firstLine="8"/>
        <w:spacing w:after="0" w:line="253" w:lineRule="auto"/>
        <w:tabs>
          <w:tab w:leader="none" w:pos="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 We recognized gains of less than $1 million and $8 million during 2015 and 2014, respectively, on the sale of linefill and base gas for proceeds of $1 million and $24 million, respectively. We did not conduct any sales of linefill and base gas during 2016.</w:t>
      </w:r>
    </w:p>
    <w:p>
      <w:pPr>
        <w:spacing w:after="0" w:line="19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5 for further discussion regarding impairment of long-lived assets. During 2016, 2015 and 2014, we did not recognize any impairments of linefill and base gas.</w:t>
      </w:r>
    </w:p>
    <w:p>
      <w:pPr>
        <w:spacing w:after="0" w:line="187"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80" w:type="dxa"/>
            <w:vAlign w:val="bottom"/>
          </w:tcPr>
          <w:p>
            <w:pPr>
              <w:spacing w:after="0"/>
              <w:rPr>
                <w:sz w:val="13"/>
                <w:szCs w:val="13"/>
                <w:color w:val="auto"/>
              </w:rPr>
            </w:pPr>
          </w:p>
        </w:tc>
        <w:tc>
          <w:tcPr>
            <w:tcW w:w="88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13"/>
                <w:szCs w:val="13"/>
                <w:color w:val="auto"/>
              </w:rPr>
            </w:pPr>
          </w:p>
        </w:tc>
        <w:tc>
          <w:tcPr>
            <w:tcW w:w="84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8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120" w:type="dxa"/>
            <w:vAlign w:val="bottom"/>
            <w:gridSpan w:val="2"/>
            <w:vMerge w:val="continue"/>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6"/>
                <w:szCs w:val="16"/>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2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23,589</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1,049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16,345</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13,497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14,540</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22,080</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1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40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12,273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30,812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30,812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400" w:type="dxa"/>
            <w:vAlign w:val="bottom"/>
          </w:tcPr>
          <w:p>
            <w:pPr>
              <w:ind w:left="180"/>
              <w:spacing w:after="0"/>
              <w:rPr>
                <w:sz w:val="20"/>
                <w:szCs w:val="20"/>
                <w:color w:val="auto"/>
              </w:rPr>
            </w:pPr>
            <w:r>
              <w:rPr>
                <w:rFonts w:ascii="Arial" w:cs="Arial" w:eastAsia="Arial" w:hAnsi="Arial"/>
                <w:sz w:val="18"/>
                <w:szCs w:val="18"/>
                <w:color w:val="auto"/>
                <w:w w:val="94"/>
              </w:rPr>
              <w:t>Linefill and base gas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40" w:hanging="652"/>
        <w:spacing w:after="0" w:line="216" w:lineRule="auto"/>
        <w:tabs>
          <w:tab w:leader="none" w:pos="660"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2016, 2015 and 2014, capitalized interest recorded to property and equipment was $34 million, $49 million and $48 million, respectively. In addition, we capitalize interest related to investments in certain unconsolidated entities. See Note 8 for additional information. We also capitalize expenditures for the replacement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5" w:right="25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200" w:lineRule="exact"/>
        <w:rPr>
          <w:sz w:val="20"/>
          <w:szCs w:val="20"/>
          <w:color w:val="auto"/>
        </w:rPr>
      </w:pPr>
    </w:p>
    <w:p>
      <w:pPr>
        <w:spacing w:after="0" w:line="236"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6640" w:type="dxa"/>
            <w:vAlign w:val="bottom"/>
          </w:tcPr>
          <w:p>
            <w:pPr>
              <w:spacing w:after="0"/>
              <w:rPr>
                <w:sz w:val="4"/>
                <w:szCs w:val="4"/>
                <w:color w:val="auto"/>
              </w:rPr>
            </w:pPr>
          </w:p>
        </w:tc>
        <w:tc>
          <w:tcPr>
            <w:tcW w:w="1720" w:type="dxa"/>
            <w:vAlign w:val="bottom"/>
            <w:gridSpan w:val="2"/>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64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5"/>
                <w:szCs w:val="25"/>
                <w:color w:val="auto"/>
                <w:vertAlign w:val="superscript"/>
              </w:rPr>
              <w:t>(1)</w:t>
            </w: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9,066</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Storage, terminal and rail facilities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30 - 70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Trucking equipment and 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property and equipment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Land and other</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gross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w:t>
      </w:r>
    </w:p>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2016, 2015 and 2014 was $471 million, $381 million and $321 million, respectively. Such amounts for the 2016 period include $33 million of costs associated with the discontinuation of certain capital projects during 2016 and an $18 million charge related to the write-off of the remaining book value of assets taken out of service. Such assets were included in our Transportation and Facilities segments. We also classify gains and losses on sales of assets and asset impairments as a component of “Depreciation and amortization” in our Consolidated Statements of Operations. See Note 6 for a discussion of our acquisition and disposition activities. See “Impairment of Long-Lived Assets” below for a discussion of our policy for the recognition of asset impairments.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3" w:lineRule="exact"/>
        <w:rPr>
          <w:sz w:val="20"/>
          <w:szCs w:val="20"/>
          <w:color w:val="auto"/>
        </w:rPr>
      </w:pPr>
    </w:p>
    <w:p>
      <w:pPr>
        <w:ind w:left="980" w:hanging="324"/>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During the year ended December 31, 2016, we recognized $80 million of non-cash impairment losses on certain of our long-lived rail and other terminal assets included in our Facilities segment. Such impairment losses are reflected in “Depreciation and amortization” on our Consolidated Financial Statements.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this impairment review, we wrote off the portion of the carrying amount of these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did not recognize any impairments during the year ended December 31, 2015. During the year ended December 31, 2014, we recognized impairments of $10 million primarily related to assets that were taken out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following acquisitions, excluding acquired interests accounted for under the equity method of accounting mentioned specifically below, were accounted for using the acquisition method of accounting and the determination of the fair value of the assets and liabilities acquired has been estimated in accordance with the applicable accounting guidance.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2017</w:t>
      </w:r>
      <w:r>
        <w:rPr>
          <w:rFonts w:ascii="Arial" w:cs="Arial" w:eastAsia="Arial" w:hAnsi="Arial"/>
          <w:sz w:val="17"/>
          <w:szCs w:val="17"/>
          <w:color w:val="auto"/>
        </w:rPr>
        <w:t>. On February 14, 2017, we acquired 100% of the equity interests of Alpha Holding Company, LLC (“Alpha Holding”) for cash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$1.215 billion, subject to working capital and other adjustments. Alpha Holding indirectly owns the Alpha Crude Connector (“ACC”) gathering system located in the Northern Delaware Basin in Southeastern New Mexico and West Texas. The ACC gathering system is comprised of 515 miles of recently constructed gathering and transmission lines and five market interconnects, including to our Basin Pipeline at Wink, and is supported by long-term acreage dedications. The initial accounting for this acquisition was not complete as of the financial statement issuance date.</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2016</w:t>
      </w:r>
      <w:r>
        <w:rPr>
          <w:rFonts w:ascii="Arial" w:cs="Arial" w:eastAsia="Arial" w:hAnsi="Arial"/>
          <w:sz w:val="18"/>
          <w:szCs w:val="18"/>
          <w:color w:val="auto"/>
        </w:rPr>
        <w:t>. During the year ended December 31, 2016, we completed two acquisitions for aggregate cash consideration of $289 million.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included (i) an integrated system of NGL assets in Western Canada for cash consideration of approximately $204 million and (ii) the remaining interest in a Gulf Coast pipeline that was subsequently sold in July 2016. The assets acquired were primarily included in our Transportation and Facilities segments. We did not recognize any goodwill related to these acquisitions.</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2015. </w:t>
      </w:r>
      <w:r>
        <w:rPr>
          <w:rFonts w:ascii="Arial" w:cs="Arial" w:eastAsia="Arial" w:hAnsi="Arial"/>
          <w:sz w:val="17"/>
          <w:szCs w:val="17"/>
          <w:color w:val="auto"/>
        </w:rPr>
        <w:t>During the year ended December 31, 2015, we completed three acquisitions for aggregate cash consideration of $105 million. These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included (i) an additional approximate 28% interest in Frontier Aspen LLC, which is accounted for under the equity method of accounting, (ii) a crude oil terminal included in our Facilities segment and (iii) the remaining interest in a pipeline system included in our Transportation segment. We recognized goodwill of $11 million related to these acquisitions. See Note 8 for additional discussion of our equity method investments.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2014</w:t>
      </w:r>
      <w:r>
        <w:rPr>
          <w:rFonts w:ascii="Arial" w:cs="Arial" w:eastAsia="Arial" w:hAnsi="Arial"/>
          <w:sz w:val="18"/>
          <w:szCs w:val="18"/>
          <w:color w:val="auto"/>
        </w:rPr>
        <w:t>. During the year ended December 31, 2014, we completed three acquisitions for aggregate cash consideration of $1.099 billion.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acquisitions was a 50% interest in BridgeTex Pipeline Company, LLC from Oxy. We account for this investment under the equity method of accounting. See Note 8 for additional discussion. The remaining acquisitions were a crude oil terminal and a propane terminal included in our Facilities segment. We recognized goodwill of $1 million related to these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and Divestitures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year ended December 31, 2016, we sold several non-core assets, including certain of our Gulf Coast pipelines and East Coast refined products terminals. In addition, we sold interests in Cheyenne Pipeline LLC and STACK Pipeline LLC. See Note 8 for additional discussion. In the aggregate, we recognized a net gain of approximately $100 million related to these transactions, which is included in “Depreciation and amortization” on our Consolidated Statement of Operations. Such amount is comprised of gains of $158 million and losses of $58 million, including $15 million of impairment of goodwill that was included in a disposal group classified as held for sale prior to the closing of such transaction.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2015 and 2014, we sold various property and equipment and recognized a net loss of $2 million and a net gain of $1 million, respectively.</w:t>
      </w:r>
    </w:p>
    <w:p>
      <w:pPr>
        <w:spacing w:after="0" w:line="2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December 31, 2016, we classified approximately $275 million of assets as held for sale on our Consolidated Balance Sheet (in “Other current assets”) primarily related to definitive agreements to sell non-core assets, a majority of which are property and equipment and included in our Facilities segment. We expect the sales to be consummated in the first half of 2017, subject to customary closing conditions, as applicable. As of December 31, 2015, we did not have any assets classified as held for sale.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During the first quarter of 2017, we completed the sale of an undivided interest in a segment of our Red River Pipeline for proceeds of approximately $70 million. In addition, we executed definitive agreements to sell two non-core assets for aggregate proceeds of approximately $310 million. These transactions include a natural gas storage facility and a non-core pipeline segment and are expected to close during the first half of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2016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to the book value. A goodwill impairment loss is recognized if the carrying amount exceeds its fair value.</w:t>
      </w:r>
    </w:p>
    <w:p>
      <w:pPr>
        <w:spacing w:after="0" w:line="18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therefore, goodwill was not considered impaired. We did not recognize any material impairments of goodwill during the last three years.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8—Investments in Unconsolidated Entities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by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300" w:type="dxa"/>
            <w:vAlign w:val="bottom"/>
          </w:tcPr>
          <w:p>
            <w:pPr>
              <w:spacing w:after="0"/>
              <w:rPr>
                <w:sz w:val="14"/>
                <w:szCs w:val="1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Interest at</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vMerge w:val="restart"/>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BridgeTex Pipeline Company, LLC (“BridgeTex”)</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Butte Pipe Line Company</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Caddo Pipeline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Cheyenne Pipeline LLC (“Cheyenne”)</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 LLC (“Diamond”)</w:t>
            </w:r>
          </w:p>
        </w:tc>
        <w:tc>
          <w:tcPr>
            <w:tcW w:w="25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5"/>
                <w:szCs w:val="25"/>
                <w:color w:val="auto"/>
                <w:w w:val="91"/>
                <w:vertAlign w:val="superscript"/>
              </w:rPr>
              <w:t>(1)</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Eagle Ford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Eagle Ford Terminals Corpus Christi LLC (“Eagle Ford</w:t>
            </w: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Terminals”)</w:t>
            </w:r>
          </w:p>
        </w:tc>
        <w:tc>
          <w:tcPr>
            <w:tcW w:w="2520" w:type="dxa"/>
            <w:vAlign w:val="bottom"/>
            <w:shd w:val="clear" w:color="auto" w:fill="CCEEFF"/>
          </w:tcPr>
          <w:p>
            <w:pPr>
              <w:jc w:val="center"/>
              <w:spacing w:after="0" w:line="257"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(1)</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Frontier Aspen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Saddlehorn Pipeline Company,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Settoon Towing,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Barge Transportation Services</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STACK Pipeline LLC (“STACK”)</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White Cliffs Pipeline, LLC</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202"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In June 2016, we sold 50% of our investment in Cheyenne, and in August 2016 we sold 50% of our investment in STACK. As a result of these transactions, we now account for our remaining 50% equity interest in such entities under the equity method of accounting. See Note 6 for additional information related to these transactions.</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In November 2014, we acquired a 50% interest in BridgeTex from Oxy. BridgeTex owns a crude oil pipeline that extends from Colorado City in West Texas to a crude oil terminal in East Houston, which we believe is complementary to our existing West Texas assets. We paid cash of $1.088 billion, including working capital adjustments of $13 million, for our interest in BridgeTex.</w:t>
      </w:r>
    </w:p>
    <w:p>
      <w:pPr>
        <w:spacing w:after="0" w:line="18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18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2016, 2015 and 2014, we made cash contributions of $288 million, $245 million and $158 million, respectively, to certain of our equity method investees. The contributions amount for 2015 is net of $53 million of cash received as a return of our investment. In addition, we capitalized interest of $13 million and $8 million during the years ended December 31, 2016 and 2015, respectively, related to contributions to unconsolidated entities for projects under development and construction. We anticipate that we will make additional contributions related to ongoing projects at BridgeTex, Diamond, Eagle Ford Terminals and STACK over the next few years.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$736 million and $760 million at December 31, 2016 and 2015,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differences attributable to goodwill is not amortized. The basis difference is primarily related to our acquisition of an interest in BridgeTex in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2,901</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184</w:t>
            </w:r>
          </w:p>
        </w:tc>
      </w:tr>
      <w:tr>
        <w:trPr>
          <w:trHeight w:val="642"/>
        </w:trPr>
        <w:tc>
          <w:tcPr>
            <w:tcW w:w="67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301</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Note 9—Other Long-Term Assets, Net</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7760" w:type="dxa"/>
            <w:vAlign w:val="bottom"/>
            <w:gridSpan w:val="2"/>
          </w:tcPr>
          <w:p>
            <w:pPr>
              <w:ind w:left="660"/>
              <w:spacing w:after="0"/>
              <w:rPr>
                <w:sz w:val="20"/>
                <w:szCs w:val="20"/>
                <w:color w:val="auto"/>
              </w:rPr>
            </w:pPr>
            <w:r>
              <w:rPr>
                <w:rFonts w:ascii="Arial" w:cs="Arial" w:eastAsia="Arial" w:hAnsi="Arial"/>
                <w:sz w:val="18"/>
                <w:szCs w:val="18"/>
                <w:color w:val="auto"/>
                <w:w w:val="93"/>
              </w:rPr>
              <w:t>Other long-term assets, net of accumulated amortization, consisted of the following (in millions):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derivative instruments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r>
      <w:tr>
        <w:trPr>
          <w:trHeight w:val="237"/>
        </w:trPr>
        <w:tc>
          <w:tcPr>
            <w:tcW w:w="6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710</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7"/>
        </w:trPr>
        <w:tc>
          <w:tcPr>
            <w:tcW w:w="6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383</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80" w:hanging="652"/>
        <w:spacing w:after="0" w:line="216" w:lineRule="auto"/>
        <w:tabs>
          <w:tab w:leader="none" w:pos="660" w:val="left"/>
        </w:tabs>
        <w:numPr>
          <w:ilvl w:val="0"/>
          <w:numId w:val="134"/>
        </w:numPr>
        <w:rPr>
          <w:rFonts w:ascii="Arial" w:cs="Arial" w:eastAsia="Arial" w:hAnsi="Arial"/>
          <w:sz w:val="25"/>
          <w:szCs w:val="25"/>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 See Note 5 for a discussion of property and equipment.</w:t>
      </w:r>
    </w:p>
    <w:p>
      <w:pPr>
        <w:spacing w:after="0" w:line="2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Amortization expense for finite-lived intangible assets for the years ended December 31, 2016, 2015 and 2014 was $44 million, $49 million and $57 million, respectively.</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Intangible assets that have finite lives are tested for impairment when events or circumstances indicate that the carrying value may not be recoverable. Our intangible assets that have finite lives consisted of the following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2015</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Estimated Useful</w:t>
            </w:r>
          </w:p>
        </w:tc>
        <w:tc>
          <w:tcPr>
            <w:tcW w:w="26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7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and</w:t>
            </w: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relationships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 – 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Property tax abatement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7 – 13</w:t>
            </w:r>
          </w:p>
        </w:tc>
        <w:tc>
          <w:tcPr>
            <w:tcW w:w="2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agreements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25 – 70</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5"/>
                <w:szCs w:val="25"/>
                <w:color w:val="auto"/>
                <w:vertAlign w:val="superscript"/>
              </w:rPr>
              <w:t>(1)</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9"/>
        </w:trPr>
        <w:tc>
          <w:tcPr>
            <w:tcW w:w="264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F-23</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3323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25"/>
          <w:szCs w:val="25"/>
          <w:color w:val="auto"/>
          <w:vertAlign w:val="superscript"/>
        </w:rPr>
      </w:pPr>
      <w:r>
        <w:rPr>
          <w:rFonts w:ascii="Arial" w:cs="Arial" w:eastAsia="Arial" w:hAnsi="Arial"/>
          <w:sz w:val="18"/>
          <w:szCs w:val="18"/>
          <w:color w:val="auto"/>
        </w:rPr>
        <w:t>Emission reduction credits, once surrendered in exchange for environmental permits, are finite-lived.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0220" w:type="dxa"/>
            <w:vAlign w:val="bottom"/>
          </w:tcPr>
          <w:p>
            <w:pPr>
              <w:jc w:val="right"/>
              <w:ind w:right="210"/>
              <w:spacing w:after="0"/>
              <w:rPr>
                <w:sz w:val="20"/>
                <w:szCs w:val="20"/>
                <w:color w:val="auto"/>
              </w:rPr>
            </w:pPr>
            <w:r>
              <w:rPr>
                <w:rFonts w:ascii="Arial" w:cs="Arial" w:eastAsia="Arial" w:hAnsi="Arial"/>
                <w:sz w:val="18"/>
                <w:szCs w:val="18"/>
                <w:color w:val="auto"/>
                <w:w w:val="93"/>
              </w:rPr>
              <w:t>We estimate that our amortization expense related to finite-lived intangible assets for the next five years will be as follows (in millions):</w:t>
            </w:r>
          </w:p>
        </w:tc>
        <w:tc>
          <w:tcPr>
            <w:tcW w:w="580" w:type="dxa"/>
            <w:vAlign w:val="bottom"/>
          </w:tcPr>
          <w:p>
            <w:pPr>
              <w:spacing w:after="0"/>
              <w:rPr>
                <w:sz w:val="20"/>
                <w:szCs w:val="20"/>
                <w:color w:val="auto"/>
              </w:rPr>
            </w:pPr>
          </w:p>
        </w:tc>
      </w:tr>
      <w:tr>
        <w:trPr>
          <w:trHeight w:val="135"/>
        </w:trPr>
        <w:tc>
          <w:tcPr>
            <w:tcW w:w="520" w:type="dxa"/>
            <w:vAlign w:val="bottom"/>
          </w:tcPr>
          <w:p>
            <w:pPr>
              <w:spacing w:after="0"/>
              <w:rPr>
                <w:sz w:val="11"/>
                <w:szCs w:val="11"/>
                <w:color w:val="auto"/>
              </w:rPr>
            </w:pPr>
          </w:p>
        </w:tc>
        <w:tc>
          <w:tcPr>
            <w:tcW w:w="10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2017</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2018</w:t>
            </w:r>
          </w:p>
        </w:tc>
        <w:tc>
          <w:tcPr>
            <w:tcW w:w="1022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2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2019</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2020</w:t>
            </w:r>
          </w:p>
        </w:tc>
        <w:tc>
          <w:tcPr>
            <w:tcW w:w="1022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2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2021</w:t>
            </w:r>
          </w:p>
        </w:tc>
        <w:tc>
          <w:tcPr>
            <w:tcW w:w="10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675"/>
        </w:trPr>
        <w:tc>
          <w:tcPr>
            <w:tcW w:w="520" w:type="dxa"/>
            <w:vAlign w:val="bottom"/>
          </w:tcPr>
          <w:p>
            <w:pPr>
              <w:spacing w:after="0"/>
              <w:rPr>
                <w:sz w:val="24"/>
                <w:szCs w:val="24"/>
                <w:color w:val="auto"/>
              </w:rPr>
            </w:pPr>
          </w:p>
        </w:tc>
        <w:tc>
          <w:tcPr>
            <w:tcW w:w="10220" w:type="dxa"/>
            <w:vAlign w:val="bottom"/>
          </w:tcPr>
          <w:p>
            <w:pPr>
              <w:jc w:val="right"/>
              <w:ind w:right="4770"/>
              <w:spacing w:after="0"/>
              <w:rPr>
                <w:sz w:val="20"/>
                <w:szCs w:val="20"/>
                <w:color w:val="auto"/>
              </w:rPr>
            </w:pPr>
            <w:r>
              <w:rPr>
                <w:rFonts w:ascii="Arial" w:cs="Arial" w:eastAsia="Arial" w:hAnsi="Arial"/>
                <w:sz w:val="18"/>
                <w:szCs w:val="18"/>
                <w:color w:val="auto"/>
              </w:rPr>
              <w:t>F-24</w:t>
            </w:r>
          </w:p>
        </w:tc>
        <w:tc>
          <w:tcPr>
            <w:tcW w:w="580" w:type="dxa"/>
            <w:vAlign w:val="bottom"/>
          </w:tcPr>
          <w:p>
            <w:pPr>
              <w:spacing w:after="0"/>
              <w:rPr>
                <w:sz w:val="24"/>
                <w:szCs w:val="24"/>
                <w:color w:val="auto"/>
              </w:rPr>
            </w:pPr>
          </w:p>
        </w:tc>
      </w:tr>
    </w:tbl>
    <w:p>
      <w:pPr>
        <w:sectPr>
          <w:pgSz w:w="11900" w:h="16838" w:orient="portrait"/>
          <w:cols w:equalWidth="0" w:num="1">
            <w:col w:w="11320"/>
          </w:cols>
          <w:pgMar w:left="240" w:top="125" w:right="3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w w:val="98"/>
              </w:rPr>
              <w:t xml:space="preserve">PAA commercial paper notes, bearing a weighted-average interest rate of 1.6% and 1.1%, respectively </w:t>
            </w:r>
            <w:r>
              <w:rPr>
                <w:rFonts w:ascii="Arial" w:cs="Arial" w:eastAsia="Arial" w:hAnsi="Arial"/>
                <w:sz w:val="25"/>
                <w:szCs w:val="25"/>
                <w:color w:val="auto"/>
                <w:w w:val="98"/>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PAA senior secured hedged inventory facility, bearing a weighted-average interest rate of 1.8% and 1.4%,</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834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PAA senior notes: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ind w:left="380"/>
              <w:spacing w:after="0" w:line="264" w:lineRule="exact"/>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r>
      <w:tr>
        <w:trPr>
          <w:trHeight w:val="270"/>
        </w:trPr>
        <w:tc>
          <w:tcPr>
            <w:tcW w:w="8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PAA senior notes: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5.88% senior notes due August 2016 </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6.13% senior notes due January 2017</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6.50% senior notes due May 2018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8.75% senior notes due May 2019</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2.60% senior notes due December 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5.75% senior notes due January 2020</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5.00% senior notes due February 2021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3.65% senior notes due June 2022</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2.85% senior notes due January 2023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3.85% senior notes due October 2023</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3.60% senior notes due November 2024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4.65% senior notes due October 2025</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4.50% senior notes due December 2026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6.70% senior notes due May 2036</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6.65% senior notes due January 2037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5.15% senior notes due June 2042</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4.30% senior notes due January 2043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4.70% senior notes due June 2044</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4.90% senior notes due February 2045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Unamortized discounts and debt issuance costs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PAA senior notes, net of unamortized discounts and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9,698</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w w:val="98"/>
              </w:rPr>
              <w:t xml:space="preserve">PAA commercial paper notes, bearing a weighted-average interest rate of 1.6% and 1.1%, respectively </w:t>
            </w:r>
            <w:r>
              <w:rPr>
                <w:rFonts w:ascii="Arial" w:cs="Arial" w:eastAsia="Arial" w:hAnsi="Arial"/>
                <w:sz w:val="25"/>
                <w:szCs w:val="25"/>
                <w:color w:val="auto"/>
                <w:w w:val="98"/>
                <w:vertAlign w:val="superscript"/>
              </w:rPr>
              <w:t>(3)</w:t>
            </w:r>
          </w:p>
        </w:tc>
        <w:tc>
          <w:tcPr>
            <w:tcW w:w="1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672</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AAP term loan, bearing a weighted-average interest rate of 2.0% </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AAP senior secured revolving credit facility, bearing a weighted-average interest rate of 2.0% </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10,932</w:t>
            </w:r>
          </w:p>
        </w:tc>
      </w:tr>
      <w:tr>
        <w:trPr>
          <w:trHeight w:val="264"/>
        </w:trPr>
        <w:tc>
          <w:tcPr>
            <w:tcW w:w="8340" w:type="dxa"/>
            <w:vAlign w:val="bottom"/>
          </w:tcPr>
          <w:p>
            <w:pPr>
              <w:ind w:left="60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11,931</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340" w:hanging="652"/>
        <w:spacing w:after="0" w:line="226" w:lineRule="auto"/>
        <w:tabs>
          <w:tab w:leader="none" w:pos="660" w:val="left"/>
        </w:tabs>
        <w:numPr>
          <w:ilvl w:val="0"/>
          <w:numId w:val="136"/>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at December 31, 2016 and 2015,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136"/>
        </w:numPr>
        <w:rPr>
          <w:rFonts w:ascii="Arial" w:cs="Arial" w:eastAsia="Arial" w:hAnsi="Arial"/>
          <w:sz w:val="25"/>
          <w:szCs w:val="25"/>
          <w:color w:val="auto"/>
          <w:vertAlign w:val="superscript"/>
        </w:rPr>
      </w:pPr>
      <w:r>
        <w:rPr>
          <w:rFonts w:ascii="Arial" w:cs="Arial" w:eastAsia="Arial" w:hAnsi="Arial"/>
          <w:sz w:val="18"/>
          <w:szCs w:val="18"/>
          <w:color w:val="auto"/>
        </w:rPr>
        <w:t>At December 31, 2016, includes borrowings of $410 million for cash margin deposits with NYMEX and ICE, which are associated with financial derivatives used for hedging purposes.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120" w:hanging="652"/>
        <w:spacing w:after="0" w:line="226" w:lineRule="auto"/>
        <w:tabs>
          <w:tab w:leader="none" w:pos="660" w:val="left"/>
        </w:tabs>
        <w:numPr>
          <w:ilvl w:val="0"/>
          <w:numId w:val="137"/>
        </w:numPr>
        <w:rPr>
          <w:rFonts w:ascii="Arial" w:cs="Arial" w:eastAsia="Arial" w:hAnsi="Arial"/>
          <w:sz w:val="25"/>
          <w:szCs w:val="25"/>
          <w:color w:val="auto"/>
          <w:vertAlign w:val="superscript"/>
        </w:rPr>
      </w:pPr>
      <w:r>
        <w:rPr>
          <w:rFonts w:ascii="Arial" w:cs="Arial" w:eastAsia="Arial" w:hAnsi="Arial"/>
          <w:sz w:val="18"/>
          <w:szCs w:val="18"/>
          <w:color w:val="auto"/>
        </w:rPr>
        <w:t>As of December 31, 2016 and 2015, we classified a portion of our commercial paper notes as long-term and as of December 31, 2015, we classified PAA’s $175 million, 5.88% senior notes due August 2016 as long-term based on PAA’s ability and intent to refinance such amounts on a long-term basis under its credit facilities.</w:t>
      </w:r>
    </w:p>
    <w:p>
      <w:pPr>
        <w:spacing w:after="0" w:line="50"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37"/>
        </w:numPr>
        <w:rPr>
          <w:rFonts w:ascii="Arial" w:cs="Arial" w:eastAsia="Arial" w:hAnsi="Arial"/>
          <w:sz w:val="24"/>
          <w:szCs w:val="24"/>
          <w:color w:val="auto"/>
          <w:vertAlign w:val="superscript"/>
        </w:rPr>
      </w:pPr>
      <w:r>
        <w:rPr>
          <w:rFonts w:ascii="Arial" w:cs="Arial" w:eastAsia="Arial" w:hAnsi="Arial"/>
          <w:sz w:val="17"/>
          <w:szCs w:val="17"/>
          <w:color w:val="auto"/>
        </w:rPr>
        <w:t>On November 15, 2016, as part of the Simplification Transactions, PAA assumed and immediately repaid all of AAP’s outstanding debt.</w:t>
      </w:r>
    </w:p>
    <w:p>
      <w:pPr>
        <w:spacing w:after="0" w:line="98" w:lineRule="exact"/>
        <w:rPr>
          <w:rFonts w:ascii="Arial" w:cs="Arial" w:eastAsia="Arial" w:hAnsi="Arial"/>
          <w:sz w:val="24"/>
          <w:szCs w:val="24"/>
          <w:color w:val="auto"/>
          <w:vertAlign w:val="superscript"/>
        </w:rPr>
      </w:pPr>
    </w:p>
    <w:p>
      <w:pPr>
        <w:ind w:left="660" w:hanging="652"/>
        <w:spacing w:after="0" w:line="254" w:lineRule="auto"/>
        <w:tabs>
          <w:tab w:leader="none" w:pos="660" w:val="left"/>
        </w:tabs>
        <w:numPr>
          <w:ilvl w:val="0"/>
          <w:numId w:val="137"/>
        </w:numPr>
        <w:rPr>
          <w:rFonts w:ascii="Arial" w:cs="Arial" w:eastAsia="Arial" w:hAnsi="Arial"/>
          <w:sz w:val="24"/>
          <w:szCs w:val="24"/>
          <w:color w:val="auto"/>
          <w:vertAlign w:val="superscript"/>
        </w:rPr>
      </w:pPr>
      <w:r>
        <w:rPr>
          <w:rFonts w:ascii="Arial" w:cs="Arial" w:eastAsia="Arial" w:hAnsi="Arial"/>
          <w:sz w:val="17"/>
          <w:szCs w:val="17"/>
          <w:color w:val="auto"/>
        </w:rPr>
        <w:t>PAA’s fixed-rate senior notes (including current maturities) had a face value of approximately $10.3 billion and $9.8 billion as of December 31, 2016 and 2015, respectively. We estimated the aggregate fair value of these notes as of December 31, 2016 and 2015 to be approximately $10.4 billion and $8.6 billion, respectively. PAA’s fixed-rate senior notes are traded among institutions, and these trades are routinely published by a reporting service. Our determination of fair value is based on reported trading activity near year end.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Commercial Paper Program</w:t>
      </w:r>
    </w:p>
    <w:p>
      <w:pPr>
        <w:spacing w:after="0" w:line="225" w:lineRule="exact"/>
        <w:rPr>
          <w:sz w:val="20"/>
          <w:szCs w:val="20"/>
          <w:color w:val="auto"/>
        </w:rPr>
      </w:pPr>
    </w:p>
    <w:p>
      <w:pPr>
        <w:ind w:right="260" w:firstLine="662"/>
        <w:spacing w:after="0" w:line="312" w:lineRule="auto"/>
        <w:rPr>
          <w:sz w:val="20"/>
          <w:szCs w:val="20"/>
          <w:color w:val="auto"/>
        </w:rPr>
      </w:pPr>
      <w:r>
        <w:rPr>
          <w:rFonts w:ascii="Arial" w:cs="Arial" w:eastAsia="Arial" w:hAnsi="Arial"/>
          <w:sz w:val="16"/>
          <w:szCs w:val="16"/>
          <w:color w:val="auto"/>
        </w:rPr>
        <w:t>PAA has a commercial paper program under which it may issue (and have outstanding at any time) up to $3.0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PAA senior secured hedged inventory facility</w:t>
      </w:r>
      <w:r>
        <w:rPr>
          <w:rFonts w:ascii="Arial" w:cs="Arial" w:eastAsia="Arial" w:hAnsi="Arial"/>
          <w:sz w:val="16"/>
          <w:szCs w:val="16"/>
          <w:color w:val="auto"/>
        </w:rPr>
        <w:t>. PAA has a credit agreement that provides for a senior secured hedged inventory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committed 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PAA’s election, on either the Eurocurrency Rate or the Base Rate, in each case plus a margin based on PAA’s credit rating at the applicable time. The agreement also provides for one or more one-year extensions, subject to applicable approval. In August 2016, PAA amended this agreement to, among other things, extend the maturity date of the facility to August 2019 for each extending lender. The maturity date with respect to each non-extending lender (which represent aggregate commitments of approximately $126.3 million out of total commitments of $1.4 billion from all lenders) remains August 2018.</w:t>
      </w:r>
    </w:p>
    <w:p>
      <w:pPr>
        <w:spacing w:after="0" w:line="16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PAA senior unsecured revolving credit facility. </w:t>
      </w:r>
      <w:r>
        <w:rPr>
          <w:rFonts w:ascii="Arial" w:cs="Arial" w:eastAsia="Arial" w:hAnsi="Arial"/>
          <w:sz w:val="16"/>
          <w:szCs w:val="16"/>
          <w:color w:val="auto"/>
        </w:rPr>
        <w:t>PAA has a credit agreement that provides for a senior unsecured revolving credit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committed borrowing capacity of $1.6 billion. Subject to obtaining additional or increased lender commitments, the committed capacity may be increased to $2.1 billion. The credit agreement also provides for the issuance of letters of credit. Borrowings accrue interest based, at PAA’s election, on the Eurocurrency Rate, the Base Rate or the Canadian Prime Rate, in each case plus a margin based on PAA’s credit rating at the applicable time. The agreement also provides for one or more one-year extensions, subject to applicable approval. In August 2016, PAA amended this agreement to, among other things, extend the maturity date of the facility to August 2021 for each extending lender. The maturity date with respect to each non-extending lender (which represent aggregate commitments of $140 million out of total commitments of $1.6 billion from all lenders) remains August 2020.</w:t>
      </w:r>
    </w:p>
    <w:p>
      <w:pPr>
        <w:spacing w:after="0" w:line="16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PAA senior unsecured 364-day revolving credit facility. </w:t>
      </w:r>
      <w:r>
        <w:rPr>
          <w:rFonts w:ascii="Arial" w:cs="Arial" w:eastAsia="Arial" w:hAnsi="Arial"/>
          <w:sz w:val="18"/>
          <w:szCs w:val="18"/>
          <w:color w:val="auto"/>
        </w:rPr>
        <w:t>PAA has a credit agreement that provides for a 364-day senior unsecured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borrowing capacity of $1.0 billion. In August 2016, PAA amended this agreement to extend the maturity date to August 2017. Borrowings accrue interest based, at PAA’s election, on either the Eurocurrency Rate or the Base Rate, as defined in the agreement, in each case plus a margin based on PAA’s credit rating at the applicable time.</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AAP senior secured credit agreement. </w:t>
      </w:r>
      <w:r>
        <w:rPr>
          <w:rFonts w:ascii="Arial" w:cs="Arial" w:eastAsia="Arial" w:hAnsi="Arial"/>
          <w:sz w:val="18"/>
          <w:szCs w:val="18"/>
          <w:color w:val="auto"/>
        </w:rPr>
        <w:t>In connection with the Simplification Transactions, on November 15, 2016, PAA assumed all of AAP’s then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borrowings under the AAP senior secured credit agreement, and immediately repaid such amounts and canceled the credit agreement. See Note 1 for further discussion of the Simplification Transactions.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PAA’s issuances of senior unsecured notes during 2016, 2015 and 2014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492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Face Value</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Payment Dates</w:t>
            </w:r>
          </w:p>
        </w:tc>
      </w:tr>
      <w:tr>
        <w:trPr>
          <w:trHeight w:val="250"/>
        </w:trPr>
        <w:tc>
          <w:tcPr>
            <w:tcW w:w="8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4"/>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4.50% Senior Notes issued at 99.716% of face value</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15 and December 15</w:t>
            </w:r>
          </w:p>
        </w:tc>
      </w:tr>
      <w:tr>
        <w:trPr>
          <w:trHeight w:val="324"/>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8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4"/>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4.65% Senior Notes issued at 99.846% of face value</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April 15 and October 15</w:t>
            </w:r>
          </w:p>
        </w:tc>
      </w:tr>
      <w:tr>
        <w:trPr>
          <w:trHeight w:val="324"/>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8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4"/>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2.60% Senior Notes issued at 99.813% of face value</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15 and December 15</w:t>
            </w:r>
          </w:p>
        </w:tc>
      </w:tr>
      <w:tr>
        <w:trPr>
          <w:trHeight w:val="243"/>
        </w:trPr>
        <w:tc>
          <w:tcPr>
            <w:tcW w:w="820" w:type="dxa"/>
            <w:vAlign w:val="bottom"/>
          </w:tcPr>
          <w:p>
            <w:pPr>
              <w:jc w:val="right"/>
              <w:ind w:right="333"/>
              <w:spacing w:after="0"/>
              <w:rPr>
                <w:sz w:val="20"/>
                <w:szCs w:val="20"/>
                <w:color w:val="auto"/>
              </w:rPr>
            </w:pPr>
            <w:r>
              <w:rPr>
                <w:rFonts w:ascii="Arial" w:cs="Arial" w:eastAsia="Arial" w:hAnsi="Arial"/>
                <w:sz w:val="18"/>
                <w:szCs w:val="18"/>
                <w:color w:val="auto"/>
                <w:w w:val="94"/>
              </w:rPr>
              <w:t>2014</w:t>
            </w:r>
          </w:p>
        </w:tc>
        <w:tc>
          <w:tcPr>
            <w:tcW w:w="1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4.90% Senior Notes issued at 99.876% of face value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2045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February 15 and August 15</w:t>
            </w:r>
          </w:p>
        </w:tc>
      </w:tr>
      <w:tr>
        <w:trPr>
          <w:trHeight w:val="27"/>
        </w:trPr>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4"/>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3.60% Senior Notes issued at 99.842% of face value</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November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May 1 and November 1</w:t>
            </w:r>
          </w:p>
        </w:tc>
      </w:tr>
      <w:tr>
        <w:trPr>
          <w:trHeight w:val="243"/>
        </w:trPr>
        <w:tc>
          <w:tcPr>
            <w:tcW w:w="820" w:type="dxa"/>
            <w:vAlign w:val="bottom"/>
          </w:tcPr>
          <w:p>
            <w:pPr>
              <w:jc w:val="right"/>
              <w:ind w:right="333"/>
              <w:spacing w:after="0"/>
              <w:rPr>
                <w:sz w:val="20"/>
                <w:szCs w:val="20"/>
                <w:color w:val="auto"/>
              </w:rPr>
            </w:pPr>
            <w:r>
              <w:rPr>
                <w:rFonts w:ascii="Arial" w:cs="Arial" w:eastAsia="Arial" w:hAnsi="Arial"/>
                <w:sz w:val="18"/>
                <w:szCs w:val="18"/>
                <w:color w:val="auto"/>
                <w:w w:val="94"/>
              </w:rPr>
              <w:t>2014</w:t>
            </w:r>
          </w:p>
        </w:tc>
        <w:tc>
          <w:tcPr>
            <w:tcW w:w="1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4.70% Senior Notes issued at 99.734% of face value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2044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7"/>
              </w:rPr>
              <w:t>June 15 and December 15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 Repayments</w:t>
      </w:r>
    </w:p>
    <w:p>
      <w:pPr>
        <w:spacing w:after="0" w:line="22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PAA’s $400 million, 6.13% senior notes were repaid in January 2017. PAA’s $175 million, 5.88% senior notes were repaid in August 2016. We utilized cash on hand and available capacity under the PAA commercial paper program and credit facilities to repay these notes.</w:t>
      </w:r>
    </w:p>
    <w:p>
      <w:pPr>
        <w:spacing w:after="0" w:line="14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PAA’s $150 million, 5.25% senior notes and $400 million, 3.95% senior notes were repaid in June 2015 and September 2015, respectively. We utilized cash on hand and available capacity under the PAA commercial paper program to repay these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weighted average maturity of our long-term debt outstanding at December 31, 2016 was approximately 11 years. The following table presents the aggregate contractually scheduled maturities of such long-term debt for the next five years and thereafter. The amounts presented exclude unamortized discounts and debt issuance costs.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Calendar Year</w:t>
            </w:r>
          </w:p>
        </w:tc>
        <w:tc>
          <w:tcPr>
            <w:tcW w:w="240" w:type="dxa"/>
            <w:vAlign w:val="bottom"/>
          </w:tcPr>
          <w:p>
            <w:pPr>
              <w:spacing w:after="0"/>
              <w:rPr>
                <w:sz w:val="14"/>
                <w:szCs w:val="14"/>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92"/>
        </w:trPr>
        <w:tc>
          <w:tcPr>
            <w:tcW w:w="9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9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PAA’s credit agreements (which impact the ability to access the PAA commercial paper program because they provide the 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credit agreements contain various covenants limiting PAA’s ability to, among other things: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sell substantially all of its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33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credit agreements for the PAA senior unsecured revolving credit facility, the PAA senior secured hedged inventory facility and the PAA senior unsecured 364-day revolving credit facility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and/or during the GP Simplification Period (the period beginning on November 15, 2016 and ending on December 31, 2017)).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7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 default under PAA’s credit facilities would permit the lenders to accelerate the maturity of the outstanding debt. As long as PAA is in compliance with its credit agreements, PAA’s ability to make distributions of available cash is not restricted. As of December 31, 2016, PAA was in compliance with the covenants contained in its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Total borrowings under the credit agreements and the PAA commercial paper program for the years ended December 31, 2016, 2015 and 2014 were approximately $60.4 billion, $62.3 billion and $71.0 billion, respectively. Total repayments under the credit agreements and the PAA commercial paper program were approximately $61.0 billion, $61.4 billion and $71.3 billion for the years ended December 31, 2016, 2015 and 2014,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2016 and 2015, we had outstanding letters of credit of $73 million and $46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and long-term debt under credit agreements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 The Class C shares, which were created and issued to PAA as part of the Simplification Transactions, are non-economic, and provide PAA, as the sole holder, rights with respect to director nominations and voting rights in director elections together with the holders of our Class A and Class B shares, commencing in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and Redemption Rights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Class B shares and general partner units are transferred by the exercising party to us. Additionally, a holder of vested AAP Management Units is entitled to convert his or her AAP Management Units into AAP units and a like number of our Class B shares based on a conversion ratio of approximately 0.941 AAP units for each AAP Management Unit.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16 for additional information regarding the AAP Management Units and Note 13 for additional information regarding the deferred tax asset associated with the Exchange Right.</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Additionally, subject to certain limitations during the first twelve months following the closing of the Simplification Transactions, a holder of AAP units (other than us and GP LLC) will have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Class B shares and general partner units (if any), in each case, to us. The AAP units transferred to AAP will be canceled, the Class B shares transferred to us will be canceled and the general partner units transferred to us will remain outstanding and increase our ownership percentage in our general partner.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Offering Program</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December 27, 2016, we entered into an equity distribution agreement pursuant to which we may, from time to time through sales agents, sell Class A shares representing limited partnership interests having an aggregate offering price of up to $500 million. We had not issued any Class A shares under our continuous offering program as of December 31, 2016.</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Pursuant to the Omnibus Agreement entered into in conjunction with the Simplification Transactions, we have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us to purchase from PAA an equivalent number of common units of PAA.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Class A Shares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Class B Shares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50,257,321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177,319,493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80" w:type="dxa"/>
            <w:vAlign w:val="bottom"/>
            <w:tcBorders>
              <w:bottom w:val="single" w:sz="8" w:color="CCEEFF"/>
            </w:tcBorders>
            <w:gridSpan w:val="2"/>
          </w:tcPr>
          <w:p>
            <w:pPr>
              <w:ind w:left="40"/>
              <w:spacing w:after="0" w:line="251" w:lineRule="exact"/>
              <w:rPr>
                <w:sz w:val="20"/>
                <w:szCs w:val="20"/>
                <w:color w:val="auto"/>
              </w:rPr>
            </w:pPr>
            <w:r>
              <w:rPr>
                <w:rFonts w:ascii="Arial" w:cs="Arial" w:eastAsia="Arial" w:hAnsi="Arial"/>
                <w:sz w:val="18"/>
                <w:szCs w:val="18"/>
                <w:color w:val="auto"/>
                <w:w w:val="89"/>
              </w:rPr>
              <w:t xml:space="preserve">Shares issued/(exchanged) in connection with Exchange Right exercises </w:t>
            </w:r>
            <w:r>
              <w:rPr>
                <w:rFonts w:ascii="Arial" w:cs="Arial" w:eastAsia="Arial" w:hAnsi="Arial"/>
                <w:sz w:val="25"/>
                <w:szCs w:val="25"/>
                <w:color w:val="auto"/>
                <w:w w:val="89"/>
                <w:vertAlign w:val="superscript"/>
              </w:rPr>
              <w:t>(1)</w:t>
            </w:r>
          </w:p>
        </w:tc>
        <w:tc>
          <w:tcPr>
            <w:tcW w:w="15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27,450,437</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(27,450,437)</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77,707,758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149,869,056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93"/>
              </w:rPr>
              <w:t>Shares issued/(exchanged) in connection with Exchange Right exercises</w:t>
            </w:r>
          </w:p>
        </w:tc>
        <w:tc>
          <w:tcPr>
            <w:tcW w:w="15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gridSpan w:val="2"/>
            <w:vMerge w:val="continue"/>
          </w:tcPr>
          <w:p>
            <w:pPr>
              <w:spacing w:after="0"/>
              <w:rPr>
                <w:sz w:val="19"/>
                <w:szCs w:val="19"/>
                <w:color w:val="auto"/>
              </w:rPr>
            </w:pPr>
          </w:p>
        </w:tc>
        <w:tc>
          <w:tcPr>
            <w:tcW w:w="2880" w:type="dxa"/>
            <w:vAlign w:val="bottom"/>
            <w:gridSpan w:val="2"/>
          </w:tcPr>
          <w:p>
            <w:pPr>
              <w:jc w:val="right"/>
              <w:ind w:right="32"/>
              <w:spacing w:after="0"/>
              <w:rPr>
                <w:sz w:val="20"/>
                <w:szCs w:val="20"/>
                <w:color w:val="auto"/>
              </w:rPr>
            </w:pPr>
            <w:r>
              <w:rPr>
                <w:rFonts w:ascii="Arial" w:cs="Arial" w:eastAsia="Arial" w:hAnsi="Arial"/>
                <w:sz w:val="18"/>
                <w:szCs w:val="18"/>
                <w:color w:val="auto"/>
              </w:rPr>
              <w:t>8,383,468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(8,383,468)</w:t>
            </w:r>
          </w:p>
        </w:tc>
        <w:tc>
          <w:tcPr>
            <w:tcW w:w="1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 in connection with PAGP LTIP award vestings</w:t>
            </w:r>
          </w:p>
        </w:tc>
        <w:tc>
          <w:tcPr>
            <w:tcW w:w="1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2015</w:t>
            </w:r>
          </w:p>
        </w:tc>
        <w:tc>
          <w:tcPr>
            <w:tcW w:w="152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86,099,037</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141,485,588</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180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Shares issued in connection with conversion of AAP Management Units</w:t>
            </w:r>
          </w:p>
        </w:tc>
        <w:tc>
          <w:tcPr>
            <w:tcW w:w="15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14,693,093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w w:val="93"/>
              </w:rPr>
              <w:t>Shares issued/(exchanged) in connection with Exchange Right exercises</w:t>
            </w:r>
          </w:p>
        </w:tc>
        <w:tc>
          <w:tcPr>
            <w:tcW w:w="2880" w:type="dxa"/>
            <w:vAlign w:val="bottom"/>
            <w:gridSpan w:val="2"/>
          </w:tcPr>
          <w:p>
            <w:pPr>
              <w:jc w:val="right"/>
              <w:ind w:right="32"/>
              <w:spacing w:after="0"/>
              <w:rPr>
                <w:sz w:val="20"/>
                <w:szCs w:val="20"/>
                <w:color w:val="auto"/>
              </w:rPr>
            </w:pPr>
            <w:r>
              <w:rPr>
                <w:rFonts w:ascii="Arial" w:cs="Arial" w:eastAsia="Arial" w:hAnsi="Arial"/>
                <w:sz w:val="18"/>
                <w:szCs w:val="18"/>
                <w:color w:val="auto"/>
              </w:rPr>
              <w:t>15,099,678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(15,099,678)</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 in connection with PAGP LTIP award vestings</w:t>
            </w:r>
          </w:p>
        </w:tc>
        <w:tc>
          <w:tcPr>
            <w:tcW w:w="288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7,811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Shares issued in connection with the Simplification Transactions</w:t>
            </w:r>
          </w:p>
        </w:tc>
        <w:tc>
          <w:tcPr>
            <w:tcW w:w="15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477,648,826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 in connection with PAA common unit issuances</w:t>
            </w:r>
          </w:p>
        </w:tc>
        <w:tc>
          <w:tcPr>
            <w:tcW w:w="1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11,226,520</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w w:val="91"/>
              </w:rPr>
              <w:t>Shares issued/(redeemed) in connection with Redemption Right exercises</w:t>
            </w:r>
          </w:p>
        </w:tc>
        <w:tc>
          <w:tcPr>
            <w:tcW w:w="15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(3,035,517)</w:t>
            </w:r>
          </w:p>
        </w:tc>
        <w:tc>
          <w:tcPr>
            <w:tcW w:w="1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3,035,517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8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101,206,526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138,043,486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491,910,863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tcBorders>
              <w:bottom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3000" w:type="dxa"/>
            <w:vAlign w:val="bottom"/>
            <w:gridSpan w:val="3"/>
            <w:vMerge w:val="restart"/>
          </w:tcPr>
          <w:p>
            <w:pPr>
              <w:ind w:left="60"/>
              <w:spacing w:after="0"/>
              <w:rPr>
                <w:sz w:val="20"/>
                <w:szCs w:val="20"/>
                <w:color w:val="auto"/>
              </w:rPr>
            </w:pPr>
            <w:r>
              <w:rPr>
                <w:rFonts w:ascii="Arial" w:cs="Arial" w:eastAsia="Arial" w:hAnsi="Arial"/>
                <w:sz w:val="18"/>
                <w:szCs w:val="18"/>
                <w:color w:val="auto"/>
              </w:rPr>
              <w:t>F-29</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5"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24"/>
          <w:szCs w:val="24"/>
          <w:color w:val="auto"/>
          <w:vertAlign w:val="superscript"/>
        </w:rPr>
      </w:pPr>
      <w:r>
        <w:rPr>
          <w:rFonts w:ascii="Arial" w:cs="Arial" w:eastAsia="Arial" w:hAnsi="Arial"/>
          <w:sz w:val="17"/>
          <w:szCs w:val="17"/>
          <w:color w:val="auto"/>
        </w:rPr>
        <w:t>Includes 25,910,938 Class A shares issued to Oxy immediately preceding the sale of such shares in an underwritten secondary public offering.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the distributions paid to Class A shareholders during the periods indicated (in millions,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3360"/>
              <w:spacing w:after="0"/>
              <w:rPr>
                <w:sz w:val="20"/>
                <w:szCs w:val="20"/>
                <w:color w:val="auto"/>
              </w:rPr>
            </w:pPr>
            <w:r>
              <w:rPr>
                <w:rFonts w:ascii="Arial" w:cs="Arial" w:eastAsia="Arial" w:hAnsi="Arial"/>
                <w:sz w:val="14"/>
                <w:szCs w:val="14"/>
                <w:b w:val="1"/>
                <w:bCs w:val="1"/>
                <w:color w:val="auto"/>
              </w:rPr>
              <w:t>Year</w:t>
            </w:r>
          </w:p>
        </w:tc>
        <w:tc>
          <w:tcPr>
            <w:tcW w:w="2920" w:type="dxa"/>
            <w:vAlign w:val="bottom"/>
          </w:tcPr>
          <w:p>
            <w:pPr>
              <w:jc w:val="right"/>
              <w:ind w:right="374"/>
              <w:spacing w:after="0"/>
              <w:rPr>
                <w:sz w:val="20"/>
                <w:szCs w:val="20"/>
                <w:color w:val="auto"/>
              </w:rPr>
            </w:pPr>
            <w:r>
              <w:rPr>
                <w:rFonts w:ascii="Arial" w:cs="Arial" w:eastAsia="Arial" w:hAnsi="Arial"/>
                <w:sz w:val="14"/>
                <w:szCs w:val="14"/>
                <w:b w:val="1"/>
                <w:bCs w:val="1"/>
                <w:color w:val="auto"/>
              </w:rPr>
              <w:t>Distributions Paid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40" w:type="dxa"/>
            <w:vAlign w:val="bottom"/>
          </w:tcPr>
          <w:p>
            <w:pPr>
              <w:jc w:val="right"/>
              <w:ind w:right="834"/>
              <w:spacing w:after="0"/>
              <w:rPr>
                <w:sz w:val="20"/>
                <w:szCs w:val="20"/>
                <w:color w:val="auto"/>
              </w:rPr>
            </w:pPr>
            <w:r>
              <w:rPr>
                <w:rFonts w:ascii="Arial" w:cs="Arial" w:eastAsia="Arial" w:hAnsi="Arial"/>
                <w:sz w:val="14"/>
                <w:szCs w:val="14"/>
                <w:b w:val="1"/>
                <w:bCs w:val="1"/>
                <w:color w:val="auto"/>
              </w:rPr>
              <w:t>Distributions per Class A Share</w:t>
            </w:r>
          </w:p>
        </w:tc>
      </w:tr>
      <w:tr>
        <w:trPr>
          <w:trHeight w:val="250"/>
        </w:trPr>
        <w:tc>
          <w:tcPr>
            <w:tcW w:w="3660" w:type="dxa"/>
            <w:vAlign w:val="bottom"/>
            <w:tcBorders>
              <w:top w:val="single" w:sz="8" w:color="auto"/>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920" w:type="dxa"/>
            <w:vAlign w:val="bottom"/>
            <w:tcBorders>
              <w:top w:val="single" w:sz="8" w:color="auto"/>
              <w:bottom w:val="single" w:sz="8" w:color="CCEEFF"/>
            </w:tcBorders>
            <w:shd w:val="clear" w:color="auto" w:fill="CCEEFF"/>
          </w:tcPr>
          <w:p>
            <w:pPr>
              <w:jc w:val="right"/>
              <w:ind w:right="271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r>
      <w:tr>
        <w:trPr>
          <w:trHeight w:val="243"/>
        </w:trPr>
        <w:tc>
          <w:tcPr>
            <w:tcW w:w="3660" w:type="dxa"/>
            <w:vAlign w:val="bottom"/>
          </w:tcPr>
          <w:p>
            <w:pPr>
              <w:ind w:left="13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920" w:type="dxa"/>
            <w:vAlign w:val="bottom"/>
          </w:tcPr>
          <w:p>
            <w:pPr>
              <w:jc w:val="right"/>
              <w:ind w:right="271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tcPr>
          <w:p>
            <w:pPr>
              <w:jc w:val="right"/>
              <w:ind w:right="14"/>
              <w:spacing w:after="0"/>
              <w:rPr>
                <w:sz w:val="20"/>
                <w:szCs w:val="20"/>
                <w:color w:val="auto"/>
              </w:rPr>
            </w:pPr>
            <w:r>
              <w:rPr>
                <w:rFonts w:ascii="Arial" w:cs="Arial" w:eastAsia="Arial" w:hAnsi="Arial"/>
                <w:sz w:val="18"/>
                <w:szCs w:val="18"/>
                <w:color w:val="auto"/>
              </w:rPr>
              <w:t>2.35</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70"/>
        </w:trPr>
        <w:tc>
          <w:tcPr>
            <w:tcW w:w="3660" w:type="dxa"/>
            <w:vAlign w:val="bottom"/>
            <w:shd w:val="clear" w:color="auto" w:fill="CCEEFF"/>
          </w:tcPr>
          <w:p>
            <w:pPr>
              <w:ind w:left="1360"/>
              <w:spacing w:after="0" w:line="270" w:lineRule="exact"/>
              <w:rPr>
                <w:sz w:val="20"/>
                <w:szCs w:val="20"/>
                <w:color w:val="auto"/>
              </w:rPr>
            </w:pPr>
            <w:r>
              <w:rPr>
                <w:rFonts w:ascii="Arial" w:cs="Arial" w:eastAsia="Arial" w:hAnsi="Arial"/>
                <w:sz w:val="18"/>
                <w:szCs w:val="18"/>
                <w:color w:val="auto"/>
              </w:rPr>
              <w:t xml:space="preserve">2014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2920" w:type="dxa"/>
            <w:vAlign w:val="bottom"/>
            <w:shd w:val="clear" w:color="auto" w:fill="CCEEFF"/>
          </w:tcPr>
          <w:p>
            <w:pPr>
              <w:jc w:val="right"/>
              <w:ind w:right="271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80" w:hanging="652"/>
        <w:spacing w:after="0" w:line="216" w:lineRule="auto"/>
        <w:tabs>
          <w:tab w:leader="none" w:pos="660" w:val="left"/>
        </w:tabs>
        <w:numPr>
          <w:ilvl w:val="0"/>
          <w:numId w:val="140"/>
        </w:numPr>
        <w:rPr>
          <w:rFonts w:ascii="Arial" w:cs="Arial" w:eastAsia="Arial" w:hAnsi="Arial"/>
          <w:sz w:val="25"/>
          <w:szCs w:val="25"/>
          <w:color w:val="auto"/>
          <w:vertAlign w:val="superscript"/>
        </w:rPr>
      </w:pPr>
      <w:r>
        <w:rPr>
          <w:rFonts w:ascii="Arial" w:cs="Arial" w:eastAsia="Arial" w:hAnsi="Arial"/>
          <w:sz w:val="18"/>
          <w:szCs w:val="18"/>
          <w:color w:val="auto"/>
        </w:rPr>
        <w:t>The distribution paid to our Class A shareholders in the first quarter of 2014 was based on the prorated distribution received from AAP attributable to the period beginning on the date of the closing of our IPO through the end of the fourth quarter of 2013.</w:t>
      </w:r>
    </w:p>
    <w:p>
      <w:pPr>
        <w:spacing w:after="0" w:line="203"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On January 9, 2017, we declared a cash distribution of $0.55 per outstanding Class A share. This distribution of $57 million was paid on February 14, 2017 to shareholders of record at the close of business on January 31, 2017, for the period October 1, 2016 through December 31,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Income/(Loss)</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2016, noncontrolling interests in our subsidiaries consisted of (i) a 67% limited partner interest in PAA, (ii) an approximate 58% limited partner interest in AAP and (iii) a 25% interest in SLC Pipeline LLC.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PAA Cash Distributions. </w:t>
      </w:r>
      <w:r>
        <w:rPr>
          <w:rFonts w:ascii="Arial" w:cs="Arial" w:eastAsia="Arial" w:hAnsi="Arial"/>
          <w:sz w:val="18"/>
          <w:szCs w:val="18"/>
          <w:color w:val="auto"/>
        </w:rPr>
        <w:t>PAA distributes 100% of its available cash within 45 days following the end of each quarter to unitholders of record,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AAP. Available cash is generally defined as all of PAA’s cash and cash equivalents on hand at the end of each quarter, less reserves established by its general partner for future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by PAA (in millions, except per unit data):</w:t>
      </w:r>
    </w:p>
    <w:p>
      <w:pPr>
        <w:spacing w:after="0" w:line="220"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Distributions Paid</w:t>
      </w:r>
    </w:p>
    <w:tbl>
      <w:tblPr>
        <w:tblLayout w:type="fixed"/>
        <w:tblInd w:w="0" w:type="dxa"/>
        <w:tblCellMar>
          <w:top w:w="0" w:type="dxa"/>
          <w:left w:w="0" w:type="dxa"/>
          <w:bottom w:w="0" w:type="dxa"/>
          <w:right w:w="0" w:type="dxa"/>
        </w:tblCellMar>
      </w:tblPr>
      <w:tr>
        <w:trPr>
          <w:trHeight w:val="47"/>
        </w:trPr>
        <w:tc>
          <w:tcPr>
            <w:tcW w:w="3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right"/>
              <w:ind w:right="237"/>
              <w:spacing w:after="0" w:line="133" w:lineRule="exact"/>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65"/>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Common Unitholders</w:t>
            </w:r>
          </w:p>
        </w:tc>
        <w:tc>
          <w:tcPr>
            <w:tcW w:w="120" w:type="dxa"/>
            <w:vAlign w:val="bottom"/>
            <w:vMerge w:val="restart"/>
          </w:tcPr>
          <w:p>
            <w:pPr>
              <w:spacing w:after="0"/>
              <w:rPr>
                <w:sz w:val="5"/>
                <w:szCs w:val="5"/>
                <w:color w:val="auto"/>
              </w:rPr>
            </w:pPr>
          </w:p>
        </w:tc>
        <w:tc>
          <w:tcPr>
            <w:tcW w:w="12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 xml:space="preserve">AAP </w:t>
            </w:r>
            <w:r>
              <w:rPr>
                <w:rFonts w:ascii="Arial" w:cs="Arial" w:eastAsia="Arial" w:hAnsi="Arial"/>
                <w:sz w:val="8"/>
                <w:szCs w:val="8"/>
                <w:b w:val="1"/>
                <w:bCs w:val="1"/>
                <w:color w:val="auto"/>
              </w:rPr>
              <w:t>(1)</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1,671</w:t>
            </w:r>
          </w:p>
        </w:tc>
        <w:tc>
          <w:tcPr>
            <w:tcW w:w="140" w:type="dxa"/>
            <w:vAlign w:val="bottom"/>
            <w:tcBorders>
              <w:right w:val="single" w:sz="8" w:color="auto"/>
            </w:tcBorders>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1,407</w:t>
            </w:r>
          </w:p>
        </w:tc>
        <w:tc>
          <w:tcPr>
            <w:tcW w:w="140" w:type="dxa"/>
            <w:vAlign w:val="bottom"/>
            <w:tcBorders>
              <w:right w:val="single" w:sz="8" w:color="auto"/>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20" w:hanging="652"/>
        <w:spacing w:after="0" w:line="216" w:lineRule="auto"/>
        <w:tabs>
          <w:tab w:leader="none" w:pos="660" w:val="left"/>
        </w:tabs>
        <w:numPr>
          <w:ilvl w:val="0"/>
          <w:numId w:val="141"/>
        </w:numPr>
        <w:rPr>
          <w:rFonts w:ascii="Arial" w:cs="Arial" w:eastAsia="Arial" w:hAnsi="Arial"/>
          <w:sz w:val="25"/>
          <w:szCs w:val="25"/>
          <w:color w:val="auto"/>
          <w:vertAlign w:val="superscript"/>
        </w:rPr>
      </w:pPr>
      <w:r>
        <w:rPr>
          <w:rFonts w:ascii="Arial" w:cs="Arial" w:eastAsia="Arial" w:hAnsi="Arial"/>
          <w:sz w:val="18"/>
          <w:szCs w:val="18"/>
          <w:color w:val="auto"/>
        </w:rPr>
        <w:t>During the years ended December 31, 2016, 2015 and 2014, AAP’s incentive distributions were reduced by approximately $18 million, $22 million and $23 million, respectively, which were agreed to in connection with certain acquisitions.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On January 9, 2017, PAA declared a cash distribution of $0.55 per unit on its outstanding common units. The total distribution of $371 million was paid on February 14, 2017 to unitholders of record on January 31, 2017, for the period October 1, 2016 through December 31, 2016.</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Prior to the Simplification Transactions, AAP was entitled to receive (i) distributions representing its 2% indirect general partner interest in PAA and</w:t>
      </w:r>
    </w:p>
    <w:p>
      <w:pPr>
        <w:spacing w:after="0" w:line="46" w:lineRule="exact"/>
        <w:rPr>
          <w:sz w:val="20"/>
          <w:szCs w:val="20"/>
          <w:color w:val="auto"/>
        </w:rPr>
      </w:pPr>
    </w:p>
    <w:p>
      <w:pPr>
        <w:ind w:right="40" w:firstLine="8"/>
        <w:spacing w:after="0" w:line="253" w:lineRule="auto"/>
        <w:tabs>
          <w:tab w:leader="none" w:pos="2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the holder of PAA’s IDRs, incentive distributions if the amount PAA distributed with respect to any quarter exceeded certain specified levels. Under the quarterly distribution provisions contained in PAA’s partnership agreements effective prior to the Simplification Transactions, AAP was entitled directly and indirectly, without duplication and except for the agreed upon adjustments discussed below, to 2% of amounts PAA distributed up to $0.2250 per unit, referred to as the minimum quarterly distribution, 15% of amounts PAA distributed in excess of $0.2250 per unit, 25% of the amounts PAA distributed in excess of $0.2475 per unit and 50% of amounts PAA distributed in excess of $0.3375 per unit.</w:t>
      </w:r>
    </w:p>
    <w:p>
      <w:pPr>
        <w:spacing w:after="0" w:line="19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i w:val="1"/>
          <w:iCs w:val="1"/>
          <w:color w:val="auto"/>
        </w:rPr>
        <w:t xml:space="preserve">PAA In-kind distributions. </w:t>
      </w:r>
      <w:r>
        <w:rPr>
          <w:rFonts w:ascii="Arial" w:cs="Arial" w:eastAsia="Arial" w:hAnsi="Arial"/>
          <w:sz w:val="18"/>
          <w:szCs w:val="18"/>
          <w:color w:val="auto"/>
        </w:rPr>
        <w:t>In 2016, PAA issued 3,358,726 additional Series A preferred units in lieu of cash distributions of $89 million. On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14, 2017, PAA issued 1,287,773 additional Series A preferred units in lieu of a cash distribution of $34 million.</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AAP Distributions. </w:t>
      </w:r>
      <w:r>
        <w:rPr>
          <w:rFonts w:ascii="Arial" w:cs="Arial" w:eastAsia="Arial" w:hAnsi="Arial"/>
          <w:sz w:val="17"/>
          <w:szCs w:val="17"/>
          <w:color w:val="auto"/>
        </w:rPr>
        <w:t>AAP distributes all of the cash received from PAA distributions on a quarterly basis, less reserves established in the discretion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its general partner for future requirements. Generally, distributions are paid to its partners in proportion to their percentage interest in AAP. The following table details the distributions to AAP’s partners paid during the periods indicated from distributions received from PAA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Distributions to AAP’s Partners</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00" w:type="dxa"/>
            <w:vAlign w:val="bottom"/>
          </w:tcPr>
          <w:p>
            <w:pPr>
              <w:spacing w:after="0"/>
              <w:rPr>
                <w:sz w:val="24"/>
                <w:szCs w:val="24"/>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168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Available Cash Before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jc w:val="right"/>
              <w:ind w:right="717"/>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Noncontrolling</w:t>
            </w:r>
          </w:p>
        </w:tc>
        <w:tc>
          <w:tcPr>
            <w:tcW w:w="420" w:type="dxa"/>
            <w:vAlign w:val="bottom"/>
          </w:tcPr>
          <w:p>
            <w:pPr>
              <w:spacing w:after="0"/>
              <w:rPr>
                <w:sz w:val="24"/>
                <w:szCs w:val="24"/>
                <w:color w:val="auto"/>
              </w:rPr>
            </w:pPr>
          </w:p>
        </w:tc>
        <w:tc>
          <w:tcPr>
            <w:tcW w:w="14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92"/>
        </w:trPr>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Reserves</w:t>
            </w:r>
          </w:p>
        </w:tc>
        <w:tc>
          <w:tcPr>
            <w:tcW w:w="3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Reserves</w:t>
            </w:r>
          </w:p>
        </w:tc>
        <w:tc>
          <w:tcPr>
            <w:tcW w:w="3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Interests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598</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7"/>
              </w:rPr>
              <w:t>(2)</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2015</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590</w:t>
            </w:r>
          </w:p>
        </w:tc>
        <w:tc>
          <w:tcPr>
            <w:tcW w:w="3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576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82"/>
              </w:rPr>
              <w:t xml:space="preserve">2014 </w:t>
            </w:r>
            <w:r>
              <w:rPr>
                <w:rFonts w:ascii="Arial" w:cs="Arial" w:eastAsia="Arial" w:hAnsi="Arial"/>
                <w:sz w:val="25"/>
                <w:szCs w:val="25"/>
                <w:color w:val="auto"/>
                <w:w w:val="82"/>
                <w:vertAlign w:val="superscript"/>
              </w:rPr>
              <w:t>(1)</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00" w:hanging="652"/>
        <w:spacing w:after="0" w:line="232" w:lineRule="auto"/>
        <w:tabs>
          <w:tab w:leader="none" w:pos="660" w:val="left"/>
        </w:tabs>
        <w:numPr>
          <w:ilvl w:val="0"/>
          <w:numId w:val="143"/>
        </w:numPr>
        <w:rPr>
          <w:rFonts w:ascii="Arial" w:cs="Arial" w:eastAsia="Arial" w:hAnsi="Arial"/>
          <w:sz w:val="25"/>
          <w:szCs w:val="25"/>
          <w:color w:val="auto"/>
          <w:vertAlign w:val="superscript"/>
        </w:rPr>
      </w:pPr>
      <w:r>
        <w:rPr>
          <w:rFonts w:ascii="Arial" w:cs="Arial" w:eastAsia="Arial" w:hAnsi="Arial"/>
          <w:sz w:val="18"/>
          <w:szCs w:val="18"/>
          <w:color w:val="auto"/>
        </w:rPr>
        <w:t>The distribution paid by AAP in the first quarter of 2014 was prorated as of the date of the consummation of our IPO, such that the owners of AAP prior to our IPO received the portion of the distribution attributable to the period prior to our IPO, and the owners of AAP at the date of record of January 31, 2014, including us, received the portion of the distribution attributable to the period beginning on the date of the IPO through the end of the fourth quarter of 2013.</w:t>
      </w:r>
    </w:p>
    <w:p>
      <w:pPr>
        <w:spacing w:after="0" w:line="94" w:lineRule="exact"/>
        <w:rPr>
          <w:rFonts w:ascii="Arial" w:cs="Arial" w:eastAsia="Arial" w:hAnsi="Arial"/>
          <w:sz w:val="25"/>
          <w:szCs w:val="25"/>
          <w:color w:val="auto"/>
          <w:vertAlign w:val="superscript"/>
        </w:rPr>
      </w:pPr>
    </w:p>
    <w:p>
      <w:pPr>
        <w:ind w:left="660" w:right="280" w:hanging="652"/>
        <w:spacing w:after="0" w:line="245" w:lineRule="auto"/>
        <w:tabs>
          <w:tab w:leader="none" w:pos="660" w:val="left"/>
        </w:tabs>
        <w:numPr>
          <w:ilvl w:val="0"/>
          <w:numId w:val="143"/>
        </w:numPr>
        <w:rPr>
          <w:rFonts w:ascii="Arial" w:cs="Arial" w:eastAsia="Arial" w:hAnsi="Arial"/>
          <w:sz w:val="24"/>
          <w:szCs w:val="24"/>
          <w:color w:val="auto"/>
          <w:vertAlign w:val="superscript"/>
        </w:rPr>
      </w:pPr>
      <w:r>
        <w:rPr>
          <w:rFonts w:ascii="Arial" w:cs="Arial" w:eastAsia="Arial" w:hAnsi="Arial"/>
          <w:sz w:val="17"/>
          <w:szCs w:val="17"/>
          <w:color w:val="auto"/>
        </w:rPr>
        <w:t>Includes $33 million that was borrowed under the AAP senior secured revolving credit facility. AAP agreed to borrow funds under its credit agreement as necessary to make a special true-up distribution to its partners that, when added to the distributions paid to AAP in respect of its 2% general partner interest in PAA and the IDRs, equaled the total distribution its partners would have received if the closing of the Simplification Transactions had occurred immediately prior to the record date for the third quarter distribution.</w:t>
      </w:r>
    </w:p>
    <w:p>
      <w:pPr>
        <w:spacing w:after="0" w:line="92" w:lineRule="exact"/>
        <w:rPr>
          <w:rFonts w:ascii="Arial" w:cs="Arial" w:eastAsia="Arial" w:hAnsi="Arial"/>
          <w:sz w:val="24"/>
          <w:szCs w:val="24"/>
          <w:color w:val="auto"/>
          <w:vertAlign w:val="superscript"/>
        </w:rPr>
      </w:pPr>
    </w:p>
    <w:p>
      <w:pPr>
        <w:ind w:left="660" w:right="80" w:hanging="652"/>
        <w:spacing w:after="0" w:line="226" w:lineRule="auto"/>
        <w:tabs>
          <w:tab w:leader="none" w:pos="660" w:val="left"/>
        </w:tabs>
        <w:numPr>
          <w:ilvl w:val="0"/>
          <w:numId w:val="143"/>
        </w:numPr>
        <w:rPr>
          <w:rFonts w:ascii="Arial" w:cs="Arial" w:eastAsia="Arial" w:hAnsi="Arial"/>
          <w:sz w:val="25"/>
          <w:szCs w:val="25"/>
          <w:color w:val="auto"/>
          <w:vertAlign w:val="superscript"/>
        </w:rPr>
      </w:pPr>
      <w:r>
        <w:rPr>
          <w:rFonts w:ascii="Arial" w:cs="Arial" w:eastAsia="Arial" w:hAnsi="Arial"/>
          <w:sz w:val="18"/>
          <w:szCs w:val="18"/>
          <w:color w:val="auto"/>
        </w:rPr>
        <w:t>The amount of the distribution paid to AAP’s partners in November 2016 assumed that the Simplification Transactions had closed as of the date of record for the third quarter distribution. Pursuant to the Omnibus Agreement entered into as part of the Simplification Transactions, AAP’s expenses will be paid by PAA. Therefore, no cash was reserved from this distribution for future expenses of AAP.</w:t>
      </w:r>
    </w:p>
    <w:p>
      <w:pPr>
        <w:spacing w:after="0" w:line="20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On February 14, 2017, AAP distributed $134 million to its partners from distributions received from PAA. Of this amount, $77 million was distributed to noncontrolling interests and $57 million was distributed to us.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years ended December 31, 2016, 2015 and 2014, distributions of $4 million, $3 million and $3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were paid to noncontrolling interests in SLC Pipeline LLC.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Issuance of Units by Subsidiaries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PAA Common Unit Issuances. </w:t>
      </w:r>
      <w:r>
        <w:rPr>
          <w:rFonts w:ascii="Arial" w:cs="Arial" w:eastAsia="Arial" w:hAnsi="Arial"/>
          <w:sz w:val="18"/>
          <w:szCs w:val="18"/>
          <w:color w:val="auto"/>
        </w:rPr>
        <w:t>PAA has entered into several equity distribution agreements under its Continuous Offering Program,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PAA may offer and sell, through sales agents, common units representing limited partner interests. In addition to its Continuous Offering Program, PAA may sell common units through overnight or underwritten offerings.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PAA’s issuance of common units in connection with its Continuous Offering Program and underwritten offerings (net proceeds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Type of Offering</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CCEEFF"/>
            </w:tcBorders>
          </w:tcPr>
          <w:p>
            <w:pPr>
              <w:spacing w:after="0"/>
              <w:rPr>
                <w:sz w:val="16"/>
                <w:szCs w:val="16"/>
                <w:color w:val="auto"/>
              </w:rPr>
            </w:pPr>
          </w:p>
        </w:tc>
      </w:tr>
      <w:tr>
        <w:trPr>
          <w:trHeight w:val="263"/>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2016 Total</w:t>
            </w:r>
          </w:p>
        </w:tc>
        <w:tc>
          <w:tcPr>
            <w:tcW w:w="36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1"/>
              </w:rPr>
              <w:t>Continuous Offering Program</w:t>
            </w:r>
          </w:p>
        </w:tc>
        <w:tc>
          <w:tcPr>
            <w:tcW w:w="2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26,278,288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796</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Continuous Offering Program</w:t>
            </w: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1,133,904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Underwritten Offering</w:t>
            </w: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21,000,000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1,041</w:t>
            </w:r>
          </w:p>
        </w:tc>
        <w:tc>
          <w:tcPr>
            <w:tcW w:w="340" w:type="dxa"/>
            <w:vAlign w:val="bottom"/>
          </w:tcPr>
          <w:p>
            <w:pPr>
              <w:spacing w:after="0"/>
              <w:rPr>
                <w:sz w:val="21"/>
                <w:szCs w:val="2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2015 Total</w:t>
            </w:r>
          </w:p>
        </w:tc>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22,133,904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1,099</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2014 Total</w:t>
            </w:r>
          </w:p>
        </w:tc>
        <w:tc>
          <w:tcPr>
            <w:tcW w:w="36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1"/>
              </w:rPr>
              <w:t>Continuous Offering Program</w:t>
            </w:r>
          </w:p>
        </w:tc>
        <w:tc>
          <w:tcPr>
            <w:tcW w:w="2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15,375,810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848</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140" w:hanging="652"/>
        <w:spacing w:after="0" w:line="214" w:lineRule="auto"/>
        <w:tabs>
          <w:tab w:leader="none" w:pos="660" w:val="left"/>
        </w:tabs>
        <w:numPr>
          <w:ilvl w:val="0"/>
          <w:numId w:val="144"/>
        </w:numPr>
        <w:rPr>
          <w:rFonts w:ascii="Arial" w:cs="Arial" w:eastAsia="Arial" w:hAnsi="Arial"/>
          <w:sz w:val="25"/>
          <w:szCs w:val="25"/>
          <w:color w:val="auto"/>
          <w:vertAlign w:val="superscript"/>
        </w:rPr>
      </w:pPr>
      <w:r>
        <w:rPr>
          <w:rFonts w:ascii="Arial" w:cs="Arial" w:eastAsia="Arial" w:hAnsi="Arial"/>
          <w:sz w:val="18"/>
          <w:szCs w:val="18"/>
          <w:color w:val="auto"/>
        </w:rPr>
        <w:t>PAA pays commissions to sales agents in connection with common unit issuances under its Continuous Offering Program. PAA paid $8 million, $1 million and $9 million of such commissions during 2016, 2015 and 2014, respectively.</w:t>
      </w:r>
    </w:p>
    <w:p>
      <w:pPr>
        <w:spacing w:after="0" w:line="203" w:lineRule="exact"/>
        <w:rPr>
          <w:sz w:val="20"/>
          <w:szCs w:val="20"/>
          <w:color w:val="auto"/>
        </w:rPr>
      </w:pPr>
    </w:p>
    <w:p>
      <w:pPr>
        <w:ind w:right="160" w:firstLine="716"/>
        <w:spacing w:after="0" w:line="297" w:lineRule="auto"/>
        <w:rPr>
          <w:sz w:val="20"/>
          <w:szCs w:val="20"/>
          <w:color w:val="auto"/>
        </w:rPr>
      </w:pPr>
      <w:r>
        <w:rPr>
          <w:rFonts w:ascii="Arial" w:cs="Arial" w:eastAsia="Arial" w:hAnsi="Arial"/>
          <w:sz w:val="16"/>
          <w:szCs w:val="16"/>
          <w:color w:val="auto"/>
        </w:rPr>
        <w:t>For the period following the Simplification Transactions, the proceeds from the issuance of additional common units are shared pro rata among all of PAA’s common unitholders, including AAP, based on their percentage ownership of common units. Additionally, PAA’s capital attributable to AAP was adjusted, in accordance with ASC 810, to reflect the dilution of its interest in PAA as a result of the issuance of additional common units to the public unitholders. Such adjustments are recognized by PAGP in proportion to PAGP’s ownership interest in AAP, which resulted in a net increase in partners’ capital attributable to PAGP. See Note 13 for additional information regarding the associated impact to the deferred tax asset.</w:t>
      </w:r>
    </w:p>
    <w:p>
      <w:pPr>
        <w:spacing w:after="0" w:line="158" w:lineRule="exact"/>
        <w:rPr>
          <w:sz w:val="20"/>
          <w:szCs w:val="20"/>
          <w:color w:val="auto"/>
        </w:rPr>
      </w:pPr>
    </w:p>
    <w:p>
      <w:pPr>
        <w:ind w:right="100" w:firstLine="716"/>
        <w:spacing w:after="0" w:line="259" w:lineRule="auto"/>
        <w:rPr>
          <w:sz w:val="20"/>
          <w:szCs w:val="20"/>
          <w:color w:val="auto"/>
        </w:rPr>
      </w:pPr>
      <w:r>
        <w:rPr>
          <w:rFonts w:ascii="Arial" w:cs="Arial" w:eastAsia="Arial" w:hAnsi="Arial"/>
          <w:sz w:val="18"/>
          <w:szCs w:val="18"/>
          <w:i w:val="1"/>
          <w:iCs w:val="1"/>
          <w:color w:val="auto"/>
        </w:rPr>
        <w:t>PAA Preferred Unit Issuance</w:t>
      </w:r>
      <w:r>
        <w:rPr>
          <w:rFonts w:ascii="Arial" w:cs="Arial" w:eastAsia="Arial" w:hAnsi="Arial"/>
          <w:sz w:val="18"/>
          <w:szCs w:val="18"/>
          <w:color w:val="auto"/>
        </w:rPr>
        <w:t>. On January 28, 2016 (the “Issuance Date”), PAA completed the private placement of approximately 61.0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preferred units representing limited partner interests in PAA for a cash purchase price of $26.25 per unit (the “Issue Price”), resulting in total net proceeds, after deducting offering expenses and the 2% transaction fee due to the purchasers, of approximately $1.6 billion. Certain of the purchasers or their affiliates are related parties. See Note 15 for additional information.</w:t>
      </w:r>
    </w:p>
    <w:p>
      <w:pPr>
        <w:spacing w:after="0" w:line="187" w:lineRule="exact"/>
        <w:rPr>
          <w:sz w:val="20"/>
          <w:szCs w:val="20"/>
          <w:color w:val="auto"/>
        </w:rPr>
      </w:pPr>
    </w:p>
    <w:p>
      <w:pPr>
        <w:ind w:right="20" w:firstLine="716"/>
        <w:spacing w:after="0" w:line="255" w:lineRule="auto"/>
        <w:rPr>
          <w:sz w:val="20"/>
          <w:szCs w:val="20"/>
          <w:color w:val="auto"/>
        </w:rPr>
      </w:pPr>
      <w:r>
        <w:rPr>
          <w:rFonts w:ascii="Arial" w:cs="Arial" w:eastAsia="Arial" w:hAnsi="Arial"/>
          <w:sz w:val="18"/>
          <w:szCs w:val="18"/>
          <w:color w:val="auto"/>
        </w:rPr>
        <w:t>The PAA Series A preferred units are a new class of equity security in PAA that ranks senior to all classes or series of equity securities in PAA with respect to distribution rights and rights upon liquidation. The holders of the PAA Series A preferred units receive cumulative quarterly distributions, subject to customary antidilution adjustments, equal to $0.525 per unit ($2.10 per unit annualized). With respect to any quarter ending on or prior to December 31, 2017 (the “Initial Distribution Period”), PAA may elect to pay distributions on the PAA Series A preferred units in additional preferred units, in cash or a combination of both. With respect to any quarter ending after the Initial Distribution Period, PAA must pay distributions on the PAA Series A preferred units in cash.</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After two years, the Series A preferred units are convertible at the purchasers’ option into common units on a one-for-one basis, subject to certain conditions, and are convertible at PAA’s option in certain circumstances after three years. For a period of 30 days following (a) the fifth anniversary of the Issuance Date of the PAA Series A preferred units and (b) each subsequent anniversary of the Issuance Date, the holders of the PAA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12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 and Risk Management Activities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2016, net derivative positions related to these activities included:</w:t>
      </w:r>
    </w:p>
    <w:p>
      <w:pPr>
        <w:spacing w:after="0" w:line="38" w:lineRule="exact"/>
        <w:rPr>
          <w:sz w:val="20"/>
          <w:szCs w:val="20"/>
          <w:color w:val="auto"/>
        </w:rPr>
      </w:pPr>
    </w:p>
    <w:p>
      <w:pPr>
        <w:ind w:left="980" w:right="320" w:hanging="324"/>
        <w:spacing w:after="0" w:line="277"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net long position of 3.6 million barrels associated with our crude oil purchases, which was unwound ratably during January 2017 to match monthly average pricing.</w:t>
      </w:r>
    </w:p>
    <w:p>
      <w:pPr>
        <w:spacing w:after="0" w:line="62"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net short time spread position of 5.2 million barrels, which hedges a portion of our anticipated crude oil lease gathering purchases through January 2018.</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crude oil grade basis position of 43.8 million barrels through December 2019. These derivatives allow us to lock in grade basis differentials.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net short position of 12.2 Bcf through May 2017 related to anticipated sales of natural gas inventory.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 net short position of 34.5 million barrels through December 2019 related to anticipated net sales of our crude oil and NGL inventory.</w:t>
      </w:r>
    </w:p>
    <w:p>
      <w:pPr>
        <w:spacing w:after="0" w:line="23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allowance oil that is to be collected under our tariffs. As of December 31, 2016, our PLA hedges included a long call option position of 0.9 million barrels through November 2018.</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2016, we had a long natural gas position of 61.3 Bcf which hedges our natural gas processing and operational needs through December 2018. We also had a short propane position of 10.6 million barrels through December 2018, a short butane position of 3.2 million barrels through December 2018 and a short WTI position of 1.5 million barrels through December 2018. In addition, we had a long power position of 0.3 million megawatt hours, which hedges a portion of our power supply requirements at our Canadian natural gas processing and fractionation plants through December 2018.</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payments associated with the underlying debt.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December 31, 2016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and Types of</w:t>
            </w:r>
          </w:p>
        </w:tc>
        <w:tc>
          <w:tcPr>
            <w:tcW w:w="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Average Rate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Derivatives Employed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8 forward starting swaps (30-year)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6/15/2017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43"/>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8 forward starting swaps (30-year)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6/15/2018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8 forward starting swaps (30-year)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6/14/2019</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2016,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2016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USD</w:t>
            </w:r>
          </w:p>
        </w:tc>
        <w:tc>
          <w:tcPr>
            <w:tcW w:w="18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50"/>
        </w:trPr>
        <w:tc>
          <w:tcPr>
            <w:tcW w:w="7680" w:type="dxa"/>
            <w:vAlign w:val="bottom"/>
            <w:tcBorders>
              <w:top w:val="single" w:sz="8" w:color="CCEEFF"/>
              <w:bottom w:val="single" w:sz="8" w:color="CCEEFF"/>
            </w:tcBorders>
            <w:shd w:val="clear" w:color="auto" w:fill="CCEEFF"/>
          </w:tcPr>
          <w:p>
            <w:pPr>
              <w:jc w:val="right"/>
              <w:ind w:right="30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right"/>
              <w:ind w:right="30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7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Consolidated Balance Sheets. Corresponding changes in fair value are recognized in “Other income/(expense), net” in our Consolidated Statement of Operations. At December 31, 2016, the fair value of this embedded derivative was a liability of approximately $32 million. We recognized gains of approximately $30 million for the year ended December 31, 2016. See Note 11 for additional information regarding the PAA Series A preferred units and the Preferred Distribution Rate Reset Option.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impact of our derivative activities recognized in earnings for the periods indicated is as follows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Location of Gain/(Loss)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Supply and Logistics segment revenues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Transportation segment revenues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Foreign Currency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Supply and Logistics segment revenues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income/(expense), net</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Gain/(Loss) on Derivatives Recognized in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Location of Gain/(Loss)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Supply and Logistics segment revenues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Transportation segment revenues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Field operating costs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Foreign Currency Derivatives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Supply and Logistics segment revenues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Gain/(Loss) on Derivatives Recognized in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0359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Derivatives in</w:t>
            </w:r>
          </w:p>
        </w:tc>
        <w:tc>
          <w:tcPr>
            <w:tcW w:w="200" w:type="dxa"/>
            <w:vAlign w:val="bottom"/>
          </w:tcPr>
          <w:p>
            <w:pPr>
              <w:spacing w:after="0"/>
              <w:rPr>
                <w:sz w:val="14"/>
                <w:szCs w:val="1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Derivatives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5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200" w:type="dxa"/>
            <w:vAlign w:val="bottom"/>
          </w:tcPr>
          <w:p>
            <w:pPr>
              <w:spacing w:after="0"/>
              <w:rPr>
                <w:sz w:val="16"/>
                <w:szCs w:val="16"/>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as a Hedge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34"/>
        </w:trPr>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4"/>
                <w:szCs w:val="14"/>
                <w:b w:val="1"/>
                <w:bCs w:val="1"/>
                <w:color w:val="auto"/>
              </w:rPr>
              <w:t>Year Ended December 31, 2015</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200" w:type="dxa"/>
            <w:vAlign w:val="bottom"/>
          </w:tcPr>
          <w:p>
            <w:pPr>
              <w:spacing w:after="0"/>
              <w:rPr>
                <w:sz w:val="13"/>
                <w:szCs w:val="13"/>
                <w:color w:val="auto"/>
              </w:rPr>
            </w:pPr>
          </w:p>
        </w:tc>
        <w:tc>
          <w:tcPr>
            <w:tcW w:w="15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Derivatives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5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200" w:type="dxa"/>
            <w:vAlign w:val="bottom"/>
          </w:tcPr>
          <w:p>
            <w:pPr>
              <w:spacing w:after="0"/>
              <w:rPr>
                <w:sz w:val="16"/>
                <w:szCs w:val="16"/>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as a Hedge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-6868795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-6508115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-6156960</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-5796915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-5445125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-5085080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-4724400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-4364355</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-4004310</wp:posOffset>
            </wp:positionV>
            <wp:extent cx="72466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-7237095</wp:posOffset>
            </wp:positionV>
            <wp:extent cx="724662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-2709545</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-2348865</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-1988820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-1637030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-1276985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-925830</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-565150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-205105</wp:posOffset>
            </wp:positionV>
            <wp:extent cx="724662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-3077845</wp:posOffset>
            </wp:positionV>
            <wp:extent cx="724662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125" w:right="239" w:bottom="1440" w:gutter="0" w:footer="0" w:header="0"/>
          <w:type w:val="continuous"/>
        </w:sectPr>
      </w:pPr>
    </w:p>
    <w:bookmarkStart w:id="191" w:name="page192"/>
    <w:bookmarkEnd w:id="1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4"/>
                <w:szCs w:val="14"/>
                <w:b w:val="1"/>
                <w:bCs w:val="1"/>
                <w:color w:val="auto"/>
              </w:rPr>
              <w:t>Year Ended December 31, 2014</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200" w:type="dxa"/>
            <w:vAlign w:val="bottom"/>
          </w:tcPr>
          <w:p>
            <w:pPr>
              <w:spacing w:after="0"/>
              <w:rPr>
                <w:sz w:val="13"/>
                <w:szCs w:val="13"/>
                <w:color w:val="auto"/>
              </w:rPr>
            </w:pPr>
          </w:p>
        </w:tc>
        <w:tc>
          <w:tcPr>
            <w:tcW w:w="15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Derivatives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5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Gain/(Loss) on Derivatives Recognized in 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4" w:lineRule="exact"/>
        <w:rPr>
          <w:sz w:val="20"/>
          <w:szCs w:val="20"/>
          <w:color w:val="auto"/>
        </w:rPr>
      </w:pPr>
    </w:p>
    <w:p>
      <w:pPr>
        <w:ind w:left="660" w:right="240" w:hanging="652"/>
        <w:spacing w:after="0" w:line="268" w:lineRule="auto"/>
        <w:tabs>
          <w:tab w:leader="none" w:pos="660" w:val="left"/>
        </w:tabs>
        <w:numPr>
          <w:ilvl w:val="0"/>
          <w:numId w:val="146"/>
        </w:numPr>
        <w:rPr>
          <w:rFonts w:ascii="Arial" w:cs="Arial" w:eastAsia="Arial" w:hAnsi="Arial"/>
          <w:sz w:val="22"/>
          <w:szCs w:val="22"/>
          <w:color w:val="auto"/>
          <w:vertAlign w:val="superscript"/>
        </w:rPr>
      </w:pPr>
      <w:r>
        <w:rPr>
          <w:rFonts w:ascii="Arial" w:cs="Arial" w:eastAsia="Arial" w:hAnsi="Arial"/>
          <w:sz w:val="16"/>
          <w:szCs w:val="16"/>
          <w:color w:val="auto"/>
        </w:rPr>
        <w:t>During the year ended December 31, 2016, we reclassified losses of approximately $2 million and $2 million from AOCI to Supply and Logistics segment revenues and Interest expense, net, respectively, due to anticipated hedged transactions being probable of not occurring. During the year ended December 31, 2015, we reclassified a loss of approximately $4 million from AOCI to Interest expense, net due to an anticipated hedged transaction being probable of not occurring. During the year ended December 31, 2014, all of our hedged transactions were probable of occurring.</w:t>
      </w:r>
    </w:p>
    <w:p>
      <w:pPr>
        <w:spacing w:after="0" w:line="73" w:lineRule="exact"/>
        <w:rPr>
          <w:rFonts w:ascii="Arial" w:cs="Arial" w:eastAsia="Arial" w:hAnsi="Arial"/>
          <w:sz w:val="22"/>
          <w:szCs w:val="22"/>
          <w:color w:val="auto"/>
          <w:vertAlign w:val="superscript"/>
        </w:rPr>
      </w:pPr>
    </w:p>
    <w:p>
      <w:pPr>
        <w:ind w:left="660" w:right="80" w:hanging="652"/>
        <w:spacing w:after="0" w:line="227" w:lineRule="auto"/>
        <w:tabs>
          <w:tab w:leader="none" w:pos="660" w:val="left"/>
        </w:tabs>
        <w:numPr>
          <w:ilvl w:val="0"/>
          <w:numId w:val="146"/>
        </w:numPr>
        <w:rPr>
          <w:rFonts w:ascii="Arial" w:cs="Arial" w:eastAsia="Arial" w:hAnsi="Arial"/>
          <w:sz w:val="24"/>
          <w:szCs w:val="24"/>
          <w:color w:val="auto"/>
          <w:vertAlign w:val="superscript"/>
        </w:rPr>
      </w:pPr>
      <w:r>
        <w:rPr>
          <w:rFonts w:ascii="Arial" w:cs="Arial" w:eastAsia="Arial" w:hAnsi="Arial"/>
          <w:sz w:val="17"/>
          <w:szCs w:val="17"/>
          <w:color w:val="auto"/>
        </w:rPr>
        <w:t>Amounts in Interest expense, net include a loss of $4 million during the year ended December 31, 2016 attributable to the ineffective portion of cash flow hedges. No ineffectiveness was recognized for cash flow hedges during the years ended December 31, 2015 and 2014.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2016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72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b w:val="1"/>
                <w:bCs w:val="1"/>
                <w:color w:val="auto"/>
              </w:rPr>
              <w:t>Asset Derivatives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2"/>
          </w:tcPr>
          <w:p>
            <w:pPr>
              <w:ind w:left="1440"/>
              <w:spacing w:after="0"/>
              <w:rPr>
                <w:sz w:val="20"/>
                <w:szCs w:val="20"/>
                <w:color w:val="auto"/>
              </w:rPr>
            </w:pPr>
            <w:r>
              <w:rPr>
                <w:rFonts w:ascii="Arial" w:cs="Arial" w:eastAsia="Arial" w:hAnsi="Arial"/>
                <w:sz w:val="14"/>
                <w:szCs w:val="14"/>
                <w:b w:val="1"/>
                <w:bCs w:val="1"/>
                <w:color w:val="auto"/>
              </w:rPr>
              <w:t>Liability Derivatives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2720" w:type="dxa"/>
            <w:vAlign w:val="bottom"/>
            <w:gridSpan w:val="2"/>
          </w:tcPr>
          <w:p>
            <w:pPr>
              <w:ind w:left="880"/>
              <w:spacing w:after="0" w:line="153" w:lineRule="exact"/>
              <w:rPr>
                <w:sz w:val="20"/>
                <w:szCs w:val="20"/>
                <w:color w:val="auto"/>
              </w:rPr>
            </w:pPr>
            <w:r>
              <w:rPr>
                <w:rFonts w:ascii="Arial" w:cs="Arial" w:eastAsia="Arial" w:hAnsi="Arial"/>
                <w:sz w:val="14"/>
                <w:szCs w:val="14"/>
                <w:b w:val="1"/>
                <w:bCs w:val="1"/>
                <w:color w:val="auto"/>
              </w:rPr>
              <w:t>Balance Sheet</w:t>
            </w:r>
          </w:p>
        </w:tc>
        <w:tc>
          <w:tcPr>
            <w:tcW w:w="300" w:type="dxa"/>
            <w:vAlign w:val="bottom"/>
          </w:tcPr>
          <w:p>
            <w:pPr>
              <w:spacing w:after="0"/>
              <w:rPr>
                <w:sz w:val="13"/>
                <w:szCs w:val="13"/>
                <w:color w:val="auto"/>
              </w:rPr>
            </w:pPr>
          </w:p>
        </w:tc>
        <w:tc>
          <w:tcPr>
            <w:tcW w:w="96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2800" w:type="dxa"/>
            <w:vAlign w:val="bottom"/>
            <w:gridSpan w:val="2"/>
          </w:tcPr>
          <w:p>
            <w:pPr>
              <w:ind w:left="960"/>
              <w:spacing w:after="0" w:line="153" w:lineRule="exact"/>
              <w:rPr>
                <w:sz w:val="20"/>
                <w:szCs w:val="20"/>
                <w:color w:val="auto"/>
              </w:rPr>
            </w:pPr>
            <w:r>
              <w:rPr>
                <w:rFonts w:ascii="Arial" w:cs="Arial" w:eastAsia="Arial" w:hAnsi="Arial"/>
                <w:sz w:val="14"/>
                <w:szCs w:val="14"/>
                <w:b w:val="1"/>
                <w:bCs w:val="1"/>
                <w:color w:val="auto"/>
              </w:rPr>
              <w:t>Balance Sheet</w:t>
            </w:r>
          </w:p>
        </w:tc>
        <w:tc>
          <w:tcPr>
            <w:tcW w:w="280" w:type="dxa"/>
            <w:vAlign w:val="bottom"/>
          </w:tcPr>
          <w:p>
            <w:pPr>
              <w:spacing w:after="0"/>
              <w:rPr>
                <w:sz w:val="13"/>
                <w:szCs w:val="13"/>
                <w:color w:val="auto"/>
              </w:rPr>
            </w:pPr>
          </w:p>
        </w:tc>
        <w:tc>
          <w:tcPr>
            <w:tcW w:w="96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2720" w:type="dxa"/>
            <w:vAlign w:val="bottom"/>
            <w:gridSpan w:val="2"/>
          </w:tcPr>
          <w:p>
            <w:pPr>
              <w:ind w:left="104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6"/>
                <w:szCs w:val="16"/>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800" w:type="dxa"/>
            <w:vAlign w:val="bottom"/>
            <w:gridSpan w:val="2"/>
          </w:tcPr>
          <w:p>
            <w:pPr>
              <w:ind w:left="112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instruments:</w:t>
            </w:r>
          </w:p>
        </w:tc>
        <w:tc>
          <w:tcPr>
            <w:tcW w:w="2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long-term liabilities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8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deferred credits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3180" w:type="dxa"/>
            <w:vAlign w:val="bottom"/>
          </w:tcPr>
          <w:p>
            <w:pPr>
              <w:ind w:left="40"/>
              <w:spacing w:after="0"/>
              <w:rPr>
                <w:sz w:val="20"/>
                <w:szCs w:val="20"/>
                <w:color w:val="auto"/>
              </w:rPr>
            </w:pPr>
            <w:r>
              <w:rPr>
                <w:rFonts w:ascii="Arial" w:cs="Arial" w:eastAsia="Arial" w:hAnsi="Arial"/>
                <w:sz w:val="18"/>
                <w:szCs w:val="18"/>
                <w:color w:val="auto"/>
                <w:w w:val="98"/>
              </w:rPr>
              <w:t>Total derivatives designated as hedging</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3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instruments</w:t>
            </w:r>
          </w:p>
        </w:tc>
        <w:tc>
          <w:tcPr>
            <w:tcW w:w="2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2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4"/>
              </w:rPr>
              <w:t>Derivatives not designated as hedging</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360"/>
              <w:spacing w:after="0"/>
              <w:rPr>
                <w:sz w:val="20"/>
                <w:szCs w:val="20"/>
                <w:color w:val="auto"/>
              </w:rPr>
            </w:pPr>
            <w:r>
              <w:rPr>
                <w:rFonts w:ascii="Arial" w:cs="Arial" w:eastAsia="Arial" w:hAnsi="Arial"/>
                <w:sz w:val="18"/>
                <w:szCs w:val="18"/>
                <w:b w:val="1"/>
                <w:bCs w:val="1"/>
                <w:color w:val="auto"/>
              </w:rPr>
              <w:t>instruments:</w:t>
            </w: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deferred credits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800" w:type="dxa"/>
            <w:vAlign w:val="bottom"/>
            <w:gridSpan w:val="2"/>
          </w:tcPr>
          <w:p>
            <w:pPr>
              <w:ind w:left="460"/>
              <w:spacing w:after="0"/>
              <w:rPr>
                <w:sz w:val="20"/>
                <w:szCs w:val="20"/>
                <w:color w:val="auto"/>
              </w:rPr>
            </w:pPr>
            <w:r>
              <w:rPr>
                <w:rFonts w:ascii="Arial" w:cs="Arial" w:eastAsia="Arial" w:hAnsi="Arial"/>
                <w:sz w:val="18"/>
                <w:szCs w:val="18"/>
                <w:color w:val="auto"/>
              </w:rPr>
              <w:t>deferred credits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0"/>
        </w:trPr>
        <w:tc>
          <w:tcPr>
            <w:tcW w:w="31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w w:val="96"/>
              </w:rPr>
              <w:t>Preferred Distribution Rate Reset Option</w:t>
            </w: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800" w:type="dxa"/>
            <w:vAlign w:val="bottom"/>
            <w:gridSpan w:val="2"/>
          </w:tcPr>
          <w:p>
            <w:pPr>
              <w:ind w:left="300"/>
              <w:spacing w:after="0"/>
              <w:rPr>
                <w:sz w:val="20"/>
                <w:szCs w:val="20"/>
                <w:color w:val="auto"/>
              </w:rPr>
            </w:pPr>
            <w:r>
              <w:rPr>
                <w:rFonts w:ascii="Arial" w:cs="Arial" w:eastAsia="Arial" w:hAnsi="Arial"/>
                <w:sz w:val="18"/>
                <w:szCs w:val="18"/>
                <w:color w:val="auto"/>
              </w:rPr>
              <w:t>deferred credits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Total derivatives not designated as hedging</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2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gridSpan w:val="2"/>
            <w:vMerge w:val="restart"/>
          </w:tcPr>
          <w:p>
            <w:pPr>
              <w:ind w:left="2360"/>
              <w:spacing w:after="0"/>
              <w:rPr>
                <w:sz w:val="20"/>
                <w:szCs w:val="20"/>
                <w:color w:val="auto"/>
              </w:rPr>
            </w:pPr>
            <w:r>
              <w:rPr>
                <w:rFonts w:ascii="Arial" w:cs="Arial" w:eastAsia="Arial" w:hAnsi="Arial"/>
                <w:sz w:val="18"/>
                <w:szCs w:val="18"/>
                <w:color w:val="auto"/>
                <w:w w:val="91"/>
              </w:rPr>
              <w:t>F-37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2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2620" w:type="dxa"/>
            <w:vAlign w:val="bottom"/>
            <w:gridSpan w:val="2"/>
          </w:tcPr>
          <w:p>
            <w:pPr>
              <w:ind w:left="8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7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2700" w:type="dxa"/>
            <w:vAlign w:val="bottom"/>
            <w:gridSpan w:val="2"/>
          </w:tcPr>
          <w:p>
            <w:pPr>
              <w:ind w:left="92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78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620" w:type="dxa"/>
            <w:vAlign w:val="bottom"/>
            <w:gridSpan w:val="2"/>
          </w:tcPr>
          <w:p>
            <w:pPr>
              <w:ind w:left="9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2700" w:type="dxa"/>
            <w:vAlign w:val="bottom"/>
            <w:gridSpan w:val="2"/>
          </w:tcPr>
          <w:p>
            <w:pPr>
              <w:ind w:left="10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Derivatives designated as hedging instruments: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2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3860" w:type="dxa"/>
            <w:vAlign w:val="bottom"/>
          </w:tcPr>
          <w:p>
            <w:pPr>
              <w:ind w:left="180"/>
              <w:spacing w:after="0"/>
              <w:rPr>
                <w:sz w:val="20"/>
                <w:szCs w:val="20"/>
                <w:color w:val="auto"/>
              </w:rPr>
            </w:pPr>
            <w:r>
              <w:rPr>
                <w:rFonts w:ascii="Arial" w:cs="Arial" w:eastAsia="Arial" w:hAnsi="Arial"/>
                <w:sz w:val="18"/>
                <w:szCs w:val="18"/>
                <w:color w:val="auto"/>
              </w:rPr>
              <w:t>Total derivatives designated as hedging</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7"/>
        </w:trPr>
        <w:tc>
          <w:tcPr>
            <w:tcW w:w="3860" w:type="dxa"/>
            <w:vAlign w:val="bottom"/>
            <w:tcBorders>
              <w:bottom w:val="single" w:sz="8" w:color="CCEEFF"/>
            </w:tcBorders>
          </w:tcPr>
          <w:p>
            <w:pPr>
              <w:jc w:val="right"/>
              <w:ind w:right="2430"/>
              <w:spacing w:after="0"/>
              <w:rPr>
                <w:sz w:val="20"/>
                <w:szCs w:val="20"/>
                <w:color w:val="auto"/>
              </w:rPr>
            </w:pPr>
            <w:r>
              <w:rPr>
                <w:rFonts w:ascii="Arial" w:cs="Arial" w:eastAsia="Arial" w:hAnsi="Arial"/>
                <w:sz w:val="18"/>
                <w:szCs w:val="18"/>
                <w:color w:val="auto"/>
              </w:rPr>
              <w:t>instruments</w:t>
            </w:r>
          </w:p>
        </w:tc>
        <w:tc>
          <w:tcPr>
            <w:tcW w:w="2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2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jc w:val="right"/>
              <w:ind w:right="2430"/>
              <w:spacing w:after="0"/>
              <w:rPr>
                <w:sz w:val="20"/>
                <w:szCs w:val="20"/>
                <w:color w:val="auto"/>
              </w:rPr>
            </w:pPr>
            <w:r>
              <w:rPr>
                <w:rFonts w:ascii="Arial" w:cs="Arial" w:eastAsia="Arial" w:hAnsi="Arial"/>
                <w:sz w:val="18"/>
                <w:szCs w:val="18"/>
                <w:b w:val="1"/>
                <w:bCs w:val="1"/>
                <w:color w:val="auto"/>
              </w:rPr>
              <w:t>instruments: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 and</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700" w:type="dxa"/>
            <w:vAlign w:val="bottom"/>
            <w:gridSpan w:val="2"/>
          </w:tcPr>
          <w:p>
            <w:pPr>
              <w:ind w:left="460"/>
              <w:spacing w:after="0"/>
              <w:rPr>
                <w:sz w:val="20"/>
                <w:szCs w:val="20"/>
                <w:color w:val="auto"/>
              </w:rPr>
            </w:pPr>
            <w:r>
              <w:rPr>
                <w:rFonts w:ascii="Arial" w:cs="Arial" w:eastAsia="Arial" w:hAnsi="Arial"/>
                <w:sz w:val="18"/>
                <w:szCs w:val="18"/>
                <w:color w:val="auto"/>
              </w:rPr>
              <w:t>deferred credits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derivatives not designated as hedging</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140" w:type="dxa"/>
            <w:vAlign w:val="bottom"/>
            <w:tcBorders>
              <w:right w:val="single" w:sz="8" w:color="auto"/>
            </w:tcBorders>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jc w:val="right"/>
              <w:ind w:right="2430"/>
              <w:spacing w:after="0"/>
              <w:rPr>
                <w:sz w:val="20"/>
                <w:szCs w:val="20"/>
                <w:color w:val="auto"/>
              </w:rPr>
            </w:pPr>
            <w:r>
              <w:rPr>
                <w:rFonts w:ascii="Arial" w:cs="Arial" w:eastAsia="Arial" w:hAnsi="Arial"/>
                <w:sz w:val="18"/>
                <w:szCs w:val="18"/>
                <w:color w:val="auto"/>
              </w:rPr>
              <w:t>instruments</w:t>
            </w:r>
          </w:p>
        </w:tc>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derivatives</w:t>
            </w:r>
          </w:p>
        </w:tc>
        <w:tc>
          <w:tcPr>
            <w:tcW w:w="2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3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Variation margin posted/(returned)</w:t>
            </w: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40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broker receivable/(payable)</w:t>
            </w:r>
          </w:p>
        </w:tc>
        <w:tc>
          <w:tcPr>
            <w:tcW w:w="3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3940" w:type="dxa"/>
            <w:vAlign w:val="bottom"/>
            <w:gridSpan w:val="2"/>
          </w:tcPr>
          <w:p>
            <w:pPr>
              <w:jc w:val="right"/>
              <w:ind w:right="2100"/>
              <w:spacing w:after="0"/>
              <w:rPr>
                <w:sz w:val="20"/>
                <w:szCs w:val="20"/>
                <w:color w:val="auto"/>
              </w:rPr>
            </w:pPr>
            <w:r>
              <w:rPr>
                <w:rFonts w:ascii="Arial" w:cs="Arial" w:eastAsia="Arial" w:hAnsi="Arial"/>
                <w:sz w:val="18"/>
                <w:szCs w:val="18"/>
                <w:color w:val="auto"/>
              </w:rPr>
              <w:t>F-38</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December 31, 2015</w:t>
            </w:r>
          </w:p>
        </w:tc>
      </w:tr>
      <w:tr>
        <w:trPr>
          <w:trHeight w:val="152"/>
        </w:trPr>
        <w:tc>
          <w:tcPr>
            <w:tcW w:w="4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Derivative</w:t>
            </w:r>
          </w:p>
        </w:tc>
        <w:tc>
          <w:tcPr>
            <w:tcW w:w="180" w:type="dxa"/>
            <w:vAlign w:val="bottom"/>
          </w:tcPr>
          <w:p>
            <w:pPr>
              <w:spacing w:after="0"/>
              <w:rPr>
                <w:sz w:val="13"/>
                <w:szCs w:val="13"/>
                <w:color w:val="auto"/>
              </w:rPr>
            </w:pPr>
          </w:p>
        </w:tc>
        <w:tc>
          <w:tcPr>
            <w:tcW w:w="164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Asset Positions</w:t>
            </w:r>
          </w:p>
        </w:tc>
        <w:tc>
          <w:tcPr>
            <w:tcW w:w="18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Liability Positions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5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75"/>
        <w:spacing w:after="0" w:line="255" w:lineRule="auto"/>
        <w:rPr>
          <w:sz w:val="20"/>
          <w:szCs w:val="20"/>
          <w:color w:val="auto"/>
        </w:rPr>
      </w:pPr>
      <w:r>
        <w:rPr>
          <w:rFonts w:ascii="Arial" w:cs="Arial" w:eastAsia="Arial" w:hAnsi="Arial"/>
          <w:sz w:val="18"/>
          <w:szCs w:val="18"/>
          <w:color w:val="auto"/>
        </w:rPr>
        <w:t>As of December 31, 2016, there was a net loss of $228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December 31, 2016, we expect to reclassify a net loss of $8 million to earnings in the next twelve months. The remaining deferred loss of $220 million is expected to be reclassified to earnings through 2049. A portion of these amounts is based on market prices as of December 31, 2016;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including tax effects, recognized in AOCI for derivatives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 net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rate derivatives, net</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 net</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594"/>
        <w:spacing w:after="0" w:line="264" w:lineRule="auto"/>
        <w:rPr>
          <w:sz w:val="20"/>
          <w:szCs w:val="20"/>
          <w:color w:val="auto"/>
        </w:rPr>
      </w:pPr>
      <w:r>
        <w:rPr>
          <w:rFonts w:ascii="Arial" w:cs="Arial" w:eastAsia="Arial" w:hAnsi="Arial"/>
          <w:sz w:val="18"/>
          <w:szCs w:val="18"/>
          <w:color w:val="auto"/>
        </w:rPr>
        <w:t>At December 31, 2016 and December 31, 2015,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2"/>
              </w:rPr>
              <w:t>Fair Value as of December 31,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1"/>
              </w:rPr>
              <w:t>Fair Value as of December 31, 2015</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Preferred Distribution Rate Reset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Option</w:t>
            </w:r>
          </w:p>
        </w:tc>
        <w:tc>
          <w:tcPr>
            <w:tcW w:w="18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jc w:val="both"/>
        <w:ind w:left="340" w:right="100"/>
        <w:spacing w:after="0" w:line="264"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PAA’s partnership agreement which is classified as an embedded derivative.</w:t>
      </w:r>
    </w:p>
    <w:p>
      <w:pPr>
        <w:spacing w:after="0" w:line="170" w:lineRule="exact"/>
        <w:rPr>
          <w:sz w:val="20"/>
          <w:szCs w:val="20"/>
          <w:color w:val="auto"/>
        </w:rPr>
      </w:pPr>
    </w:p>
    <w:p>
      <w:pPr>
        <w:ind w:left="340" w:right="6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Consolidated Statements of Operations as Supply and Logistics segment revenues.</w:t>
      </w:r>
    </w:p>
    <w:p>
      <w:pPr>
        <w:spacing w:after="0" w:line="173"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Consolidated Statements of Operations as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gains for the period included in earnings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unrealized gains/(losses) included in earnings relating to Level 3 derivatives still held at the end of the</w:t>
      </w:r>
    </w:p>
    <w:p>
      <w:pPr>
        <w:spacing w:after="0" w:line="46" w:lineRule="exact"/>
        <w:rPr>
          <w:sz w:val="20"/>
          <w:szCs w:val="20"/>
          <w:color w:val="auto"/>
        </w:rPr>
      </w:pPr>
    </w:p>
    <w:p>
      <w:pPr>
        <w:ind w:left="200"/>
        <w:spacing w:after="0"/>
        <w:tabs>
          <w:tab w:leader="none" w:pos="8340" w:val="left"/>
        </w:tabs>
        <w:rPr>
          <w:sz w:val="20"/>
          <w:szCs w:val="20"/>
          <w:color w:val="auto"/>
        </w:rPr>
      </w:pPr>
      <w:r>
        <w:rPr>
          <w:rFonts w:ascii="Arial" w:cs="Arial" w:eastAsia="Arial" w:hAnsi="Arial"/>
          <w:sz w:val="17"/>
          <w:szCs w:val="17"/>
          <w:color w:val="auto"/>
        </w:rPr>
        <w:t>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tabs>
          <w:tab w:leader="none" w:pos="460" w:val="left"/>
          <w:tab w:leader="none" w:pos="1620" w:val="left"/>
        </w:tabs>
        <w:rPr>
          <w:sz w:val="20"/>
          <w:szCs w:val="20"/>
          <w:color w:val="auto"/>
        </w:rPr>
      </w:pPr>
      <w:r>
        <w:rPr>
          <w:rFonts w:ascii="Arial" w:cs="Arial" w:eastAsia="Arial" w:hAnsi="Arial"/>
          <w:sz w:val="18"/>
          <w:szCs w:val="18"/>
          <w:color w:val="auto"/>
        </w:rPr>
        <w:t>(36)</w:t>
        <w:tab/>
        <w:t>$</w:t>
      </w:r>
      <w:r>
        <w:rPr>
          <w:sz w:val="20"/>
          <w:szCs w:val="20"/>
          <w:color w:val="auto"/>
        </w:rPr>
        <w:tab/>
      </w:r>
      <w:r>
        <w:rPr>
          <w:rFonts w:ascii="Arial" w:cs="Arial" w:eastAsia="Arial" w:hAnsi="Arial"/>
          <w:sz w:val="16"/>
          <w:szCs w:val="16"/>
          <w:color w:val="auto"/>
        </w:rPr>
        <w:t>10</w:t>
      </w:r>
    </w:p>
    <w:p>
      <w:pPr>
        <w:spacing w:after="0" w:line="202" w:lineRule="exact"/>
        <w:rPr>
          <w:sz w:val="20"/>
          <w:szCs w:val="20"/>
          <w:color w:val="auto"/>
        </w:rPr>
      </w:pPr>
    </w:p>
    <w:p>
      <w:pPr>
        <w:sectPr>
          <w:pgSz w:w="11900" w:h="16838" w:orient="portrait"/>
          <w:cols w:equalWidth="0" w:num="2">
            <w:col w:w="8780" w:space="720"/>
            <w:col w:w="1920"/>
          </w:cols>
          <w:pgMar w:left="240" w:top="125"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2016 and 2015,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Although we are organized as a limited partnership, we have elected to be treated as a corporation for U.S. federal income tax purposes and are therefore subject to both U. S. federal and state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type w:val="continuous"/>
        </w:sectPr>
      </w:pPr>
    </w:p>
    <w:bookmarkStart w:id="197" w:name="page198"/>
    <w:bookmarkEnd w:id="1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104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 expense/(benefit):</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income tax</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income tax expense/(benefit)</w:t>
            </w:r>
          </w:p>
        </w:tc>
        <w:tc>
          <w:tcPr>
            <w:tcW w:w="104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2860" w:type="dxa"/>
            <w:vAlign w:val="bottom"/>
            <w:tcBorders>
              <w:bottom w:val="single" w:sz="8" w:color="CCEEFF"/>
            </w:tcBorders>
            <w:gridSpan w:val="2"/>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738</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9"/>
              </w:rPr>
              <w:t>(566)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(1,258)</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attributable to noncontrolling interests</w:t>
            </w:r>
          </w:p>
        </w:tc>
        <w:tc>
          <w:tcPr>
            <w:tcW w:w="18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r>
      <w:tr>
        <w:trPr>
          <w:trHeight w:val="237"/>
        </w:trPr>
        <w:tc>
          <w:tcPr>
            <w:tcW w:w="4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111</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18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tax at statutory rate</w:t>
            </w:r>
          </w:p>
        </w:tc>
        <w:tc>
          <w:tcPr>
            <w:tcW w:w="1880" w:type="dxa"/>
            <w:vAlign w:val="bottom"/>
          </w:tcPr>
          <w:p>
            <w:pPr>
              <w:spacing w:after="0"/>
              <w:rPr>
                <w:sz w:val="20"/>
                <w:szCs w:val="20"/>
                <w:color w:val="auto"/>
              </w:rPr>
            </w:pP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39</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tax rate adjustment</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1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taxes attributable to noncontrolling interests:</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2860" w:type="dxa"/>
            <w:vAlign w:val="bottom"/>
            <w:tcBorders>
              <w:bottom w:val="single" w:sz="8" w:color="CCEEFF"/>
            </w:tcBorders>
            <w:gridSpan w:val="2"/>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Canadian withholding tax</w:t>
            </w:r>
          </w:p>
        </w:tc>
        <w:tc>
          <w:tcPr>
            <w:tcW w:w="1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w:t>
            </w:r>
          </w:p>
        </w:tc>
        <w:tc>
          <w:tcPr>
            <w:tcW w:w="18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income tax expense</w:t>
            </w:r>
          </w:p>
        </w:tc>
        <w:tc>
          <w:tcPr>
            <w:tcW w:w="1880" w:type="dxa"/>
            <w:vAlign w:val="bottom"/>
          </w:tcPr>
          <w:p>
            <w:pPr>
              <w:spacing w:after="0"/>
              <w:rPr>
                <w:sz w:val="20"/>
                <w:szCs w:val="20"/>
                <w:color w:val="auto"/>
              </w:rPr>
            </w:pP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212</w:t>
            </w:r>
          </w:p>
        </w:tc>
      </w:tr>
      <w:tr>
        <w:trPr>
          <w:trHeight w:val="27"/>
        </w:trPr>
        <w:tc>
          <w:tcPr>
            <w:tcW w:w="4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60" w:type="dxa"/>
            <w:vAlign w:val="bottom"/>
            <w:gridSpan w:val="2"/>
          </w:tcPr>
          <w:p>
            <w:pPr>
              <w:jc w:val="right"/>
              <w:ind w:right="1594"/>
              <w:spacing w:after="0"/>
              <w:rPr>
                <w:sz w:val="20"/>
                <w:szCs w:val="20"/>
                <w:color w:val="auto"/>
              </w:rPr>
            </w:pPr>
            <w:r>
              <w:rPr>
                <w:rFonts w:ascii="Arial" w:cs="Arial" w:eastAsia="Arial" w:hAnsi="Arial"/>
                <w:sz w:val="18"/>
                <w:szCs w:val="18"/>
                <w:color w:val="auto"/>
              </w:rPr>
              <w:t>F-42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76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rPr>
              <w:t>Investment in partnerships</w:t>
            </w: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1,685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1,730</w:t>
            </w:r>
          </w:p>
        </w:tc>
      </w:tr>
      <w:tr>
        <w:trPr>
          <w:trHeight w:val="27"/>
        </w:trPr>
        <w:tc>
          <w:tcPr>
            <w:tcW w:w="7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Book accruals in excess of current tax deductions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37"/>
        </w:trPr>
        <w:tc>
          <w:tcPr>
            <w:tcW w:w="762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8"/>
              </w:rPr>
              <w:t>1,949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1,855</w:t>
            </w:r>
          </w:p>
        </w:tc>
      </w:tr>
      <w:tr>
        <w:trPr>
          <w:trHeight w:val="27"/>
        </w:trPr>
        <w:tc>
          <w:tcPr>
            <w:tcW w:w="7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84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in excess of tax values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7"/>
        </w:trPr>
        <w:tc>
          <w:tcPr>
            <w:tcW w:w="762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8"/>
              </w:rPr>
              <w:t>1,514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w:t>
            </w:r>
          </w:p>
        </w:tc>
      </w:tr>
      <w:tr>
        <w:trPr>
          <w:trHeight w:val="67"/>
        </w:trPr>
        <w:tc>
          <w:tcPr>
            <w:tcW w:w="76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05"/>
        </w:trPr>
        <w:tc>
          <w:tcPr>
            <w:tcW w:w="7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Balance sheet classification of deferred tax assets/(liabilities):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w:t>
            </w: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rPr>
              <w:t>Other long-term liabilities and deferred credits</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7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1,514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 resulting basis difference resulted in a deferred tax asset that was recorded as a component of partners’ capital as it results from transactions among shareholders. The deferred tax asset is amortized to deferred income tax expense as the associated basis step-up is realized on our tax returns. In connection with the issuance of common units by PAA in the period following the Simplification Transactions and the associated adjustments to partners’ capital attributable to PAGP, a corresponding change to the deferred tax balance was recorded to partner’s capital. See Note 11 for additional information regarding the issuance of common units by PAA.</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elected to amend PAGP's 2014 tax return to deduct foreign taxes as opposed to carrying the foreign tax credit forward, which increased PAGP's federal and state net operating loss carryforwards. As of December 31, 2016, we had net operating loss carryforwards for (i) U.S. federal income tax purposes of $512 million, which will expire from 2033 to 2036, (ii) state income tax purposes of $201 million, which will expire from 2018 to 2036, and (iii) foreign income tax purposes of $15 million, which will expire from 2034 to 2036.</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2008 through 2016. Our U.S. and state tax years are generally open to examination from 2013 to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14—Major Customers and Concentration of Credit Risk</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Marathon Petroleum Corporation and its subsidiaries accounted for 18%, 17% and 17% of our revenues for the years ended December 31, 2016, 2015 and 2014, respectively. ExxonMobil Corporation and its subsidiaries accounted for 14%, 13% and 15% of our revenues for the years ended December 31, 2016, 2015 and 2014, respectively. Phillips 66 Company and its subsidiaries accounted for 11% of our revenues for the year ended December 31, 2016. No other customers accounted for 10% or more of our revenues during any of the three years ended December 31, 2016.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125" w:right="27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Ownership of our Class C Shares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 of December 31, 2016, PAA owned 491,910,863 Class C shares. The Class C shares represent a non-economic limited partner interest in us that provides PAA, as the sole holder, the right to vote in elections of eligible directors together with the holders of our Class A and Class B shares, commencing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connection with the Simplification Transactions completed in November 2016, the Plains Entities entered into an Omnibus Agreement, which, among other things, provides for the following:</w:t>
      </w:r>
    </w:p>
    <w:p>
      <w:pPr>
        <w:spacing w:after="0" w:line="170" w:lineRule="exact"/>
        <w:rPr>
          <w:sz w:val="20"/>
          <w:szCs w:val="20"/>
          <w:color w:val="auto"/>
        </w:rPr>
      </w:pPr>
    </w:p>
    <w:p>
      <w:pPr>
        <w:ind w:left="660" w:right="700" w:hanging="328"/>
        <w:spacing w:after="0" w:line="308"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our ability to lend proceeds of any future indebtedness incurred by us to AAP, and AAP’s corresponding ability to lend such proceeds to PAA, in each case on substantially the same terms as incurred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discussion of the Simplification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2016, Oxy had a representative on the board of directors of our general partner and owned approximately 13% of the limited partner interests in AAP. During the three years ended December 31, 2016,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Consolidated Statements of Operations from those transactions is included below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1,212</w:t>
            </w:r>
          </w:p>
        </w:tc>
      </w:tr>
      <w:tr>
        <w:trPr>
          <w:trHeight w:val="297"/>
        </w:trPr>
        <w:tc>
          <w:tcPr>
            <w:tcW w:w="6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660" w:hanging="652"/>
        <w:spacing w:after="0" w:line="216" w:lineRule="auto"/>
        <w:tabs>
          <w:tab w:leader="none" w:pos="660" w:val="left"/>
        </w:tabs>
        <w:numPr>
          <w:ilvl w:val="0"/>
          <w:numId w:val="149"/>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w:t>
            </w:r>
          </w:p>
        </w:tc>
      </w:tr>
      <w:tr>
        <w:trPr>
          <w:trHeight w:val="297"/>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363</w:t>
            </w:r>
          </w:p>
        </w:tc>
      </w:tr>
      <w:tr>
        <w:trPr>
          <w:trHeight w:val="27"/>
        </w:trPr>
        <w:tc>
          <w:tcPr>
            <w:tcW w:w="8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November 2014, we purchased Oxy’s 50% interest in BridgeTex. See Note 8 for further discussion. Also in November 2014, Oxy exercised its Exchange Right, pursuant to which Oxy received 25,910,938 Class A shares in exchange for an equal number of Class B shares, general partner units and AAP units. Immediately following the exercise of the Exchange Right, we completed an underwritten secondary public offering of the Class A shares received by Oxy. We did not receive any of the proceeds from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also have transactions with companies in which we hold an investment accounted for under the equity method of accounting (see Note 8 for information related to these investments). We recorded revenues of $14 million, $17 million and $3 million during the years ended December 31, 2016, 2015 and 2014, respectively. During the three years ended December 31, 2016, we utilized transportation services and purchased petroleum products provided by these companies. Costs related to these services totaled $209 million, $164 million and $75 million for the years ended December 31, 2016, 2015 and 2014, respectively. These transactions were conducted at posted tariff rates or contracted rates or prices that we believe approximate market. Receivables from our equity method investees totaled $39 million and $14 million at December 31, 2016 and 2015, respectively, and included amounts related to capital activity at several of our investments. In addition, we had prepaid tariff costs related to our equity method investees of $14 million at December 31, 2016. Accounts payable to our equity method investees were $35 million and $25 million at December 31, 2016 and 2015, respectively, and included amounts related to capital activity at several of our investments.</w:t>
      </w:r>
    </w:p>
    <w:p>
      <w:pPr>
        <w:spacing w:after="0" w:line="18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Preferred Unit Issuance</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January 2016, PAA completed a private placement of preferred units. Certain of the purchasers of the PAA preferred units or their affiliates are related parties. Kayne Anderson Capital Advisors, L.P. and certain of its affiliates and an affiliate of The Energy Minerals Group hold ownership interests in AAP. In addition, certain of the current directors of our general partner are affiliated with certain of the purchasers. See Note 11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PAGP Long-Term Incentive Plan Awards</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In connection with our IPO in October 2013, our general partner adopted the PAGP LTIP, which is intended to align the interests of employees and directors with those of our shareholders by providing such employees and directors incentive compensation awards that reward achievement of targeted distribution levels and other business objectives. The PAGP LTIP provides for awards of options, restricted shares, phantom shares and share appreciation rights. Certain awards may also include distribution equivalent rights (“DERs”), which, subject to applicable vesting criteria, entitle the grantee to a cash payment equal to the cash distribution paid on an outstanding Class A share. The PAGP LTIP authorizes the issuance of up to approximately 3.8 million Class A shares deliverable upon vesting. In February 2014, an aggregate of 31,242 phantom Class A shares were issued to our directors. These awards vest annually in February in 25% increments and have an automatic re-grant feature such that as they vest, an equivalent amount is granted. As of December 31, 2016, December 31, 2015, and December 31, 2014, less than 0.1 million PAGP LTIP awards were outstanding at each period with weighted average grant date fair values of $59.63, $74.14 and $74.14, respectively. During the years ended December 31, 2016 and 2015, less than 0.1 million PAGP LTIP awards vested and were granted under the automatic re-grant feature for awards issued to our directors. In accordance with FASB guidance regarding share-based payments, the fair value of the PAGP LTIP awards is re-measured based on the closing market price of the underlying PAGP unit at each balance sheet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Plains All American 2013 Long-Term Incentive Plan</w:t>
      </w:r>
      <w:r>
        <w:rPr>
          <w:rFonts w:ascii="Arial" w:cs="Arial" w:eastAsia="Arial" w:hAnsi="Arial"/>
          <w:sz w:val="16"/>
          <w:szCs w:val="16"/>
          <w:color w:val="auto"/>
        </w:rPr>
        <w:t>. In November 2013, PAA’s common unitholders approved the Plains All American 2013 Long-Term Incentive Plan (the “PAA 2013 LTIP”). The PAA 2013 LTIP authorizes the issuance of an aggregate of approximately 10.1 million PAA common units deliverable upon vesting. Although other types of awards are contemplated under the PAA 2013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5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Plains All American PNG Successor Long-Term Incentive Plan</w:t>
      </w:r>
      <w:r>
        <w:rPr>
          <w:rFonts w:ascii="Arial" w:cs="Arial" w:eastAsia="Arial" w:hAnsi="Arial"/>
          <w:sz w:val="16"/>
          <w:szCs w:val="16"/>
          <w:color w:val="auto"/>
        </w:rPr>
        <w:t>. PAA’s general partner has adopted the Plains All American PNG Successor Long-Term Incentive Plan (the “PNG Successor LTIP”). The PNG Successor LTIP authorizes the issuance of an aggregate of 1.3 million PAA common units deliverable upon vesting. Although other types of awards are contemplated under the PNG Successor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Plains All American GP LLC 2006 Long-Term Incentive Tracking Unit Plan. </w:t>
      </w:r>
      <w:r>
        <w:rPr>
          <w:rFonts w:ascii="Arial" w:cs="Arial" w:eastAsia="Arial" w:hAnsi="Arial"/>
          <w:sz w:val="18"/>
          <w:szCs w:val="18"/>
          <w:color w:val="auto"/>
        </w:rPr>
        <w:t>PAA’s general partner has adopted the Plains All American GP LLC</w:t>
      </w:r>
      <w:r>
        <w:rPr>
          <w:rFonts w:ascii="Arial" w:cs="Arial" w:eastAsia="Arial" w:hAnsi="Arial"/>
          <w:sz w:val="18"/>
          <w:szCs w:val="18"/>
          <w:i w:val="1"/>
          <w:iCs w:val="1"/>
          <w:color w:val="auto"/>
        </w:rPr>
        <w:t xml:space="preserve"> </w:t>
      </w:r>
      <w:r>
        <w:rPr>
          <w:rFonts w:ascii="Arial" w:cs="Arial" w:eastAsia="Arial" w:hAnsi="Arial"/>
          <w:sz w:val="18"/>
          <w:szCs w:val="18"/>
          <w:color w:val="auto"/>
        </w:rPr>
        <w:t>2006 Long-Term Incentive Tracking Unit Plan (the “2006 Plan”) for non-officer employees. The 2006 Plan authorizes the grant of approximately 10.8 million “tracking units” which, upon vesting, represent the right to receive a cash payment in an amount based upon the market value of a PAA common unit at the time of vesting.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2016, the following LTIP awards, denominated in PAA units, were outstanding (units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PAA</w:t>
            </w: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PAA</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ind w:left="380"/>
              <w:spacing w:after="0"/>
              <w:rPr>
                <w:sz w:val="20"/>
                <w:szCs w:val="20"/>
                <w:color w:val="auto"/>
              </w:rPr>
            </w:pPr>
            <w:r>
              <w:rPr>
                <w:rFonts w:ascii="Arial" w:cs="Arial" w:eastAsia="Arial" w:hAnsi="Arial"/>
                <w:sz w:val="14"/>
                <w:szCs w:val="14"/>
                <w:b w:val="1"/>
                <w:bCs w:val="1"/>
                <w:color w:val="auto"/>
              </w:rPr>
              <w:t>Estimated Unit Vesting Date</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8"/>
              </w:rPr>
              <w:t>LTIP Units</w:t>
            </w:r>
          </w:p>
        </w:tc>
        <w:tc>
          <w:tcPr>
            <w:tcW w:w="120" w:type="dxa"/>
            <w:vAlign w:val="bottom"/>
            <w:vMerge w:val="restart"/>
          </w:tcPr>
          <w:p>
            <w:pPr>
              <w:spacing w:after="0"/>
              <w:rPr>
                <w:sz w:val="4"/>
                <w:szCs w:val="4"/>
                <w:color w:val="auto"/>
              </w:rPr>
            </w:pPr>
          </w:p>
        </w:tc>
        <w:tc>
          <w:tcPr>
            <w:tcW w:w="158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Distribution</w:t>
            </w: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58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2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22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12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12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5"/>
                <w:szCs w:val="5"/>
                <w:color w:val="auto"/>
              </w:rPr>
            </w:pPr>
          </w:p>
        </w:tc>
        <w:tc>
          <w:tcPr>
            <w:tcW w:w="12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Outstanding </w:t>
            </w:r>
            <w:r>
              <w:rPr>
                <w:rFonts w:ascii="Arial" w:cs="Arial" w:eastAsia="Arial" w:hAnsi="Arial"/>
                <w:sz w:val="8"/>
                <w:szCs w:val="8"/>
                <w:b w:val="1"/>
                <w:bCs w:val="1"/>
                <w:color w:val="auto"/>
                <w:w w:val="96"/>
              </w:rPr>
              <w:t>(1) (2)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Required </w:t>
            </w:r>
            <w:r>
              <w:rPr>
                <w:rFonts w:ascii="Arial" w:cs="Arial" w:eastAsia="Arial" w:hAnsi="Arial"/>
                <w:sz w:val="8"/>
                <w:szCs w:val="8"/>
                <w:b w:val="1"/>
                <w:bCs w:val="1"/>
                <w:color w:val="auto"/>
                <w:w w:val="96"/>
              </w:rPr>
              <w:t>(3)</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8.9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$2.20-$2.65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80" w:hanging="652"/>
        <w:spacing w:after="0" w:line="216" w:lineRule="auto"/>
        <w:tabs>
          <w:tab w:leader="none" w:pos="660" w:val="left"/>
        </w:tabs>
        <w:numPr>
          <w:ilvl w:val="0"/>
          <w:numId w:val="150"/>
        </w:numPr>
        <w:rPr>
          <w:rFonts w:ascii="Arial" w:cs="Arial" w:eastAsia="Arial" w:hAnsi="Arial"/>
          <w:sz w:val="25"/>
          <w:szCs w:val="25"/>
          <w:color w:val="auto"/>
          <w:vertAlign w:val="superscript"/>
        </w:rPr>
      </w:pPr>
      <w:r>
        <w:rPr>
          <w:rFonts w:ascii="Arial" w:cs="Arial" w:eastAsia="Arial" w:hAnsi="Arial"/>
          <w:sz w:val="18"/>
          <w:szCs w:val="18"/>
          <w:color w:val="auto"/>
        </w:rPr>
        <w:t>Approximately 4.3 million of the 8.9 million outstanding PAA LTIP awards also include DERs, of which 1.6 million had vested as of December 31, 2016.</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50"/>
        </w:numPr>
        <w:rPr>
          <w:rFonts w:ascii="Arial" w:cs="Arial" w:eastAsia="Arial" w:hAnsi="Arial"/>
          <w:sz w:val="25"/>
          <w:szCs w:val="25"/>
          <w:color w:val="auto"/>
          <w:vertAlign w:val="superscript"/>
        </w:rPr>
      </w:pPr>
      <w:r>
        <w:rPr>
          <w:rFonts w:ascii="Arial" w:cs="Arial" w:eastAsia="Arial" w:hAnsi="Arial"/>
          <w:sz w:val="18"/>
          <w:szCs w:val="18"/>
          <w:color w:val="auto"/>
        </w:rPr>
        <w:t>LTIP units outstanding do not include AAP Management Units or PAGP LTIP awards.</w:t>
      </w:r>
    </w:p>
    <w:p>
      <w:pPr>
        <w:spacing w:after="0" w:line="98" w:lineRule="exact"/>
        <w:rPr>
          <w:rFonts w:ascii="Arial" w:cs="Arial" w:eastAsia="Arial" w:hAnsi="Arial"/>
          <w:sz w:val="25"/>
          <w:szCs w:val="25"/>
          <w:color w:val="auto"/>
          <w:vertAlign w:val="superscript"/>
        </w:rPr>
      </w:pPr>
    </w:p>
    <w:p>
      <w:pPr>
        <w:ind w:left="660" w:right="120" w:hanging="652"/>
        <w:spacing w:after="0" w:line="234" w:lineRule="auto"/>
        <w:tabs>
          <w:tab w:leader="none" w:pos="660" w:val="left"/>
        </w:tabs>
        <w:numPr>
          <w:ilvl w:val="0"/>
          <w:numId w:val="150"/>
        </w:numPr>
        <w:rPr>
          <w:rFonts w:ascii="Arial" w:cs="Arial" w:eastAsia="Arial" w:hAnsi="Arial"/>
          <w:sz w:val="25"/>
          <w:szCs w:val="25"/>
          <w:color w:val="auto"/>
          <w:vertAlign w:val="superscript"/>
        </w:rPr>
      </w:pPr>
      <w:r>
        <w:rPr>
          <w:rFonts w:ascii="Arial" w:cs="Arial" w:eastAsia="Arial" w:hAnsi="Arial"/>
          <w:sz w:val="18"/>
          <w:szCs w:val="18"/>
          <w:color w:val="auto"/>
        </w:rPr>
        <w:t>Certain LTIP awards vest upon the later of a certain date or the attainment of performance conditions requiring the attainment of certain annualized PAA distribution levels or upon the attainment of such levels alone. For purposes of this disclosure, vesting dates are based on an estimate of future distribution levels and assume that all grantees remain employed by us through the vesting date. As of December 31, 2016, a distribution of $2.20 per PAA common unit was deemed probable of occurring in the reasonably foreseeable future (and was initially determined to be probable in the third quarter of 2016).</w:t>
      </w:r>
    </w:p>
    <w:p>
      <w:pPr>
        <w:spacing w:after="0" w:line="20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PAA’s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underlying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Certain PAA LTIP awards contain performance conditions based on the attainment of certain PAA annualized distribution levels and vest upon the later of a certain date or the attainment of such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 DER awards typically contain performance conditions based on the attainment of certain PAA annualized distribution levels and become earned upon the attainment of such levels. The DERs terminate with the vesting or forfeiture of the underlying LTIP award. For liability-classified awards, we recognize DER payments in the period the payment is earned 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125" w:right="2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compensation expense. For equity-classified awards, we recognize DER payments in the period they are paid as a reduction of partners’ capital.</w:t>
      </w:r>
    </w:p>
    <w:p>
      <w:pPr>
        <w:spacing w:after="0" w:line="2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During the third quarter of 2016 modifications were made to the vesting criteria of 2.2 million PAA LTIP units such that the awards, with performance conditions requiring the attainment of an annualized PAA distribution in excess of $2.80, no longer include a distribution performance threshold and will vest based solely on the passage of time during the years 2017 to 2020 (0.9 million of these units would have vested based on the passage of time, but will vest earlier following the modification). There are awards outstanding that were issued prior to the modification in the third quarter of 2016 which had performance conditions requiring the attainment of an annualized PAA distribution between $2.30 and $2.80 which have been satisfied and those awards will vest at the later of the date stated in each award’s respective grant letter.</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accrued liability at December 31, 2016 related to all outstanding liability-classified PAA LTIP awards and DERs was $38 million, of which $25 million was classified as short-term and $13 million was classified as long-term. These short- and long-term accrued LTIP liabilities are reflected in “Accounts payable and accrued liabilities” and “Other long-term liabilities and deferred credits,” respectively, on our Consolidated Balance Sheets. These liabilities include accruals associated with our assessment that an annualized PAA distribution of $2.20 per unit is probable of occurring in the reasonably foreseeable future (which was initially determined to be probable in the third quarter of 2016). At December 31, 2015, the accrued liability was $33 million, of which $20 million was classified as short-term and $13 million was classified as long-term.</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 (2)</w:t>
            </w: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jc w:val="center"/>
              <w:ind w:right="513"/>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4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Units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tcPr>
          <w:p>
            <w:pPr>
              <w:jc w:val="center"/>
              <w:ind w:right="51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513"/>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4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4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70"/>
        </w:trPr>
        <w:tc>
          <w:tcPr>
            <w:tcW w:w="78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Modified </w:t>
            </w:r>
            <w:r>
              <w:rPr>
                <w:rFonts w:ascii="Arial" w:cs="Arial" w:eastAsia="Arial" w:hAnsi="Arial"/>
                <w:sz w:val="25"/>
                <w:szCs w:val="25"/>
                <w:color w:val="auto"/>
                <w:vertAlign w:val="superscript"/>
              </w:rPr>
              <w:t>(3)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0"/>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4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AAP Management Units or PAGP LTIP awards.</w:t>
      </w:r>
    </w:p>
    <w:p>
      <w:pPr>
        <w:spacing w:after="0" w:line="98" w:lineRule="exact"/>
        <w:rPr>
          <w:rFonts w:ascii="Arial" w:cs="Arial" w:eastAsia="Arial" w:hAnsi="Arial"/>
          <w:sz w:val="25"/>
          <w:szCs w:val="25"/>
          <w:color w:val="auto"/>
          <w:vertAlign w:val="superscript"/>
        </w:rPr>
      </w:pPr>
    </w:p>
    <w:p>
      <w:pPr>
        <w:jc w:val="both"/>
        <w:ind w:left="660" w:right="280" w:hanging="652"/>
        <w:spacing w:after="0" w:line="260" w:lineRule="auto"/>
        <w:tabs>
          <w:tab w:leader="none" w:pos="660" w:val="left"/>
        </w:tabs>
        <w:numPr>
          <w:ilvl w:val="0"/>
          <w:numId w:val="151"/>
        </w:numPr>
        <w:rPr>
          <w:rFonts w:ascii="Arial" w:cs="Arial" w:eastAsia="Arial" w:hAnsi="Arial"/>
          <w:sz w:val="22"/>
          <w:szCs w:val="22"/>
          <w:color w:val="auto"/>
          <w:vertAlign w:val="superscript"/>
        </w:rPr>
      </w:pPr>
      <w:r>
        <w:rPr>
          <w:rFonts w:ascii="Arial" w:cs="Arial" w:eastAsia="Arial" w:hAnsi="Arial"/>
          <w:sz w:val="16"/>
          <w:szCs w:val="16"/>
          <w:color w:val="auto"/>
        </w:rPr>
        <w:t>Approximately 0.5 million, 0.5 million and 0.6 million PAA common units were issued, net of tax withholding of approximately 0.3 million, 0.3 million and 0.3 million units during 2016, 2015 and 2014, respectively, in connection with the settlement of vested awards. The remaining PAA awards (approximately 1.1 million, 1.3 million and 1.0 million units) that vested during 2016, 2015 and 2014, respectively, were settled in cash.</w:t>
      </w:r>
    </w:p>
    <w:p>
      <w:pPr>
        <w:spacing w:after="0" w:line="78" w:lineRule="exact"/>
        <w:rPr>
          <w:rFonts w:ascii="Arial" w:cs="Arial" w:eastAsia="Arial" w:hAnsi="Arial"/>
          <w:sz w:val="22"/>
          <w:szCs w:val="22"/>
          <w:color w:val="auto"/>
          <w:vertAlign w:val="superscript"/>
        </w:rPr>
      </w:pPr>
    </w:p>
    <w:p>
      <w:pPr>
        <w:ind w:left="660" w:right="80" w:hanging="652"/>
        <w:spacing w:after="0" w:line="216" w:lineRule="auto"/>
        <w:tabs>
          <w:tab w:leader="none" w:pos="660" w:val="left"/>
        </w:tabs>
        <w:numPr>
          <w:ilvl w:val="0"/>
          <w:numId w:val="151"/>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2016 modifications were made to the vesting criteria of 2.2 million PAA LTIP units. In accordance with FASB guidance on share-based payments, the grant date fair values of these awards were adjusted as of the modification date.</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40"/>
          </w:cols>
          <w:pgMar w:left="240" w:top="126" w:right="31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120" w:firstLine="648"/>
        <w:spacing w:after="0" w:line="283" w:lineRule="auto"/>
        <w:rPr>
          <w:sz w:val="20"/>
          <w:szCs w:val="20"/>
          <w:color w:val="auto"/>
        </w:rPr>
      </w:pPr>
      <w:r>
        <w:rPr>
          <w:rFonts w:ascii="Arial" w:cs="Arial" w:eastAsia="Arial" w:hAnsi="Arial"/>
          <w:sz w:val="16"/>
          <w:szCs w:val="16"/>
          <w:color w:val="auto"/>
        </w:rPr>
        <w:t>In August 2007, the owners of AAP authorized the issuance of AAP Management Units (a profits interest) in order to provide additional long-term incentives and encourage retention for certain members of our senior management. In the third quarter of 2016, modifications were made to the distribution performance thresholds of the 0.8 million unearned AAP Management Units such that the awards will become earned based on the attainment of PAA distribution levels between $2.20 and $2.40 and additional performance conditions based on distributable cash flow measures determined by management. Additionally, this plan has been discontinued and there will be no new grants of AAP Management Units. As of December 31, 2016, 0.8 million AAP Management Units were unearned. Once earned, PAA will issue to AAP approximately 0.941 common units for each AAP Management Unit and each AAP Management Unit will be entitled to a distribution equal to approximately 94.1% of the distribution paid by AAP to an AAP unit on a quarterly basis. Once vested, each AAP Management Unit holder is entitled to convert his or her AAP Management Units into AAP units and a like number of our Class B shares based on a conversion ratio of approximately 0.941 AAP units and Class B shares for each AAP Management Unit. Following any such conversion, the holder will have the Exchange Right for our Class A shares and redemption right for PAA common units. See Note 11 for additional information.</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activity of AAP Management Units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960" w:type="dxa"/>
            <w:vAlign w:val="bottom"/>
          </w:tcPr>
          <w:p>
            <w:pPr>
              <w:jc w:val="center"/>
              <w:ind w:right="95"/>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6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4"/>
              </w:rPr>
              <w:t>Outstanding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Fair Value of Outstanding</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Units Earned</w:t>
            </w:r>
          </w:p>
        </w:tc>
        <w:tc>
          <w:tcPr>
            <w:tcW w:w="180" w:type="dxa"/>
            <w:vAlign w:val="bottom"/>
          </w:tcPr>
          <w:p>
            <w:pPr>
              <w:spacing w:after="0"/>
              <w:rPr>
                <w:sz w:val="16"/>
                <w:szCs w:val="16"/>
                <w:color w:val="auto"/>
              </w:rPr>
            </w:pPr>
          </w:p>
        </w:tc>
        <w:tc>
          <w:tcPr>
            <w:tcW w:w="196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 xml:space="preserve">AAP Management Units </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275"/>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360" w:type="dxa"/>
            <w:vAlign w:val="bottom"/>
            <w:tcBorders>
              <w:top w:val="single" w:sz="8" w:color="auto"/>
              <w:bottom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bottom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13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7"/>
        </w:trPr>
        <w:tc>
          <w:tcPr>
            <w:tcW w:w="496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960" w:type="dxa"/>
            <w:vAlign w:val="bottom"/>
            <w:shd w:val="clear" w:color="auto" w:fill="CCEEFF"/>
          </w:tcPr>
          <w:p>
            <w:pPr>
              <w:ind w:left="180"/>
              <w:spacing w:after="0" w:line="251" w:lineRule="exact"/>
              <w:rPr>
                <w:sz w:val="20"/>
                <w:szCs w:val="20"/>
                <w:color w:val="auto"/>
              </w:rPr>
            </w:pPr>
            <w:r>
              <w:rPr>
                <w:rFonts w:ascii="Arial" w:cs="Arial" w:eastAsia="Arial" w:hAnsi="Arial"/>
                <w:sz w:val="18"/>
                <w:szCs w:val="18"/>
                <w:color w:val="auto"/>
              </w:rPr>
              <w:t xml:space="preserve">Modified </w:t>
            </w:r>
            <w:r>
              <w:rPr>
                <w:rFonts w:ascii="Arial" w:cs="Arial" w:eastAsia="Arial" w:hAnsi="Arial"/>
                <w:sz w:val="25"/>
                <w:szCs w:val="25"/>
                <w:color w:val="auto"/>
                <w:vertAlign w:val="superscript"/>
              </w:rPr>
              <w:t>(2)</w:t>
            </w:r>
          </w:p>
        </w:tc>
        <w:tc>
          <w:tcPr>
            <w:tcW w:w="13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Converted</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(15.6)</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380" w:hanging="652"/>
        <w:spacing w:after="0" w:line="252" w:lineRule="auto"/>
        <w:tabs>
          <w:tab w:leader="none" w:pos="660" w:val="left"/>
        </w:tabs>
        <w:numPr>
          <w:ilvl w:val="0"/>
          <w:numId w:val="152"/>
        </w:numPr>
        <w:rPr>
          <w:rFonts w:ascii="Arial" w:cs="Arial" w:eastAsia="Arial" w:hAnsi="Arial"/>
          <w:sz w:val="22"/>
          <w:szCs w:val="22"/>
          <w:color w:val="auto"/>
          <w:vertAlign w:val="superscript"/>
        </w:rPr>
      </w:pPr>
      <w:r>
        <w:rPr>
          <w:rFonts w:ascii="Arial" w:cs="Arial" w:eastAsia="Arial" w:hAnsi="Arial"/>
          <w:sz w:val="16"/>
          <w:szCs w:val="16"/>
          <w:color w:val="auto"/>
        </w:rPr>
        <w:t>Of the $35 million grant date fair value, $22 million had been recognized through December 31, 2016 on a cumulative basis. Of this amount, $2 million, $1 million and $7 million was recognized as expense during the years ended December 31, 2016, 2015 and 2014, respectively.</w:t>
      </w:r>
    </w:p>
    <w:p>
      <w:pPr>
        <w:spacing w:after="0" w:line="81" w:lineRule="exact"/>
        <w:rPr>
          <w:rFonts w:ascii="Arial" w:cs="Arial" w:eastAsia="Arial" w:hAnsi="Arial"/>
          <w:sz w:val="22"/>
          <w:szCs w:val="22"/>
          <w:color w:val="auto"/>
          <w:vertAlign w:val="superscript"/>
        </w:rPr>
      </w:pPr>
    </w:p>
    <w:p>
      <w:pPr>
        <w:jc w:val="both"/>
        <w:ind w:left="660" w:right="140" w:hanging="652"/>
        <w:spacing w:after="0" w:line="226" w:lineRule="auto"/>
        <w:tabs>
          <w:tab w:leader="none" w:pos="660" w:val="left"/>
        </w:tabs>
        <w:numPr>
          <w:ilvl w:val="0"/>
          <w:numId w:val="152"/>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2016 modifications were made to the distribution performance thresholds of the 0.8 million unearned AAP Management Units. In accordance with FASB guidance on share-based payments, the grant date fair values of these awards were adjusted as of the modification date.</w:t>
      </w:r>
    </w:p>
    <w:p>
      <w:pPr>
        <w:spacing w:after="0" w:line="20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the intent of the AAP Management Units is to provide a performance incentive and encourage retention for certain members of PAA’s senior management, we recognize the grant date fair value of the AAP Management Units as compensation expense over the service period, with a corresponding credit to partners’ capital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our “equity-indexed compensation plans.” The table below summarizes the expense recognized and the value of vested LTIP awards (settled in PAA common units, PAGP shares and cash) under our equity-indexed compensation plans and includes both liability-classified and equity-classified awards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80" w:type="dxa"/>
            <w:vAlign w:val="bottom"/>
            <w:tcBorders>
              <w:bottom w:val="single" w:sz="8" w:color="CCEEFF"/>
            </w:tcBorders>
          </w:tcPr>
          <w:p>
            <w:pPr>
              <w:spacing w:after="0"/>
              <w:rPr>
                <w:sz w:val="22"/>
                <w:szCs w:val="22"/>
                <w:color w:val="auto"/>
              </w:rPr>
            </w:pPr>
          </w:p>
        </w:tc>
        <w:tc>
          <w:tcPr>
            <w:tcW w:w="25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Equity-indexed compensation expense</w:t>
            </w:r>
          </w:p>
        </w:tc>
        <w:tc>
          <w:tcPr>
            <w:tcW w:w="36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LTIP unit- or share-settled vestings</w:t>
            </w:r>
          </w:p>
        </w:tc>
        <w:tc>
          <w:tcPr>
            <w:tcW w:w="36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w:t>
            </w: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 cash-settled vestings</w:t>
            </w:r>
          </w:p>
        </w:tc>
        <w:tc>
          <w:tcPr>
            <w:tcW w:w="36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DER cash payments</w:t>
            </w:r>
          </w:p>
        </w:tc>
        <w:tc>
          <w:tcPr>
            <w:tcW w:w="36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702"/>
        </w:trPr>
        <w:tc>
          <w:tcPr>
            <w:tcW w:w="4180" w:type="dxa"/>
            <w:vAlign w:val="bottom"/>
          </w:tcPr>
          <w:p>
            <w:pPr>
              <w:spacing w:after="0"/>
              <w:rPr>
                <w:sz w:val="24"/>
                <w:szCs w:val="24"/>
                <w:color w:val="auto"/>
              </w:rPr>
            </w:pPr>
          </w:p>
        </w:tc>
        <w:tc>
          <w:tcPr>
            <w:tcW w:w="3620" w:type="dxa"/>
            <w:vAlign w:val="bottom"/>
            <w:gridSpan w:val="2"/>
          </w:tcPr>
          <w:p>
            <w:pPr>
              <w:jc w:val="right"/>
              <w:ind w:right="1848"/>
              <w:spacing w:after="0"/>
              <w:rPr>
                <w:sz w:val="20"/>
                <w:szCs w:val="20"/>
                <w:color w:val="auto"/>
              </w:rPr>
            </w:pPr>
            <w:r>
              <w:rPr>
                <w:rFonts w:ascii="Arial" w:cs="Arial" w:eastAsia="Arial" w:hAnsi="Arial"/>
                <w:sz w:val="18"/>
                <w:szCs w:val="18"/>
                <w:color w:val="auto"/>
              </w:rPr>
              <w:t>F-48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Based on the December 31, 2016 fair value measurement and probability assessment regarding future distributions, we expect to recognize $135 million of additional expense over the life of outstanding awards related to the remaining unrecognized fair value. Actual amounts may differ materially as a result of a change in the market price of PAA’s units and PAGP’s shares and/or probability assessments regarding future distributions. We estimate that the remaining fair value will be recognized in expense as shown below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9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92"/>
        </w:trPr>
        <w:tc>
          <w:tcPr>
            <w:tcW w:w="9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center"/>
              <w:ind w:right="214"/>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8"/>
                <w:szCs w:val="8"/>
                <w:b w:val="1"/>
                <w:bCs w:val="1"/>
                <w:color w:val="auto"/>
                <w:w w:val="98"/>
              </w:rPr>
              <w:t>(1) (2)</w:t>
            </w:r>
          </w:p>
        </w:tc>
        <w:tc>
          <w:tcPr>
            <w:tcW w:w="0" w:type="dxa"/>
            <w:vAlign w:val="bottom"/>
          </w:tcPr>
          <w:p>
            <w:pPr>
              <w:spacing w:after="0"/>
              <w:rPr>
                <w:sz w:val="1"/>
                <w:szCs w:val="1"/>
                <w:color w:val="auto"/>
              </w:rPr>
            </w:pPr>
          </w:p>
        </w:tc>
      </w:tr>
      <w:tr>
        <w:trPr>
          <w:trHeight w:val="250"/>
        </w:trPr>
        <w:tc>
          <w:tcPr>
            <w:tcW w:w="9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80" w:hanging="652"/>
        <w:spacing w:after="0" w:line="216" w:lineRule="auto"/>
        <w:tabs>
          <w:tab w:leader="none" w:pos="660" w:val="left"/>
        </w:tabs>
        <w:numPr>
          <w:ilvl w:val="0"/>
          <w:numId w:val="153"/>
        </w:numPr>
        <w:rPr>
          <w:rFonts w:ascii="Arial" w:cs="Arial" w:eastAsia="Arial" w:hAnsi="Arial"/>
          <w:sz w:val="25"/>
          <w:szCs w:val="25"/>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2016.</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53"/>
        </w:numPr>
        <w:rPr>
          <w:rFonts w:ascii="Arial" w:cs="Arial" w:eastAsia="Arial" w:hAnsi="Arial"/>
          <w:sz w:val="25"/>
          <w:szCs w:val="25"/>
          <w:color w:val="auto"/>
          <w:vertAlign w:val="superscript"/>
        </w:rPr>
      </w:pPr>
      <w:r>
        <w:rPr>
          <w:rFonts w:ascii="Arial" w:cs="Arial" w:eastAsia="Arial" w:hAnsi="Arial"/>
          <w:sz w:val="18"/>
          <w:szCs w:val="18"/>
          <w:color w:val="auto"/>
        </w:rPr>
        <w:t>Includes unamortized fair value associated with AAP Management Units and PAGP LTIP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2016, are summarized below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(1)</w:t>
            </w: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195</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1,119</w:t>
            </w: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5"/>
                <w:szCs w:val="25"/>
                <w:color w:val="auto"/>
                <w:vertAlign w:val="superscript"/>
              </w:rPr>
              <w:t>(2)</w:t>
            </w:r>
          </w:p>
        </w:tc>
        <w:tc>
          <w:tcPr>
            <w:tcW w:w="6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257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1,214</w:t>
            </w: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40" w:hanging="652"/>
        <w:spacing w:after="0" w:line="216" w:lineRule="auto"/>
        <w:tabs>
          <w:tab w:leader="none" w:pos="660" w:val="left"/>
        </w:tabs>
        <w:numPr>
          <w:ilvl w:val="0"/>
          <w:numId w:val="154"/>
        </w:numPr>
        <w:rPr>
          <w:rFonts w:ascii="Arial" w:cs="Arial" w:eastAsia="Arial" w:hAnsi="Arial"/>
          <w:sz w:val="25"/>
          <w:szCs w:val="25"/>
          <w:color w:val="auto"/>
          <w:vertAlign w:val="superscript"/>
        </w:rPr>
      </w:pPr>
      <w:r>
        <w:rPr>
          <w:rFonts w:ascii="Arial" w:cs="Arial" w:eastAsia="Arial" w:hAnsi="Arial"/>
          <w:sz w:val="18"/>
          <w:szCs w:val="18"/>
          <w:color w:val="auto"/>
        </w:rPr>
        <w:t>Includes capital and operating leases as defined by FASB guidance as well as obligations for rights-of-way easements. Lease expense for 2016, 2015 and 2014 was $198 million, $164 million and $145 million, respectively.</w:t>
      </w:r>
    </w:p>
    <w:p>
      <w:pPr>
        <w:spacing w:after="0" w:line="203" w:lineRule="exact"/>
        <w:rPr>
          <w:rFonts w:ascii="Arial" w:cs="Arial" w:eastAsia="Arial" w:hAnsi="Arial"/>
          <w:sz w:val="25"/>
          <w:szCs w:val="25"/>
          <w:color w:val="auto"/>
          <w:vertAlign w:val="superscript"/>
        </w:rPr>
      </w:pPr>
    </w:p>
    <w:p>
      <w:pPr>
        <w:ind w:left="660" w:right="200" w:hanging="652"/>
        <w:spacing w:after="0" w:line="262" w:lineRule="auto"/>
        <w:tabs>
          <w:tab w:leader="none" w:pos="660" w:val="left"/>
        </w:tabs>
        <w:numPr>
          <w:ilvl w:val="0"/>
          <w:numId w:val="154"/>
        </w:numPr>
        <w:rPr>
          <w:rFonts w:ascii="Arial" w:cs="Arial" w:eastAsia="Arial" w:hAnsi="Arial"/>
          <w:sz w:val="22"/>
          <w:szCs w:val="22"/>
          <w:color w:val="auto"/>
          <w:vertAlign w:val="superscript"/>
        </w:rPr>
      </w:pPr>
      <w:r>
        <w:rPr>
          <w:rFonts w:ascii="Arial" w:cs="Arial" w:eastAsia="Arial" w:hAnsi="Arial"/>
          <w:sz w:val="16"/>
          <w:szCs w:val="16"/>
          <w:color w:val="auto"/>
        </w:rPr>
        <w:t>Primarily includes third-party storage and transportation agreements and pipeline throughput agreements, as well as approximately $855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23323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unfavorable outcome is reasonably possible and the impact would be material to our consolidated financial statements, we disclose the nature of the contingency and, where feasible, an estimate of the possible loss or range of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December 31, 2016, our estimated undiscounted reserve for environmental liabilities (including liabilities related to the Line 901 incident, as discussed further below) totaled $147 million, of which $61 million was classified as short-term and $86 million was classified as long-term. At December 31, 2015, our estimated undiscounted reserve for environmental liabilities (including liabilities related to the Line 901 incident) totaled $185 million, of which $81 million was classified as short-term and $104 million was classified as long-term. The short- and long-term environmental liabilities referenced above are reflected in “Accounts payable and accrued liabilities” and “Other long-term liabilities and deferred credits,” respectively, on our Consolidated Balance Sheets. At December 31, 2016, we had recorded receivables totaling $56 million for amounts probable of recovery under insurance and from third parties under indemnification agreements, of which $39 million was reflected in “Trade accounts receivable and other receivables, net” and $17 million was reflected in “Other long-term assets, net” on our Consolidated Balance Sheet. At December 31, 2015, we had recorded $161 million of such receivables, of which $138 million was reflected in “Trade accounts receivable and other receivables, net” and $23 million was reflected in “Other long-term assets, net” on our Consolidated Balance Sheet.</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125" w:right="2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may be in excess of the reserve and may potentially have a material adverse effect on our consolidated financial condition, results of operations or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Our current “worst case” estimate of the amount of oil spilled, representing the maximum volume of oil that we believed could have been spilled based on relevant facts, data and information, is approximately 2,935 barrels.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the section of Line 903 between Pentland Pump Station and Emidio Pump Station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their investigation is still open and we may have fines or penalties imposed upon us, or civil or criminal charges brought against us, in the future.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93"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violated. On May 16, 2016, PAA and one of its employees were charged by a California state grand jury, pursuant to an</w:t>
      </w:r>
    </w:p>
    <w:p>
      <w:pPr>
        <w:spacing w:after="0" w:line="9"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indictment filed in California Superior Court, Santa Barbara County (the “May 2016 Indictment”), with alleged violations of California law in connection with the Line 901 incident. The indictment included a total of 46 counts, 36 of which were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misdemeanor charges relating to wildlife allegedly taken as a result of the accidental release. The remaining 10 counts (four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125"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20"/>
        <w:spacing w:after="0" w:line="291" w:lineRule="auto"/>
        <w:rPr>
          <w:sz w:val="20"/>
          <w:szCs w:val="20"/>
          <w:color w:val="auto"/>
        </w:rPr>
      </w:pPr>
      <w:r>
        <w:rPr>
          <w:rFonts w:ascii="Arial" w:cs="Arial" w:eastAsia="Arial" w:hAnsi="Arial"/>
          <w:sz w:val="16"/>
          <w:szCs w:val="16"/>
          <w:color w:val="auto"/>
        </w:rPr>
        <w:t>felony and six misdemeanor charges) relate to the release of crude oil or reporting of the release. PAA believes that the criminal charges are unwarranted and that neither PAA nor any of its employees engaged in any criminal behavior at any time in</w:t>
      </w:r>
    </w:p>
    <w:p>
      <w:pPr>
        <w:ind w:right="300"/>
        <w:spacing w:after="0" w:line="261" w:lineRule="auto"/>
        <w:rPr>
          <w:sz w:val="20"/>
          <w:szCs w:val="20"/>
          <w:color w:val="auto"/>
        </w:rPr>
      </w:pPr>
      <w:r>
        <w:rPr>
          <w:rFonts w:ascii="Arial" w:cs="Arial" w:eastAsia="Arial" w:hAnsi="Arial"/>
          <w:sz w:val="18"/>
          <w:szCs w:val="18"/>
          <w:color w:val="auto"/>
        </w:rPr>
        <w:t>connection with this accident. PAA intends to continue to vigorously defend itself against the charges. On July 28, 2016, at an arraignment hearing held in California Superior Court in Santa Barbara County, PAA pled not guilty to all counts.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6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PAA,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in the two remaining lawsuits claim that PAA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26"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 we are indemnifying and funding the defense costs of our officers and directors in connection with these lawsuits.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2016, we estimate that the aggregate total costs we have incurred or will incur with respect to the Line 901 incident will be approximately $280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remaining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have accrued such estimate of aggregate total costs to “Field operating costs” on our Consolidated Statement of Operations. As of December 31, 2016, we had a remaining undiscounted gross liability of $75 million related to this event, of which approximately $50 million is presented as a current liability in “Accounts payable and accrued liabilities” on our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2016, we had collected, subject to customary reservations, $148 million out of the approximate $197 million of release costs that we believe are probable of recovery from insurance carriers, net of deductibles. Therefore, as of December 31, 2016, we have recognized a receivable of approximately $49 million for the portion of the release costs that we believe is probable of recovery from insurance, net of deductibles and amounts already collected. Of this amount, approximately $34 million is recognized as a current asset in “Trade accounts receivable and other receivables, net” on our Consolidated Balance Sheet, with the remainder in “Other long-term assets, net”.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5"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125" w:right="25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costs incurred in excess of these reserves may be higher or we may not receive insurance proceeds in a timely manner, and may potentially have a material adverse effect on our financial conditions,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Data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14"/>
                <w:szCs w:val="14"/>
                <w:color w:val="auto"/>
              </w:rPr>
            </w:pPr>
          </w:p>
        </w:tc>
        <w:tc>
          <w:tcPr>
            <w:tcW w:w="1020" w:type="dxa"/>
            <w:vAlign w:val="bottom"/>
          </w:tcPr>
          <w:p>
            <w:pPr>
              <w:jc w:val="center"/>
              <w:ind w:right="172"/>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14"/>
                <w:szCs w:val="1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8"/>
              </w:rPr>
              <w:t>Quarter</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center"/>
              <w:ind w:left="593"/>
              <w:spacing w:after="0"/>
              <w:rPr>
                <w:sz w:val="20"/>
                <w:szCs w:val="20"/>
                <w:color w:val="auto"/>
              </w:rPr>
            </w:pPr>
            <w:r>
              <w:rPr>
                <w:rFonts w:ascii="Arial" w:cs="Arial" w:eastAsia="Arial" w:hAnsi="Arial"/>
                <w:sz w:val="14"/>
                <w:szCs w:val="14"/>
                <w:b w:val="1"/>
                <w:bCs w:val="1"/>
                <w:color w:val="auto"/>
                <w:w w:val="92"/>
              </w:rPr>
              <w:t>(in millions, except per share data)</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4"/>
              </w:rPr>
              <w:t>2016</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4,950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5,170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5,952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217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income/(loss) attributable to PAGP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net income/(loss) per Class A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Diluted net income/(loss) per Class A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0.40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84"/>
              </w:rPr>
              <w:t>2015</w:t>
            </w:r>
          </w:p>
        </w:tc>
        <w:tc>
          <w:tcPr>
            <w:tcW w:w="4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6,663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5,551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4,996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343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PAGP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net income per Class A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Diluted net income per Class A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0.37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0.29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5"/>
          <w:szCs w:val="25"/>
          <w:color w:val="auto"/>
          <w:vertAlign w:val="superscript"/>
        </w:rPr>
      </w:pPr>
      <w:r>
        <w:rPr>
          <w:rFonts w:ascii="Arial" w:cs="Arial" w:eastAsia="Arial" w:hAnsi="Arial"/>
          <w:sz w:val="18"/>
          <w:szCs w:val="18"/>
          <w:color w:val="auto"/>
        </w:rPr>
        <w:t>The sum of the four quarters may not equal the total year due to rounding.</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55"/>
        </w:numPr>
        <w:rPr>
          <w:rFonts w:ascii="Arial" w:cs="Arial" w:eastAsia="Arial" w:hAnsi="Arial"/>
          <w:sz w:val="22"/>
          <w:szCs w:val="22"/>
          <w:color w:val="auto"/>
          <w:vertAlign w:val="superscript"/>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155"/>
        </w:numPr>
        <w:rPr>
          <w:rFonts w:ascii="Arial" w:cs="Arial" w:eastAsia="Arial" w:hAnsi="Arial"/>
          <w:sz w:val="25"/>
          <w:szCs w:val="25"/>
          <w:color w:val="auto"/>
          <w:vertAlign w:val="superscript"/>
        </w:rPr>
      </w:pPr>
      <w:r>
        <w:rPr>
          <w:rFonts w:ascii="Arial" w:cs="Arial" w:eastAsia="Arial" w:hAnsi="Arial"/>
          <w:sz w:val="18"/>
          <w:szCs w:val="18"/>
          <w:color w:val="auto"/>
        </w:rPr>
        <w:t>Represents cash distributions declared and paid in the period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19—Operating Segments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“Revenue Recognition” in Note 2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8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measure of segment adjusted EBITDA forms the basis of our internal financial reporting and is the primary performance measure used by our CODM in assessing performance and allocating resources among our operating segments. During the fourth quarter of 2016, we modified our primary segment performance measure to segment adjusted EBITDA from segment profit, and thus prior period segment disclosures have been recast to reflect this change. Prior to the fourth quarter of 2016, our primary segment measure did not include certain adjustments (described further below) that our CODM believes are useful in evaluating the core operating performance of our segments.</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125"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 our core segment operating performance.</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Segment adjusted EBITDA excludes depreciation and amortization. Maintenance capital consists of capital expenditures for the replacement of partially or fully depreciated assets in order to maintain the operating and/or earnings capacity of our existing assets.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Adjustment </w:t>
            </w:r>
            <w:r>
              <w:rPr>
                <w:rFonts w:ascii="Arial" w:cs="Arial" w:eastAsia="Arial" w:hAnsi="Arial"/>
                <w:sz w:val="8"/>
                <w:szCs w:val="8"/>
                <w:b w:val="1"/>
                <w:bCs w:val="1"/>
                <w:color w:val="auto"/>
                <w:w w:val="94"/>
              </w:rPr>
              <w:t>(1)</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19,004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19,018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26,103</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3"/>
                <w:szCs w:val="2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3"/>
                <w:szCs w:val="23"/>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3"/>
                <w:szCs w:val="23"/>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Adjustment </w:t>
            </w:r>
            <w:r>
              <w:rPr>
                <w:rFonts w:ascii="Arial" w:cs="Arial" w:eastAsia="Arial" w:hAnsi="Arial"/>
                <w:sz w:val="8"/>
                <w:szCs w:val="8"/>
                <w:b w:val="1"/>
                <w:bCs w:val="1"/>
                <w:color w:val="auto"/>
                <w:w w:val="94"/>
              </w:rPr>
              <w:t>(1)</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21,927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24,142</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ectPr>
          <w:pgSz w:w="11900" w:h="16838" w:orient="portrait"/>
          <w:cols w:equalWidth="0" w:num="1">
            <w:col w:w="11420"/>
          </w:cols>
          <w:pgMar w:left="240" w:top="125" w:right="239" w:bottom="1440" w:gutter="0" w:footer="0" w:header="0"/>
          <w:type w:val="continuous"/>
        </w:sectPr>
      </w:pPr>
    </w:p>
    <w:bookmarkStart w:id="212" w:name="page213"/>
    <w:bookmarkEnd w:id="2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Adjustment </w:t>
            </w:r>
            <w:r>
              <w:rPr>
                <w:rFonts w:ascii="Arial" w:cs="Arial" w:eastAsia="Arial" w:hAnsi="Arial"/>
                <w:sz w:val="8"/>
                <w:szCs w:val="8"/>
                <w:b w:val="1"/>
                <w:bCs w:val="1"/>
                <w:color w:val="auto"/>
                <w:w w:val="94"/>
              </w:rPr>
              <w:t>(1)</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44,932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7,137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23,923</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660" w:right="100" w:hanging="652"/>
        <w:spacing w:after="0" w:line="271" w:lineRule="auto"/>
        <w:tabs>
          <w:tab w:leader="none" w:pos="660" w:val="left"/>
        </w:tabs>
        <w:numPr>
          <w:ilvl w:val="0"/>
          <w:numId w:val="156"/>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for discussion of our related accounting policy. We have included an estimate of the revenues from these inventory exchanges in our Transportation segment revenue presented above and adjusted those revenues out such that Total revenue from External customers reconciles to our Consolidated Statement of Operations. This presentation is consistent with the information provided to our CODM.</w:t>
      </w:r>
    </w:p>
    <w:p>
      <w:pPr>
        <w:spacing w:after="0" w:line="71" w:lineRule="exact"/>
        <w:rPr>
          <w:rFonts w:ascii="Arial" w:cs="Arial" w:eastAsia="Arial" w:hAnsi="Arial"/>
          <w:sz w:val="22"/>
          <w:szCs w:val="22"/>
          <w:color w:val="auto"/>
          <w:vertAlign w:val="superscript"/>
        </w:rPr>
      </w:pPr>
    </w:p>
    <w:p>
      <w:pPr>
        <w:ind w:left="660" w:right="360" w:hanging="652"/>
        <w:spacing w:after="0" w:line="226" w:lineRule="auto"/>
        <w:tabs>
          <w:tab w:leader="none" w:pos="660" w:val="left"/>
        </w:tabs>
        <w:numPr>
          <w:ilvl w:val="0"/>
          <w:numId w:val="156"/>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Consolidated Statements of Operations. Intersegment sales are conducted at posted tariff rates, rates similar to those charged to third parties or rates that we believe approximate market at the time the agreement is executed or renegotiated.</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56"/>
        </w:numPr>
        <w:rPr>
          <w:rFonts w:ascii="Arial" w:cs="Arial" w:eastAsia="Arial" w:hAnsi="Arial"/>
          <w:sz w:val="25"/>
          <w:szCs w:val="25"/>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25"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2,167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r>
      <w:tr>
        <w:trPr>
          <w:trHeight w:val="270"/>
        </w:trPr>
        <w:tc>
          <w:tcPr>
            <w:tcW w:w="63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w w:val="94"/>
              </w:rPr>
              <w:t xml:space="preserve">Gains/(losses) from derivative activities net of inventory valuation adjustments </w:t>
            </w:r>
            <w:r>
              <w:rPr>
                <w:rFonts w:ascii="Arial" w:cs="Arial" w:eastAsia="Arial" w:hAnsi="Arial"/>
                <w:sz w:val="25"/>
                <w:szCs w:val="25"/>
                <w:color w:val="auto"/>
                <w:w w:val="94"/>
                <w:vertAlign w:val="superscript"/>
              </w:rPr>
              <w:t>(3)</w:t>
            </w:r>
          </w:p>
        </w:tc>
        <w:tc>
          <w:tcPr>
            <w:tcW w:w="8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636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63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6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Income before tax</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w:t>
            </w:r>
          </w:p>
        </w:tc>
      </w:tr>
      <w:tr>
        <w:trPr>
          <w:trHeight w:val="27"/>
        </w:trPr>
        <w:tc>
          <w:tcPr>
            <w:tcW w:w="6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w:t>
            </w:r>
          </w:p>
        </w:tc>
      </w:tr>
      <w:tr>
        <w:trPr>
          <w:trHeight w:val="27"/>
        </w:trPr>
        <w:tc>
          <w:tcPr>
            <w:tcW w:w="6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Net income attributable to PAGP</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6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57"/>
        </w:numPr>
        <w:rPr>
          <w:rFonts w:ascii="Arial" w:cs="Arial" w:eastAsia="Arial" w:hAnsi="Arial"/>
          <w:sz w:val="25"/>
          <w:szCs w:val="25"/>
          <w:color w:val="auto"/>
          <w:vertAlign w:val="superscript"/>
        </w:rPr>
      </w:pPr>
      <w:r>
        <w:rPr>
          <w:rFonts w:ascii="Arial" w:cs="Arial" w:eastAsia="Arial" w:hAnsi="Arial"/>
          <w:sz w:val="18"/>
          <w:szCs w:val="18"/>
          <w:color w:val="auto"/>
        </w:rPr>
        <w:t>Includes our proportionate share of the depreciation and amortization of equity method investments.</w:t>
      </w:r>
    </w:p>
    <w:p>
      <w:pPr>
        <w:spacing w:after="0" w:line="98" w:lineRule="exact"/>
        <w:rPr>
          <w:rFonts w:ascii="Arial" w:cs="Arial" w:eastAsia="Arial" w:hAnsi="Arial"/>
          <w:sz w:val="25"/>
          <w:szCs w:val="25"/>
          <w:color w:val="auto"/>
          <w:vertAlign w:val="superscript"/>
        </w:rPr>
      </w:pPr>
    </w:p>
    <w:p>
      <w:pPr>
        <w:ind w:left="660" w:right="20" w:hanging="652"/>
        <w:spacing w:after="0" w:line="238" w:lineRule="auto"/>
        <w:tabs>
          <w:tab w:leader="none" w:pos="660" w:val="left"/>
        </w:tabs>
        <w:numPr>
          <w:ilvl w:val="0"/>
          <w:numId w:val="157"/>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157"/>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60" w:hanging="652"/>
        <w:spacing w:after="0" w:line="239" w:lineRule="auto"/>
        <w:tabs>
          <w:tab w:leader="none" w:pos="660" w:val="left"/>
        </w:tabs>
        <w:numPr>
          <w:ilvl w:val="0"/>
          <w:numId w:val="157"/>
        </w:numPr>
        <w:rPr>
          <w:rFonts w:ascii="Arial" w:cs="Arial" w:eastAsia="Arial" w:hAnsi="Arial"/>
          <w:sz w:val="25"/>
          <w:szCs w:val="25"/>
          <w:color w:val="auto"/>
          <w:vertAlign w:val="superscript"/>
        </w:rPr>
      </w:pPr>
      <w:r>
        <w:rPr>
          <w:rFonts w:ascii="Arial" w:cs="Arial" w:eastAsia="Arial" w:hAnsi="Arial"/>
          <w:sz w:val="18"/>
          <w:szCs w:val="18"/>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25" w:right="2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line="302" w:lineRule="auto"/>
        <w:rPr>
          <w:sz w:val="20"/>
          <w:szCs w:val="20"/>
          <w:color w:val="auto"/>
        </w:rPr>
      </w:pPr>
      <w:r>
        <w:rPr>
          <w:rFonts w:ascii="Arial" w:cs="Arial" w:eastAsia="Arial" w:hAnsi="Arial"/>
          <w:sz w:val="18"/>
          <w:szCs w:val="18"/>
          <w:color w:val="auto"/>
        </w:rPr>
        <w:t>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Amounts for years prior to 2016 were not significant to segment adjusted EBITDA ($13 million and $4 million for the years ended December 31, 2015 and 2014, respectively).</w:t>
      </w:r>
    </w:p>
    <w:p>
      <w:pPr>
        <w:spacing w:after="0" w:line="1"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58"/>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20" w:hanging="652"/>
        <w:spacing w:after="0" w:line="214" w:lineRule="auto"/>
        <w:tabs>
          <w:tab w:leader="none" w:pos="660" w:val="left"/>
        </w:tabs>
        <w:numPr>
          <w:ilvl w:val="0"/>
          <w:numId w:val="158"/>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15,599</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34,860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8,604</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43,464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25"/>
          <w:szCs w:val="25"/>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15,958</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3,895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3,368</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19,950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4" w:lineRule="exact"/>
        <w:rPr>
          <w:sz w:val="20"/>
          <w:szCs w:val="20"/>
          <w:color w:val="auto"/>
        </w:rPr>
      </w:pPr>
    </w:p>
    <w:p>
      <w:pPr>
        <w:ind w:left="5540" w:right="5500" w:hanging="5532"/>
        <w:spacing w:after="0" w:line="992" w:lineRule="auto"/>
        <w:tabs>
          <w:tab w:leader="none" w:pos="652" w:val="left"/>
        </w:tabs>
        <w:numPr>
          <w:ilvl w:val="0"/>
          <w:numId w:val="160"/>
        </w:numPr>
        <w:rPr>
          <w:rFonts w:ascii="Arial" w:cs="Arial" w:eastAsia="Arial" w:hAnsi="Arial"/>
          <w:sz w:val="22"/>
          <w:szCs w:val="22"/>
          <w:color w:val="auto"/>
          <w:vertAlign w:val="superscript"/>
        </w:rPr>
      </w:pPr>
      <w:r>
        <w:rPr>
          <w:rFonts w:ascii="Arial" w:cs="Arial" w:eastAsia="Arial" w:hAnsi="Arial"/>
          <w:sz w:val="16"/>
          <w:szCs w:val="16"/>
          <w:color w:val="auto"/>
        </w:rPr>
        <w:t>Excludes long-term derivative assets and long-term deferred tax assets. F-59</w:t>
      </w:r>
    </w:p>
    <w:p>
      <w:pPr>
        <w:sectPr>
          <w:pgSz w:w="11900" w:h="16838" w:orient="portrait"/>
          <w:cols w:equalWidth="0" w:num="1">
            <w:col w:w="11380"/>
          </w:cols>
          <w:pgMar w:left="240" w:top="125" w:right="27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391" w:lineRule="exact"/>
        <w:rPr>
          <w:sz w:val="20"/>
          <w:szCs w:val="20"/>
          <w:color w:val="auto"/>
        </w:rPr>
      </w:pPr>
    </w:p>
    <w:p>
      <w:pPr>
        <w:jc w:val="both"/>
        <w:ind w:left="1240" w:right="100" w:hanging="1606"/>
        <w:spacing w:after="0" w:line="264" w:lineRule="auto"/>
        <w:tabs>
          <w:tab w:leader="none" w:pos="12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 Share Purchase Agreement dated December 1, 2011 by and among Amoco Canada International Holdings B.V. and Plains Midstream Canada ULC (the schedules and exhibits have been omitted pursuant to Item 601(b)(2) of Regulation S-K) (incorporated by reference to Exhibit 2.1 to PAA’s Annual Report on Form 10-K for the year ended December 31, 2011).</w:t>
      </w:r>
    </w:p>
    <w:p>
      <w:pPr>
        <w:spacing w:after="0" w:line="316" w:lineRule="exact"/>
        <w:rPr>
          <w:sz w:val="20"/>
          <w:szCs w:val="20"/>
          <w:color w:val="auto"/>
        </w:rPr>
      </w:pPr>
    </w:p>
    <w:p>
      <w:pPr>
        <w:ind w:left="1240" w:right="80" w:hanging="1606"/>
        <w:spacing w:after="0" w:line="264" w:lineRule="auto"/>
        <w:tabs>
          <w:tab w:leader="none" w:pos="12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Agreement and Plan of Merger dated as of October 21, 2013, by and among Plains All American Pipeline, L.P., PAA Acquisition Company LLC, PAA Natural Gas Storage, L.P. and PNGS GP LLC (incorporated by reference to Exhibit 2.1 to PAA’s Current Report on Form 8-K filed October 24, 2013).</w:t>
      </w:r>
    </w:p>
    <w:p>
      <w:pPr>
        <w:spacing w:after="0" w:line="316" w:lineRule="exact"/>
        <w:rPr>
          <w:sz w:val="20"/>
          <w:szCs w:val="20"/>
          <w:color w:val="auto"/>
        </w:rPr>
      </w:pPr>
    </w:p>
    <w:p>
      <w:pPr>
        <w:ind w:left="1240" w:hanging="1606"/>
        <w:spacing w:after="0" w:line="264" w:lineRule="auto"/>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 Simplification Agreement, dated as of July 11, 2016, by and among PAA GP Holdings LLC, Plains GP Holdings, L.P., Plains All American GP LLC, Plains AAP, L.P., PAA GP LLC and Plains All American Pipeline, L.P. (incorporated by reference to Exhibit 2.1 to PAA’s Current Report on Form 8-K filed July 14, 2016).</w:t>
      </w:r>
    </w:p>
    <w:p>
      <w:pPr>
        <w:spacing w:after="0" w:line="316" w:lineRule="exact"/>
        <w:rPr>
          <w:sz w:val="20"/>
          <w:szCs w:val="20"/>
          <w:color w:val="auto"/>
        </w:rPr>
      </w:pPr>
    </w:p>
    <w:p>
      <w:pPr>
        <w:ind w:left="1240" w:right="120" w:hanging="1606"/>
        <w:spacing w:after="0" w:line="277" w:lineRule="auto"/>
        <w:tabs>
          <w:tab w:leader="none" w:pos="1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Certificate of Limited Partnership of Plains GP Holdings, L.P. (incorporated by reference to Exhibit 3.1 to our Registration Statement on Form S-1 (333-190227) filed July 29, 2013).</w:t>
      </w:r>
    </w:p>
    <w:p>
      <w:pPr>
        <w:spacing w:after="0" w:line="306" w:lineRule="exact"/>
        <w:rPr>
          <w:sz w:val="20"/>
          <w:szCs w:val="20"/>
          <w:color w:val="auto"/>
        </w:rPr>
      </w:pPr>
    </w:p>
    <w:p>
      <w:pPr>
        <w:ind w:left="40"/>
        <w:spacing w:after="0"/>
        <w:tabs>
          <w:tab w:leader="none" w:pos="1220" w:val="left"/>
          <w:tab w:leader="none" w:pos="1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Second Amended and Restated Agreement of Limited Partnership of Plains GP Holdings, L.P. dated as of November 15, 2016</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(incorporated by reference to Exhibit 3.2 to our Current Report on Form 8-K filed November 21, 2016).</w:t>
      </w:r>
    </w:p>
    <w:p>
      <w:pPr>
        <w:spacing w:after="0" w:line="346" w:lineRule="exact"/>
        <w:rPr>
          <w:sz w:val="20"/>
          <w:szCs w:val="20"/>
          <w:color w:val="auto"/>
        </w:rPr>
      </w:pPr>
    </w:p>
    <w:p>
      <w:pPr>
        <w:ind w:left="40"/>
        <w:spacing w:after="0"/>
        <w:tabs>
          <w:tab w:leader="none" w:pos="1220" w:val="left"/>
          <w:tab w:leader="none" w:pos="1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Certificate of Formation of PAA GP Holdings LLC (incorporated by reference to Exhibit 3.3 to our Registration Statement on Form 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 (333-190227) filed July 29, 2013).</w:t>
      </w:r>
    </w:p>
    <w:p>
      <w:pPr>
        <w:spacing w:after="0" w:line="346" w:lineRule="exact"/>
        <w:rPr>
          <w:sz w:val="20"/>
          <w:szCs w:val="20"/>
          <w:color w:val="auto"/>
        </w:rPr>
      </w:pPr>
    </w:p>
    <w:p>
      <w:pPr>
        <w:jc w:val="center"/>
        <w:ind w:right="580"/>
        <w:spacing w:after="0" w:line="277" w:lineRule="auto"/>
        <w:rPr>
          <w:sz w:val="20"/>
          <w:szCs w:val="20"/>
          <w:color w:val="auto"/>
        </w:rPr>
      </w:pPr>
      <w:r>
        <w:rPr>
          <w:rFonts w:ascii="Arial" w:cs="Arial" w:eastAsia="Arial" w:hAnsi="Arial"/>
          <w:sz w:val="18"/>
          <w:szCs w:val="18"/>
          <w:color w:val="auto"/>
        </w:rPr>
        <w:t>3.4           —   Third Amended and Restated Limited Liability Company Agreement of PAA GP Holdings LLC dated as of February 16, 2017 (incorporated by reference to Exhibit 3.1 to our Current Report on Form 8-K filed February 21, 2017).</w:t>
      </w:r>
    </w:p>
    <w:p>
      <w:pPr>
        <w:spacing w:after="0" w:line="306" w:lineRule="exact"/>
        <w:rPr>
          <w:sz w:val="20"/>
          <w:szCs w:val="20"/>
          <w:color w:val="auto"/>
        </w:rPr>
      </w:pPr>
    </w:p>
    <w:p>
      <w:pPr>
        <w:ind w:left="1240" w:right="100" w:hanging="1606"/>
        <w:spacing w:after="0" w:line="277" w:lineRule="auto"/>
        <w:tabs>
          <w:tab w:leader="none" w:pos="12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Sixth Amended and Restated Agreement of Limited Partnership of Plains All American Pipeline, L.P. dated as of November 15, 2016 (incorporated by reference to Exhibit 3.5 to our Current Report on Form 8-K filed November 21, 2016).</w:t>
      </w:r>
    </w:p>
    <w:p>
      <w:pPr>
        <w:spacing w:after="0" w:line="306" w:lineRule="exact"/>
        <w:rPr>
          <w:sz w:val="20"/>
          <w:szCs w:val="20"/>
          <w:color w:val="auto"/>
        </w:rPr>
      </w:pPr>
    </w:p>
    <w:p>
      <w:pPr>
        <w:ind w:left="1240" w:right="300" w:hanging="1606"/>
        <w:spacing w:after="0" w:line="277" w:lineRule="auto"/>
        <w:tabs>
          <w:tab w:leader="none" w:pos="12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Seventh Amended and Restated Limited Liability Company Agreement of Plains All American GP LLC dated November 15, 2016 (incorporated by reference to Exhibit 3.3 to our Current Report on Form 8-K filed November 21, 2016).</w:t>
      </w:r>
    </w:p>
    <w:p>
      <w:pPr>
        <w:spacing w:after="0" w:line="306" w:lineRule="exact"/>
        <w:rPr>
          <w:sz w:val="20"/>
          <w:szCs w:val="20"/>
          <w:color w:val="auto"/>
        </w:rPr>
      </w:pPr>
    </w:p>
    <w:p>
      <w:pPr>
        <w:ind w:left="1240" w:right="620" w:hanging="1606"/>
        <w:spacing w:after="0" w:line="277" w:lineRule="auto"/>
        <w:tabs>
          <w:tab w:leader="none" w:pos="12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Eighth Amended and Restated Limited Partnership Agreement of Plains AAP, L.P. dated November 15, 2016 (incorporated by reference to Exhibit 3.4 to our Current Report on Form 8-K filed November 21, 2016).</w:t>
      </w:r>
    </w:p>
    <w:p>
      <w:pPr>
        <w:spacing w:after="0" w:line="306" w:lineRule="exact"/>
        <w:rPr>
          <w:sz w:val="20"/>
          <w:szCs w:val="20"/>
          <w:color w:val="auto"/>
        </w:rPr>
      </w:pPr>
    </w:p>
    <w:p>
      <w:pPr>
        <w:ind w:left="1240" w:right="140" w:hanging="1606"/>
        <w:spacing w:after="0" w:line="277" w:lineRule="auto"/>
        <w:tabs>
          <w:tab w:leader="none" w:pos="12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Limited Liability Company Agreement of PAA GP LLC dated December 28, 2007 (incorporated by reference to Exhibit 3.3 to PAA’s Current Report on Form 8-K filed January 4, 2008).</w:t>
      </w:r>
    </w:p>
    <w:p>
      <w:pPr>
        <w:spacing w:after="0" w:line="306" w:lineRule="exact"/>
        <w:rPr>
          <w:sz w:val="20"/>
          <w:szCs w:val="20"/>
          <w:color w:val="auto"/>
        </w:rPr>
      </w:pPr>
    </w:p>
    <w:p>
      <w:pPr>
        <w:ind w:left="1240" w:right="380" w:hanging="1606"/>
        <w:spacing w:after="0" w:line="264" w:lineRule="auto"/>
        <w:tabs>
          <w:tab w:leader="none" w:pos="12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Indenture dated September 25, 2002 among Plains All American Pipeline, L.P., PAA Finance Corp. and Wachovia Bank, National Association, as trustee (incorporated by reference to Exhibit 4.1 to PAA’s Quarterly Report on Form 10-Q for the quarter ended September 30, 2002).</w:t>
      </w:r>
    </w:p>
    <w:p>
      <w:pPr>
        <w:spacing w:after="0" w:line="316" w:lineRule="exact"/>
        <w:rPr>
          <w:sz w:val="20"/>
          <w:szCs w:val="20"/>
          <w:color w:val="auto"/>
        </w:rPr>
      </w:pPr>
    </w:p>
    <w:p>
      <w:pPr>
        <w:ind w:left="1240" w:right="120" w:hanging="1606"/>
        <w:spacing w:after="0" w:line="264" w:lineRule="auto"/>
        <w:tabs>
          <w:tab w:leader="none" w:pos="12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p>
    <w:p>
      <w:pPr>
        <w:sectPr>
          <w:pgSz w:w="11900" w:h="16838" w:orient="portrait"/>
          <w:cols w:equalWidth="0" w:num="1">
            <w:col w:w="11380"/>
          </w:cols>
          <w:pgMar w:left="240" w:top="125" w:right="27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240" w:right="60" w:hanging="1606"/>
        <w:spacing w:after="0" w:line="264" w:lineRule="auto"/>
        <w:tabs>
          <w:tab w:leader="none" w:pos="12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PAA’s Current Report on Form 8-K filed October 30, 2006).</w:t>
      </w:r>
    </w:p>
    <w:p>
      <w:pPr>
        <w:spacing w:after="0" w:line="343" w:lineRule="exact"/>
        <w:rPr>
          <w:sz w:val="20"/>
          <w:szCs w:val="20"/>
          <w:color w:val="auto"/>
        </w:rPr>
      </w:pPr>
    </w:p>
    <w:p>
      <w:pPr>
        <w:ind w:left="1240" w:right="60" w:hanging="1606"/>
        <w:spacing w:after="0" w:line="264" w:lineRule="auto"/>
        <w:tabs>
          <w:tab w:leader="none" w:pos="12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p>
    <w:p>
      <w:pPr>
        <w:spacing w:after="0" w:line="343" w:lineRule="exact"/>
        <w:rPr>
          <w:sz w:val="20"/>
          <w:szCs w:val="20"/>
          <w:color w:val="auto"/>
        </w:rPr>
      </w:pPr>
    </w:p>
    <w:p>
      <w:pPr>
        <w:ind w:left="1240" w:right="60" w:hanging="1606"/>
        <w:spacing w:after="0" w:line="264" w:lineRule="auto"/>
        <w:tabs>
          <w:tab w:leader="none" w:pos="12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Thirteenth Supplemental Indenture (Series A and Series B 6.50% Senior Notes due 2018) dated April 23, 2008 among Plains All American Pipeline, L.P., PAA Finance Corp., the Subsidiary Guarantors named therein and U.S. Bank National Association, as trustee (incorporated by reference to Exhibit 4.1 to PAA’s Current Report on Form 8-K filed April 23, 2008).</w:t>
      </w:r>
    </w:p>
    <w:p>
      <w:pPr>
        <w:spacing w:after="0" w:line="343" w:lineRule="exact"/>
        <w:rPr>
          <w:sz w:val="20"/>
          <w:szCs w:val="20"/>
          <w:color w:val="auto"/>
        </w:rPr>
      </w:pPr>
    </w:p>
    <w:p>
      <w:pPr>
        <w:ind w:left="1240" w:right="360" w:hanging="1606"/>
        <w:spacing w:after="0" w:line="264" w:lineRule="auto"/>
        <w:tabs>
          <w:tab w:leader="none" w:pos="12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Fifteenth Supplemental Indenture (8.75% Senior Notes due 2019) dated April 20, 2009 among Plains All American Pipeline, L.P., PAA Finance Corp., the Subsidiary Guarantors named therein and U.S. Bank National Association, as trustee (incorporated by reference to Exhibit 4.1 to PAA’s Current Report on Form 8-K filed April 20, 2009).</w:t>
      </w:r>
    </w:p>
    <w:p>
      <w:pPr>
        <w:spacing w:after="0" w:line="343" w:lineRule="exact"/>
        <w:rPr>
          <w:sz w:val="20"/>
          <w:szCs w:val="20"/>
          <w:color w:val="auto"/>
        </w:rPr>
      </w:pPr>
    </w:p>
    <w:p>
      <w:pPr>
        <w:jc w:val="both"/>
        <w:ind w:left="1240" w:right="200" w:hanging="1606"/>
        <w:spacing w:after="0" w:line="264" w:lineRule="auto"/>
        <w:tabs>
          <w:tab w:leader="none" w:pos="12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Seventeenth Supplemental Indenture (5.75% Senior Notes due 2020) dated September 4, 2009 among Plains All American Pipeline, L.P., PAA Finance Corp., the Subsidiary Guarantors named therein and U.S. Bank National Association, as trustee (incorporated by reference to Exhibit 4.1 to PAA’s Current Report on Form 8-K filed September 4, 2009).</w:t>
      </w:r>
    </w:p>
    <w:p>
      <w:pPr>
        <w:spacing w:after="0" w:line="343" w:lineRule="exact"/>
        <w:rPr>
          <w:sz w:val="20"/>
          <w:szCs w:val="20"/>
          <w:color w:val="auto"/>
        </w:rPr>
      </w:pPr>
    </w:p>
    <w:p>
      <w:pPr>
        <w:ind w:left="1240" w:right="60" w:hanging="1606"/>
        <w:spacing w:after="0" w:line="264" w:lineRule="auto"/>
        <w:tabs>
          <w:tab w:leader="none" w:pos="12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Nineteenth Supplemental Indenture (5.00% Senior Notes due 2021) dated January 14, 2011 among Plains All American Pipeline, L.P., PAA Finance Corp., the Subsidiary Guarantors named therein and U.S. Bank National Association, as trustee (incorporated by reference to Exhibit 4.1 to PAA’s Current Report on Form 8-K filed January 11, 2011).</w:t>
      </w:r>
    </w:p>
    <w:p>
      <w:pPr>
        <w:spacing w:after="0" w:line="343" w:lineRule="exact"/>
        <w:rPr>
          <w:sz w:val="20"/>
          <w:szCs w:val="20"/>
          <w:color w:val="auto"/>
        </w:rPr>
      </w:pPr>
    </w:p>
    <w:p>
      <w:pPr>
        <w:jc w:val="both"/>
        <w:ind w:left="1240" w:right="120" w:hanging="1606"/>
        <w:spacing w:after="0" w:line="264" w:lineRule="auto"/>
        <w:tabs>
          <w:tab w:leader="none" w:pos="12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Twentieth Supplemental Indenture (3.65% Senior Notes due 2022) dated March 22, 2012 among Plains All American Pipeline, L.P., PAA Finance Corp. and U.S. Bank National Association, as trustee (incorporated by reference to Exhibit 4.1 to PAA’s Current Report on Form 8-K filed March 26, 2012).</w:t>
      </w:r>
    </w:p>
    <w:p>
      <w:pPr>
        <w:spacing w:after="0" w:line="343" w:lineRule="exact"/>
        <w:rPr>
          <w:sz w:val="20"/>
          <w:szCs w:val="20"/>
          <w:color w:val="auto"/>
        </w:rPr>
      </w:pPr>
    </w:p>
    <w:p>
      <w:pPr>
        <w:ind w:left="1240" w:hanging="1606"/>
        <w:spacing w:after="0" w:line="264" w:lineRule="auto"/>
        <w:tabs>
          <w:tab w:leader="none" w:pos="12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p>
    <w:p>
      <w:pPr>
        <w:spacing w:after="0" w:line="343" w:lineRule="exact"/>
        <w:rPr>
          <w:sz w:val="20"/>
          <w:szCs w:val="20"/>
          <w:color w:val="auto"/>
        </w:rPr>
      </w:pPr>
    </w:p>
    <w:p>
      <w:pPr>
        <w:ind w:left="1240" w:hanging="1606"/>
        <w:spacing w:after="0" w:line="264" w:lineRule="auto"/>
        <w:tabs>
          <w:tab w:leader="none" w:pos="12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Twenty-Second Supplemental Indenture (2.85% Senior Notes due 2023) dated December 10, 2012, by and among Plains All American Pipeline, L.P., PAA Finance Corp. and U.S. Bank National Association, as trustee (incorporated by reference to Exhibit 4.1 to PAA’s Current Report on Form 8-K filed December 12, 2012).</w:t>
      </w:r>
    </w:p>
    <w:p>
      <w:pPr>
        <w:spacing w:after="0" w:line="343" w:lineRule="exact"/>
        <w:rPr>
          <w:sz w:val="20"/>
          <w:szCs w:val="20"/>
          <w:color w:val="auto"/>
        </w:rPr>
      </w:pPr>
    </w:p>
    <w:p>
      <w:pPr>
        <w:jc w:val="both"/>
        <w:ind w:left="1240" w:right="140" w:hanging="1606"/>
        <w:spacing w:after="0" w:line="264" w:lineRule="auto"/>
        <w:tabs>
          <w:tab w:leader="none" w:pos="12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p>
    <w:p>
      <w:pPr>
        <w:spacing w:after="0" w:line="343" w:lineRule="exact"/>
        <w:rPr>
          <w:sz w:val="20"/>
          <w:szCs w:val="20"/>
          <w:color w:val="auto"/>
        </w:rPr>
      </w:pPr>
    </w:p>
    <w:p>
      <w:pPr>
        <w:jc w:val="both"/>
        <w:ind w:left="1240" w:right="200" w:hanging="1606"/>
        <w:spacing w:after="0" w:line="264" w:lineRule="auto"/>
        <w:tabs>
          <w:tab w:leader="none" w:pos="12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Twenty-Fourth Supplemental Indenture (3.85% Senior Notes due 2023) dated August 15, 2013, by and among Plains All American Pipeline, L.P., PAA Finance Corp. and U.S. Bank National Association, as trustee (incorporated by reference to Exhibit 4.1 to PAA’s Current Report on Form 8-K filed August 15, 2013).</w:t>
      </w:r>
    </w:p>
    <w:p>
      <w:pPr>
        <w:spacing w:after="0" w:line="343" w:lineRule="exact"/>
        <w:rPr>
          <w:sz w:val="20"/>
          <w:szCs w:val="20"/>
          <w:color w:val="auto"/>
        </w:rPr>
      </w:pPr>
    </w:p>
    <w:p>
      <w:pPr>
        <w:ind w:left="1240" w:right="400" w:hanging="1606"/>
        <w:spacing w:after="0" w:line="264" w:lineRule="auto"/>
        <w:tabs>
          <w:tab w:leader="none" w:pos="12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ectPr>
          <w:pgSz w:w="11900" w:h="16838" w:orient="portrait"/>
          <w:cols w:equalWidth="0" w:num="1">
            <w:col w:w="11380"/>
          </w:cols>
          <w:pgMar w:left="240" w:top="125" w:right="27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240" w:right="220" w:hanging="1606"/>
        <w:spacing w:after="0" w:line="264" w:lineRule="auto"/>
        <w:tabs>
          <w:tab w:leader="none" w:pos="12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p>
    <w:p>
      <w:pPr>
        <w:spacing w:after="0" w:line="343" w:lineRule="exact"/>
        <w:rPr>
          <w:sz w:val="20"/>
          <w:szCs w:val="20"/>
          <w:color w:val="auto"/>
        </w:rPr>
      </w:pPr>
    </w:p>
    <w:p>
      <w:pPr>
        <w:ind w:left="1240" w:right="40" w:hanging="1606"/>
        <w:spacing w:after="0" w:line="264" w:lineRule="auto"/>
        <w:tabs>
          <w:tab w:leader="none" w:pos="12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Twenty-Seventh Supplemental Indenture (2.60% Senior Notes due 2019) dated December 9, 2014, by and among Plains All American Pipeline, L.P., PAA Finance Corp., and U.S. Bank National Association, as trustee (incorporated by reference to Exhibit 4.1 to our Current Report on Form 8-K filed December 11, 2014).</w:t>
      </w:r>
    </w:p>
    <w:p>
      <w:pPr>
        <w:spacing w:after="0" w:line="343" w:lineRule="exact"/>
        <w:rPr>
          <w:sz w:val="20"/>
          <w:szCs w:val="20"/>
          <w:color w:val="auto"/>
        </w:rPr>
      </w:pPr>
    </w:p>
    <w:p>
      <w:pPr>
        <w:ind w:left="1240" w:right="140" w:hanging="1606"/>
        <w:spacing w:after="0" w:line="264" w:lineRule="auto"/>
        <w:tabs>
          <w:tab w:leader="none" w:pos="12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343" w:lineRule="exact"/>
        <w:rPr>
          <w:sz w:val="20"/>
          <w:szCs w:val="20"/>
          <w:color w:val="auto"/>
        </w:rPr>
      </w:pPr>
    </w:p>
    <w:p>
      <w:pPr>
        <w:ind w:left="1240" w:right="200" w:hanging="1606"/>
        <w:spacing w:after="0" w:line="264" w:lineRule="auto"/>
        <w:tabs>
          <w:tab w:leader="none" w:pos="12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 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p>
    <w:p>
      <w:pPr>
        <w:spacing w:after="0" w:line="343" w:lineRule="exact"/>
        <w:rPr>
          <w:sz w:val="20"/>
          <w:szCs w:val="20"/>
          <w:color w:val="auto"/>
        </w:rPr>
      </w:pPr>
    </w:p>
    <w:p>
      <w:pPr>
        <w:ind w:left="1240" w:right="200" w:hanging="1606"/>
        <w:spacing w:after="0" w:line="264" w:lineRule="auto"/>
        <w:tabs>
          <w:tab w:leader="none" w:pos="122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p>
    <w:p>
      <w:pPr>
        <w:spacing w:after="0" w:line="343" w:lineRule="exact"/>
        <w:rPr>
          <w:sz w:val="20"/>
          <w:szCs w:val="20"/>
          <w:color w:val="auto"/>
        </w:rPr>
      </w:pPr>
    </w:p>
    <w:p>
      <w:pPr>
        <w:ind w:left="1240" w:right="140" w:hanging="1606"/>
        <w:spacing w:after="0" w:line="308" w:lineRule="auto"/>
        <w:tabs>
          <w:tab w:leader="none" w:pos="122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7"/>
          <w:szCs w:val="17"/>
          <w:color w:val="auto"/>
        </w:rPr>
        <w:t>— Shareholder and Registration Rights Agreement dated October 21, 2013 by and among Plains GP Holdings, L.P. and the other parties signatory thereto (incorporated by reference to Exhibit 4.1 to our Current Report on Form 8-K filed October 25, 2013).</w:t>
      </w:r>
    </w:p>
    <w:p>
      <w:pPr>
        <w:spacing w:after="0" w:line="309" w:lineRule="exact"/>
        <w:rPr>
          <w:sz w:val="20"/>
          <w:szCs w:val="20"/>
          <w:color w:val="auto"/>
        </w:rPr>
      </w:pPr>
    </w:p>
    <w:p>
      <w:pPr>
        <w:ind w:left="1240" w:right="200" w:hanging="1606"/>
        <w:spacing w:after="0" w:line="259" w:lineRule="auto"/>
        <w:tabs>
          <w:tab w:leader="none" w:pos="1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Credit Agreement dated as of August 19, 2011 among Plains All American Pipeline, L.P., as Borrower; certain subsidiaries of Plains All American Pipeline, L.P. from time to time party thereto, as Designated Borrowers; Bank of America, N.A., as Administrative Agent; and the other Lenders party thereto (incorporated by reference to Exhibit 10.1 to PAA’s Current Report on Form 8-K filed August 25, 2011).</w:t>
      </w:r>
    </w:p>
    <w:p>
      <w:pPr>
        <w:spacing w:after="0" w:line="349" w:lineRule="exact"/>
        <w:rPr>
          <w:sz w:val="20"/>
          <w:szCs w:val="20"/>
          <w:color w:val="auto"/>
        </w:rPr>
      </w:pPr>
    </w:p>
    <w:p>
      <w:pPr>
        <w:ind w:left="1240" w:hanging="1606"/>
        <w:spacing w:after="0" w:line="259" w:lineRule="auto"/>
        <w:tabs>
          <w:tab w:leader="none" w:pos="12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First Amendment to Credit Agreement dated as of June 27, 2012, among Plains All American Pipeline, L.P. and Plains Midstream Canada ULC, as Borrowers; Bank of America, N.A., as Administrative Agent, Swing Line Lender and L/C Issuer; Wells Fargo Bank, National Association, as an L/C Issuer; and the other Lenders party thereto (incorporated by reference to Exhibit 10.2 to PAA’s Current Report on Form 8-K filed July 3, 2012).</w:t>
      </w:r>
    </w:p>
    <w:p>
      <w:pPr>
        <w:spacing w:after="0" w:line="349" w:lineRule="exact"/>
        <w:rPr>
          <w:sz w:val="20"/>
          <w:szCs w:val="20"/>
          <w:color w:val="auto"/>
        </w:rPr>
      </w:pPr>
    </w:p>
    <w:p>
      <w:pPr>
        <w:ind w:left="1240" w:right="160" w:hanging="1606"/>
        <w:spacing w:after="0" w:line="259" w:lineRule="auto"/>
        <w:tabs>
          <w:tab w:leader="none" w:pos="12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Second Amendment to Credit Agreement dated as of August 16, 2013, among Plains All American Pipeline, L.P. and Plains Midstream Canada ULC, as Borrowers; Bank of America, N.A., as Administrative Agent, Swing Line Lender and L/C Issuer; Wells Fargo Bank, National Association, as an L/C Issuer; and the other Lenders party thereto (incorporated by reference to Exhibit 10.2 to PAA’s Current Report on Form 8-K filed August 20, 2013).</w:t>
      </w:r>
    </w:p>
    <w:p>
      <w:pPr>
        <w:spacing w:after="0" w:line="349" w:lineRule="exact"/>
        <w:rPr>
          <w:sz w:val="20"/>
          <w:szCs w:val="20"/>
          <w:color w:val="auto"/>
        </w:rPr>
      </w:pPr>
    </w:p>
    <w:p>
      <w:pPr>
        <w:ind w:left="1240" w:hanging="1606"/>
        <w:spacing w:after="0" w:line="259" w:lineRule="auto"/>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Third Amendment to Credit Agreement dated as of August 11, 2016, among Plains All American Pipeline, L.P. and Plains Midstream Canada ULC, as Borrowers; Bank of America, N.A., as Administrative Agent, Swing Line Lender and L/C Issuer; Wells Fargo Bank, National Association, as an L/C Issuer; and the other Lenders party thereto (incorporated by reference to Exhibit 10.1 to PAA’s Current Report on Form 8-K filed August 17, 2016).</w:t>
      </w:r>
    </w:p>
    <w:p>
      <w:pPr>
        <w:spacing w:after="0" w:line="349" w:lineRule="exact"/>
        <w:rPr>
          <w:sz w:val="20"/>
          <w:szCs w:val="20"/>
          <w:color w:val="auto"/>
        </w:rPr>
      </w:pPr>
    </w:p>
    <w:p>
      <w:pPr>
        <w:ind w:left="1240" w:right="280" w:hanging="1606"/>
        <w:spacing w:after="0" w:line="264" w:lineRule="auto"/>
        <w:tabs>
          <w:tab w:leader="none" w:pos="12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 Contribution, Assignment and Amendment Agreement dated as of June 27, 2001, among Plains All American Pipeline, L.P., Plains Marketing, L.P., All American Pipeline, L.P., Plains AAP, L.P., Plains All American GP LLC and Plains Marketing GP Inc. (incorporated by reference to Exhibit 10.1 to PAA’s Current Report on Form 8-K filed June 27, 2001).</w:t>
      </w:r>
    </w:p>
    <w:p>
      <w:pPr>
        <w:sectPr>
          <w:pgSz w:w="11900" w:h="16838" w:orient="portrait"/>
          <w:cols w:equalWidth="0" w:num="1">
            <w:col w:w="11380"/>
          </w:cols>
          <w:pgMar w:left="240" w:top="125" w:right="27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400" w:type="dxa"/>
            <w:vAlign w:val="bottom"/>
          </w:tcPr>
          <w:p>
            <w:pPr>
              <w:ind w:left="260"/>
              <w:spacing w:after="0"/>
              <w:rPr>
                <w:sz w:val="20"/>
                <w:szCs w:val="20"/>
                <w:color w:val="auto"/>
              </w:rPr>
            </w:pPr>
            <w:r>
              <w:rPr>
                <w:rFonts w:ascii="Arial" w:cs="Arial" w:eastAsia="Arial" w:hAnsi="Arial"/>
                <w:sz w:val="18"/>
                <w:szCs w:val="18"/>
                <w:color w:val="auto"/>
                <w:w w:val="91"/>
              </w:rPr>
              <w:t>—   Contribution, Assignment and Amendment Agreement dated as of June 8, 2001, among Plains All American Inc., Plains AAP, L.P. and</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4"/>
              </w:rPr>
              <w:t>Plains All American GP LLC (incorporated by reference to Exhibit 10.1 to PAA’s Current Report on Form 8-K filed June 11, 2001).</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400" w:type="dxa"/>
            <w:vAlign w:val="bottom"/>
          </w:tcPr>
          <w:p>
            <w:pPr>
              <w:ind w:left="260"/>
              <w:spacing w:after="0"/>
              <w:rPr>
                <w:sz w:val="20"/>
                <w:szCs w:val="20"/>
                <w:color w:val="auto"/>
              </w:rPr>
            </w:pPr>
            <w:r>
              <w:rPr>
                <w:rFonts w:ascii="Arial" w:cs="Arial" w:eastAsia="Arial" w:hAnsi="Arial"/>
                <w:sz w:val="18"/>
                <w:szCs w:val="18"/>
                <w:color w:val="auto"/>
                <w:w w:val="92"/>
              </w:rPr>
              <w:t>—   Separation Agreement dated as of June 8, 2001 among Plains Resources Inc., Plains All American Inc., Plains All American GP LLC,</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7"/>
              </w:rPr>
              <w:t>Plains AAP, L.P. and Plains All American Pipeline, L.P. (incorporated by reference to Exhibit 10.2 to PAA’s Current Report on</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Form 8-K filed June 11, 2001).</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10.8 ***</w:t>
            </w:r>
          </w:p>
        </w:tc>
        <w:tc>
          <w:tcPr>
            <w:tcW w:w="10400" w:type="dxa"/>
            <w:vAlign w:val="bottom"/>
          </w:tcPr>
          <w:p>
            <w:pPr>
              <w:ind w:left="260"/>
              <w:spacing w:after="0"/>
              <w:rPr>
                <w:sz w:val="20"/>
                <w:szCs w:val="20"/>
                <w:color w:val="auto"/>
              </w:rPr>
            </w:pPr>
            <w:r>
              <w:rPr>
                <w:rFonts w:ascii="Arial" w:cs="Arial" w:eastAsia="Arial" w:hAnsi="Arial"/>
                <w:sz w:val="18"/>
                <w:szCs w:val="18"/>
                <w:color w:val="auto"/>
                <w:w w:val="91"/>
              </w:rPr>
              <w:t>—   Pension and Employee Benefits Assumption and Transition Agreement dated as of June 8, 2001 among Plains Resources Inc., Plains</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3"/>
              </w:rPr>
              <w:t>All American Inc. and Plains All American GP LLC (incorporated by reference to Exhibit 10.3 to PAA’s Current Report on Form 8-K</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filed June 11, 2001).</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10.9 ***</w:t>
            </w: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   Plains All American GP LLC 2005 Long-Term Incentive Plan (incorporated by reference to Exhibit 10.1 to PAA’s Current Report on</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Form 8-K filed January 26, 2005).</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tcPr>
          <w:p>
            <w:pPr>
              <w:ind w:left="260"/>
              <w:spacing w:after="0"/>
              <w:rPr>
                <w:sz w:val="20"/>
                <w:szCs w:val="20"/>
                <w:color w:val="auto"/>
              </w:rPr>
            </w:pPr>
            <w:r>
              <w:rPr>
                <w:rFonts w:ascii="Arial" w:cs="Arial" w:eastAsia="Arial" w:hAnsi="Arial"/>
                <w:sz w:val="18"/>
                <w:szCs w:val="18"/>
                <w:color w:val="auto"/>
                <w:w w:val="93"/>
              </w:rPr>
              <w:t>—   Plains All American GP LLC 1998 Long-Term Incentive Plan (incorporated by reference to Exhibit 99.1 to Registration Statement on</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3"/>
              </w:rPr>
              <w:t>Form S-8, File No. 333-74920) as amended June 27, 2003 (incorporated by reference to Exhibit 10.1 to PAA’s Quarterly Report on</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Form 10-Q for the quarter ended June 30, 2003).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tcPr>
          <w:p>
            <w:pPr>
              <w:ind w:left="260"/>
              <w:spacing w:after="0"/>
              <w:rPr>
                <w:sz w:val="20"/>
                <w:szCs w:val="20"/>
                <w:color w:val="auto"/>
              </w:rPr>
            </w:pPr>
            <w:r>
              <w:rPr>
                <w:rFonts w:ascii="Arial" w:cs="Arial" w:eastAsia="Arial" w:hAnsi="Arial"/>
                <w:sz w:val="18"/>
                <w:szCs w:val="18"/>
                <w:color w:val="auto"/>
                <w:w w:val="93"/>
              </w:rPr>
              <w:t>—   Amended and Restated Employment Agreement between Plains All American GP LLC and Greg L. Armstrong dated as of June 30,</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1"/>
              </w:rPr>
              <w:t>2001 (incorporated by reference to Exhibit 10.1 to PAA’s Quarterly Report on Form 10-Q for the quarter ended September 30, 2001).</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400" w:type="dxa"/>
            <w:vAlign w:val="bottom"/>
          </w:tcPr>
          <w:p>
            <w:pPr>
              <w:ind w:left="260"/>
              <w:spacing w:after="0"/>
              <w:rPr>
                <w:sz w:val="20"/>
                <w:szCs w:val="20"/>
                <w:color w:val="auto"/>
              </w:rPr>
            </w:pPr>
            <w:r>
              <w:rPr>
                <w:rFonts w:ascii="Arial" w:cs="Arial" w:eastAsia="Arial" w:hAnsi="Arial"/>
                <w:sz w:val="18"/>
                <w:szCs w:val="18"/>
                <w:color w:val="auto"/>
                <w:w w:val="91"/>
              </w:rPr>
              <w:t>—   Amended and Restated Employment Agreement between Plains All American GP LLC and Harry N. Pefanis dated as of June 30, 2001</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6"/>
              </w:rPr>
              <w:t>(incorporated by reference to Exhibit 10.2 to PAA’s Quarterly Report on Form 10-Q for the quarter ended September 30, 2001).</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400" w:type="dxa"/>
            <w:vAlign w:val="bottom"/>
          </w:tcPr>
          <w:p>
            <w:pPr>
              <w:ind w:left="260"/>
              <w:spacing w:after="0"/>
              <w:rPr>
                <w:sz w:val="20"/>
                <w:szCs w:val="20"/>
                <w:color w:val="auto"/>
              </w:rPr>
            </w:pPr>
            <w:r>
              <w:rPr>
                <w:rFonts w:ascii="Arial" w:cs="Arial" w:eastAsia="Arial" w:hAnsi="Arial"/>
                <w:sz w:val="18"/>
                <w:szCs w:val="18"/>
                <w:color w:val="auto"/>
                <w:w w:val="92"/>
              </w:rPr>
              <w:t>—   Asset Purchase and Sale Agreement dated February 28, 2001 between Murphy Oil Company Ltd. and Plains Marketing Canada, L.P.</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(incorporated by reference to Exhibit 99.1 to PAA’s Current Report on Form 8-K filed May 10, 2001).</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tcPr>
          <w:p>
            <w:pPr>
              <w:ind w:left="260"/>
              <w:spacing w:after="0"/>
              <w:rPr>
                <w:sz w:val="20"/>
                <w:szCs w:val="20"/>
                <w:color w:val="auto"/>
              </w:rPr>
            </w:pPr>
            <w:r>
              <w:rPr>
                <w:rFonts w:ascii="Arial" w:cs="Arial" w:eastAsia="Arial" w:hAnsi="Arial"/>
                <w:sz w:val="18"/>
                <w:szCs w:val="18"/>
                <w:color w:val="auto"/>
                <w:w w:val="93"/>
              </w:rPr>
              <w:t>—   Transportation Agreement dated July 30, 1993, between All American Pipeline Company and Exxon Company, U.S.A. (incorporated</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by reference to Exhibit 10.9 to PAA’s Registration Statement on Form S-1 filed September 23, 1998, File No. 333-64107).</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   Transportation Agreement dated August 2, 1993, among All American Pipeline Company, Texaco Trading and Transportation Inc.,</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2"/>
              </w:rPr>
              <w:t>Chevron U.S.A. and Sun Operating Limited Partnership (incorporated by reference to Exhibit 10.10 to PAA’s Registration Statement</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on Form S-1 filed September 23, 1998, File No. 333-64107).</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400" w:type="dxa"/>
            <w:vAlign w:val="bottom"/>
          </w:tcPr>
          <w:p>
            <w:pPr>
              <w:ind w:left="260"/>
              <w:spacing w:after="0"/>
              <w:rPr>
                <w:sz w:val="20"/>
                <w:szCs w:val="20"/>
                <w:color w:val="auto"/>
              </w:rPr>
            </w:pPr>
            <w:r>
              <w:rPr>
                <w:rFonts w:ascii="Arial" w:cs="Arial" w:eastAsia="Arial" w:hAnsi="Arial"/>
                <w:sz w:val="18"/>
                <w:szCs w:val="18"/>
                <w:color w:val="auto"/>
                <w:w w:val="92"/>
              </w:rPr>
              <w:t>—   Contribution, Conveyance and Assumption Agreement among Plains All American Pipeline, L.P. and certain other parties dated as of</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November 23, 1998. (incorporated by reference to Exhibit 10.3 to PAA’s Annual Report on Form 10-K for the year ended</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December 31, 1998).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400" w:type="dxa"/>
            <w:vAlign w:val="bottom"/>
          </w:tcPr>
          <w:p>
            <w:pPr>
              <w:ind w:left="260"/>
              <w:spacing w:after="0"/>
              <w:rPr>
                <w:sz w:val="20"/>
                <w:szCs w:val="20"/>
                <w:color w:val="auto"/>
              </w:rPr>
            </w:pPr>
            <w:r>
              <w:rPr>
                <w:rFonts w:ascii="Arial" w:cs="Arial" w:eastAsia="Arial" w:hAnsi="Arial"/>
                <w:sz w:val="18"/>
                <w:szCs w:val="18"/>
                <w:color w:val="auto"/>
                <w:w w:val="91"/>
              </w:rPr>
              <w:t>—   First Amendment to Contribution, Conveyance and Assumption Agreement dated as of December 15, 1998 (incorporated by reference</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to Exhibit 10.13 to PAA’s Annual Report on Form 10-K for the year ended December 31, 1998).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400" w:type="dxa"/>
            <w:vAlign w:val="bottom"/>
          </w:tcPr>
          <w:p>
            <w:pPr>
              <w:ind w:left="260"/>
              <w:spacing w:after="0"/>
              <w:rPr>
                <w:sz w:val="20"/>
                <w:szCs w:val="20"/>
                <w:color w:val="auto"/>
              </w:rPr>
            </w:pPr>
            <w:r>
              <w:rPr>
                <w:rFonts w:ascii="Arial" w:cs="Arial" w:eastAsia="Arial" w:hAnsi="Arial"/>
                <w:sz w:val="18"/>
                <w:szCs w:val="18"/>
                <w:color w:val="auto"/>
                <w:w w:val="96"/>
              </w:rPr>
              <w:t>—   Agreement for Purchase and Sale of Membership Interest in Scurlock Permian LLC between Marathon Ashland LLC and Plains</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2"/>
              </w:rPr>
              <w:t>Marketing, L.P. dated as of March 17, 1999 (incorporated by reference to Exhibit 10.16 to PAA’s Annual Report on Form 10-K for the</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year ended December 31, 1998).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400" w:type="dxa"/>
            <w:vAlign w:val="bottom"/>
          </w:tcPr>
          <w:p>
            <w:pPr>
              <w:ind w:left="260"/>
              <w:spacing w:after="0"/>
              <w:rPr>
                <w:sz w:val="20"/>
                <w:szCs w:val="20"/>
                <w:color w:val="auto"/>
              </w:rPr>
            </w:pPr>
            <w:r>
              <w:rPr>
                <w:rFonts w:ascii="Arial" w:cs="Arial" w:eastAsia="Arial" w:hAnsi="Arial"/>
                <w:sz w:val="18"/>
                <w:szCs w:val="18"/>
                <w:color w:val="auto"/>
                <w:w w:val="93"/>
              </w:rPr>
              <w:t>—   PMC (Nova Scotia) Company Bonus Program (incorporated by reference to Exhibit 10.20 to PAA’s Annual Report on Form 10-K for</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the year ended December 31, 2004).</w:t>
            </w:r>
          </w:p>
        </w:tc>
      </w:tr>
    </w:tbl>
    <w:p>
      <w:pPr>
        <w:sectPr>
          <w:pgSz w:w="11900" w:h="16838" w:orient="portrait"/>
          <w:cols w:equalWidth="0" w:num="1">
            <w:col w:w="11380"/>
          </w:cols>
          <w:pgMar w:left="240" w:top="125" w:right="279" w:bottom="144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60" w:type="dxa"/>
            <w:vAlign w:val="bottom"/>
          </w:tcPr>
          <w:p>
            <w:pPr>
              <w:spacing w:after="0"/>
              <w:rPr>
                <w:sz w:val="17"/>
                <w:szCs w:val="17"/>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r>
      <w:tr>
        <w:trPr>
          <w:trHeight w:val="627"/>
        </w:trPr>
        <w:tc>
          <w:tcPr>
            <w:tcW w:w="980" w:type="dxa"/>
            <w:vAlign w:val="bottom"/>
          </w:tcPr>
          <w:p>
            <w:pPr>
              <w:ind w:left="40"/>
              <w:spacing w:after="0"/>
              <w:rPr>
                <w:sz w:val="20"/>
                <w:szCs w:val="20"/>
                <w:color w:val="auto"/>
              </w:rPr>
            </w:pPr>
            <w:r>
              <w:rPr>
                <w:rFonts w:ascii="Arial" w:cs="Arial" w:eastAsia="Arial" w:hAnsi="Arial"/>
                <w:sz w:val="18"/>
                <w:szCs w:val="18"/>
                <w:color w:val="auto"/>
              </w:rPr>
              <w:t>10.20***</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3"/>
              </w:rPr>
              <w:t>Quarterly Bonus Program Summary (incorporated by reference to Exhibit 10.21 to PAA’s Annual Report on Form 10-K for the year</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ended December 31, 2005).</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10.21***</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4"/>
              </w:rPr>
              <w:t>Form of LTIP Grant Letter (independent directors) (incorporated by reference to Exhibit 10.3 to PAA’s Current Report on Form 8-K</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filed February 23, 2005).</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10.22***</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5"/>
              </w:rPr>
              <w:t>Form of LTIP Grant Letter (designated directors) (incorporated by reference to Exhibit 10.4 to PAA’s Current Report on Form 8-K</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filed February 23, 2005).</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10.23</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2"/>
              </w:rPr>
              <w:t>Membership Interest Purchase Agreement by and between Sempra Energy Trading Corporation and PAA/Vulcan Gas Storage, LLC</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w w:val="94"/>
              </w:rPr>
              <w:t>dated August 19, 2005 (incorporated by reference to Exhibit 1.2 to PAA’s Current Report on Form 8-K filed September 19, 2005).</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10.24***</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4"/>
              </w:rPr>
              <w:t>Waiver Agreement dated as of December 23, 2010 between Plains All American GP LLC and Greg L. Armstrong (incorporated by</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reference to Exhibit 10.31 to PAA’s Annual Report on Form 10-K for the year ended December 31, 2010).</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10.25***</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5"/>
              </w:rPr>
              <w:t>Waiver Agreement dated as of December 23, 2010 between Plains All American GP LLC and Harry N. Pefanis (incorporated by</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reference to Exhibit 10.32 to PAA’s Annual Report on Form 10-K for the year ended December 31, 2010).</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10.26***</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5"/>
              </w:rPr>
              <w:t>Employment Agreement between Plains All American GP LLC and John P. vonBerg dated December 18, 2001 (incorporated by</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reference to Exhibit 10.40 to PAA’s Annual Report on Form 10-K for the year ended December 31, 2005).</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10.27***</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2"/>
              </w:rPr>
              <w:t>Form of LTIP Grant Letter (audit committee members) (incorporated by reference to Exhibit 10.1 to PAA’s Current Report on Form 8-</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K filed August 23, 2006).</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10.28***</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1"/>
              </w:rPr>
              <w:t>Plains All American PPX Successor Long-Term Incentive Plan (incorporated by reference to Exhibit 10.45 to PAA’s Annual Report on</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Form 10-K for the year ended December 31, 2006).</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10.29***</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2"/>
              </w:rPr>
              <w:t>Form of Plains AAP, L.P. Class B Restricted Units Agreement (incorporated by reference to Exhibit 10.1 to PAA’s Current Report on</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Form 8-K filed January 4, 2008).</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10.30***</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4"/>
              </w:rPr>
              <w:t>Form of Amendment to Plains AAP, L.P. Class B Restricted Units Agreement dated August 25, 2016(incorporated by reference to</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Exhibit 10.6 to PAA’s Quarterly Report on Form 10-Q for the quarter ended September 30, 2016).</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10.31</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0"/>
              </w:rPr>
              <w:t>Third Amended and Restated Credit Agreement dated as of August 19, 2011 by and among Plains Marketing, L.P., as Borrower, Plains</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w w:val="96"/>
              </w:rPr>
              <w:t>All American Pipeline, L.P., as Guarantor, Bank of America, N.A., as Administrative Agent, and the other Lenders party thereto</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(incorporated by reference to Exhibit 10.2 to PAA’s Current Report on Form 8-K filed August 25, 2011).</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10.32</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3"/>
              </w:rPr>
              <w:t>First Amendment to Third Amended and Restated Credit Agreement dated as of June 27, 2012, among Plains Marketing, L.P. and</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Plains Midstream Canada ULC, as Borrowers; Plains All American Pipeline, L.P., as Guarantor; Bank of America, N.A., as</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w w:val="96"/>
              </w:rPr>
              <w:t>Administrative Agent, Swing Line Lender and L/C Issuer; and the other Lenders and L/C Issuers party thereto (incorporated by</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reference to Exhibit 10.1 to PAA’s Current Report on Form 8-K filed July 3, 2012).</w:t>
            </w:r>
          </w:p>
        </w:tc>
      </w:tr>
      <w:tr>
        <w:trPr>
          <w:trHeight w:val="580"/>
        </w:trPr>
        <w:tc>
          <w:tcPr>
            <w:tcW w:w="980" w:type="dxa"/>
            <w:vAlign w:val="bottom"/>
          </w:tcPr>
          <w:p>
            <w:pPr>
              <w:ind w:left="40"/>
              <w:spacing w:after="0"/>
              <w:rPr>
                <w:sz w:val="20"/>
                <w:szCs w:val="20"/>
                <w:color w:val="auto"/>
              </w:rPr>
            </w:pPr>
            <w:r>
              <w:rPr>
                <w:rFonts w:ascii="Arial" w:cs="Arial" w:eastAsia="Arial" w:hAnsi="Arial"/>
                <w:sz w:val="18"/>
                <w:szCs w:val="18"/>
                <w:color w:val="auto"/>
              </w:rPr>
              <w:t>10.33</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100"/>
              <w:spacing w:after="0"/>
              <w:rPr>
                <w:sz w:val="20"/>
                <w:szCs w:val="20"/>
                <w:color w:val="auto"/>
              </w:rPr>
            </w:pPr>
            <w:r>
              <w:rPr>
                <w:rFonts w:ascii="Arial" w:cs="Arial" w:eastAsia="Arial" w:hAnsi="Arial"/>
                <w:sz w:val="18"/>
                <w:szCs w:val="18"/>
                <w:color w:val="auto"/>
                <w:w w:val="90"/>
              </w:rPr>
              <w:t>Second Amendment to Third Amended and Restated Credit Agreement dated as of August 16, 2013, among Plains Marketing, L.P. and</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rPr>
              <w:t>Plains Midstream Canada ULC, as Borrowers; Plains All American Pipeline, L.P., as Guarantor; Bank of America, N.A., as</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tcPr>
          <w:p>
            <w:pPr>
              <w:ind w:left="100"/>
              <w:spacing w:after="0"/>
              <w:rPr>
                <w:sz w:val="20"/>
                <w:szCs w:val="20"/>
                <w:color w:val="auto"/>
              </w:rPr>
            </w:pPr>
            <w:r>
              <w:rPr>
                <w:rFonts w:ascii="Arial" w:cs="Arial" w:eastAsia="Arial" w:hAnsi="Arial"/>
                <w:sz w:val="18"/>
                <w:szCs w:val="18"/>
                <w:color w:val="auto"/>
                <w:w w:val="94"/>
              </w:rPr>
              <w:t>Administrative Agent, Swing Line Lender and L/C Issuer; Wells Fargo Bank, National Association, as an L/C Issuer; and the other</w:t>
            </w:r>
          </w:p>
        </w:tc>
      </w:tr>
    </w:tbl>
    <w:p>
      <w:pPr>
        <w:ind w:left="1640" w:right="800"/>
        <w:spacing w:after="0" w:line="261" w:lineRule="auto"/>
        <w:rPr>
          <w:sz w:val="20"/>
          <w:szCs w:val="20"/>
          <w:color w:val="auto"/>
        </w:rPr>
      </w:pPr>
      <w:r>
        <w:rPr>
          <w:rFonts w:ascii="Arial" w:cs="Arial" w:eastAsia="Arial" w:hAnsi="Arial"/>
          <w:sz w:val="18"/>
          <w:szCs w:val="18"/>
          <w:color w:val="auto"/>
        </w:rPr>
        <w:t>Lenders and L/C Issuers party thereto (incorporated by reference to Exhibit 10.1 to PAA’s Current Report on Form 8-K filed August 20, 2013).</w:t>
      </w:r>
    </w:p>
    <w:p>
      <w:pPr>
        <w:sectPr>
          <w:pgSz w:w="11900" w:h="16838" w:orient="portrait"/>
          <w:cols w:equalWidth="0" w:num="1">
            <w:col w:w="11400"/>
          </w:cols>
          <w:pgMar w:left="240" w:top="108" w:right="2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10.34</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Third Amendment to Third Amended and Restated Credit Agreement dated as of August 11, 2016, among Plains Marketing, L.P. and</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9"/>
              </w:rPr>
              <w:t>Plains Midstream Canada ULC, as Borrowers; Plains All American Pipeline, L.P., as Guarantor; Bank of America, N.A., as</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4"/>
              </w:rPr>
              <w:t>Administrative Agent, Swing Line Lender and L/C Issuer; Wells Fargo Bank, National Association, as an L/C Issuer; and the other</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3"/>
              </w:rPr>
              <w:t>Lenders and L/C Issuers party thereto (incorporated by reference to Exhibit 10.3 to PAA’s Current Report on Form 8-K filed August</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17,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10380" w:type="dxa"/>
            <w:vAlign w:val="bottom"/>
          </w:tcPr>
          <w:p>
            <w:pPr>
              <w:ind w:left="260"/>
              <w:spacing w:after="0"/>
              <w:rPr>
                <w:sz w:val="20"/>
                <w:szCs w:val="20"/>
                <w:color w:val="auto"/>
              </w:rPr>
            </w:pPr>
            <w:r>
              <w:rPr>
                <w:rFonts w:ascii="Arial" w:cs="Arial" w:eastAsia="Arial" w:hAnsi="Arial"/>
                <w:sz w:val="18"/>
                <w:szCs w:val="18"/>
                <w:color w:val="auto"/>
                <w:w w:val="91"/>
              </w:rPr>
              <w:t>—   Contribution and Assumption Agreement dated December 28, 2007, by and between Plains AAP, L.P. and PAA GP LLC (incorporated</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by reference to Exhibit 10.2 to PAA’s Current Report on Form 8-K filed January 4, 2008).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10.36***</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First Amendment to Amended and Restated Employment Agreement dated December 4, 2008 between Plains All American GP LLC</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8"/>
              </w:rPr>
              <w:t>and Greg L. Armstrong (incorporated by reference to Exhibit 10.49 to PAA’s Annual Report on Form 10-K for the year ended</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December 31, 2008).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10.37***</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First Amendment to Amended and Restated Employment Agreement dated December 4, 2008 between Plains All American GP LLC</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9"/>
              </w:rPr>
              <w:t>and Harry N. Pefanis (incorporated by reference to Exhibit 10.50 to PAA’s Annual Report on Form 10-K for the year ended</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December 31, 2008).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10.38***</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First Amendment to Plains All American GP LLC 2005 Long-Term Incentive Plan dated December 4, 2008 (incorporated by reference</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to Exhibit 10.51 to PAA’s Annual Report on Form 10-K for the year ended December 31, 2008).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10.39***</w:t>
            </w:r>
          </w:p>
        </w:tc>
        <w:tc>
          <w:tcPr>
            <w:tcW w:w="10380" w:type="dxa"/>
            <w:vAlign w:val="bottom"/>
          </w:tcPr>
          <w:p>
            <w:pPr>
              <w:ind w:left="260"/>
              <w:spacing w:after="0"/>
              <w:rPr>
                <w:sz w:val="20"/>
                <w:szCs w:val="20"/>
                <w:color w:val="auto"/>
              </w:rPr>
            </w:pPr>
            <w:r>
              <w:rPr>
                <w:rFonts w:ascii="Arial" w:cs="Arial" w:eastAsia="Arial" w:hAnsi="Arial"/>
                <w:sz w:val="18"/>
                <w:szCs w:val="18"/>
                <w:color w:val="auto"/>
                <w:w w:val="97"/>
              </w:rPr>
              <w:t>—   Second Amendment to Plains All American GP LLC 1998 Long-Term Incentive Plan dated December 4, 2008 (incorporated by</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reference to Exhibit 10.52 to PAA’s Annual Report on Form 10-K for the year ended December 31, 2008).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10.40***</w:t>
            </w: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   Form of Amendment to LTIP grant letters (executive officers) (incorporated by reference to Exhibit 10.53 to PAA’s Annual Report on</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Form 10-K for the year ended December 31, 2008).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10.41***</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Form of Amendment to LTIP grant letters (directors) (incorporated by reference to Exhibit 10.54 to PAA’s Annual Report on Form 10-</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K for the year ended December 31, 2008).</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10.42</w:t>
            </w:r>
          </w:p>
        </w:tc>
        <w:tc>
          <w:tcPr>
            <w:tcW w:w="10380" w:type="dxa"/>
            <w:vAlign w:val="bottom"/>
          </w:tcPr>
          <w:p>
            <w:pPr>
              <w:ind w:left="260"/>
              <w:spacing w:after="0"/>
              <w:rPr>
                <w:sz w:val="20"/>
                <w:szCs w:val="20"/>
                <w:color w:val="auto"/>
              </w:rPr>
            </w:pPr>
            <w:r>
              <w:rPr>
                <w:rFonts w:ascii="Arial" w:cs="Arial" w:eastAsia="Arial" w:hAnsi="Arial"/>
                <w:sz w:val="18"/>
                <w:szCs w:val="18"/>
                <w:color w:val="auto"/>
                <w:w w:val="99"/>
              </w:rPr>
              <w:t>—   Contribution Agreement dated as of April 29, 2010 by and among PAA Natural Gas Storage, L.P., PNGS GP LLC, Plains All</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1"/>
              </w:rPr>
              <w:t>American Pipeline, L.P., PAA Natural Gas Storage, LLC, PAA/Vulcan Gas Storage, LLC, Plains Marketing, L.P. and Plains Marketing</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GP Inc. (incorporated by reference to Exhibit 10.1 to PNG’s Current Report on Form 8-K filed May 4, 2010).</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10.43</w:t>
            </w:r>
          </w:p>
        </w:tc>
        <w:tc>
          <w:tcPr>
            <w:tcW w:w="10380" w:type="dxa"/>
            <w:vAlign w:val="bottom"/>
          </w:tcPr>
          <w:p>
            <w:pPr>
              <w:ind w:left="260"/>
              <w:spacing w:after="0"/>
              <w:rPr>
                <w:sz w:val="20"/>
                <w:szCs w:val="20"/>
                <w:color w:val="auto"/>
              </w:rPr>
            </w:pPr>
            <w:r>
              <w:rPr>
                <w:rFonts w:ascii="Arial" w:cs="Arial" w:eastAsia="Arial" w:hAnsi="Arial"/>
                <w:sz w:val="18"/>
                <w:szCs w:val="18"/>
                <w:color w:val="auto"/>
                <w:w w:val="94"/>
              </w:rPr>
              <w:t>—   Omnibus Agreement dated May 5, 2010 by and among Plains All American GP LLC, Plains All American Pipeline, L.P., PNGS GP</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7"/>
              </w:rPr>
              <w:t>LLC and PAA Natural Gas Storage, L.P. (incorporated by reference to Exhibit 10.1 to PNG’s Current Report on Form 8-K filed</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May 11, 2010).</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10.44***</w:t>
            </w:r>
          </w:p>
        </w:tc>
        <w:tc>
          <w:tcPr>
            <w:tcW w:w="10380" w:type="dxa"/>
            <w:vAlign w:val="bottom"/>
          </w:tcPr>
          <w:p>
            <w:pPr>
              <w:ind w:left="260"/>
              <w:spacing w:after="0"/>
              <w:rPr>
                <w:sz w:val="20"/>
                <w:szCs w:val="20"/>
                <w:color w:val="auto"/>
              </w:rPr>
            </w:pPr>
            <w:r>
              <w:rPr>
                <w:rFonts w:ascii="Arial" w:cs="Arial" w:eastAsia="Arial" w:hAnsi="Arial"/>
                <w:sz w:val="18"/>
                <w:szCs w:val="18"/>
                <w:color w:val="auto"/>
                <w:w w:val="96"/>
              </w:rPr>
              <w:t>—   Form of 2010 LTIP Grant Letters (incorporated by reference to Exhibit 10.58 to PAA’s Annual Report on Form 10-K for the year</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ended December 31, 2010).</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10.45***</w:t>
            </w:r>
          </w:p>
        </w:tc>
        <w:tc>
          <w:tcPr>
            <w:tcW w:w="10380" w:type="dxa"/>
            <w:vAlign w:val="bottom"/>
          </w:tcPr>
          <w:p>
            <w:pPr>
              <w:ind w:left="260"/>
              <w:spacing w:after="0"/>
              <w:rPr>
                <w:sz w:val="20"/>
                <w:szCs w:val="20"/>
                <w:color w:val="auto"/>
              </w:rPr>
            </w:pPr>
            <w:r>
              <w:rPr>
                <w:rFonts w:ascii="Arial" w:cs="Arial" w:eastAsia="Arial" w:hAnsi="Arial"/>
                <w:sz w:val="18"/>
                <w:szCs w:val="18"/>
                <w:color w:val="auto"/>
                <w:w w:val="96"/>
              </w:rPr>
              <w:t>—   Director Compensation Summary (incorporated by reference to Exhibit 10.43 to PAA’s Annual Report on Form 10-K for the year</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ended December 31,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10.46***</w:t>
            </w: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   Form of PAA LTIP Grant Letter for Officers (February 2013) (incorporated by reference to Exhibit 10.1 to PAA’s Quarterly Report on</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10.47</w:t>
            </w:r>
          </w:p>
        </w:tc>
        <w:tc>
          <w:tcPr>
            <w:tcW w:w="10380" w:type="dxa"/>
            <w:vAlign w:val="bottom"/>
          </w:tcPr>
          <w:p>
            <w:pPr>
              <w:ind w:left="260"/>
              <w:spacing w:after="0"/>
              <w:rPr>
                <w:sz w:val="20"/>
                <w:szCs w:val="20"/>
                <w:color w:val="auto"/>
              </w:rPr>
            </w:pPr>
            <w:r>
              <w:rPr>
                <w:rFonts w:ascii="Arial" w:cs="Arial" w:eastAsia="Arial" w:hAnsi="Arial"/>
                <w:sz w:val="18"/>
                <w:szCs w:val="18"/>
                <w:color w:val="auto"/>
                <w:w w:val="97"/>
              </w:rPr>
              <w:t>—   Administrative Agreement dated October 21, 2013, by and among Plains GP Holdings, L.P., PAA GP Holdings LLC, Plains All</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2"/>
              </w:rPr>
              <w:t>American Pipeline, L.P., PAA GP LLC, Plains AAP, L.P. and Plains All American GP LLC (incorporated by reference to Exhibit 10.1</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to our Current Report on Form 8-K filed October 25, 2013).</w:t>
            </w:r>
          </w:p>
        </w:tc>
      </w:tr>
    </w:tbl>
    <w:p>
      <w:pPr>
        <w:sectPr>
          <w:pgSz w:w="11900" w:h="16838" w:orient="portrait"/>
          <w:cols w:equalWidth="0" w:num="1">
            <w:col w:w="11360"/>
          </w:cols>
          <w:pgMar w:left="240" w:top="125" w:right="29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10.48</w:t>
            </w:r>
          </w:p>
        </w:tc>
        <w:tc>
          <w:tcPr>
            <w:tcW w:w="10380" w:type="dxa"/>
            <w:vAlign w:val="bottom"/>
          </w:tcPr>
          <w:p>
            <w:pPr>
              <w:ind w:left="260"/>
              <w:spacing w:after="0"/>
              <w:rPr>
                <w:sz w:val="20"/>
                <w:szCs w:val="20"/>
                <w:color w:val="auto"/>
              </w:rPr>
            </w:pPr>
            <w:r>
              <w:rPr>
                <w:rFonts w:ascii="Arial" w:cs="Arial" w:eastAsia="Arial" w:hAnsi="Arial"/>
                <w:sz w:val="18"/>
                <w:szCs w:val="18"/>
                <w:color w:val="auto"/>
                <w:w w:val="96"/>
              </w:rPr>
              <w:t>—   Contribution Agreement dated October 21, 2013, by and among Plains GP Holdings, L.P., PAA GP Holdings LLC and the other</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6"/>
              </w:rPr>
              <w:t>parties signatory thereto (incorporated by reference to Exhibit 10.2 to our Current Report on Form 8-K filed October 25,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10.49***</w:t>
            </w:r>
          </w:p>
        </w:tc>
        <w:tc>
          <w:tcPr>
            <w:tcW w:w="10380" w:type="dxa"/>
            <w:vAlign w:val="bottom"/>
          </w:tcPr>
          <w:p>
            <w:pPr>
              <w:ind w:left="260"/>
              <w:spacing w:after="0"/>
              <w:rPr>
                <w:sz w:val="20"/>
                <w:szCs w:val="20"/>
                <w:color w:val="auto"/>
              </w:rPr>
            </w:pPr>
            <w:r>
              <w:rPr>
                <w:rFonts w:ascii="Arial" w:cs="Arial" w:eastAsia="Arial" w:hAnsi="Arial"/>
                <w:sz w:val="18"/>
                <w:szCs w:val="18"/>
                <w:color w:val="auto"/>
                <w:w w:val="95"/>
              </w:rPr>
              <w:t>—   Plains GP Holdings, L.P. Long Term Incentive Plan, (incorporated by reference to Exhibit 10.3 to our Current Report on Form 8-K</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filed October 25,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10.50***</w:t>
            </w:r>
          </w:p>
        </w:tc>
        <w:tc>
          <w:tcPr>
            <w:tcW w:w="10380" w:type="dxa"/>
            <w:vAlign w:val="bottom"/>
          </w:tcPr>
          <w:p>
            <w:pPr>
              <w:ind w:left="260"/>
              <w:spacing w:after="0"/>
              <w:rPr>
                <w:sz w:val="20"/>
                <w:szCs w:val="20"/>
                <w:color w:val="auto"/>
              </w:rPr>
            </w:pPr>
            <w:r>
              <w:rPr>
                <w:rFonts w:ascii="Arial" w:cs="Arial" w:eastAsia="Arial" w:hAnsi="Arial"/>
                <w:sz w:val="18"/>
                <w:szCs w:val="18"/>
                <w:color w:val="auto"/>
                <w:w w:val="94"/>
              </w:rPr>
              <w:t>—   Waiver Agreement dated October 21, 2013 to the Amended and Restated Employment Agreement dated June 30, 2001 of Greg L.</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Armstrong (incorporated by reference to Exhibit 10.4 to our Current Report on Form 8-K filed October 25,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10.51***</w:t>
            </w: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   Waiver Agreement dated October 21, 2013 to the Amended and Restated Employment Agreement dated June 30, 2001 of Harry N.</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Pefanis (incorporated by reference to Exhibit 10.5 to our Current Report on Form 8-K filed October 25,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10.52***</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Form of Amendment to the Plains AAP, L.P. Class B Restricted Units Agreement, dated October 18, 2013 (incorporated by reference</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to Exhibit 10.6 to our Current Report on Form 8-K filed October 25,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10.53</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Second Amended and Restated Credit Agreement among Plains AAP, L.P., as Borrower, Citibank, N.A. as Administrative Agent, and</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1"/>
              </w:rPr>
              <w:t>the other Lenders party thereto (incorporated by reference to Exhibit 10.46 to our Registration Statement on Form S-1A (333-190227)</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filed October 2,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10.54</w:t>
            </w:r>
          </w:p>
        </w:tc>
        <w:tc>
          <w:tcPr>
            <w:tcW w:w="10380" w:type="dxa"/>
            <w:vAlign w:val="bottom"/>
          </w:tcPr>
          <w:p>
            <w:pPr>
              <w:ind w:left="260"/>
              <w:spacing w:after="0"/>
              <w:rPr>
                <w:sz w:val="20"/>
                <w:szCs w:val="20"/>
                <w:color w:val="auto"/>
              </w:rPr>
            </w:pPr>
            <w:r>
              <w:rPr>
                <w:rFonts w:ascii="Arial" w:cs="Arial" w:eastAsia="Arial" w:hAnsi="Arial"/>
                <w:sz w:val="18"/>
                <w:szCs w:val="18"/>
                <w:color w:val="auto"/>
                <w:w w:val="95"/>
              </w:rPr>
              <w:t>—   First Amendment to Second Amended and Restated Credit Agreement dated as of August 14, 2015 among Plains AAP, L.P., as</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3"/>
              </w:rPr>
              <w:t>Borrower, Citibank, N.A. as Administrative Agent, and the other Lenders party thereto (incorporated by reference to Exhibit 10.1 to</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our Current Report on Form 8-K filed August 14, 2015).</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10.55</w:t>
            </w: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   Consent, Limited Waiver and Amendment to Second Amended and Restated Credit Agreement dated as of August 11, 2016 among</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1"/>
              </w:rPr>
              <w:t>Plains AAP, L.P., as Borrower, Citibank, N.A. as Administrative Agent, and the other Lenders party thereto (incorporated by reference</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to Exhibit 10.4 to our Current Report on Form 8-K filed August 17,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10.56***</w:t>
            </w:r>
          </w:p>
        </w:tc>
        <w:tc>
          <w:tcPr>
            <w:tcW w:w="10380" w:type="dxa"/>
            <w:vAlign w:val="bottom"/>
          </w:tcPr>
          <w:p>
            <w:pPr>
              <w:ind w:left="260"/>
              <w:spacing w:after="0"/>
              <w:rPr>
                <w:sz w:val="20"/>
                <w:szCs w:val="20"/>
                <w:color w:val="auto"/>
              </w:rPr>
            </w:pPr>
            <w:r>
              <w:rPr>
                <w:rFonts w:ascii="Arial" w:cs="Arial" w:eastAsia="Arial" w:hAnsi="Arial"/>
                <w:sz w:val="18"/>
                <w:szCs w:val="18"/>
                <w:color w:val="auto"/>
                <w:w w:val="96"/>
              </w:rPr>
              <w:t>—   Plains All American 2013 Long-Term Incentive Plan (incorporated by reference to Exhibit A to PAA’s Definitive Proxy Statement</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filed on October 3,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10.57***</w:t>
            </w:r>
          </w:p>
        </w:tc>
        <w:tc>
          <w:tcPr>
            <w:tcW w:w="10380" w:type="dxa"/>
            <w:vAlign w:val="bottom"/>
          </w:tcPr>
          <w:p>
            <w:pPr>
              <w:ind w:left="260"/>
              <w:spacing w:after="0"/>
              <w:rPr>
                <w:sz w:val="20"/>
                <w:szCs w:val="20"/>
                <w:color w:val="auto"/>
              </w:rPr>
            </w:pPr>
            <w:r>
              <w:rPr>
                <w:rFonts w:ascii="Arial" w:cs="Arial" w:eastAsia="Arial" w:hAnsi="Arial"/>
                <w:sz w:val="18"/>
                <w:szCs w:val="18"/>
                <w:color w:val="auto"/>
                <w:w w:val="97"/>
              </w:rPr>
              <w:t>—   Plains All American PNG Successor Long-Term Incentive Plan (incorporated by reference to Exhibit 4.4 to PAA’s Registration</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Statement on Form S-8 (333-19319) filed December 31, 2013).</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10.58***</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PAA Natural Gas Storage, L.P. 2010 Long-Term Incentive Plan (incorporated by reference to Exhibit 10.2 to PNG’s Current Report on</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rPr>
              <w:t>Form 8-K filed May 11, 2010).</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10.59</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   364-Day Credit Agreement dated January 16, 2015 among Plains All American Pipeline, L.P., as Borrower; Bank of America, N.A., as</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4"/>
              </w:rPr>
              <w:t>Administrative Agent; Citibank, N.A., JPMorgan Chase Bank N.A. and Wells Fargo Bank, National Association, as Co-Syndication</w:t>
            </w:r>
          </w:p>
        </w:tc>
      </w:tr>
      <w:tr>
        <w:trPr>
          <w:trHeight w:val="216"/>
        </w:trPr>
        <w:tc>
          <w:tcPr>
            <w:tcW w:w="940" w:type="dxa"/>
            <w:vAlign w:val="bottom"/>
          </w:tcPr>
          <w:p>
            <w:pPr>
              <w:spacing w:after="0"/>
              <w:rPr>
                <w:sz w:val="18"/>
                <w:szCs w:val="18"/>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3"/>
              </w:rPr>
              <w:t>Agents; DNB Bank ASA, New York Branch and Mizuho Bank, Ltd., as Co-Documentation Agents; the other Lenders party thereto;</w:t>
            </w:r>
          </w:p>
        </w:tc>
      </w:tr>
      <w:tr>
        <w:trPr>
          <w:trHeight w:val="230"/>
        </w:trPr>
        <w:tc>
          <w:tcPr>
            <w:tcW w:w="940" w:type="dxa"/>
            <w:vAlign w:val="bottom"/>
          </w:tcPr>
          <w:p>
            <w:pPr>
              <w:spacing w:after="0"/>
              <w:rPr>
                <w:sz w:val="20"/>
                <w:szCs w:val="20"/>
                <w:color w:val="auto"/>
              </w:rPr>
            </w:pPr>
          </w:p>
        </w:tc>
        <w:tc>
          <w:tcPr>
            <w:tcW w:w="10380" w:type="dxa"/>
            <w:vAlign w:val="bottom"/>
          </w:tcPr>
          <w:p>
            <w:pPr>
              <w:ind w:left="660"/>
              <w:spacing w:after="0"/>
              <w:rPr>
                <w:sz w:val="20"/>
                <w:szCs w:val="20"/>
                <w:color w:val="auto"/>
              </w:rPr>
            </w:pPr>
            <w:r>
              <w:rPr>
                <w:rFonts w:ascii="Arial" w:cs="Arial" w:eastAsia="Arial" w:hAnsi="Arial"/>
                <w:sz w:val="18"/>
                <w:szCs w:val="18"/>
                <w:color w:val="auto"/>
                <w:w w:val="94"/>
              </w:rPr>
              <w:t>and Merrill Lynch, Pierce, Fenner &amp; Smith Incorporated, Citigroup Global Markets Inc., DNB Markets, Inc., J.P. Morgan Securities</w:t>
            </w:r>
          </w:p>
        </w:tc>
      </w:tr>
    </w:tbl>
    <w:p>
      <w:pPr>
        <w:ind w:left="1640" w:right="80"/>
        <w:spacing w:after="0" w:line="261" w:lineRule="auto"/>
        <w:rPr>
          <w:sz w:val="20"/>
          <w:szCs w:val="20"/>
          <w:color w:val="auto"/>
        </w:rPr>
      </w:pPr>
      <w:r>
        <w:rPr>
          <w:rFonts w:ascii="Arial" w:cs="Arial" w:eastAsia="Arial" w:hAnsi="Arial"/>
          <w:sz w:val="18"/>
          <w:szCs w:val="18"/>
          <w:color w:val="auto"/>
        </w:rPr>
        <w:t>LLC, Mizuho Bank, Ltd. and Wells Fargo Securities, LLC, as Joint Lead Arrangers and Joint Bookrunners (incorporated by reference to Exhibit 10.1 to our Current Report on Form 8-K filed January 20, 2015).</w:t>
      </w:r>
    </w:p>
    <w:p>
      <w:pPr>
        <w:sectPr>
          <w:pgSz w:w="11900" w:h="16838" w:orient="portrait"/>
          <w:cols w:equalWidth="0" w:num="1">
            <w:col w:w="11360"/>
          </w:cols>
          <w:pgMar w:left="240" w:top="125" w:right="29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10.60</w:t>
            </w:r>
          </w:p>
        </w:tc>
        <w:tc>
          <w:tcPr>
            <w:tcW w:w="10400" w:type="dxa"/>
            <w:vAlign w:val="bottom"/>
          </w:tcPr>
          <w:p>
            <w:pPr>
              <w:ind w:left="260"/>
              <w:spacing w:after="0"/>
              <w:rPr>
                <w:sz w:val="20"/>
                <w:szCs w:val="20"/>
                <w:color w:val="auto"/>
              </w:rPr>
            </w:pPr>
            <w:r>
              <w:rPr>
                <w:rFonts w:ascii="Arial" w:cs="Arial" w:eastAsia="Arial" w:hAnsi="Arial"/>
                <w:sz w:val="18"/>
                <w:szCs w:val="18"/>
                <w:color w:val="auto"/>
                <w:w w:val="93"/>
              </w:rPr>
              <w:t>—   First Amendment to 364-Day Credit Agreement dated August 14, 2015 among Plains All American Pipeline, L.P., as Borrower; Bank</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2"/>
              </w:rPr>
              <w:t>of America, N.A., as Administrative Agent; Citibank, N.A., JPMorgan Chase Bank N.A. and Wells Fargo Bank, National Association,</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6"/>
              </w:rPr>
              <w:t>as Co-Syndication Agents; DNB Bank ASA, New York Branch and Mizuho Bank, Ltd., as Co-Documentation Agents; the other</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4"/>
              </w:rPr>
              <w:t>Lenders party thereto; and Merrill Lynch, Pierce, Fenner &amp; Smith Incorporated, Citigroup Global Markets Inc., DNB Markets, Inc.,</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5"/>
              </w:rPr>
              <w:t>J.P. Morgan Securities LLC, Mizuho Bank, Ltd. and Wells Fargo Securities, LLC, as Joint Lead Arrangers and Joint Bookrunners</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(incorporated by reference to Exhibit 10.1 to PAA’s Current Report on Form 8-K filed August 14, 2015).</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10.61</w:t>
            </w:r>
          </w:p>
        </w:tc>
        <w:tc>
          <w:tcPr>
            <w:tcW w:w="10400" w:type="dxa"/>
            <w:vAlign w:val="bottom"/>
          </w:tcPr>
          <w:p>
            <w:pPr>
              <w:ind w:left="260"/>
              <w:spacing w:after="0"/>
              <w:rPr>
                <w:sz w:val="20"/>
                <w:szCs w:val="20"/>
                <w:color w:val="auto"/>
              </w:rPr>
            </w:pPr>
            <w:r>
              <w:rPr>
                <w:rFonts w:ascii="Arial" w:cs="Arial" w:eastAsia="Arial" w:hAnsi="Arial"/>
                <w:sz w:val="18"/>
                <w:szCs w:val="18"/>
                <w:color w:val="auto"/>
                <w:w w:val="98"/>
              </w:rPr>
              <w:t>—   Second Amendment to 364-Day Credit Agreement dated as of August 11, 2016 among Plains All American Pipeline, L.P., as</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7"/>
              </w:rPr>
              <w:t>Borrower; Bank of America, N.A., as Administrative Agent; Citibank, N.A., JPMorgan Chase Bank N.A. and Wells Fargo Bank,</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4"/>
              </w:rPr>
              <w:t>National Association, as Co-Syndication Agents; DNB Bank ASA, New York Branch and Mizuho Bank Ltd., as Co-Documentation</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2"/>
              </w:rPr>
              <w:t>Agents; the other Lenders party thereto; and Merrill Lynch, Pierce, Fenner &amp; Smith Incorporated, Citigroup Global Markets Inc., DNB</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4"/>
              </w:rPr>
              <w:t>Markets, Inc., J.P. Morgan Securities LLC, Mizuho Bank, Ltd. and Wells Fargo Securities, LLC, as Joint Lead Arrangers and Join</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Bookrunners (incorporated by reference to Exhibit 10.2 to PAA’s Current Report on Form 8-K filed August 17,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10.62***</w:t>
            </w: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   Form of LTIP Grant Letter (PAGP Audit Committee Members) (incorporated by reference to Exhibit 10.1 to our Quarterly Report on</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Form 10-Q for the quarter ended March 31, 2014).</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10.63***</w:t>
            </w: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   Employment Agreement between Plains All American GP LLC and Willie Chiang dated July 10, 2015 (incorporated by reference to</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Exhibit 10.53 to PAA’s Annual Report on Form 10-K for the year ended December 31, 2015).</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10.64***</w:t>
            </w:r>
          </w:p>
        </w:tc>
        <w:tc>
          <w:tcPr>
            <w:tcW w:w="10400" w:type="dxa"/>
            <w:vAlign w:val="bottom"/>
          </w:tcPr>
          <w:p>
            <w:pPr>
              <w:ind w:left="260"/>
              <w:spacing w:after="0"/>
              <w:rPr>
                <w:sz w:val="20"/>
                <w:szCs w:val="20"/>
                <w:color w:val="auto"/>
              </w:rPr>
            </w:pPr>
            <w:r>
              <w:rPr>
                <w:rFonts w:ascii="Arial" w:cs="Arial" w:eastAsia="Arial" w:hAnsi="Arial"/>
                <w:sz w:val="18"/>
                <w:szCs w:val="18"/>
                <w:color w:val="auto"/>
                <w:w w:val="93"/>
              </w:rPr>
              <w:t>—   Amendment dated August 25, 2016 to LTIP Grant Letter dated August 24, 2015 (Willie Chiang)(incorporated by reference to Exhibit</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10.7 to PAA's Quarterly Report on Form 10-Q for the quarter ended September 30, 2016 filed November 8,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10.65***</w:t>
            </w:r>
          </w:p>
        </w:tc>
        <w:tc>
          <w:tcPr>
            <w:tcW w:w="10400" w:type="dxa"/>
            <w:vAlign w:val="bottom"/>
          </w:tcPr>
          <w:p>
            <w:pPr>
              <w:ind w:left="260"/>
              <w:spacing w:after="0"/>
              <w:rPr>
                <w:sz w:val="20"/>
                <w:szCs w:val="20"/>
                <w:color w:val="auto"/>
              </w:rPr>
            </w:pPr>
            <w:r>
              <w:rPr>
                <w:rFonts w:ascii="Arial" w:cs="Arial" w:eastAsia="Arial" w:hAnsi="Arial"/>
                <w:sz w:val="18"/>
                <w:szCs w:val="18"/>
                <w:color w:val="auto"/>
                <w:w w:val="95"/>
              </w:rPr>
              <w:t>—   First Amendment to Plains AAP, L.P. Class B Restricted Units Agreement dated August 25, 2016 (Willie Chiang) (incorporated by</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1"/>
              </w:rPr>
              <w:t>reference to Exhibit 10.8 to PAA's Quarterly Report on Form 10-Q for the quarter ended September 30, 2016 filed November 8,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10.66***</w:t>
            </w:r>
          </w:p>
        </w:tc>
        <w:tc>
          <w:tcPr>
            <w:tcW w:w="10400" w:type="dxa"/>
            <w:vAlign w:val="bottom"/>
          </w:tcPr>
          <w:p>
            <w:pPr>
              <w:ind w:left="260"/>
              <w:spacing w:after="0"/>
              <w:rPr>
                <w:sz w:val="20"/>
                <w:szCs w:val="20"/>
                <w:color w:val="auto"/>
              </w:rPr>
            </w:pPr>
            <w:r>
              <w:rPr>
                <w:rFonts w:ascii="Arial" w:cs="Arial" w:eastAsia="Arial" w:hAnsi="Arial"/>
                <w:sz w:val="18"/>
                <w:szCs w:val="18"/>
                <w:color w:val="auto"/>
                <w:w w:val="95"/>
              </w:rPr>
              <w:t>—   Form of PAA LTIP Grant Letter for Officers (August 2016) (incorporated by reference to Exhibit 10.5 to PAA's Quarterly Report on</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Form 10-Q for the quarter ended September 30, 2016 filed November 8,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10.67***</w:t>
            </w:r>
          </w:p>
        </w:tc>
        <w:tc>
          <w:tcPr>
            <w:tcW w:w="10400" w:type="dxa"/>
            <w:vAlign w:val="bottom"/>
          </w:tcPr>
          <w:p>
            <w:pPr>
              <w:ind w:left="260"/>
              <w:spacing w:after="0"/>
              <w:rPr>
                <w:sz w:val="20"/>
                <w:szCs w:val="20"/>
                <w:color w:val="auto"/>
              </w:rPr>
            </w:pPr>
            <w:r>
              <w:rPr>
                <w:rFonts w:ascii="Arial" w:cs="Arial" w:eastAsia="Arial" w:hAnsi="Arial"/>
                <w:sz w:val="18"/>
                <w:szCs w:val="18"/>
                <w:color w:val="auto"/>
                <w:w w:val="94"/>
              </w:rPr>
              <w:t>—   Form of Amendment to Plains AAP, L.P. Class B Restricted Units Agreement dated August 25, 2016 (incorporated by reference to</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Exhibit 10.6 to PAA's Quarterly Report on Form 10-Q for the quarter ended September 30, 2016 filed November 8,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10.68</w:t>
            </w:r>
          </w:p>
        </w:tc>
        <w:tc>
          <w:tcPr>
            <w:tcW w:w="10400" w:type="dxa"/>
            <w:vAlign w:val="bottom"/>
          </w:tcPr>
          <w:p>
            <w:pPr>
              <w:ind w:left="260"/>
              <w:spacing w:after="0"/>
              <w:rPr>
                <w:sz w:val="20"/>
                <w:szCs w:val="20"/>
                <w:color w:val="auto"/>
              </w:rPr>
            </w:pPr>
            <w:r>
              <w:rPr>
                <w:rFonts w:ascii="Arial" w:cs="Arial" w:eastAsia="Arial" w:hAnsi="Arial"/>
                <w:sz w:val="18"/>
                <w:szCs w:val="18"/>
                <w:color w:val="auto"/>
                <w:w w:val="96"/>
              </w:rPr>
              <w:t>—   Omnibus Agreement by and among PAA GP Holdings LLC, Plains GP Holdings, L.P., Plains All American GP LLC, Plains AAP,</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1"/>
              </w:rPr>
              <w:t>L.P., PAA GP LLC, and Plains All American Pipeline, L.P., dated November 15, 2016 (incorporated by reference to Exhibit 10.1 to our</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Current Report on Form 8-K filed November 21, 2016).</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10.69</w:t>
            </w:r>
          </w:p>
        </w:tc>
        <w:tc>
          <w:tcPr>
            <w:tcW w:w="10400" w:type="dxa"/>
            <w:vAlign w:val="bottom"/>
          </w:tcPr>
          <w:p>
            <w:pPr>
              <w:ind w:left="260"/>
              <w:spacing w:after="0"/>
              <w:rPr>
                <w:sz w:val="20"/>
                <w:szCs w:val="20"/>
                <w:color w:val="auto"/>
              </w:rPr>
            </w:pPr>
            <w:r>
              <w:rPr>
                <w:rFonts w:ascii="Arial" w:cs="Arial" w:eastAsia="Arial" w:hAnsi="Arial"/>
                <w:sz w:val="18"/>
                <w:szCs w:val="18"/>
                <w:color w:val="auto"/>
                <w:w w:val="98"/>
              </w:rPr>
              <w:t>—   Amended and Restated Administrative Agreement by and among PAA GP Holdings LLC, Plains GP Holdings, L.P., Plains All</w:t>
            </w:r>
          </w:p>
        </w:tc>
      </w:tr>
      <w:tr>
        <w:trPr>
          <w:trHeight w:val="216"/>
        </w:trPr>
        <w:tc>
          <w:tcPr>
            <w:tcW w:w="940" w:type="dxa"/>
            <w:vAlign w:val="bottom"/>
          </w:tcPr>
          <w:p>
            <w:pPr>
              <w:spacing w:after="0"/>
              <w:rPr>
                <w:sz w:val="18"/>
                <w:szCs w:val="18"/>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w w:val="93"/>
              </w:rPr>
              <w:t>American GP LLC, Plains AAP, L.P., PAA GP LLC, and Plains All American Pipeline, L.P., dated November 15, 2016 (incorporated</w:t>
            </w:r>
          </w:p>
        </w:tc>
      </w:tr>
      <w:tr>
        <w:trPr>
          <w:trHeight w:val="230"/>
        </w:trPr>
        <w:tc>
          <w:tcPr>
            <w:tcW w:w="940" w:type="dxa"/>
            <w:vAlign w:val="bottom"/>
          </w:tcPr>
          <w:p>
            <w:pPr>
              <w:spacing w:after="0"/>
              <w:rPr>
                <w:sz w:val="20"/>
                <w:szCs w:val="20"/>
                <w:color w:val="auto"/>
              </w:rPr>
            </w:pPr>
          </w:p>
        </w:tc>
        <w:tc>
          <w:tcPr>
            <w:tcW w:w="10400" w:type="dxa"/>
            <w:vAlign w:val="bottom"/>
          </w:tcPr>
          <w:p>
            <w:pPr>
              <w:ind w:left="660"/>
              <w:spacing w:after="0"/>
              <w:rPr>
                <w:sz w:val="20"/>
                <w:szCs w:val="20"/>
                <w:color w:val="auto"/>
              </w:rPr>
            </w:pPr>
            <w:r>
              <w:rPr>
                <w:rFonts w:ascii="Arial" w:cs="Arial" w:eastAsia="Arial" w:hAnsi="Arial"/>
                <w:sz w:val="18"/>
                <w:szCs w:val="18"/>
                <w:color w:val="auto"/>
              </w:rPr>
              <w:t>by reference to Exhibit 10.2 to our Current Report on Form 8-K filed November 21, 2016).</w:t>
            </w:r>
          </w:p>
        </w:tc>
      </w:tr>
      <w:tr>
        <w:trPr>
          <w:trHeight w:val="594"/>
        </w:trPr>
        <w:tc>
          <w:tcPr>
            <w:tcW w:w="940" w:type="dxa"/>
            <w:vAlign w:val="bottom"/>
          </w:tcPr>
          <w:p>
            <w:pPr>
              <w:spacing w:after="0"/>
              <w:rPr>
                <w:sz w:val="20"/>
                <w:szCs w:val="20"/>
                <w:color w:val="auto"/>
              </w:rPr>
            </w:pPr>
            <w:r>
              <w:rPr>
                <w:rFonts w:ascii="Arial" w:cs="Arial" w:eastAsia="Arial" w:hAnsi="Arial"/>
                <w:sz w:val="18"/>
                <w:szCs w:val="18"/>
                <w:color w:val="auto"/>
              </w:rPr>
              <w:t>21.1 †</w:t>
            </w:r>
          </w:p>
        </w:tc>
        <w:tc>
          <w:tcPr>
            <w:tcW w:w="10400" w:type="dxa"/>
            <w:vAlign w:val="bottom"/>
          </w:tcPr>
          <w:p>
            <w:pPr>
              <w:ind w:left="260"/>
              <w:spacing w:after="0"/>
              <w:rPr>
                <w:sz w:val="20"/>
                <w:szCs w:val="20"/>
                <w:color w:val="auto"/>
              </w:rPr>
            </w:pPr>
            <w:r>
              <w:rPr>
                <w:rFonts w:ascii="Arial" w:cs="Arial" w:eastAsia="Arial" w:hAnsi="Arial"/>
                <w:sz w:val="18"/>
                <w:szCs w:val="18"/>
                <w:color w:val="auto"/>
              </w:rPr>
              <w:t>—   List of Subsidiaries of Plains GP Holdings, L.P.</w:t>
            </w:r>
          </w:p>
        </w:tc>
      </w:tr>
      <w:tr>
        <w:trPr>
          <w:trHeight w:val="594"/>
        </w:trPr>
        <w:tc>
          <w:tcPr>
            <w:tcW w:w="940" w:type="dxa"/>
            <w:vAlign w:val="bottom"/>
          </w:tcPr>
          <w:p>
            <w:pPr>
              <w:spacing w:after="0"/>
              <w:rPr>
                <w:sz w:val="20"/>
                <w:szCs w:val="20"/>
                <w:color w:val="auto"/>
              </w:rPr>
            </w:pPr>
            <w:r>
              <w:rPr>
                <w:rFonts w:ascii="Arial" w:cs="Arial" w:eastAsia="Arial" w:hAnsi="Arial"/>
                <w:sz w:val="18"/>
                <w:szCs w:val="18"/>
                <w:color w:val="auto"/>
              </w:rPr>
              <w:t>23.1 †</w:t>
            </w:r>
          </w:p>
        </w:tc>
        <w:tc>
          <w:tcPr>
            <w:tcW w:w="10400" w:type="dxa"/>
            <w:vAlign w:val="bottom"/>
          </w:tcPr>
          <w:p>
            <w:pPr>
              <w:ind w:left="260"/>
              <w:spacing w:after="0"/>
              <w:rPr>
                <w:sz w:val="20"/>
                <w:szCs w:val="20"/>
                <w:color w:val="auto"/>
              </w:rPr>
            </w:pPr>
            <w:r>
              <w:rPr>
                <w:rFonts w:ascii="Arial" w:cs="Arial" w:eastAsia="Arial" w:hAnsi="Arial"/>
                <w:sz w:val="18"/>
                <w:szCs w:val="18"/>
                <w:color w:val="auto"/>
              </w:rPr>
              <w:t>—   Consent of PricewaterhouseCoopers LLP.</w:t>
            </w:r>
          </w:p>
        </w:tc>
      </w:tr>
      <w:tr>
        <w:trPr>
          <w:trHeight w:val="594"/>
        </w:trPr>
        <w:tc>
          <w:tcPr>
            <w:tcW w:w="940" w:type="dxa"/>
            <w:vAlign w:val="bottom"/>
          </w:tcPr>
          <w:p>
            <w:pPr>
              <w:spacing w:after="0"/>
              <w:rPr>
                <w:sz w:val="20"/>
                <w:szCs w:val="20"/>
                <w:color w:val="auto"/>
              </w:rPr>
            </w:pPr>
            <w:r>
              <w:rPr>
                <w:rFonts w:ascii="Arial" w:cs="Arial" w:eastAsia="Arial" w:hAnsi="Arial"/>
                <w:sz w:val="18"/>
                <w:szCs w:val="18"/>
                <w:color w:val="auto"/>
              </w:rPr>
              <w:t>31.1 †</w:t>
            </w:r>
          </w:p>
        </w:tc>
        <w:tc>
          <w:tcPr>
            <w:tcW w:w="10400" w:type="dxa"/>
            <w:vAlign w:val="bottom"/>
          </w:tcPr>
          <w:p>
            <w:pPr>
              <w:ind w:left="260"/>
              <w:spacing w:after="0"/>
              <w:rPr>
                <w:sz w:val="20"/>
                <w:szCs w:val="20"/>
                <w:color w:val="auto"/>
              </w:rPr>
            </w:pPr>
            <w:r>
              <w:rPr>
                <w:rFonts w:ascii="Arial" w:cs="Arial" w:eastAsia="Arial" w:hAnsi="Arial"/>
                <w:sz w:val="18"/>
                <w:szCs w:val="18"/>
                <w:color w:val="auto"/>
              </w:rPr>
              <w:t>—   Certification of Principal Executive Officer pursuant to Exchange Act Rules 13a-14(a) and 15d-14(a).</w:t>
            </w:r>
          </w:p>
        </w:tc>
      </w:tr>
      <w:tr>
        <w:trPr>
          <w:trHeight w:val="594"/>
        </w:trPr>
        <w:tc>
          <w:tcPr>
            <w:tcW w:w="940" w:type="dxa"/>
            <w:vAlign w:val="bottom"/>
          </w:tcPr>
          <w:p>
            <w:pPr>
              <w:spacing w:after="0"/>
              <w:rPr>
                <w:sz w:val="20"/>
                <w:szCs w:val="20"/>
                <w:color w:val="auto"/>
              </w:rPr>
            </w:pPr>
            <w:r>
              <w:rPr>
                <w:rFonts w:ascii="Arial" w:cs="Arial" w:eastAsia="Arial" w:hAnsi="Arial"/>
                <w:sz w:val="18"/>
                <w:szCs w:val="18"/>
                <w:color w:val="auto"/>
              </w:rPr>
              <w:t>31.2 †</w:t>
            </w:r>
          </w:p>
        </w:tc>
        <w:tc>
          <w:tcPr>
            <w:tcW w:w="10400" w:type="dxa"/>
            <w:vAlign w:val="bottom"/>
          </w:tcPr>
          <w:p>
            <w:pPr>
              <w:ind w:left="260"/>
              <w:spacing w:after="0"/>
              <w:rPr>
                <w:sz w:val="20"/>
                <w:szCs w:val="20"/>
                <w:color w:val="auto"/>
              </w:rPr>
            </w:pPr>
            <w:r>
              <w:rPr>
                <w:rFonts w:ascii="Arial" w:cs="Arial" w:eastAsia="Arial" w:hAnsi="Arial"/>
                <w:sz w:val="18"/>
                <w:szCs w:val="18"/>
                <w:color w:val="auto"/>
              </w:rPr>
              <w:t>—   Certification of Principal Financial Officer pursuant to Exchange Act Rules 13a-14(a) and 15d-14(a).</w:t>
            </w:r>
          </w:p>
        </w:tc>
      </w:tr>
    </w:tbl>
    <w:p>
      <w:pPr>
        <w:sectPr>
          <w:pgSz w:w="11900" w:h="16838" w:orient="portrait"/>
          <w:cols w:equalWidth="0" w:num="1">
            <w:col w:w="11380"/>
          </w:cols>
          <w:pgMar w:left="240" w:top="125" w:right="27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32.1 ††</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w w:val="94"/>
              </w:rPr>
              <w:t>—   Certification of Principal Executive Officer pursuant to 18 U.S.C. 1350.</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32.2 ††</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w w:val="94"/>
              </w:rPr>
              <w:t>—   Certification of Principal Financial Officer pursuant to 18 U.S.C. 1350.</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101. INS†</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52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Schema Document</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Label Linkbase Document</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52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3323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40" w:hanging="332"/>
        <w:spacing w:after="0"/>
        <w:tabs>
          <w:tab w:leader="none" w:pos="340" w:val="left"/>
        </w:tabs>
        <w:numPr>
          <w:ilvl w:val="0"/>
          <w:numId w:val="161"/>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340" w:right="500" w:hanging="332"/>
        <w:spacing w:after="0" w:line="308" w:lineRule="auto"/>
        <w:tabs>
          <w:tab w:leader="none" w:pos="3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38" w:lineRule="exact"/>
        <w:rPr>
          <w:sz w:val="20"/>
          <w:szCs w:val="20"/>
          <w:color w:val="auto"/>
        </w:rPr>
      </w:pPr>
    </w:p>
    <w:p>
      <w:pPr>
        <w:ind w:left="340" w:hanging="332"/>
        <w:spacing w:after="0" w:line="277" w:lineRule="auto"/>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ectPr>
          <w:pgSz w:w="11900" w:h="16838" w:orient="portrait"/>
          <w:cols w:equalWidth="0" w:num="1">
            <w:col w:w="11280"/>
          </w:cols>
          <w:pgMar w:left="240" w:top="125" w:right="37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tcPr>
          <w:p>
            <w:pPr>
              <w:ind w:left="1900"/>
              <w:spacing w:after="0"/>
              <w:rPr>
                <w:sz w:val="20"/>
                <w:szCs w:val="20"/>
                <w:color w:val="auto"/>
              </w:rPr>
            </w:pPr>
            <w:r>
              <w:rPr>
                <w:rFonts w:ascii="Arial" w:cs="Arial" w:eastAsia="Arial" w:hAnsi="Arial"/>
                <w:sz w:val="18"/>
                <w:szCs w:val="18"/>
                <w:b w:val="1"/>
                <w:bCs w:val="1"/>
                <w:color w:val="auto"/>
                <w:w w:val="91"/>
              </w:rPr>
              <w:t>Exhibit 21.1</w:t>
            </w:r>
          </w:p>
        </w:tc>
      </w:tr>
      <w:tr>
        <w:trPr>
          <w:trHeight w:val="216"/>
        </w:trPr>
        <w:tc>
          <w:tcPr>
            <w:tcW w:w="4080" w:type="dxa"/>
            <w:vAlign w:val="bottom"/>
          </w:tcPr>
          <w:p>
            <w:pPr>
              <w:spacing w:after="0"/>
              <w:rPr>
                <w:sz w:val="18"/>
                <w:szCs w:val="18"/>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4080" w:type="dxa"/>
            <w:vAlign w:val="bottom"/>
          </w:tcPr>
          <w:p>
            <w:pPr>
              <w:spacing w:after="0"/>
              <w:rPr>
                <w:sz w:val="19"/>
                <w:szCs w:val="19"/>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8"/>
              </w:rPr>
              <w:t>PLAINS GP HOLDINGS, L.P.</w:t>
            </w:r>
          </w:p>
        </w:tc>
      </w:tr>
      <w:tr>
        <w:trPr>
          <w:trHeight w:val="230"/>
        </w:trPr>
        <w:tc>
          <w:tcPr>
            <w:tcW w:w="4080" w:type="dxa"/>
            <w:vAlign w:val="bottom"/>
          </w:tcPr>
          <w:p>
            <w:pPr>
              <w:spacing w:after="0"/>
              <w:rPr>
                <w:sz w:val="20"/>
                <w:szCs w:val="20"/>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As of 12/31/2016</w:t>
            </w:r>
            <w:r>
              <w:rPr>
                <w:rFonts w:ascii="Arial" w:cs="Arial" w:eastAsia="Arial" w:hAnsi="Arial"/>
                <w:sz w:val="18"/>
                <w:szCs w:val="18"/>
                <w:color w:val="auto"/>
                <w:w w:val="90"/>
              </w:rPr>
              <w:t>)</w:t>
            </w:r>
          </w:p>
        </w:tc>
      </w:tr>
      <w:tr>
        <w:trPr>
          <w:trHeight w:val="33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04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5D Marketing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Aurora Pipeline Company Ltd.</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Bakersfield Crude Terminal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BGS Kimball Gas Storage,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Bluewater Gas Storage,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Bluewater Natural Gas Holding,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Eagle Ford Crude Terminal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Hawks Oil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Colorado</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Lone Star Trucking,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Mountain Ridge Resources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Colorado</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Niobrara Crude Terminal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Finance Corp.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GP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Luxembourg S.a.r.l.</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Midstream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Natural Gas Canada ULC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Alberta</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 Natural Gas Storage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PAA Natural Gas Storage,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PAA/Vulcan Gas Storage,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Pacific Energy Group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L.A. Marine Terminal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Pacific Pipeline System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PACONO1,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PACONO3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PICSCO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Pine Prairie Energy Center,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AAP, L.P.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All American Emergency Relief Fund, Inc.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All American GP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All American Pipeline, L.P.</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Capline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Gas Solutions,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GP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LPG Services GP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LPG Services, LP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Marketing Bondholder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Canada LLC</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Marketing GP Inc.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L.P.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Midstream Canada ULC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Empress Management L.P.</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Midstream Empress Management ULC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Midstream Luxembourg S.a.r.l.</w:t>
            </w:r>
          </w:p>
        </w:tc>
        <w:tc>
          <w:tcPr>
            <w:tcW w:w="4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Plains Midstream Superior LLC</w:t>
            </w:r>
          </w:p>
        </w:tc>
        <w:tc>
          <w:tcPr>
            <w:tcW w:w="4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Plains Mobile Pipeline Inc.</w:t>
            </w:r>
          </w:p>
        </w:tc>
        <w:tc>
          <w:tcPr>
            <w:tcW w:w="4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Alabama</w:t>
            </w:r>
          </w:p>
        </w:tc>
      </w:tr>
      <w:tr>
        <w:trPr>
          <w:trHeight w:val="27"/>
        </w:trPr>
        <w:tc>
          <w:tcPr>
            <w:tcW w:w="4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Plains Petroleum Transmission Company ULC</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Pipeline, L.P.</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Plains Products Terminals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Rail Holdings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Plains South Texas Gathering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Southcap Inc.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Plains Terminals North Dakota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Plains Towing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Plains West Coast Terminals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PLPGS Empress U.S. Corporation</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PMC (Nova Scotia) Company</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Nova Scotia</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PMDSE Inc.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Mississippi</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PNG Marketing,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PNGS GP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PPEC Bondholder,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Rancho LPG Holdings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Rocky Mountain Pipeline System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 Resources Mississippi,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SLC Pipeline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Southcap Pipe Line Company</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St. James Rail Terminal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Sunrise Pipeline LLC</w:t>
            </w: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Van Hook Crude Terminal LLC</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VirKel Backhoe Services LLLP</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r>
      <w:tr>
        <w:trPr>
          <w:trHeight w:val="27"/>
        </w:trPr>
        <w:tc>
          <w:tcPr>
            <w:tcW w:w="8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333-200596, 333-210067, and 333-214964) and on Form S-8 (No. 333-193141) of Plains GP Holdings, L.P. of our report dated February 23, 2017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420"/>
          </w:cols>
          <w:pgMar w:left="240" w:top="580"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80" w:hanging="724"/>
        <w:spacing w:after="0" w:line="264" w:lineRule="auto"/>
        <w:tabs>
          <w:tab w:leader="none" w:pos="13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80" w:right="140" w:hanging="724"/>
        <w:spacing w:after="0" w:line="264" w:lineRule="auto"/>
        <w:tabs>
          <w:tab w:leader="none" w:pos="13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80" w:right="300" w:hanging="724"/>
        <w:spacing w:after="0" w:line="342" w:lineRule="auto"/>
        <w:tabs>
          <w:tab w:leader="none" w:pos="13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hanging="724"/>
        <w:spacing w:after="0" w:line="264" w:lineRule="auto"/>
        <w:tabs>
          <w:tab w:leader="none" w:pos="13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sz w:val="20"/>
          <w:szCs w:val="20"/>
          <w:color w:val="auto"/>
        </w:rPr>
      </w:pPr>
    </w:p>
    <w:p>
      <w:pPr>
        <w:ind w:right="40" w:firstLine="656"/>
        <w:spacing w:after="0" w:line="308" w:lineRule="auto"/>
        <w:tabs>
          <w:tab w:leader="none" w:pos="87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380" w:right="540" w:hanging="724"/>
        <w:spacing w:after="0" w:line="342" w:lineRule="auto"/>
        <w:tabs>
          <w:tab w:leader="none" w:pos="13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240" w:hanging="724"/>
        <w:spacing w:after="0" w:line="277" w:lineRule="auto"/>
        <w:tabs>
          <w:tab w:leader="none" w:pos="1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80" w:hanging="724"/>
        <w:spacing w:after="0" w:line="264" w:lineRule="auto"/>
        <w:tabs>
          <w:tab w:leader="none" w:pos="1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80" w:right="140" w:hanging="724"/>
        <w:spacing w:after="0" w:line="264" w:lineRule="auto"/>
        <w:tabs>
          <w:tab w:leader="none" w:pos="1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80" w:right="300" w:hanging="724"/>
        <w:spacing w:after="0" w:line="342" w:lineRule="auto"/>
        <w:tabs>
          <w:tab w:leader="none" w:pos="13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hanging="724"/>
        <w:spacing w:after="0" w:line="264" w:lineRule="auto"/>
        <w:tabs>
          <w:tab w:leader="none" w:pos="1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sz w:val="20"/>
          <w:szCs w:val="20"/>
          <w:color w:val="auto"/>
        </w:rPr>
      </w:pPr>
    </w:p>
    <w:p>
      <w:pPr>
        <w:ind w:right="40" w:firstLine="656"/>
        <w:spacing w:after="0" w:line="308" w:lineRule="auto"/>
        <w:tabs>
          <w:tab w:leader="none" w:pos="87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380" w:right="540" w:hanging="724"/>
        <w:spacing w:after="0" w:line="342" w:lineRule="auto"/>
        <w:tabs>
          <w:tab w:leader="none" w:pos="13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240" w:hanging="724"/>
        <w:spacing w:after="0" w:line="277" w:lineRule="auto"/>
        <w:tabs>
          <w:tab w:leader="none" w:pos="13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left="1380" w:right="140" w:hanging="724"/>
        <w:spacing w:after="0" w:line="264" w:lineRule="auto"/>
        <w:tabs>
          <w:tab w:leader="none" w:pos="13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2016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380" w:right="420" w:hanging="724"/>
        <w:spacing w:after="0" w:line="277" w:lineRule="auto"/>
        <w:tabs>
          <w:tab w:leader="none" w:pos="13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23, 2017</w:t>
      </w:r>
    </w:p>
    <w:p>
      <w:pPr>
        <w:sectPr>
          <w:pgSz w:w="11900" w:h="16838" w:orient="portrait"/>
          <w:cols w:equalWidth="0" w:num="1">
            <w:col w:w="11420"/>
          </w:cols>
          <w:pgMar w:left="240" w:top="580"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left="1380" w:right="140" w:hanging="724"/>
        <w:spacing w:after="0" w:line="264" w:lineRule="auto"/>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2016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1380" w:right="420" w:hanging="724"/>
        <w:spacing w:after="0" w:line="277" w:lineRule="auto"/>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February 23, 2017</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x"/>
      <w:numFmt w:val="bullet"/>
      <w:start w:val="1"/>
    </w:lvl>
  </w:abstractNum>
  <w:abstractNum w:abstractNumId="1">
    <w:nsid w:val="14E17E33"/>
    <w:multiLevelType w:val="hybridMultilevel"/>
    <w:lvl w:ilvl="0">
      <w:lvlJc w:val="left"/>
      <w:lvlText w:val="o"/>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1)"/>
      <w:numFmt w:val="decimal"/>
      <w:start w:val="1"/>
    </w:lvl>
  </w:abstractNum>
  <w:abstractNum w:abstractNumId="5">
    <w:nsid w:val="2DF6D648"/>
    <w:multiLevelType w:val="hybridMultilevel"/>
    <w:lvl w:ilvl="0">
      <w:lvlJc w:val="left"/>
      <w:lvlText w:val="(%1)"/>
      <w:numFmt w:val="decimal"/>
      <w:start w:val="1"/>
    </w:lvl>
  </w:abstractNum>
  <w:abstractNum w:abstractNumId="6">
    <w:nsid w:val="46B7D447"/>
    <w:multiLevelType w:val="hybridMultilevel"/>
    <w:lvl w:ilvl="0">
      <w:lvlJc w:val="left"/>
      <w:lvlText w:val="(%1)"/>
      <w:numFmt w:val="decimal"/>
      <w:start w:val="2"/>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1)"/>
      <w:numFmt w:val="decimal"/>
      <w:start w:val="1"/>
    </w:lvl>
  </w:abstractNum>
  <w:abstractNum w:abstractNumId="12">
    <w:nsid w:val="60EF0119"/>
    <w:multiLevelType w:val="hybridMultilevel"/>
    <w:lvl w:ilvl="0">
      <w:lvlJc w:val="left"/>
      <w:lvlText w:val="(%1)"/>
      <w:numFmt w:val="decimal"/>
      <w:start w:val="1"/>
    </w:lvl>
  </w:abstractNum>
  <w:abstractNum w:abstractNumId="13">
    <w:nsid w:val="26F324BA"/>
    <w:multiLevelType w:val="hybridMultilevel"/>
    <w:lvl w:ilvl="0">
      <w:lvlJc w:val="left"/>
      <w:lvlText w:val="(%1)"/>
      <w:numFmt w:val="decimal"/>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1)"/>
      <w:numFmt w:val="lowerRoman"/>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1)"/>
      <w:numFmt w:val="decimal"/>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1)"/>
      <w:numFmt w:val="decimal"/>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1)"/>
      <w:numFmt w:val="lowerRoman"/>
      <w:start w:val="3"/>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
      <w:numFmt w:val="bullet"/>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
      <w:numFmt w:val="bullet"/>
      <w:start w:val="1"/>
    </w:lvl>
    <w:lvl w:ilvl="1">
      <w:lvlJc w:val="left"/>
      <w:lvlText w:val="◦"/>
      <w:numFmt w:val="bullet"/>
      <w:start w:val="1"/>
    </w:lvl>
  </w:abstractNum>
  <w:abstractNum w:abstractNumId="34">
    <w:nsid w:val="9DAF632"/>
    <w:multiLevelType w:val="hybridMultilevel"/>
    <w:lvl w:ilvl="0">
      <w:lvlJc w:val="left"/>
      <w:lvlText w:val="(%1)"/>
      <w:numFmt w:val="lowerRoman"/>
      <w:start w:val="1"/>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
      <w:numFmt w:val="bullet"/>
      <w:start w:val="1"/>
    </w:lvl>
  </w:abstractNum>
  <w:abstractNum w:abstractNumId="37">
    <w:nsid w:val="5092CA79"/>
    <w:multiLevelType w:val="hybridMultilevel"/>
    <w:lvl w:ilvl="0">
      <w:lvlJc w:val="left"/>
      <w:lvlText w:val="•"/>
      <w:numFmt w:val="bullet"/>
      <w:start w:val="1"/>
    </w:lvl>
  </w:abstractNum>
  <w:abstractNum w:abstractNumId="38">
    <w:nsid w:val="1D545C4D"/>
    <w:multiLevelType w:val="hybridMultilevel"/>
    <w:lvl w:ilvl="0">
      <w:lvlJc w:val="left"/>
      <w:lvlText w:val="•"/>
      <w:numFmt w:val="bullet"/>
      <w:start w:val="1"/>
    </w:lvl>
  </w:abstractNum>
  <w:abstractNum w:abstractNumId="39">
    <w:nsid w:val="59ADEA3D"/>
    <w:multiLevelType w:val="hybridMultilevel"/>
    <w:lvl w:ilvl="0">
      <w:lvlJc w:val="left"/>
      <w:lvlText w:val="•"/>
      <w:numFmt w:val="bullet"/>
      <w:start w:val="1"/>
    </w:lvl>
  </w:abstractNum>
  <w:abstractNum w:abstractNumId="40">
    <w:nsid w:val="288F1A34"/>
    <w:multiLevelType w:val="hybridMultilevel"/>
    <w:lvl w:ilvl="0">
      <w:lvlJc w:val="left"/>
      <w:lvlText w:val="(%1)"/>
      <w:numFmt w:val="decimal"/>
      <w:start w:val="1"/>
    </w:lvl>
  </w:abstractNum>
  <w:abstractNum w:abstractNumId="41">
    <w:nsid w:val="2A155DBC"/>
    <w:multiLevelType w:val="hybridMultilevel"/>
    <w:lvl w:ilvl="0">
      <w:lvlJc w:val="left"/>
      <w:lvlText w:val="•"/>
      <w:numFmt w:val="bullet"/>
      <w:start w:val="1"/>
    </w:lvl>
  </w:abstractNum>
  <w:abstractNum w:abstractNumId="42">
    <w:nsid w:val="1D9F6E5F"/>
    <w:multiLevelType w:val="hybridMultilevel"/>
    <w:lvl w:ilvl="0">
      <w:lvlJc w:val="left"/>
      <w:lvlText w:val="(%1)"/>
      <w:numFmt w:val="lowerRoman"/>
      <w:start w:val="2"/>
    </w:lvl>
  </w:abstractNum>
  <w:abstractNum w:abstractNumId="43">
    <w:nsid w:val="97E1B4E"/>
    <w:multiLevelType w:val="hybridMultilevel"/>
    <w:lvl w:ilvl="0">
      <w:lvlJc w:val="left"/>
      <w:lvlText w:val="(%1)"/>
      <w:numFmt w:val="decimal"/>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1)"/>
      <w:numFmt w:val="decimal"/>
      <w:start w:val="1"/>
    </w:lvl>
  </w:abstractNum>
  <w:abstractNum w:abstractNumId="48">
    <w:nsid w:val="7C58FD05"/>
    <w:multiLevelType w:val="hybridMultilevel"/>
    <w:lvl w:ilvl="0">
      <w:lvlJc w:val="left"/>
      <w:lvlText w:val="(%1)"/>
      <w:numFmt w:val="decimal"/>
      <w:start w:val="1"/>
    </w:lvl>
  </w:abstractNum>
  <w:abstractNum w:abstractNumId="49">
    <w:nsid w:val="23D86AAC"/>
    <w:multiLevelType w:val="hybridMultilevel"/>
    <w:lvl w:ilvl="0">
      <w:lvlJc w:val="left"/>
      <w:lvlText w:val="(%1)"/>
      <w:numFmt w:val="decimal"/>
      <w:start w:val="1"/>
    </w:lvl>
  </w:abstractNum>
  <w:abstractNum w:abstractNumId="50">
    <w:nsid w:val="45E6D486"/>
    <w:multiLevelType w:val="hybridMultilevel"/>
    <w:lvl w:ilvl="0">
      <w:lvlJc w:val="left"/>
      <w:lvlText w:val="(%1)"/>
      <w:numFmt w:val="decimal"/>
      <w:start w:val="3"/>
    </w:lvl>
  </w:abstractNum>
  <w:abstractNum w:abstractNumId="51">
    <w:nsid w:val="5C10FE21"/>
    <w:multiLevelType w:val="hybridMultilevel"/>
    <w:lvl w:ilvl="0">
      <w:lvlJc w:val="left"/>
      <w:lvlText w:val="(%1)"/>
      <w:numFmt w:val="lowerRoman"/>
      <w:start w:val="7"/>
    </w:lvl>
  </w:abstractNum>
  <w:abstractNum w:abstractNumId="52">
    <w:nsid w:val="E7FFA2B"/>
    <w:multiLevelType w:val="hybridMultilevel"/>
    <w:lvl w:ilvl="0">
      <w:lvlJc w:val="left"/>
      <w:lvlText w:val="•"/>
      <w:numFmt w:val="bullet"/>
      <w:start w:val="1"/>
    </w:lvl>
  </w:abstractNum>
  <w:abstractNum w:abstractNumId="53">
    <w:nsid w:val="3C5991AA"/>
    <w:multiLevelType w:val="hybridMultilevel"/>
    <w:lvl w:ilvl="0">
      <w:lvlJc w:val="left"/>
      <w:lvlText w:val="(%1)"/>
      <w:numFmt w:val="decimal"/>
    </w:lvl>
    <w:lvl w:ilvl="1">
      <w:lvlJc w:val="left"/>
      <w:lvlText w:val="**"/>
      <w:numFmt w:val="bullet"/>
      <w:start w:val="1"/>
    </w:lvl>
  </w:abstractNum>
  <w:abstractNum w:abstractNumId="54">
    <w:nsid w:val="4BD8591A"/>
    <w:multiLevelType w:val="hybridMultilevel"/>
    <w:lvl w:ilvl="0">
      <w:lvlJc w:val="left"/>
      <w:lvlText w:val="(%1)"/>
      <w:numFmt w:val="decimal"/>
      <w:start w:val="1"/>
    </w:lvl>
  </w:abstractNum>
  <w:abstractNum w:abstractNumId="55">
    <w:nsid w:val="78DF6A55"/>
    <w:multiLevelType w:val="hybridMultilevel"/>
    <w:lvl w:ilvl="0">
      <w:lvlJc w:val="left"/>
      <w:lvlText w:val="(%1)"/>
      <w:numFmt w:val="decimal"/>
      <w:start w:val="4"/>
    </w:lvl>
  </w:abstractNum>
  <w:abstractNum w:abstractNumId="56">
    <w:nsid w:val="39B7AAA2"/>
    <w:multiLevelType w:val="hybridMultilevel"/>
    <w:lvl w:ilvl="0">
      <w:lvlJc w:val="left"/>
      <w:lvlText w:val="(%1)"/>
      <w:numFmt w:val="decimal"/>
      <w:start w:val="1"/>
    </w:lvl>
  </w:abstractNum>
  <w:abstractNum w:abstractNumId="57">
    <w:nsid w:val="2B0D8DBE"/>
    <w:multiLevelType w:val="hybridMultilevel"/>
    <w:lvl w:ilvl="0">
      <w:lvlJc w:val="left"/>
      <w:lvlText w:val="•"/>
      <w:numFmt w:val="bullet"/>
      <w:start w:val="1"/>
    </w:lvl>
  </w:abstractNum>
  <w:abstractNum w:abstractNumId="58">
    <w:nsid w:val="6C80EC70"/>
    <w:multiLevelType w:val="hybridMultilevel"/>
    <w:lvl w:ilvl="0">
      <w:lvlJc w:val="left"/>
      <w:lvlText w:val="•"/>
      <w:numFmt w:val="bullet"/>
      <w:start w:val="1"/>
    </w:lvl>
  </w:abstractNum>
  <w:abstractNum w:abstractNumId="59">
    <w:nsid w:val="379E21B5"/>
    <w:multiLevelType w:val="hybridMultilevel"/>
    <w:lvl w:ilvl="0">
      <w:lvlJc w:val="left"/>
      <w:lvlText w:val="(%1)"/>
      <w:numFmt w:val="decimal"/>
      <w:start w:val="1"/>
    </w:lvl>
  </w:abstractNum>
  <w:abstractNum w:abstractNumId="60">
    <w:nsid w:val="69E373"/>
    <w:multiLevelType w:val="hybridMultilevel"/>
    <w:lvl w:ilvl="0">
      <w:lvlJc w:val="left"/>
      <w:lvlText w:val="•"/>
      <w:numFmt w:val="bullet"/>
      <w:start w:val="1"/>
    </w:lvl>
  </w:abstractNum>
  <w:abstractNum w:abstractNumId="61">
    <w:nsid w:val="2C27173B"/>
    <w:multiLevelType w:val="hybridMultilevel"/>
    <w:lvl w:ilvl="0">
      <w:lvlJc w:val="left"/>
      <w:lvlText w:val="(%1)"/>
      <w:numFmt w:val="decimal"/>
      <w:start w:val="1"/>
    </w:lvl>
  </w:abstractNum>
  <w:abstractNum w:abstractNumId="62">
    <w:nsid w:val="4C9B0904"/>
    <w:multiLevelType w:val="hybridMultilevel"/>
    <w:lvl w:ilvl="0">
      <w:lvlJc w:val="left"/>
      <w:lvlText w:val="•"/>
      <w:numFmt w:val="bullet"/>
      <w:start w:val="1"/>
    </w:lvl>
  </w:abstractNum>
  <w:abstractNum w:abstractNumId="63">
    <w:nsid w:val="6AA7B75C"/>
    <w:multiLevelType w:val="hybridMultilevel"/>
    <w:lvl w:ilvl="0">
      <w:lvlJc w:val="left"/>
      <w:lvlText w:val="•"/>
      <w:numFmt w:val="bullet"/>
      <w:start w:val="1"/>
    </w:lvl>
  </w:abstractNum>
  <w:abstractNum w:abstractNumId="64">
    <w:nsid w:val="1DF029D3"/>
    <w:multiLevelType w:val="hybridMultilevel"/>
    <w:lvl w:ilvl="0">
      <w:lvlJc w:val="left"/>
      <w:lvlText w:val="•"/>
      <w:numFmt w:val="bullet"/>
      <w:start w:val="1"/>
    </w:lvl>
  </w:abstractNum>
  <w:abstractNum w:abstractNumId="65">
    <w:nsid w:val="5675FF36"/>
    <w:multiLevelType w:val="hybridMultilevel"/>
    <w:lvl w:ilvl="0">
      <w:lvlJc w:val="left"/>
      <w:lvlText w:val="•"/>
      <w:numFmt w:val="bullet"/>
      <w:start w:val="1"/>
    </w:lvl>
  </w:abstractNum>
  <w:abstractNum w:abstractNumId="66">
    <w:nsid w:val="3DD15094"/>
    <w:multiLevelType w:val="hybridMultilevel"/>
    <w:lvl w:ilvl="0">
      <w:lvlJc w:val="left"/>
      <w:lvlText w:val="(%1)"/>
      <w:numFmt w:val="decimal"/>
      <w:start w:val="1"/>
    </w:lvl>
  </w:abstractNum>
  <w:abstractNum w:abstractNumId="67">
    <w:nsid w:val="3DB012B3"/>
    <w:multiLevelType w:val="hybridMultilevel"/>
    <w:lvl w:ilvl="0">
      <w:lvlJc w:val="left"/>
      <w:lvlText w:val="(%1)"/>
      <w:numFmt w:val="decimal"/>
      <w:start w:val="1"/>
    </w:lvl>
  </w:abstractNum>
  <w:abstractNum w:abstractNumId="68">
    <w:nsid w:val="2708C9AF"/>
    <w:multiLevelType w:val="hybridMultilevel"/>
    <w:lvl w:ilvl="0">
      <w:lvlJc w:val="left"/>
      <w:lvlText w:val="(%1)"/>
      <w:numFmt w:val="lowerRoman"/>
      <w:start w:val="2"/>
    </w:lvl>
  </w:abstractNum>
  <w:abstractNum w:abstractNumId="69">
    <w:nsid w:val="5B25ACE2"/>
    <w:multiLevelType w:val="hybridMultilevel"/>
    <w:lvl w:ilvl="0">
      <w:lvlJc w:val="left"/>
      <w:lvlText w:val="(%1)"/>
      <w:numFmt w:val="decimal"/>
      <w:start w:val="1"/>
    </w:lvl>
  </w:abstractNum>
  <w:abstractNum w:abstractNumId="70">
    <w:nsid w:val="175DFCF0"/>
    <w:multiLevelType w:val="hybridMultilevel"/>
    <w:lvl w:ilvl="0">
      <w:lvlJc w:val="left"/>
      <w:lvlText w:val="(%1)"/>
      <w:numFmt w:val="decimal"/>
      <w:start w:val="1"/>
    </w:lvl>
  </w:abstractNum>
  <w:abstractNum w:abstractNumId="71">
    <w:nsid w:val="4F97E3E4"/>
    <w:multiLevelType w:val="hybridMultilevel"/>
    <w:lvl w:ilvl="0">
      <w:lvlJc w:val="left"/>
      <w:lvlText w:val="(%1)"/>
      <w:numFmt w:val="decimal"/>
      <w:start w:val="1"/>
    </w:lvl>
  </w:abstractNum>
  <w:abstractNum w:abstractNumId="72">
    <w:nsid w:val="53B0A9E"/>
    <w:multiLevelType w:val="hybridMultilevel"/>
    <w:lvl w:ilvl="0">
      <w:lvlJc w:val="left"/>
      <w:lvlText w:val="(%1)"/>
      <w:numFmt w:val="decimal"/>
      <w:start w:val="1"/>
    </w:lvl>
  </w:abstractNum>
  <w:abstractNum w:abstractNumId="73">
    <w:nsid w:val="34FD6B4F"/>
    <w:multiLevelType w:val="hybridMultilevel"/>
    <w:lvl w:ilvl="0">
      <w:lvlJc w:val="left"/>
      <w:lvlText w:val="(%1)"/>
      <w:numFmt w:val="decimal"/>
      <w:start w:val="1"/>
    </w:lvl>
  </w:abstractNum>
  <w:abstractNum w:abstractNumId="74">
    <w:nsid w:val="5915FF32"/>
    <w:multiLevelType w:val="hybridMultilevel"/>
    <w:lvl w:ilvl="0">
      <w:lvlJc w:val="left"/>
      <w:lvlText w:val="•"/>
      <w:numFmt w:val="bullet"/>
      <w:start w:val="1"/>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
      <w:numFmt w:val="bullet"/>
      <w:start w:val="1"/>
    </w:lvl>
  </w:abstractNum>
  <w:abstractNum w:abstractNumId="77">
    <w:nsid w:val="2C6E4AFD"/>
    <w:multiLevelType w:val="hybridMultilevel"/>
    <w:lvl w:ilvl="0">
      <w:lvlJc w:val="left"/>
      <w:lvlText w:val="*"/>
      <w:numFmt w:val="bullet"/>
      <w:start w:val="1"/>
    </w:lvl>
  </w:abstractNum>
  <w:abstractNum w:abstractNumId="78">
    <w:nsid w:val="17A1B582"/>
    <w:multiLevelType w:val="hybridMultilevel"/>
    <w:lvl w:ilvl="0">
      <w:lvlJc w:val="left"/>
      <w:lvlText w:val="(%1)"/>
      <w:numFmt w:val="decimal"/>
      <w:start w:val="1"/>
    </w:lvl>
  </w:abstractNum>
  <w:abstractNum w:abstractNumId="79">
    <w:nsid w:val="4DF72E4E"/>
    <w:multiLevelType w:val="hybridMultilevel"/>
    <w:lvl w:ilvl="0">
      <w:lvlJc w:val="left"/>
      <w:lvlText w:val="(%1)"/>
      <w:numFmt w:val="decimal"/>
      <w:start w:val="2"/>
    </w:lvl>
  </w:abstractNum>
  <w:abstractNum w:abstractNumId="80">
    <w:nsid w:val="5046B5A9"/>
    <w:multiLevelType w:val="hybridMultilevel"/>
    <w:lvl w:ilvl="0">
      <w:lvlJc w:val="left"/>
      <w:lvlText w:val="(%1)"/>
      <w:numFmt w:val="lowerRoman"/>
      <w:start w:val="1"/>
    </w:lvl>
  </w:abstractNum>
  <w:abstractNum w:abstractNumId="81">
    <w:nsid w:val="5D888A08"/>
    <w:multiLevelType w:val="hybridMultilevel"/>
    <w:lvl w:ilvl="0">
      <w:lvlJc w:val="left"/>
      <w:lvlText w:val="(%1)"/>
      <w:numFmt w:val="lowerRoman"/>
      <w:start w:val="4"/>
    </w:lvl>
  </w:abstractNum>
  <w:abstractNum w:abstractNumId="82">
    <w:nsid w:val="2A082C70"/>
    <w:multiLevelType w:val="hybridMultilevel"/>
    <w:lvl w:ilvl="0">
      <w:lvlJc w:val="left"/>
      <w:lvlText w:val="%1."/>
      <w:numFmt w:val="decimal"/>
      <w:start w:val="1"/>
    </w:lvl>
  </w:abstractNum>
  <w:abstractNum w:abstractNumId="83">
    <w:nsid w:val="5EC6AFD4"/>
    <w:multiLevelType w:val="hybridMultilevel"/>
    <w:lvl w:ilvl="0">
      <w:lvlJc w:val="left"/>
      <w:lvlText w:val="•"/>
      <w:numFmt w:val="bullet"/>
      <w:start w:val="1"/>
    </w:lvl>
  </w:abstractNum>
  <w:abstractNum w:abstractNumId="84">
    <w:nsid w:val="19E21BB2"/>
    <w:multiLevelType w:val="hybridMultilevel"/>
    <w:lvl w:ilvl="0">
      <w:lvlJc w:val="left"/>
      <w:lvlText w:val="•"/>
      <w:numFmt w:val="bullet"/>
      <w:start w:val="1"/>
    </w:lvl>
  </w:abstractNum>
  <w:abstractNum w:abstractNumId="85">
    <w:nsid w:val="75E0858A"/>
    <w:multiLevelType w:val="hybridMultilevel"/>
    <w:lvl w:ilvl="0">
      <w:lvlJc w:val="left"/>
      <w:lvlText w:val="(%1)"/>
      <w:numFmt w:val="decimal"/>
      <w:start w:val="1"/>
    </w:lvl>
  </w:abstractNum>
  <w:abstractNum w:abstractNumId="86">
    <w:nsid w:val="57A61A29"/>
    <w:multiLevelType w:val="hybridMultilevel"/>
    <w:lvl w:ilvl="0">
      <w:lvlJc w:val="left"/>
      <w:lvlText w:val="(%1)"/>
      <w:numFmt w:val="decimal"/>
      <w:start w:val="2"/>
    </w:lvl>
  </w:abstractNum>
  <w:abstractNum w:abstractNumId="87">
    <w:nsid w:val="5399C654"/>
    <w:multiLevelType w:val="hybridMultilevel"/>
    <w:lvl w:ilvl="0">
      <w:lvlJc w:val="left"/>
      <w:lvlText w:val="(%1)"/>
      <w:numFmt w:val="decimal"/>
      <w:start w:val="1"/>
    </w:lvl>
  </w:abstractNum>
  <w:abstractNum w:abstractNumId="88">
    <w:nsid w:val="20EE1348"/>
    <w:multiLevelType w:val="hybridMultilevel"/>
    <w:lvl w:ilvl="0">
      <w:lvlJc w:val="left"/>
      <w:lvlText w:val="(%1)"/>
      <w:numFmt w:val="lowerRoman"/>
      <w:start w:val="3"/>
    </w:lvl>
  </w:abstractNum>
  <w:abstractNum w:abstractNumId="89">
    <w:nsid w:val="4427069A"/>
    <w:multiLevelType w:val="hybridMultilevel"/>
    <w:lvl w:ilvl="0">
      <w:lvlJc w:val="left"/>
      <w:lvlText w:val="(%1)"/>
      <w:numFmt w:val="decimal"/>
      <w:start w:val="1"/>
    </w:lvl>
  </w:abstractNum>
  <w:abstractNum w:abstractNumId="90">
    <w:nsid w:val="B37E80A"/>
    <w:multiLevelType w:val="hybridMultilevel"/>
    <w:lvl w:ilvl="0">
      <w:lvlJc w:val="left"/>
      <w:lvlText w:val="(%1)"/>
      <w:numFmt w:val="decimal"/>
      <w:start w:val="4"/>
    </w:lvl>
  </w:abstractNum>
  <w:abstractNum w:abstractNumId="91">
    <w:nsid w:val="2157F6BC"/>
    <w:multiLevelType w:val="hybridMultilevel"/>
    <w:lvl w:ilvl="0">
      <w:lvlJc w:val="left"/>
      <w:lvlText w:val="(%1)"/>
      <w:numFmt w:val="decimal"/>
      <w:start w:val="1"/>
    </w:lvl>
  </w:abstractNum>
  <w:abstractNum w:abstractNumId="92">
    <w:nsid w:val="704E1DD5"/>
    <w:multiLevelType w:val="hybridMultilevel"/>
    <w:lvl w:ilvl="0">
      <w:lvlJc w:val="left"/>
      <w:lvlText w:val="(%1)"/>
      <w:numFmt w:val="decimal"/>
      <w:start w:val="1"/>
    </w:lvl>
  </w:abstractNum>
  <w:abstractNum w:abstractNumId="93">
    <w:nsid w:val="57D2F10E"/>
    <w:multiLevelType w:val="hybridMultilevel"/>
    <w:lvl w:ilvl="0">
      <w:lvlJc w:val="left"/>
      <w:lvlText w:val="(%1)"/>
      <w:numFmt w:val="decimal"/>
      <w:start w:val="3"/>
    </w:lvl>
  </w:abstractNum>
  <w:abstractNum w:abstractNumId="94">
    <w:nsid w:val="BFFAE18"/>
    <w:multiLevelType w:val="hybridMultilevel"/>
    <w:lvl w:ilvl="0">
      <w:lvlJc w:val="left"/>
      <w:lvlText w:val="(%1)"/>
      <w:numFmt w:val="decimal"/>
      <w:start w:val="1"/>
    </w:lvl>
  </w:abstractNum>
  <w:abstractNum w:abstractNumId="95">
    <w:nsid w:val="E3E47A8"/>
    <w:multiLevelType w:val="hybridMultilevel"/>
    <w:lvl w:ilvl="0">
      <w:lvlJc w:val="left"/>
      <w:lvlText w:val="(%1)"/>
      <w:numFmt w:val="decimal"/>
      <w:start w:val="3"/>
    </w:lvl>
  </w:abstractNum>
  <w:abstractNum w:abstractNumId="96">
    <w:nsid w:val="2E48F044"/>
    <w:multiLevelType w:val="hybridMultilevel"/>
    <w:lvl w:ilvl="0">
      <w:lvlJc w:val="left"/>
      <w:lvlText w:val="(%1)"/>
      <w:numFmt w:val="decimal"/>
      <w:start w:val="3"/>
    </w:lvl>
  </w:abstractNum>
  <w:abstractNum w:abstractNumId="97">
    <w:nsid w:val="49D0FEAC"/>
    <w:multiLevelType w:val="hybridMultilevel"/>
    <w:lvl w:ilvl="0">
      <w:lvlJc w:val="left"/>
      <w:lvlText w:val="(%1)"/>
      <w:numFmt w:val="decimal"/>
      <w:start w:val="11"/>
    </w:lvl>
  </w:abstractNum>
  <w:abstractNum w:abstractNumId="98">
    <w:nsid w:val="4BEE5A5B"/>
    <w:multiLevelType w:val="hybridMultilevel"/>
    <w:lvl w:ilvl="0">
      <w:lvlJc w:val="left"/>
      <w:lvlText w:val="(%1)"/>
      <w:numFmt w:val="decimal"/>
      <w:start w:val="3"/>
    </w:lvl>
  </w:abstractNum>
  <w:abstractNum w:abstractNumId="99">
    <w:nsid w:val="5551B9F3"/>
    <w:multiLevelType w:val="hybridMultilevel"/>
    <w:lvl w:ilvl="0">
      <w:lvlJc w:val="left"/>
      <w:lvlText w:val="(%1)"/>
      <w:numFmt w:val="decimal"/>
      <w:start w:val="3"/>
    </w:lvl>
  </w:abstractNum>
  <w:abstractNum w:abstractNumId="100">
    <w:nsid w:val="24F6AB8E"/>
    <w:multiLevelType w:val="hybridMultilevel"/>
    <w:lvl w:ilvl="0">
      <w:lvlJc w:val="left"/>
      <w:lvlText w:val="(%1)"/>
      <w:numFmt w:val="decimal"/>
      <w:start w:val="3"/>
    </w:lvl>
  </w:abstractNum>
  <w:abstractNum w:abstractNumId="101">
    <w:nsid w:val="634C574C"/>
    <w:multiLevelType w:val="hybridMultilevel"/>
    <w:lvl w:ilvl="0">
      <w:lvlJc w:val="left"/>
      <w:lvlText w:val="(%1)"/>
      <w:numFmt w:val="decimal"/>
      <w:start w:val="1"/>
    </w:lvl>
  </w:abstractNum>
  <w:abstractNum w:abstractNumId="102">
    <w:nsid w:val="24E99DD7"/>
    <w:multiLevelType w:val="hybridMultilevel"/>
    <w:lvl w:ilvl="0">
      <w:lvlJc w:val="left"/>
      <w:lvlText w:val="(%1)"/>
      <w:numFmt w:val="lowerRoman"/>
      <w:start w:val="2"/>
    </w:lvl>
  </w:abstractNum>
  <w:abstractNum w:abstractNumId="103">
    <w:nsid w:val="2A31B62D"/>
    <w:multiLevelType w:val="hybridMultilevel"/>
    <w:lvl w:ilvl="0">
      <w:lvlJc w:val="left"/>
      <w:lvlText w:val="(%1)"/>
      <w:numFmt w:val="decimal"/>
      <w:start w:val="2"/>
    </w:lvl>
  </w:abstractNum>
  <w:abstractNum w:abstractNumId="104">
    <w:nsid w:val="1849C29B"/>
    <w:multiLevelType w:val="hybridMultilevel"/>
    <w:lvl w:ilvl="0">
      <w:lvlJc w:val="left"/>
      <w:lvlText w:val="(%1)"/>
      <w:numFmt w:val="decimal"/>
      <w:start w:val="4"/>
    </w:lvl>
  </w:abstractNum>
  <w:abstractNum w:abstractNumId="105">
    <w:nsid w:val="7DFF9D09"/>
    <w:multiLevelType w:val="hybridMultilevel"/>
    <w:lvl w:ilvl="0">
      <w:lvlJc w:val="left"/>
      <w:lvlText w:val="(%1)"/>
      <w:numFmt w:val="decimal"/>
      <w:start w:val="5"/>
    </w:lvl>
    <w:lvl w:ilvl="1">
      <w:lvlJc w:val="left"/>
      <w:lvlText w:val="(%2)"/>
      <w:numFmt w:val="lowerRoman"/>
      <w:start w:val="1"/>
    </w:lvl>
  </w:abstractNum>
  <w:abstractNum w:abstractNumId="106">
    <w:nsid w:val="754342"/>
    <w:multiLevelType w:val="hybridMultilevel"/>
    <w:lvl w:ilvl="0">
      <w:lvlJc w:val="left"/>
      <w:lvlText w:val="%1"/>
      <w:numFmt w:val="decimal"/>
      <w:start w:val="1"/>
    </w:lvl>
    <w:lvl w:ilvl="1">
      <w:lvlJc w:val="left"/>
      <w:lvlText w:val="(%2)"/>
      <w:numFmt w:val="lowerRoman"/>
      <w:start w:val="3"/>
    </w:lvl>
  </w:abstractNum>
  <w:abstractNum w:abstractNumId="107">
    <w:nsid w:val="69E7F3E5"/>
    <w:multiLevelType w:val="hybridMultilevel"/>
    <w:lvl w:ilvl="0">
      <w:lvlJc w:val="left"/>
      <w:lvlText w:val="%1"/>
      <w:numFmt w:val="decimal"/>
      <w:start w:val="1"/>
    </w:lvl>
    <w:lvl w:ilvl="1">
      <w:lvlJc w:val="left"/>
      <w:lvlText w:val="(%2)"/>
      <w:numFmt w:val="lowerRoman"/>
      <w:start w:val="1"/>
    </w:lvl>
  </w:abstractNum>
  <w:abstractNum w:abstractNumId="108">
    <w:nsid w:val="2A6DE806"/>
    <w:multiLevelType w:val="hybridMultilevel"/>
    <w:lvl w:ilvl="0">
      <w:lvlJc w:val="left"/>
      <w:lvlText w:val="(%1)"/>
      <w:numFmt w:val="decimal"/>
      <w:start w:val="6"/>
    </w:lvl>
  </w:abstractNum>
  <w:abstractNum w:abstractNumId="109">
    <w:nsid w:val="1816F8C4"/>
    <w:multiLevelType w:val="hybridMultilevel"/>
    <w:lvl w:ilvl="0">
      <w:lvlJc w:val="left"/>
      <w:lvlText w:val="(%1)"/>
      <w:numFmt w:val="decimal"/>
      <w:start w:val="9"/>
    </w:lvl>
  </w:abstractNum>
  <w:abstractNum w:abstractNumId="110">
    <w:nsid w:val="37DF2233"/>
    <w:multiLevelType w:val="hybridMultilevel"/>
    <w:lvl w:ilvl="0">
      <w:lvlJc w:val="left"/>
      <w:lvlText w:val="(%1)"/>
      <w:numFmt w:val="decimal"/>
      <w:start w:val="10"/>
    </w:lvl>
  </w:abstractNum>
  <w:abstractNum w:abstractNumId="111">
    <w:nsid w:val="7AB49DAF"/>
    <w:multiLevelType w:val="hybridMultilevel"/>
    <w:lvl w:ilvl="0">
      <w:lvlJc w:val="left"/>
      <w:lvlText w:val="(%1)"/>
      <w:numFmt w:val="decimal"/>
      <w:start w:val="1"/>
    </w:lvl>
  </w:abstractNum>
  <w:abstractNum w:abstractNumId="112">
    <w:nsid w:val="759F82CD"/>
    <w:multiLevelType w:val="hybridMultilevel"/>
    <w:lvl w:ilvl="0">
      <w:lvlJc w:val="left"/>
      <w:lvlText w:val="(%1)"/>
      <w:numFmt w:val="decimal"/>
      <w:start w:val="3"/>
    </w:lvl>
  </w:abstractNum>
  <w:abstractNum w:abstractNumId="113">
    <w:nsid w:val="61E74EA3"/>
    <w:multiLevelType w:val="hybridMultilevel"/>
    <w:lvl w:ilvl="0">
      <w:lvlJc w:val="left"/>
      <w:lvlText w:val="•"/>
      <w:numFmt w:val="bullet"/>
      <w:start w:val="1"/>
    </w:lvl>
  </w:abstractNum>
  <w:abstractNum w:abstractNumId="114">
    <w:nsid w:val="597B4D84"/>
    <w:multiLevelType w:val="hybridMultilevel"/>
    <w:lvl w:ilvl="0">
      <w:lvlJc w:val="left"/>
      <w:lvlText w:val="(%1)"/>
      <w:numFmt w:val="decimal"/>
      <w:start w:val="1"/>
    </w:lvl>
    <w:lvl w:ilvl="1">
      <w:lvlJc w:val="left"/>
      <w:lvlText w:val="(%2)"/>
      <w:numFmt w:val="lowerRoman"/>
      <w:start w:val="2"/>
    </w:lvl>
  </w:abstractNum>
  <w:abstractNum w:abstractNumId="115">
    <w:nsid w:val="F819E7F"/>
    <w:multiLevelType w:val="hybridMultilevel"/>
    <w:lvl w:ilvl="0">
      <w:lvlJc w:val="left"/>
      <w:lvlText w:val="(%1)"/>
      <w:numFmt w:val="decimal"/>
      <w:start w:val="10"/>
    </w:lvl>
  </w:abstractNum>
  <w:abstractNum w:abstractNumId="116">
    <w:nsid w:val="57C7D42D"/>
    <w:multiLevelType w:val="hybridMultilevel"/>
    <w:lvl w:ilvl="0">
      <w:lvlJc w:val="left"/>
      <w:lvlText w:val="(%1)"/>
      <w:numFmt w:val="decimal"/>
      <w:start w:val="1"/>
    </w:lvl>
  </w:abstractNum>
  <w:abstractNum w:abstractNumId="117">
    <w:nsid w:val="312167AD"/>
    <w:multiLevelType w:val="hybridMultilevel"/>
    <w:lvl w:ilvl="0">
      <w:lvlJc w:val="left"/>
      <w:lvlText w:val="(%1)"/>
      <w:numFmt w:val="decimal"/>
      <w:start w:val="1"/>
    </w:lvl>
  </w:abstractNum>
  <w:abstractNum w:abstractNumId="118">
    <w:nsid w:val="631B64D4"/>
    <w:multiLevelType w:val="hybridMultilevel"/>
    <w:lvl w:ilvl="0">
      <w:lvlJc w:val="left"/>
      <w:lvlText w:val="•"/>
      <w:numFmt w:val="bullet"/>
      <w:start w:val="1"/>
    </w:lvl>
  </w:abstractNum>
  <w:abstractNum w:abstractNumId="119">
    <w:nsid w:val="78B5E776"/>
    <w:multiLevelType w:val="hybridMultilevel"/>
    <w:lvl w:ilvl="0">
      <w:lvlJc w:val="left"/>
      <w:lvlText w:val="•"/>
      <w:numFmt w:val="bullet"/>
      <w:start w:val="1"/>
    </w:lvl>
  </w:abstractNum>
  <w:abstractNum w:abstractNumId="120">
    <w:nsid w:val="75486E47"/>
    <w:multiLevelType w:val="hybridMultilevel"/>
    <w:lvl w:ilvl="0">
      <w:lvlJc w:val="left"/>
      <w:lvlText w:val="•"/>
      <w:numFmt w:val="bullet"/>
      <w:start w:val="1"/>
    </w:lvl>
  </w:abstractNum>
  <w:abstractNum w:abstractNumId="121">
    <w:nsid w:val="6E534CDE"/>
    <w:multiLevelType w:val="hybridMultilevel"/>
    <w:lvl w:ilvl="0">
      <w:lvlJc w:val="left"/>
      <w:lvlText w:val="(%1)"/>
      <w:numFmt w:val="decimal"/>
      <w:start w:val="1"/>
    </w:lvl>
  </w:abstractNum>
  <w:abstractNum w:abstractNumId="122">
    <w:nsid w:val="1A0DDE32"/>
    <w:multiLevelType w:val="hybridMultilevel"/>
    <w:lvl w:ilvl="0">
      <w:lvlJc w:val="left"/>
      <w:lvlText w:val="(%1)"/>
      <w:numFmt w:val="lowerLetter"/>
      <w:start w:val="1"/>
    </w:lvl>
  </w:abstractNum>
  <w:abstractNum w:abstractNumId="123">
    <w:nsid w:val="65968C1C"/>
    <w:multiLevelType w:val="hybridMultilevel"/>
    <w:lvl w:ilvl="0">
      <w:lvlJc w:val="left"/>
      <w:lvlText w:val="(%1)"/>
      <w:numFmt w:val="decimal"/>
      <w:start w:val="2"/>
    </w:lvl>
  </w:abstractNum>
  <w:abstractNum w:abstractNumId="124">
    <w:nsid w:val="46263DEC"/>
    <w:multiLevelType w:val="hybridMultilevel"/>
    <w:lvl w:ilvl="0">
      <w:lvlJc w:val="left"/>
      <w:lvlText w:val="(%1)"/>
      <w:numFmt w:val="decimal"/>
      <w:start w:val="3"/>
    </w:lvl>
  </w:abstractNum>
  <w:abstractNum w:abstractNumId="125">
    <w:nsid w:val="260D8C4A"/>
    <w:multiLevelType w:val="hybridMultilevel"/>
    <w:lvl w:ilvl="0">
      <w:lvlJc w:val="left"/>
      <w:lvlText w:val="•"/>
      <w:numFmt w:val="bullet"/>
      <w:start w:val="1"/>
    </w:lvl>
  </w:abstractNum>
  <w:abstractNum w:abstractNumId="126">
    <w:nsid w:val="73D4D3C4"/>
    <w:multiLevelType w:val="hybridMultilevel"/>
    <w:lvl w:ilvl="0">
      <w:lvlJc w:val="left"/>
      <w:lvlText w:val="•"/>
      <w:numFmt w:val="bullet"/>
      <w:start w:val="1"/>
    </w:lvl>
  </w:abstractNum>
  <w:abstractNum w:abstractNumId="127">
    <w:nsid w:val="746F2E30"/>
    <w:multiLevelType w:val="hybridMultilevel"/>
    <w:lvl w:ilvl="0">
      <w:lvlJc w:val="left"/>
      <w:lvlText w:val="(%1)"/>
      <w:numFmt w:val="lowerRoman"/>
      <w:start w:val="1"/>
    </w:lvl>
  </w:abstractNum>
  <w:abstractNum w:abstractNumId="128">
    <w:nsid w:val="6FDE8AF6"/>
    <w:multiLevelType w:val="hybridMultilevel"/>
    <w:lvl w:ilvl="0">
      <w:lvlJc w:val="left"/>
      <w:lvlText w:val="(%1)"/>
      <w:numFmt w:val="lowerRoman"/>
      <w:start w:val="1"/>
    </w:lvl>
  </w:abstractNum>
  <w:abstractNum w:abstractNumId="129">
    <w:nsid w:val="3FC32E20"/>
    <w:multiLevelType w:val="hybridMultilevel"/>
    <w:lvl w:ilvl="0">
      <w:lvlJc w:val="left"/>
      <w:lvlText w:val="(%1)"/>
      <w:numFmt w:val="decimal"/>
      <w:start w:val="1"/>
    </w:lvl>
  </w:abstractNum>
  <w:abstractNum w:abstractNumId="130">
    <w:nsid w:val="49C0E823"/>
    <w:multiLevelType w:val="hybridMultilevel"/>
    <w:lvl w:ilvl="0">
      <w:lvlJc w:val="left"/>
      <w:lvlText w:val="(%1)"/>
      <w:numFmt w:val="decimal"/>
      <w:start w:val="1"/>
    </w:lvl>
  </w:abstractNum>
  <w:abstractNum w:abstractNumId="131">
    <w:nsid w:val="14D53685"/>
    <w:multiLevelType w:val="hybridMultilevel"/>
    <w:lvl w:ilvl="0">
      <w:lvlJc w:val="left"/>
      <w:lvlText w:val="•"/>
      <w:numFmt w:val="bullet"/>
      <w:start w:val="1"/>
    </w:lvl>
  </w:abstractNum>
  <w:abstractNum w:abstractNumId="132">
    <w:nsid w:val="230F856C"/>
    <w:multiLevelType w:val="hybridMultilevel"/>
    <w:lvl w:ilvl="0">
      <w:lvlJc w:val="left"/>
      <w:lvlText w:val="(%1)"/>
      <w:numFmt w:val="decimal"/>
      <w:start w:val="1"/>
    </w:lvl>
  </w:abstractNum>
  <w:abstractNum w:abstractNumId="133">
    <w:nsid w:val="6EAA85FB"/>
    <w:multiLevelType w:val="hybridMultilevel"/>
    <w:lvl w:ilvl="0">
      <w:lvlJc w:val="left"/>
      <w:lvlText w:val="(%1)"/>
      <w:numFmt w:val="decimal"/>
      <w:start w:val="1"/>
    </w:lvl>
  </w:abstractNum>
  <w:abstractNum w:abstractNumId="134">
    <w:nsid w:val="3F06ECB2"/>
    <w:multiLevelType w:val="hybridMultilevel"/>
    <w:lvl w:ilvl="0">
      <w:lvlJc w:val="left"/>
      <w:lvlText w:val="(%1)"/>
      <w:numFmt w:val="decimal"/>
      <w:start w:val="1"/>
    </w:lvl>
  </w:abstractNum>
  <w:abstractNum w:abstractNumId="135">
    <w:nsid w:val="3B594807"/>
    <w:multiLevelType w:val="hybridMultilevel"/>
    <w:lvl w:ilvl="0">
      <w:lvlJc w:val="left"/>
      <w:lvlText w:val="(%1)"/>
      <w:numFmt w:val="decimal"/>
      <w:start w:val="1"/>
    </w:lvl>
  </w:abstractNum>
  <w:abstractNum w:abstractNumId="136">
    <w:nsid w:val="6CAA2304"/>
    <w:multiLevelType w:val="hybridMultilevel"/>
    <w:lvl w:ilvl="0">
      <w:lvlJc w:val="left"/>
      <w:lvlText w:val="(%1)"/>
      <w:numFmt w:val="decimal"/>
      <w:start w:val="3"/>
    </w:lvl>
  </w:abstractNum>
  <w:abstractNum w:abstractNumId="137">
    <w:nsid w:val="3F7C2FF4"/>
    <w:multiLevelType w:val="hybridMultilevel"/>
    <w:lvl w:ilvl="0">
      <w:lvlJc w:val="left"/>
      <w:lvlText w:val="•"/>
      <w:numFmt w:val="bullet"/>
      <w:start w:val="1"/>
    </w:lvl>
  </w:abstractNum>
  <w:abstractNum w:abstractNumId="138">
    <w:nsid w:val="25413BEC"/>
    <w:multiLevelType w:val="hybridMultilevel"/>
    <w:lvl w:ilvl="0">
      <w:lvlJc w:val="left"/>
      <w:lvlText w:val="(%1)"/>
      <w:numFmt w:val="decimal"/>
      <w:start w:val="1"/>
    </w:lvl>
  </w:abstractNum>
  <w:abstractNum w:abstractNumId="139">
    <w:nsid w:val="17180B0B"/>
    <w:multiLevelType w:val="hybridMultilevel"/>
    <w:lvl w:ilvl="0">
      <w:lvlJc w:val="left"/>
      <w:lvlText w:val="(%1)"/>
      <w:numFmt w:val="decimal"/>
      <w:start w:val="1"/>
    </w:lvl>
  </w:abstractNum>
  <w:abstractNum w:abstractNumId="140">
    <w:nsid w:val="579328B9"/>
    <w:multiLevelType w:val="hybridMultilevel"/>
    <w:lvl w:ilvl="0">
      <w:lvlJc w:val="left"/>
      <w:lvlText w:val="(%1)"/>
      <w:numFmt w:val="decimal"/>
      <w:start w:val="1"/>
    </w:lvl>
  </w:abstractNum>
  <w:abstractNum w:abstractNumId="141">
    <w:nsid w:val="5D205E20"/>
    <w:multiLevelType w:val="hybridMultilevel"/>
    <w:lvl w:ilvl="0">
      <w:lvlJc w:val="left"/>
      <w:lvlText w:val="(%1)"/>
      <w:numFmt w:val="lowerRoman"/>
      <w:start w:val="2"/>
    </w:lvl>
  </w:abstractNum>
  <w:abstractNum w:abstractNumId="142">
    <w:nsid w:val="11CCA8BA"/>
    <w:multiLevelType w:val="hybridMultilevel"/>
    <w:lvl w:ilvl="0">
      <w:lvlJc w:val="left"/>
      <w:lvlText w:val="(%1)"/>
      <w:numFmt w:val="decimal"/>
      <w:start w:val="1"/>
    </w:lvl>
  </w:abstractNum>
  <w:abstractNum w:abstractNumId="143">
    <w:nsid w:val="4D32AB86"/>
    <w:multiLevelType w:val="hybridMultilevel"/>
    <w:lvl w:ilvl="0">
      <w:lvlJc w:val="left"/>
      <w:lvlText w:val="(%1)"/>
      <w:numFmt w:val="decimal"/>
      <w:start w:val="1"/>
    </w:lvl>
  </w:abstractNum>
  <w:abstractNum w:abstractNumId="144">
    <w:nsid w:val="3F07ACC3"/>
    <w:multiLevelType w:val="hybridMultilevel"/>
    <w:lvl w:ilvl="0">
      <w:lvlJc w:val="left"/>
      <w:lvlText w:val="•"/>
      <w:numFmt w:val="bullet"/>
      <w:start w:val="1"/>
    </w:lvl>
  </w:abstractNum>
  <w:abstractNum w:abstractNumId="145">
    <w:nsid w:val="6B47F63E"/>
    <w:multiLevelType w:val="hybridMultilevel"/>
    <w:lvl w:ilvl="0">
      <w:lvlJc w:val="left"/>
      <w:lvlText w:val="(%1)"/>
      <w:numFmt w:val="decimal"/>
      <w:start w:val="1"/>
    </w:lvl>
  </w:abstractNum>
  <w:abstractNum w:abstractNumId="146">
    <w:nsid w:val="5CB44A05"/>
    <w:multiLevelType w:val="hybridMultilevel"/>
    <w:lvl w:ilvl="0">
      <w:lvlJc w:val="left"/>
      <w:lvlText w:val="(%1)"/>
      <w:numFmt w:val="decimal"/>
      <w:start w:val="1"/>
    </w:lvl>
  </w:abstractNum>
  <w:abstractNum w:abstractNumId="147">
    <w:nsid w:val="16CF80F1"/>
    <w:multiLevelType w:val="hybridMultilevel"/>
    <w:lvl w:ilvl="0">
      <w:lvlJc w:val="left"/>
      <w:lvlText w:val="•"/>
      <w:numFmt w:val="bullet"/>
      <w:start w:val="1"/>
    </w:lvl>
  </w:abstractNum>
  <w:abstractNum w:abstractNumId="148">
    <w:nsid w:val="1C695DEC"/>
    <w:multiLevelType w:val="hybridMultilevel"/>
    <w:lvl w:ilvl="0">
      <w:lvlJc w:val="left"/>
      <w:lvlText w:val="(%1)"/>
      <w:numFmt w:val="decimal"/>
      <w:start w:val="1"/>
    </w:lvl>
  </w:abstractNum>
  <w:abstractNum w:abstractNumId="149">
    <w:nsid w:val="3FCFAED9"/>
    <w:multiLevelType w:val="hybridMultilevel"/>
    <w:lvl w:ilvl="0">
      <w:lvlJc w:val="left"/>
      <w:lvlText w:val="(%1)"/>
      <w:numFmt w:val="decimal"/>
      <w:start w:val="1"/>
    </w:lvl>
  </w:abstractNum>
  <w:abstractNum w:abstractNumId="150">
    <w:nsid w:val="F856867"/>
    <w:multiLevelType w:val="hybridMultilevel"/>
    <w:lvl w:ilvl="0">
      <w:lvlJc w:val="left"/>
      <w:lvlText w:val="(%1)"/>
      <w:numFmt w:val="decimal"/>
      <w:start w:val="1"/>
    </w:lvl>
  </w:abstractNum>
  <w:abstractNum w:abstractNumId="151">
    <w:nsid w:val="11B1CC33"/>
    <w:multiLevelType w:val="hybridMultilevel"/>
    <w:lvl w:ilvl="0">
      <w:lvlJc w:val="left"/>
      <w:lvlText w:val="(%1)"/>
      <w:numFmt w:val="decimal"/>
      <w:start w:val="1"/>
    </w:lvl>
  </w:abstractNum>
  <w:abstractNum w:abstractNumId="152">
    <w:nsid w:val="2E22FBB7"/>
    <w:multiLevelType w:val="hybridMultilevel"/>
    <w:lvl w:ilvl="0">
      <w:lvlJc w:val="left"/>
      <w:lvlText w:val="(%1)"/>
      <w:numFmt w:val="decimal"/>
      <w:start w:val="1"/>
    </w:lvl>
  </w:abstractNum>
  <w:abstractNum w:abstractNumId="153">
    <w:nsid w:val="29934699"/>
    <w:multiLevelType w:val="hybridMultilevel"/>
    <w:lvl w:ilvl="0">
      <w:lvlJc w:val="left"/>
      <w:lvlText w:val="(%1)"/>
      <w:numFmt w:val="decimal"/>
      <w:start w:val="1"/>
    </w:lvl>
  </w:abstractNum>
  <w:abstractNum w:abstractNumId="154">
    <w:nsid w:val="77485850"/>
    <w:multiLevelType w:val="hybridMultilevel"/>
    <w:lvl w:ilvl="0">
      <w:lvlJc w:val="left"/>
      <w:lvlText w:val="(%1)"/>
      <w:numFmt w:val="decimal"/>
      <w:start w:val="1"/>
    </w:lvl>
  </w:abstractNum>
  <w:abstractNum w:abstractNumId="155">
    <w:nsid w:val="744939A3"/>
    <w:multiLevelType w:val="hybridMultilevel"/>
    <w:lvl w:ilvl="0">
      <w:lvlJc w:val="left"/>
      <w:lvlText w:val="(%1)"/>
      <w:numFmt w:val="decimal"/>
      <w:start w:val="1"/>
    </w:lvl>
  </w:abstractNum>
  <w:abstractNum w:abstractNumId="156">
    <w:nsid w:val="4FA0D2E3"/>
    <w:multiLevelType w:val="hybridMultilevel"/>
    <w:lvl w:ilvl="0">
      <w:lvlJc w:val="left"/>
      <w:lvlText w:val="(%1)"/>
      <w:numFmt w:val="decimal"/>
      <w:start w:val="1"/>
    </w:lvl>
  </w:abstractNum>
  <w:abstractNum w:abstractNumId="157">
    <w:nsid w:val="6B1D2C14"/>
    <w:multiLevelType w:val="hybridMultilevel"/>
    <w:lvl w:ilvl="0">
      <w:lvlJc w:val="left"/>
      <w:lvlText w:val="(%1)"/>
      <w:numFmt w:val="decimal"/>
      <w:start w:val="6"/>
    </w:lvl>
  </w:abstractNum>
  <w:abstractNum w:abstractNumId="158">
    <w:nsid w:val="68B867D3"/>
    <w:multiLevelType w:val="hybridMultilevel"/>
    <w:lvl w:ilvl="0">
      <w:lvlJc w:val="left"/>
      <w:lvlText w:val="(%1)"/>
      <w:numFmt w:val="decimal"/>
      <w:start w:val="1"/>
    </w:lvl>
  </w:abstractNum>
  <w:abstractNum w:abstractNumId="159">
    <w:nsid w:val="3F7F5DD9"/>
    <w:multiLevelType w:val="hybridMultilevel"/>
    <w:lvl w:ilvl="0">
      <w:lvlJc w:val="left"/>
      <w:lvlText w:val="(%1)"/>
      <w:numFmt w:val="decimal"/>
      <w:start w:val="1"/>
    </w:lvl>
  </w:abstractNum>
  <w:abstractNum w:abstractNumId="160">
    <w:nsid w:val="2AE05A34"/>
    <w:multiLevelType w:val="hybridMultilevel"/>
    <w:lvl w:ilvl="0">
      <w:lvlJc w:val="left"/>
      <w:lvlText w:val="†"/>
      <w:numFmt w:val="bullet"/>
      <w:start w:val="1"/>
    </w:lvl>
  </w:abstractNum>
  <w:abstractNum w:abstractNumId="161">
    <w:nsid w:val="32794FF7"/>
    <w:multiLevelType w:val="hybridMultilevel"/>
    <w:lvl w:ilvl="0">
      <w:lvlJc w:val="left"/>
      <w:lvlText w:val="††"/>
      <w:numFmt w:val="bullet"/>
      <w:start w:val="1"/>
    </w:lvl>
  </w:abstractNum>
  <w:abstractNum w:abstractNumId="162">
    <w:nsid w:val="5454945E"/>
    <w:multiLevelType w:val="hybridMultilevel"/>
    <w:lvl w:ilvl="0">
      <w:lvlJc w:val="left"/>
      <w:lvlText w:val="*"/>
      <w:numFmt w:val="bullet"/>
      <w:start w:val="1"/>
    </w:lvl>
  </w:abstractNum>
  <w:abstractNum w:abstractNumId="163">
    <w:nsid w:val="4DEFDFA0"/>
    <w:multiLevelType w:val="hybridMultilevel"/>
    <w:lvl w:ilvl="0">
      <w:lvlJc w:val="left"/>
      <w:lvlText w:val="**"/>
      <w:numFmt w:val="bullet"/>
      <w:start w:val="1"/>
    </w:lvl>
  </w:abstractNum>
  <w:abstractNum w:abstractNumId="164">
    <w:nsid w:val="2123D5F2"/>
    <w:multiLevelType w:val="hybridMultilevel"/>
    <w:lvl w:ilvl="0">
      <w:lvlJc w:val="left"/>
      <w:lvlText w:val="***"/>
      <w:numFmt w:val="bullet"/>
      <w:start w:val="1"/>
    </w:lvl>
  </w:abstractNum>
  <w:abstractNum w:abstractNumId="165">
    <w:nsid w:val="135B8110"/>
    <w:multiLevelType w:val="hybridMultilevel"/>
    <w:lvl w:ilvl="0">
      <w:lvlJc w:val="left"/>
      <w:lvlText w:val="%1."/>
      <w:numFmt w:val="decimal"/>
      <w:start w:val="1"/>
    </w:lvl>
  </w:abstractNum>
  <w:abstractNum w:abstractNumId="166">
    <w:nsid w:val="94927A8"/>
    <w:multiLevelType w:val="hybridMultilevel"/>
    <w:lvl w:ilvl="0">
      <w:lvlJc w:val="left"/>
      <w:lvlText w:val="(%1)"/>
      <w:numFmt w:val="lowerLetter"/>
      <w:start w:val="1"/>
    </w:lvl>
  </w:abstractNum>
  <w:abstractNum w:abstractNumId="167">
    <w:nsid w:val="DCDF8F6"/>
    <w:multiLevelType w:val="hybridMultilevel"/>
    <w:lvl w:ilvl="0">
      <w:lvlJc w:val="left"/>
      <w:lvlText w:val="%1."/>
      <w:numFmt w:val="decimal"/>
      <w:start w:val="5"/>
    </w:lvl>
  </w:abstractNum>
  <w:abstractNum w:abstractNumId="168">
    <w:nsid w:val="52D7B105"/>
    <w:multiLevelType w:val="hybridMultilevel"/>
    <w:lvl w:ilvl="0">
      <w:lvlJc w:val="left"/>
      <w:lvlText w:val="(%1)"/>
      <w:numFmt w:val="lowerLetter"/>
      <w:start w:val="1"/>
    </w:lvl>
  </w:abstractNum>
  <w:abstractNum w:abstractNumId="169">
    <w:nsid w:val="2E8A6394"/>
    <w:multiLevelType w:val="hybridMultilevel"/>
    <w:lvl w:ilvl="0">
      <w:lvlJc w:val="left"/>
      <w:lvlText w:val="%1."/>
      <w:numFmt w:val="decimal"/>
      <w:start w:val="1"/>
    </w:lvl>
  </w:abstractNum>
  <w:abstractNum w:abstractNumId="170">
    <w:nsid w:val="24E60401"/>
    <w:multiLevelType w:val="hybridMultilevel"/>
    <w:lvl w:ilvl="0">
      <w:lvlJc w:val="left"/>
      <w:lvlText w:val="(%1)"/>
      <w:numFmt w:val="lowerLetter"/>
      <w:start w:val="1"/>
    </w:lvl>
  </w:abstractNum>
  <w:abstractNum w:abstractNumId="171">
    <w:nsid w:val="2A6AD9BE"/>
    <w:multiLevelType w:val="hybridMultilevel"/>
    <w:lvl w:ilvl="0">
      <w:lvlJc w:val="left"/>
      <w:lvlText w:val="%1."/>
      <w:numFmt w:val="decimal"/>
      <w:start w:val="5"/>
    </w:lvl>
  </w:abstractNum>
  <w:abstractNum w:abstractNumId="172">
    <w:nsid w:val="BAAC1B4"/>
    <w:multiLevelType w:val="hybridMultilevel"/>
    <w:lvl w:ilvl="0">
      <w:lvlJc w:val="left"/>
      <w:lvlText w:val="(%1)"/>
      <w:numFmt w:val="lowerLetter"/>
      <w:start w:val="1"/>
    </w:lvl>
  </w:abstractNum>
  <w:abstractNum w:abstractNumId="173">
    <w:nsid w:val="36B2ACBC"/>
    <w:multiLevelType w:val="hybridMultilevel"/>
    <w:lvl w:ilvl="0">
      <w:lvlJc w:val="left"/>
      <w:lvlText w:val="(%1)"/>
      <w:numFmt w:val="lowerRoman"/>
      <w:start w:val="1"/>
    </w:lvl>
  </w:abstractNum>
  <w:abstractNum w:abstractNumId="174">
    <w:nsid w:val="779D854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2020-01-16T09:40:45Z</dcterms:created>
  <dcterms:modified xsi:type="dcterms:W3CDTF">2020-01-16T09:40:45Z</dcterms:modified>
</cp:coreProperties>
</file>