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7,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100"/>
          </w:cols>
          <w:pgMar w:left="240" w:top="544" w:right="1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60"/>
          </w:cols>
          <w:pgMar w:left="240" w:top="544" w:right="19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Common Units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7, 2019, the Registrant issued a press release reporting its first-quarter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Exhibit 99.1 — Press Release dated May 7, 2019</w:t>
        </w:r>
      </w:hyperlink>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By:   PAA GP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By:   PLAINS AAP, L.P., its sole member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By:   PLAINS ALL AMERICAN GP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7, 2019</w:t>
            </w: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By:   /s/ Sharon Spurlin</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Sharon Spurlin</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680" w:type="dxa"/>
            <w:vAlign w:val="bottom"/>
          </w:tcPr>
          <w:p>
            <w:pPr>
              <w:ind w:left="214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1747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2019 Results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(Houston — May 7, 2019) Plains All American Pipeline, L.P. (NYSE: PAA) and Plains GP Holdings (NYSE: PAGP) today reported first-quarter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Highlights</w:t>
      </w:r>
    </w:p>
    <w:p>
      <w:pPr>
        <w:spacing w:after="0" w:line="229" w:lineRule="exact"/>
        <w:rPr>
          <w:sz w:val="20"/>
          <w:szCs w:val="20"/>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Delivered 1Q19 financial and operating results ahead of expectations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Completed August 2017 deleveraging plan; updated financial policy and targeted metrics; increased annual distribution</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Increased 2019 Adjusted EBITDA guidance</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Executing Permian-focused capital program, sanctioning new growth projects, and advancing new commercial opportunities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first-quarter results and increased 2019 guidance reflect continued solid execution of our business plan,” stated Willie Chiang, Chief Executive Officer of Plains All American Pipeline. “We have meaningfully improved our financial positioning, and we remain focused on executing 2019 goals and advancing a number of initiatives that position us for continued fee-based growth with attractive returns in 2020 and beyond.”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34"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2019, includes all potentially dilutive securities outstanding (our Series A preferred units and equity-indexed compensation awards) during the period. See the “Computation of Basic and Diluted Net Income Per Common Unit” table attached hereto for additional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8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ind w:left="340" w:right="160" w:hanging="332"/>
        <w:spacing w:after="0" w:line="229"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 See the “Selected Items Impacting Comparability” table attached hereto for additional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first quarter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Segment Adjusted EBITDA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0"/>
                <w:szCs w:val="10"/>
                <w:color w:val="auto"/>
              </w:rPr>
            </w:pPr>
          </w:p>
        </w:tc>
        <w:tc>
          <w:tcPr>
            <w:tcW w:w="114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auto"/>
              </w:rPr>
              <w:t>Supply and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March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Three Months Ended March 31, 2018</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(1)%</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286%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1%</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First-quarter 2019 Transportation Segment Adjusted EBITDA increased by 19% over comparable 2018 results. This increase was primarily driven by increased volume on our Permian Basin systems, including the start-up of our Sunrise II pipeline in the fourth quarter of 2018. First-quarter 2019 results also benefited from increased volumes on certain of our pipelines in the Central region and increased volumes into our Eagle Ford JV system, which receives volumes from our Cactus pipeline. These favorable results were partially offset by our sale of an interest in the BridgeTex pipeline and asset sales in the Rocky Mountain region.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First-quarter 2019 Facilities Segment Adjusted EBITDA was in line with comparable 2018 results.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First-quarter 2019 Supply and Logistics Segment Adjusted EBITDA increased versus comparable 2018 results due to favorable crude oil differentials and improved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2019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 (G)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Adjusted other income/(expense), net</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17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w:t>
            </w:r>
          </w:p>
        </w:tc>
        <w:tc>
          <w:tcPr>
            <w:tcW w:w="1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0.94x</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2.05x</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5,889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Second-Quarter Adjusted EBITDA as Percentage of Full Year</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60" w:type="dxa"/>
            <w:vAlign w:val="bottom"/>
          </w:tcPr>
          <w:p>
            <w:pPr>
              <w:ind w:left="620"/>
              <w:spacing w:after="0"/>
              <w:rPr>
                <w:sz w:val="20"/>
                <w:szCs w:val="20"/>
                <w:color w:val="auto"/>
              </w:rPr>
            </w:pPr>
            <w:r>
              <w:rPr>
                <w:rFonts w:ascii="Arial" w:cs="Arial" w:eastAsia="Arial" w:hAnsi="Arial"/>
                <w:sz w:val="18"/>
                <w:szCs w:val="18"/>
                <w:color w:val="auto"/>
              </w:rPr>
              <w:t>- more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w w:val="90"/>
              </w:rPr>
              <w:t>Houston, Texas 77002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5"/>
          </w:tcPr>
          <w:p>
            <w:pPr>
              <w:jc w:val="right"/>
              <w:ind w:right="391"/>
              <w:spacing w:after="0"/>
              <w:rPr>
                <w:sz w:val="20"/>
                <w:szCs w:val="20"/>
                <w:color w:val="auto"/>
              </w:rPr>
            </w:pPr>
            <w:r>
              <w:rPr>
                <w:rFonts w:ascii="Arial" w:cs="Arial" w:eastAsia="Arial" w:hAnsi="Arial"/>
                <w:sz w:val="18"/>
                <w:szCs w:val="18"/>
                <w:b w:val="1"/>
                <w:bCs w:val="1"/>
                <w:color w:val="auto"/>
                <w:w w:val="95"/>
              </w:rPr>
              <w:t>713-646-4100 / 866-809-1291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3" w:lineRule="exact"/>
        <w:rPr>
          <w:sz w:val="20"/>
          <w:szCs w:val="20"/>
          <w:color w:val="auto"/>
        </w:rPr>
      </w:pPr>
    </w:p>
    <w:p>
      <w:pPr>
        <w:ind w:left="340" w:right="40" w:hanging="332"/>
        <w:spacing w:after="0" w:line="254"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 w:lineRule="exact"/>
        <w:rPr>
          <w:rFonts w:ascii="Arial" w:cs="Arial" w:eastAsia="Arial" w:hAnsi="Arial"/>
          <w:sz w:val="22"/>
          <w:szCs w:val="22"/>
          <w:color w:val="auto"/>
          <w:vertAlign w:val="superscript"/>
        </w:rPr>
      </w:pPr>
    </w:p>
    <w:p>
      <w:pPr>
        <w:ind w:left="320" w:hanging="312"/>
        <w:spacing w:after="0" w:line="205" w:lineRule="auto"/>
        <w:tabs>
          <w:tab w:leader="none" w:pos="32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jc w:val="both"/>
        <w:ind w:left="340" w:right="160" w:hanging="332"/>
        <w:spacing w:after="0" w:line="246"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The distribution requirement of our Series A preferred units was paid-in-kind for all 2017 quarterly distributions and for the February 2018 quarterly distribution. Distributions on our Series A preferred units were paid in cash beginning with the May 2018 quarterly distribution. The distribution requirement of our Series B preferred units is payable semi-annually in arrears on May 15 and November 15. A pro-rated initial distribution on the Series B preferred units was paid on November 15, 2017.</w:t>
      </w:r>
    </w:p>
    <w:p>
      <w:pPr>
        <w:spacing w:after="0" w:line="2" w:lineRule="exact"/>
        <w:rPr>
          <w:rFonts w:ascii="Arial" w:cs="Arial" w:eastAsia="Arial" w:hAnsi="Arial"/>
          <w:sz w:val="22"/>
          <w:szCs w:val="22"/>
          <w:color w:val="auto"/>
          <w:vertAlign w:val="superscript"/>
        </w:rPr>
      </w:pPr>
    </w:p>
    <w:p>
      <w:pPr>
        <w:ind w:left="340" w:right="640" w:hanging="332"/>
        <w:spacing w:after="0" w:line="219"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2017 and 2018. 2019 (G) reflects the cash distribution per common unit paid in February and the increased annualized distribution rate of $1.44 per common unit for the remainder of the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Q1 2019</w:t>
            </w: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Q4 2018</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 2018</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Q1 2019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May 7,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PAA’s first-quarter 2019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2019;</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https://event.webcasts.com/starthere.jsp?ei=1237216&amp;tp_key=17fd1f999f</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7,119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2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92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67"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4,247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9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8,943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14,624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12,762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12,762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Borders>
              <w:bottom w:val="single" w:sz="8" w:color="CCEEFF"/>
            </w:tcBorders>
            <w:gridSpan w:val="2"/>
            <w:vMerge w:val="continue"/>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22,088</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318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26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2018 as the effect was antidilutive.</w:t>
      </w:r>
    </w:p>
    <w:p>
      <w:pPr>
        <w:spacing w:after="0" w:line="1" w:lineRule="exact"/>
        <w:rPr>
          <w:rFonts w:ascii="Arial" w:cs="Arial" w:eastAsia="Arial" w:hAnsi="Arial"/>
          <w:sz w:val="23"/>
          <w:szCs w:val="23"/>
          <w:color w:val="auto"/>
          <w:vertAlign w:val="superscript"/>
        </w:rPr>
      </w:pPr>
    </w:p>
    <w:p>
      <w:pPr>
        <w:ind w:left="340" w:right="260" w:hanging="332"/>
        <w:spacing w:after="0" w:line="249"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8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3"/>
                <w:szCs w:val="23"/>
                <w:color w:val="auto"/>
                <w:vertAlign w:val="superscript"/>
              </w:rPr>
              <w:t>(2)</w:t>
            </w:r>
          </w:p>
        </w:tc>
        <w:tc>
          <w:tcPr>
            <w:tcW w:w="246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3"/>
                <w:szCs w:val="23"/>
                <w:color w:val="auto"/>
                <w:vertAlign w:val="superscript"/>
              </w:rPr>
              <w:t>(6)</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4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 on investment in unconsolidated entities </w:t>
            </w:r>
            <w:r>
              <w:rPr>
                <w:rFonts w:ascii="Arial" w:cs="Arial" w:eastAsia="Arial" w:hAnsi="Arial"/>
                <w:sz w:val="23"/>
                <w:szCs w:val="23"/>
                <w:color w:val="auto"/>
                <w:vertAlign w:val="superscript"/>
              </w:rPr>
              <w:t>(7)</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68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net income</w:t>
            </w:r>
          </w:p>
        </w:tc>
        <w:tc>
          <w:tcPr>
            <w:tcW w:w="1480" w:type="dxa"/>
            <w:vAlign w:val="bottom"/>
          </w:tcPr>
          <w:p>
            <w:pPr>
              <w:spacing w:after="0"/>
              <w:rPr>
                <w:sz w:val="19"/>
                <w:szCs w:val="19"/>
                <w:color w:val="auto"/>
              </w:rPr>
            </w:pP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hanging="332"/>
        <w:spacing w:after="0" w:line="234"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 January 2019, the owners of the Capline pipeline system contributed their undivided joint interests in the Capline pipeline system for equity interests in Capline Pipeline Company LLC (“Capline LLC”). This transaction resulted in a loss of control of our undivided joint interest, which was derecognized and contributed to Capline LLC. This loss of control required us to measure our equity interest in Capline LLC at fair value. The resulting gain was classified as a selected item impacting comparability.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Adjusted net income</w:t>
            </w:r>
          </w:p>
        </w:tc>
        <w:tc>
          <w:tcPr>
            <w:tcW w:w="1720" w:type="dxa"/>
            <w:vAlign w:val="bottom"/>
          </w:tcPr>
          <w:p>
            <w:pPr>
              <w:spacing w:after="0"/>
              <w:rPr>
                <w:sz w:val="18"/>
                <w:szCs w:val="18"/>
                <w:color w:val="auto"/>
              </w:rPr>
            </w:pPr>
          </w:p>
        </w:tc>
        <w:tc>
          <w:tcPr>
            <w:tcW w:w="94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7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266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660" w:type="dxa"/>
            <w:vAlign w:val="bottom"/>
            <w:gridSpan w:val="2"/>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months ended March 31, 2018 as the effect was antidilutive.</w:t>
      </w:r>
    </w:p>
    <w:p>
      <w:pPr>
        <w:ind w:left="340" w:right="260" w:hanging="332"/>
        <w:spacing w:after="0" w:line="249"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920" w:type="dxa"/>
            <w:vAlign w:val="bottom"/>
            <w:gridSpan w:val="2"/>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8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Selected items impacting comparability per common unit</w:t>
            </w: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20" w:type="dxa"/>
            <w:vAlign w:val="bottom"/>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0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w w:val="99"/>
              </w:rPr>
              <w:t>713-646-4100 / 866-809-1291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Adjusted EBITDA</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(4)</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1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(5)</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3.00x</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10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2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40" w:right="140" w:hanging="332"/>
        <w:spacing w:after="0" w:line="247" w:lineRule="auto"/>
        <w:tabs>
          <w:tab w:leader="none" w:pos="32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is payable semi-annually in arrears on May 15 and November 15.</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340" w:hanging="332"/>
        <w:spacing w:after="0" w:line="233"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pacing w:after="0" w:line="3"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4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(5)</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(4)</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2.05x</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196850</wp:posOffset>
            </wp:positionV>
            <wp:extent cx="1775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97" w:lineRule="exact"/>
        <w:rPr>
          <w:sz w:val="20"/>
          <w:szCs w:val="20"/>
          <w:color w:val="auto"/>
        </w:rPr>
      </w:pPr>
    </w:p>
    <w:p>
      <w:pPr>
        <w:ind w:left="340" w:right="110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20" w:hanging="312"/>
        <w:spacing w:after="0" w:line="205" w:lineRule="auto"/>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2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40" w:hanging="332"/>
        <w:spacing w:after="0" w:line="236"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The $0.5250 quarterly ($2.10 annualized) per unit distribution requirement of our Series A preferred units was paid-in-kind for each quarterly distribution through February 2018. Distributions on our Series A preferred units were paid in cash beginning with the May 2018 quarterly distribution. The $61.25 per unit annual distribution requirement of our Series B preferred units is payable semi-annually in arrears on May 15 and November 15. A pro-rated initial distribution on the Series B preferred units was paid on November 15, 2017.</w:t>
      </w:r>
    </w:p>
    <w:p>
      <w:pPr>
        <w:spacing w:after="0" w:line="4"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380" w:hanging="332"/>
        <w:spacing w:after="0" w:line="233"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725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71 million, respectively.</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and 717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67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March 31,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8"/>
              </w:rPr>
              <w:t>March 31, 2018</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(7,562)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line="162" w:lineRule="exact"/>
              <w:rPr>
                <w:sz w:val="20"/>
                <w:szCs w:val="20"/>
                <w:color w:val="auto"/>
              </w:rPr>
            </w:pPr>
            <w:r>
              <w:rPr>
                <w:rFonts w:ascii="Arial" w:cs="Arial" w:eastAsia="Arial" w:hAnsi="Arial"/>
                <w:sz w:val="18"/>
                <w:szCs w:val="18"/>
                <w:color w:val="auto"/>
                <w:w w:val="90"/>
              </w:rPr>
              <w:t>Segment general and administrative expenses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4"/>
                <w:szCs w:val="14"/>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3400" w:type="dxa"/>
            <w:vAlign w:val="bottom"/>
            <w:gridSpan w:val="2"/>
          </w:tcPr>
          <w:p>
            <w:pPr>
              <w:ind w:left="180"/>
              <w:spacing w:after="0"/>
              <w:rPr>
                <w:sz w:val="20"/>
                <w:szCs w:val="20"/>
                <w:color w:val="auto"/>
              </w:rPr>
            </w:pPr>
            <w:r>
              <w:rPr>
                <w:rFonts w:ascii="Arial" w:cs="Arial" w:eastAsia="Arial" w:hAnsi="Arial"/>
                <w:sz w:val="12"/>
                <w:szCs w:val="12"/>
                <w:color w:val="auto"/>
              </w:rPr>
              <w:t>(2) (3)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 from derivative activities, net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valuation adjustments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w w:val="98"/>
              </w:rPr>
              <w:t>Long-term inventory costing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on foreign currency revaluation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80" w:hanging="332"/>
        <w:spacing w:after="0" w:line="22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gridSpan w:val="2"/>
          </w:tcPr>
          <w:p>
            <w:pPr>
              <w:spacing w:after="0"/>
              <w:rPr>
                <w:sz w:val="12"/>
                <w:szCs w:val="12"/>
                <w:color w:val="auto"/>
              </w:rPr>
            </w:pP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4,268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6,201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6,411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Trucking volumes</w:t>
            </w: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8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Facilities segment total volumes (average monthly volumes in millions of barrels) </w:t>
            </w:r>
            <w:r>
              <w:rPr>
                <w:rFonts w:ascii="Arial" w:cs="Arial" w:eastAsia="Arial" w:hAnsi="Arial"/>
                <w:sz w:val="22"/>
                <w:szCs w:val="22"/>
                <w:color w:val="auto"/>
                <w:vertAlign w:val="superscript"/>
              </w:rPr>
              <w:t>(3)</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1,128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1,456</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Fee-based Segment Adjusted EBITDA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8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8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Adjusted other income/(expense),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4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$(24) million and $2 million for the three months ended March 31, 2019 and 2018,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Segment Adjusted EBITDA further</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4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32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 assets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4"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2018, assuming an effective date of January 1, 2018. Divested assets primarily included a 30% interest in BridgeTex Pipeline Company, LLC and certain pipelines in the Rocky Mountain region that were previously reported in our Transportation segment, as well as a natural gas processing facility that was previously reported in our Facilities segment.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0" w:type="dxa"/>
            <w:vAlign w:val="bottom"/>
          </w:tcPr>
          <w:p>
            <w:pPr>
              <w:spacing w:after="0"/>
              <w:rPr>
                <w:sz w:val="10"/>
                <w:szCs w:val="10"/>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0" w:type="dxa"/>
            <w:vAlign w:val="bottom"/>
          </w:tcPr>
          <w:p>
            <w:pPr>
              <w:spacing w:after="0"/>
              <w:rPr>
                <w:sz w:val="10"/>
                <w:szCs w:val="10"/>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7,119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(Gains)/losses on asset sales and asset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impairments, net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9"/>
              </w:rPr>
              <w:t>Gain on investment in unconsolidated entities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4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6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0.92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0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4,250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2,529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6"/>
              </w:rPr>
              <w:t>Long-term operating lease right-of-use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4,184</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7"/>
              </w:rPr>
              <w:t>Other long-term liabilities and deferred credits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12,762</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(10,807)</w:t>
            </w: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12,067</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12,067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28,648</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2019 and 2018,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300" w:type="dxa"/>
            <w:vAlign w:val="bottom"/>
          </w:tcPr>
          <w:p>
            <w:pPr>
              <w:ind w:left="1120"/>
              <w:spacing w:after="0"/>
              <w:rPr>
                <w:sz w:val="20"/>
                <w:szCs w:val="20"/>
                <w:color w:val="auto"/>
              </w:rPr>
            </w:pPr>
            <w:r>
              <w:rPr>
                <w:rFonts w:ascii="Arial" w:cs="Arial" w:eastAsia="Arial" w:hAnsi="Arial"/>
                <w:sz w:val="18"/>
                <w:szCs w:val="18"/>
                <w:color w:val="auto"/>
              </w:rPr>
              <w:t>Brett Magill</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300" w:type="dxa"/>
            <w:vAlign w:val="bottom"/>
          </w:tcPr>
          <w:p>
            <w:pPr>
              <w:ind w:left="1120"/>
              <w:spacing w:after="0"/>
              <w:rPr>
                <w:sz w:val="20"/>
                <w:szCs w:val="20"/>
                <w:color w:val="auto"/>
              </w:rPr>
            </w:pPr>
            <w:r>
              <w:rPr>
                <w:rFonts w:ascii="Arial" w:cs="Arial" w:eastAsia="Arial" w:hAnsi="Arial"/>
                <w:sz w:val="18"/>
                <w:szCs w:val="18"/>
                <w:color w:val="auto"/>
                <w:w w:val="94"/>
              </w:rPr>
              <w:t>(866) 809-1291</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20"/>
                <w:szCs w:val="20"/>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2" Type="http://schemas.openxmlformats.org/officeDocument/2006/relationships/hyperlink" Target="file:///data/convert/a19-9508_1ex99d1.htm#Exhibit99_1_0919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2019-12-02T22:26:41Z</dcterms:created>
  <dcterms:modified xsi:type="dcterms:W3CDTF">2019-12-02T22:26:41Z</dcterms:modified>
</cp:coreProperties>
</file>