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20" w:type="dxa"/>
            <w:vAlign w:val="bottom"/>
            <w:gridSpan w:val="19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60" w:type="dxa"/>
            <w:vAlign w:val="bottom"/>
            <w:gridSpan w:val="16"/>
            <w:vMerge w:val="restart"/>
          </w:tcPr>
          <w:p>
            <w:pPr>
              <w:jc w:val="center"/>
              <w:ind w:left="163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  <w:vMerge w:val="restart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Rutherford John 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Executive Vice President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333 CLAY STREET, SUITE 1600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ind w:left="1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9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5,650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11/24/2014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43,850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-6132195</wp:posOffset>
            </wp:positionV>
            <wp:extent cx="7272020" cy="6191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9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involved a gift of securities by the reporting person to his children, who share the reporting person's household. The reporting Person disclaims beneficial ownership of the common units held by his children.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R. Rutherford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02248" TargetMode="External"/><Relationship Id="rId9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2020-01-22T05:37:25Z</dcterms:created>
  <dcterms:modified xsi:type="dcterms:W3CDTF">2020-01-22T05:37:25Z</dcterms:modified>
</cp:coreProperties>
</file>