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May 8, 2018</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48" w:orient="portrait"/>
          <w:cols w:equalWidth="0" w:num="1">
            <w:col w:w="11300"/>
          </w:cols>
          <w:pgMar w:left="240" w:top="544" w:right="3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48" w:orient="portrait"/>
          <w:cols w:equalWidth="0" w:num="3">
            <w:col w:w="4020" w:space="720"/>
            <w:col w:w="2900" w:space="720"/>
            <w:col w:w="2940"/>
          </w:cols>
          <w:pgMar w:left="240" w:top="544" w:right="3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48" w:orient="portrait"/>
          <w:cols w:equalWidth="0" w:num="1">
            <w:col w:w="11300"/>
          </w:cols>
          <w:pgMar w:left="240" w:top="544" w:right="359" w:bottom="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firstLine="648"/>
        <w:spacing w:after="0" w:line="302" w:lineRule="auto"/>
        <w:rPr>
          <w:sz w:val="20"/>
          <w:szCs w:val="20"/>
          <w:color w:val="auto"/>
        </w:rPr>
      </w:pPr>
      <w:r>
        <w:rPr>
          <w:rFonts w:ascii="Arial" w:cs="Arial" w:eastAsia="Arial" w:hAnsi="Arial"/>
          <w:sz w:val="16"/>
          <w:szCs w:val="16"/>
          <w:color w:val="auto"/>
        </w:rPr>
        <w:t>On May 8, 2018, the Registrant issued a press release reporting its first-quarter 2018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50"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4"/>
          <w:szCs w:val="24"/>
          <w:color w:val="auto"/>
        </w:rPr>
      </w:pPr>
    </w:p>
    <w:p>
      <w:pPr>
        <w:ind w:left="660"/>
        <w:spacing w:after="0"/>
        <w:tabs>
          <w:tab w:leader="none" w:pos="1880" w:val="left"/>
        </w:tabs>
        <w:rPr>
          <w:rFonts w:ascii="Arial" w:cs="Arial" w:eastAsia="Arial" w:hAnsi="Arial"/>
          <w:sz w:val="16"/>
          <w:szCs w:val="16"/>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 xml:space="preserve">— </w:t>
      </w:r>
      <w:hyperlink w:anchor="page2">
        <w:r>
          <w:rPr>
            <w:rFonts w:ascii="Arial" w:cs="Arial" w:eastAsia="Arial" w:hAnsi="Arial"/>
            <w:sz w:val="16"/>
            <w:szCs w:val="16"/>
            <w:u w:val="single" w:color="auto"/>
            <w:color w:val="0000EE"/>
          </w:rPr>
          <w:t>Press Release dated May 8, 2018</w:t>
        </w:r>
      </w:hyperlink>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48" w:orient="portrait"/>
          <w:cols w:equalWidth="0" w:num="1">
            <w:col w:w="11300"/>
          </w:cols>
          <w:pgMar w:left="240" w:top="544"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900" w:type="dxa"/>
            <w:vAlign w:val="bottom"/>
            <w:gridSpan w:val="3"/>
          </w:tcPr>
          <w:p>
            <w:pPr>
              <w:ind w:left="220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r>
      <w:tr>
        <w:trPr>
          <w:trHeight w:val="432"/>
        </w:trPr>
        <w:tc>
          <w:tcPr>
            <w:tcW w:w="3520" w:type="dxa"/>
            <w:vAlign w:val="bottom"/>
          </w:tcPr>
          <w:p>
            <w:pPr>
              <w:spacing w:after="0"/>
              <w:rPr>
                <w:sz w:val="24"/>
                <w:szCs w:val="24"/>
                <w:color w:val="auto"/>
              </w:rPr>
            </w:pPr>
          </w:p>
        </w:tc>
        <w:tc>
          <w:tcPr>
            <w:tcW w:w="2680" w:type="dxa"/>
            <w:vAlign w:val="bottom"/>
          </w:tcPr>
          <w:p>
            <w:pPr>
              <w:ind w:left="2200"/>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May 8, 2018</w:t>
            </w:r>
          </w:p>
        </w:tc>
        <w:tc>
          <w:tcPr>
            <w:tcW w:w="2680" w:type="dxa"/>
            <w:vAlign w:val="bottom"/>
          </w:tcPr>
          <w:p>
            <w:pPr>
              <w:ind w:left="220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 Swanson</w:t>
            </w:r>
          </w:p>
        </w:tc>
        <w:tc>
          <w:tcPr>
            <w:tcW w:w="4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ind w:left="120"/>
              <w:spacing w:after="0" w:line="195" w:lineRule="exact"/>
              <w:rPr>
                <w:sz w:val="20"/>
                <w:szCs w:val="20"/>
                <w:color w:val="auto"/>
              </w:rPr>
            </w:pPr>
            <w:r>
              <w:rPr>
                <w:rFonts w:ascii="Arial" w:cs="Arial" w:eastAsia="Arial" w:hAnsi="Arial"/>
                <w:sz w:val="18"/>
                <w:szCs w:val="18"/>
                <w:color w:val="auto"/>
              </w:rPr>
              <w:t>Al Swanson</w:t>
            </w:r>
          </w:p>
        </w:tc>
        <w:tc>
          <w:tcPr>
            <w:tcW w:w="40" w:type="dxa"/>
            <w:vAlign w:val="bottom"/>
          </w:tcPr>
          <w:p>
            <w:pPr>
              <w:spacing w:after="0"/>
              <w:rPr>
                <w:sz w:val="16"/>
                <w:szCs w:val="16"/>
                <w:color w:val="auto"/>
              </w:rPr>
            </w:pPr>
          </w:p>
        </w:tc>
      </w:tr>
      <w:tr>
        <w:trPr>
          <w:trHeight w:val="230"/>
        </w:trPr>
        <w:tc>
          <w:tcPr>
            <w:tcW w:w="35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40" w:type="dxa"/>
            <w:vAlign w:val="bottom"/>
          </w:tcPr>
          <w:p>
            <w:pPr>
              <w:spacing w:after="0"/>
              <w:rPr>
                <w:sz w:val="20"/>
                <w:szCs w:val="20"/>
                <w:color w:val="auto"/>
              </w:rPr>
            </w:pPr>
          </w:p>
        </w:tc>
      </w:tr>
      <w:tr>
        <w:trPr>
          <w:trHeight w:val="432"/>
        </w:trPr>
        <w:tc>
          <w:tcPr>
            <w:tcW w:w="3520" w:type="dxa"/>
            <w:vAlign w:val="bottom"/>
          </w:tcPr>
          <w:p>
            <w:pPr>
              <w:spacing w:after="0"/>
              <w:rPr>
                <w:sz w:val="24"/>
                <w:szCs w:val="24"/>
                <w:color w:val="auto"/>
              </w:rPr>
            </w:pPr>
          </w:p>
        </w:tc>
        <w:tc>
          <w:tcPr>
            <w:tcW w:w="268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2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154940</wp:posOffset>
            </wp:positionV>
            <wp:extent cx="5857240" cy="754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5724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First-Quarter 2018 Results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(Houston — May 8, 2018) Plains All American Pipeline, L.P. (NYSE: PAA) and Plains GP Holdings (NYSE: PAGP) today reported first-quarter 2018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First-Quarter Highlights</w:t>
      </w:r>
    </w:p>
    <w:p>
      <w:pPr>
        <w:spacing w:after="0" w:line="229" w:lineRule="exact"/>
        <w:rPr>
          <w:sz w:val="20"/>
          <w:szCs w:val="20"/>
          <w:color w:val="auto"/>
        </w:rPr>
      </w:pPr>
    </w:p>
    <w:p>
      <w:pPr>
        <w:ind w:left="1260" w:hanging="280"/>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Delivered 1Q18 financial and operating results slightly ahead of expectations</w:t>
      </w:r>
    </w:p>
    <w:p>
      <w:pPr>
        <w:spacing w:after="0" w:line="225" w:lineRule="exact"/>
        <w:rPr>
          <w:rFonts w:ascii="Arial" w:cs="Arial" w:eastAsia="Arial" w:hAnsi="Arial"/>
          <w:sz w:val="18"/>
          <w:szCs w:val="18"/>
          <w:color w:val="auto"/>
        </w:rPr>
      </w:pPr>
    </w:p>
    <w:p>
      <w:pPr>
        <w:ind w:left="1300" w:right="520" w:hanging="320"/>
        <w:spacing w:after="0" w:line="277" w:lineRule="auto"/>
        <w:tabs>
          <w:tab w:leader="none" w:pos="1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Approximately $60 million year-over-year fee-based Segment Adjusted EBITDA growth ($80 million when taking into consideration impact of divested assets)</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target with leverage reduction plans and execution of expansion capital program</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Reiterated 2018 guidance, expect full-year common unit distribution coverage of ~170%</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expect 14-15% fee-based Segment Adjusted EBITDA growth in 2019</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are pleased to report first-quarter results that were slightly ahead of our expectations,” stated Willie Chiang, Executive Vice President and Chief Operating Officer of Plains All American Pipeline. “These results reflect year-over-year Adjusted EBITDA growth in our fee-based segments of approximately 13%, or 18% when taking into consideration divested assets.”</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continue to make progress towards the execution of our strategic plans. We remain on track to achieve our deleveraging objectives and targeted credit metrics by early 2019 while maintaining substantial distribution coverage underpinned by predominantly fee-based cash flow. Additionally, strong Permian fundamentals provide visibility for continued momentum for PAA’s fee-based growth, further complemented by the execution of our capital program.”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95"/>
              </w:rPr>
              <w:t>Three Months Ended</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99"/>
              </w:rPr>
              <w:t>March 31,</w:t>
            </w:r>
          </w:p>
        </w:tc>
        <w:tc>
          <w:tcPr>
            <w:tcW w:w="8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line="142" w:lineRule="exact"/>
              <w:rPr>
                <w:sz w:val="20"/>
                <w:szCs w:val="20"/>
                <w:color w:val="auto"/>
              </w:rPr>
            </w:pPr>
            <w:r>
              <w:rPr>
                <w:rFonts w:ascii="Arial" w:cs="Arial" w:eastAsia="Arial" w:hAnsi="Arial"/>
                <w:sz w:val="14"/>
                <w:szCs w:val="14"/>
                <w:b w:val="1"/>
                <w:bCs w:val="1"/>
                <w:color w:val="auto"/>
              </w:rPr>
              <w:t>GAAP Results</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78"/>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2"/>
                <w:szCs w:val="12"/>
                <w:color w:val="auto"/>
              </w:rPr>
            </w:pPr>
          </w:p>
        </w:tc>
        <w:tc>
          <w:tcPr>
            <w:tcW w:w="1640" w:type="dxa"/>
            <w:vAlign w:val="bottom"/>
            <w:gridSpan w:val="2"/>
          </w:tcPr>
          <w:p>
            <w:pPr>
              <w:jc w:val="center"/>
              <w:ind w:right="190"/>
              <w:spacing w:after="0" w:line="142"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Diluted net income per common unit</w:t>
            </w:r>
          </w:p>
        </w:tc>
        <w:tc>
          <w:tcPr>
            <w:tcW w:w="6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0.58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Distribution per common unit declared for the period</w:t>
            </w: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335"/>
        </w:trPr>
        <w:tc>
          <w:tcPr>
            <w:tcW w:w="6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95"/>
              </w:rPr>
              <w:t>Three Months Ended</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99"/>
              </w:rPr>
              <w:t>March 31,</w:t>
            </w:r>
          </w:p>
        </w:tc>
        <w:tc>
          <w:tcPr>
            <w:tcW w:w="8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 xml:space="preserve">Non-GAAP Results </w:t>
            </w:r>
            <w:r>
              <w:rPr>
                <w:rFonts w:ascii="Arial" w:cs="Arial" w:eastAsia="Arial" w:hAnsi="Arial"/>
                <w:sz w:val="16"/>
                <w:szCs w:val="16"/>
                <w:b w:val="1"/>
                <w:bCs w:val="1"/>
                <w:color w:val="auto"/>
                <w:vertAlign w:val="superscript"/>
              </w:rPr>
              <w:t>(1)</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8"/>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Diluted adjusted net income per common unit</w:t>
            </w:r>
          </w:p>
        </w:tc>
        <w:tc>
          <w:tcPr>
            <w:tcW w:w="6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0.36</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0.27</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6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593</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512</w:t>
            </w:r>
          </w:p>
        </w:tc>
        <w:tc>
          <w:tcPr>
            <w:tcW w:w="1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Implied DCF per Common Unit</w:t>
            </w:r>
          </w:p>
        </w:tc>
        <w:tc>
          <w:tcPr>
            <w:tcW w:w="6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0.61</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0.44</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40" w:right="180" w:hanging="332"/>
        <w:spacing w:after="0" w:line="238" w:lineRule="auto"/>
        <w:tabs>
          <w:tab w:leader="none" w:pos="32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239" w:gutter="0" w:footer="0" w:header="0"/>
        </w:sectPr>
      </w:pPr>
    </w:p>
    <w:bookmarkStart w:id="3" w:name="page4"/>
    <w:bookmarkEnd w:id="3"/>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Adjusted EBITDA for the first quarter of 2018 and 2017 is presented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March 31, 2018</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6"/>
              </w:rPr>
              <w:t>March 31, 2017</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jc w:val="right"/>
              <w:ind w:right="228"/>
              <w:spacing w:after="0"/>
              <w:rPr>
                <w:sz w:val="20"/>
                <w:szCs w:val="20"/>
                <w:color w:val="auto"/>
              </w:rPr>
            </w:pPr>
            <w:r>
              <w:rPr>
                <w:rFonts w:ascii="Arial" w:cs="Arial" w:eastAsia="Arial" w:hAnsi="Arial"/>
                <w:sz w:val="14"/>
                <w:szCs w:val="14"/>
                <w:b w:val="1"/>
                <w:bCs w:val="1"/>
                <w:color w:val="auto"/>
                <w:w w:val="93"/>
              </w:rPr>
              <w:t>Transportation</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Facilities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w w:val="99"/>
              </w:rPr>
              <w:t>Supply and</w:t>
            </w:r>
          </w:p>
        </w:tc>
        <w:tc>
          <w:tcPr>
            <w:tcW w:w="50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Transportation</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Facilities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84"/>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79"/>
              </w:rPr>
              <w:t>72</w:t>
            </w:r>
          </w:p>
        </w:tc>
        <w:tc>
          <w:tcPr>
            <w:tcW w:w="3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line="195" w:lineRule="exact"/>
              <w:rPr>
                <w:sz w:val="20"/>
                <w:szCs w:val="20"/>
                <w:color w:val="auto"/>
              </w:rPr>
            </w:pPr>
            <w:r>
              <w:rPr>
                <w:rFonts w:ascii="Arial" w:cs="Arial" w:eastAsia="Arial" w:hAnsi="Arial"/>
                <w:sz w:val="18"/>
                <w:szCs w:val="18"/>
                <w:b w:val="1"/>
                <w:bCs w:val="1"/>
                <w:i w:val="1"/>
                <w:iCs w:val="1"/>
                <w:color w:val="auto"/>
              </w:rPr>
              <w:t>Percentage change in Segment</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Adjusted EBITDA versus 2017</w:t>
            </w:r>
          </w:p>
        </w:tc>
        <w:tc>
          <w:tcPr>
            <w:tcW w:w="120" w:type="dxa"/>
            <w:vAlign w:val="bottom"/>
          </w:tcPr>
          <w:p>
            <w:pPr>
              <w:spacing w:after="0"/>
              <w:rPr>
                <w:sz w:val="18"/>
                <w:szCs w:val="18"/>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b w:val="1"/>
                <w:bCs w:val="1"/>
                <w:i w:val="1"/>
                <w:iCs w:val="1"/>
                <w:color w:val="auto"/>
              </w:rPr>
              <w:t>23%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i w:val="1"/>
                <w:iCs w:val="1"/>
                <w:color w:val="auto"/>
              </w:rPr>
              <w:t>(2)%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Borders>
              <w:right w:val="single" w:sz="8" w:color="auto"/>
            </w:tcBorders>
            <w:gridSpan w:val="2"/>
            <w:vMerge w:val="restart"/>
          </w:tcPr>
          <w:p>
            <w:pPr>
              <w:ind w:left="820"/>
              <w:spacing w:after="0"/>
              <w:rPr>
                <w:sz w:val="20"/>
                <w:szCs w:val="20"/>
                <w:color w:val="auto"/>
              </w:rPr>
            </w:pPr>
            <w:r>
              <w:rPr>
                <w:rFonts w:ascii="Arial" w:cs="Arial" w:eastAsia="Arial" w:hAnsi="Arial"/>
                <w:sz w:val="18"/>
                <w:szCs w:val="18"/>
                <w:b w:val="1"/>
                <w:bCs w:val="1"/>
                <w:i w:val="1"/>
                <w:iCs w:val="1"/>
                <w:color w:val="auto"/>
              </w:rPr>
              <w:t>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period</w:t>
            </w:r>
          </w:p>
        </w:tc>
        <w:tc>
          <w:tcPr>
            <w:tcW w:w="120" w:type="dxa"/>
            <w:vAlign w:val="bottom"/>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Borders>
              <w:right w:val="single" w:sz="8" w:color="auto"/>
            </w:tcBorders>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2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rPr>
              <w:t>Percentage change in Segment</w:t>
            </w:r>
          </w:p>
        </w:tc>
        <w:tc>
          <w:tcPr>
            <w:tcW w:w="1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right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Adjusted EBITDA versus 2017</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further adjusted for impact of</w:t>
            </w:r>
          </w:p>
        </w:tc>
        <w:tc>
          <w:tcPr>
            <w:tcW w:w="12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vMerge w:val="restart"/>
            <w:shd w:val="clear" w:color="auto" w:fill="CCEEFF"/>
          </w:tcPr>
          <w:p>
            <w:pPr>
              <w:ind w:left="700"/>
              <w:spacing w:after="0"/>
              <w:rPr>
                <w:sz w:val="20"/>
                <w:szCs w:val="20"/>
                <w:color w:val="auto"/>
              </w:rPr>
            </w:pPr>
            <w:r>
              <w:rPr>
                <w:rFonts w:ascii="Arial" w:cs="Arial" w:eastAsia="Arial" w:hAnsi="Arial"/>
                <w:sz w:val="18"/>
                <w:szCs w:val="18"/>
                <w:b w:val="1"/>
                <w:bCs w:val="1"/>
                <w:i w:val="1"/>
                <w:iCs w:val="1"/>
                <w:color w:val="auto"/>
              </w:rPr>
              <w:t>N/A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divested assets</w:t>
            </w: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First-quarter 2018 Transportation Segment Adjusted EBITDA increased 23% versus comparable 2017 results. This increase was primarily driven by increased volume on our Permian Basin systems, in addition to contributions from our Eagle Ford JV system, which receives Permian volumes from our Cactus pipeline. First-quarter 2018 also benefited from Diamond pipeline being placed into service in late 2017. These increases were partially offset by the sale of non-core assets in our Rocky Mountain and Central regions.</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First-quarter 2018 Facilities Segment Adjusted EBITDA decreased by 2% versus comparable 2017 results. The impact of non-core asset sales was partially offset by increased revenue from Canadian gas processing activity, increased rail terminal activity at certain of our U.S. crude oil terminals and at our Fort Saskatchewan NGL terminal, and capacity expansions at Cushing.</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First-quarter 2018 Supply and Logistics Segment Adjusted EBITDA increased by 41% versus comparable 2017 results due to improved NGL and crude oil margin and arbitrage opportunities.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Full-Year Guidance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full-year 2018 financial and operating guidance: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barrel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4"/>
                <w:szCs w:val="14"/>
                <w:b w:val="1"/>
                <w:bCs w:val="1"/>
                <w:color w:val="auto"/>
              </w:rPr>
              <w:t>Twelve Months Ended December 31,</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 (G)</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472"/>
              <w:spacing w:after="0" w:line="142" w:lineRule="exact"/>
              <w:rPr>
                <w:sz w:val="20"/>
                <w:szCs w:val="20"/>
                <w:color w:val="auto"/>
              </w:rPr>
            </w:pPr>
            <w:r>
              <w:rPr>
                <w:rFonts w:ascii="Arial" w:cs="Arial" w:eastAsia="Arial" w:hAnsi="Arial"/>
                <w:sz w:val="14"/>
                <w:szCs w:val="14"/>
                <w:b w:val="1"/>
                <w:bCs w:val="1"/>
                <w:color w:val="auto"/>
              </w:rPr>
              <w:t>+ / -</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Transportation</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1,141</w:t>
            </w:r>
          </w:p>
        </w:tc>
        <w:tc>
          <w:tcPr>
            <w:tcW w:w="18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1,287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Facilities</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b w:val="1"/>
                <w:bCs w:val="1"/>
                <w:color w:val="auto"/>
              </w:rPr>
              <w:t>Fee-Based</w:t>
            </w:r>
          </w:p>
        </w:tc>
        <w:tc>
          <w:tcPr>
            <w:tcW w:w="800" w:type="dxa"/>
            <w:vAlign w:val="bottom"/>
          </w:tcPr>
          <w:p>
            <w:pPr>
              <w:spacing w:after="0"/>
              <w:rPr>
                <w:sz w:val="18"/>
                <w:szCs w:val="18"/>
                <w:color w:val="auto"/>
              </w:rPr>
            </w:pPr>
          </w:p>
        </w:tc>
        <w:tc>
          <w:tcPr>
            <w:tcW w:w="880" w:type="dxa"/>
            <w:vAlign w:val="bottom"/>
            <w:tcBorders>
              <w:top w:val="single" w:sz="8" w:color="auto"/>
            </w:tcBorders>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1,808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Supply and Logistics</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Other income/(expense), net</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bottom w:val="single" w:sz="8" w:color="CCEEFF"/>
            </w:tcBorders>
            <w:shd w:val="clear" w:color="auto" w:fill="CCEEFF"/>
          </w:tcPr>
          <w:p>
            <w:pPr>
              <w:spacing w:after="0" w:line="210"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(1)</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2,169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160"/>
              <w:spacing w:after="0" w:line="23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(2)</w:t>
            </w:r>
          </w:p>
        </w:tc>
        <w:tc>
          <w:tcPr>
            <w:tcW w:w="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0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(451)</w:t>
            </w: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(483)</w:t>
            </w:r>
          </w:p>
        </w:tc>
        <w:tc>
          <w:tcPr>
            <w:tcW w:w="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(425)</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Maintenance capital</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Current income tax expense</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line="210"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3"/>
                <w:szCs w:val="23"/>
                <w:b w:val="1"/>
                <w:bCs w:val="1"/>
                <w:color w:val="auto"/>
                <w:vertAlign w:val="superscript"/>
              </w:rPr>
              <w:t>(1)</w:t>
            </w:r>
          </w:p>
        </w:tc>
        <w:tc>
          <w:tcPr>
            <w:tcW w:w="800" w:type="dxa"/>
            <w:vAlign w:val="bottom"/>
          </w:tcPr>
          <w:p>
            <w:pPr>
              <w:spacing w:after="0"/>
              <w:rPr>
                <w:sz w:val="18"/>
                <w:szCs w:val="18"/>
                <w:color w:val="auto"/>
              </w:rPr>
            </w:pPr>
          </w:p>
        </w:tc>
        <w:tc>
          <w:tcPr>
            <w:tcW w:w="880" w:type="dxa"/>
            <w:vAlign w:val="bottom"/>
            <w:tcBorders>
              <w:top w:val="single" w:sz="8" w:color="auto"/>
            </w:tcBorders>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1,312</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(3)</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General partner cash distributions</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Implied DCF Available to Common Unitholders</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Implied DCF per Common Unit </w:t>
            </w:r>
            <w:r>
              <w:rPr>
                <w:rFonts w:ascii="Arial" w:cs="Arial" w:eastAsia="Arial" w:hAnsi="Arial"/>
                <w:sz w:val="23"/>
                <w:szCs w:val="23"/>
                <w:b w:val="1"/>
                <w:bCs w:val="1"/>
                <w:color w:val="auto"/>
                <w:vertAlign w:val="superscript"/>
              </w:rPr>
              <w:t>(1)</w:t>
            </w:r>
          </w:p>
        </w:tc>
        <w:tc>
          <w:tcPr>
            <w:tcW w:w="1680" w:type="dxa"/>
            <w:vAlign w:val="bottom"/>
            <w:gridSpan w:val="2"/>
            <w:shd w:val="clear" w:color="auto" w:fill="CCEEFF"/>
          </w:tcPr>
          <w:p>
            <w:pPr>
              <w:jc w:val="right"/>
              <w:ind w:right="726"/>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Implied DCF per Common Unit and Common Equivalent Unit </w:t>
            </w:r>
            <w:r>
              <w:rPr>
                <w:rFonts w:ascii="Arial" w:cs="Arial" w:eastAsia="Arial" w:hAnsi="Arial"/>
                <w:sz w:val="23"/>
                <w:szCs w:val="23"/>
                <w:b w:val="1"/>
                <w:bCs w:val="1"/>
                <w:color w:val="auto"/>
                <w:vertAlign w:val="superscript"/>
              </w:rPr>
              <w:t>(1)</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1.63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1.67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Distributions per Common Unit </w:t>
            </w:r>
            <w:r>
              <w:rPr>
                <w:rFonts w:ascii="Arial" w:cs="Arial" w:eastAsia="Arial" w:hAnsi="Arial"/>
                <w:sz w:val="23"/>
                <w:szCs w:val="23"/>
                <w:b w:val="1"/>
                <w:bCs w:val="1"/>
                <w:color w:val="auto"/>
                <w:vertAlign w:val="superscript"/>
              </w:rPr>
              <w:t>(4)</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2.65</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1.95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Unit Distribution Coverage Ratio</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0.87x</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0.94x</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b w:val="1"/>
                <w:bCs w:val="1"/>
                <w:color w:val="auto"/>
              </w:rPr>
              <w:t>Transportation</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daily volumes (MBbls/d)</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5,186</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5,925</w:t>
            </w:r>
          </w:p>
        </w:tc>
        <w:tc>
          <w:tcPr>
            <w:tcW w:w="0" w:type="dxa"/>
            <w:vAlign w:val="bottom"/>
          </w:tcPr>
          <w:p>
            <w:pPr>
              <w:spacing w:after="0"/>
              <w:rPr>
                <w:sz w:val="1"/>
                <w:szCs w:val="1"/>
                <w:color w:val="auto"/>
              </w:rPr>
            </w:pPr>
          </w:p>
        </w:tc>
      </w:tr>
    </w:tbl>
    <w:p>
      <w:pPr>
        <w:sectPr>
          <w:pgSz w:w="11900" w:h="16870" w:orient="portrait"/>
          <w:cols w:equalWidth="0" w:num="1">
            <w:col w:w="11420"/>
          </w:cols>
          <w:pgMar w:left="240" w:top="584"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Segment Adjusted EBITDA per barrel</w:t>
            </w:r>
          </w:p>
        </w:tc>
        <w:tc>
          <w:tcPr>
            <w:tcW w:w="2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0.67</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0.68</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b w:val="1"/>
                <w:bCs w:val="1"/>
                <w:color w:val="auto"/>
              </w:rPr>
              <w:t>Facilities</w:t>
            </w: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capacity (MMBbls/Mo)</w:t>
            </w: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127</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Segment Adjusted EBITDA per barrel</w:t>
            </w:r>
          </w:p>
        </w:tc>
        <w:tc>
          <w:tcPr>
            <w:tcW w:w="2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0.44</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0.47</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b w:val="1"/>
                <w:bCs w:val="1"/>
                <w:color w:val="auto"/>
              </w:rPr>
              <w:t>Supply and Logistics</w:t>
            </w: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daily volumes (MBbls/d)</w:t>
            </w: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1,153</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1,219</w:t>
            </w: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Segment Adjusted EBITDA per barrel</w:t>
            </w:r>
          </w:p>
        </w:tc>
        <w:tc>
          <w:tcPr>
            <w:tcW w:w="2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0.85</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0.13</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Expansion Capital</w:t>
            </w:r>
          </w:p>
        </w:tc>
        <w:tc>
          <w:tcPr>
            <w:tcW w:w="22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1,405</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1,135</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r>
              <w:rPr>
                <w:rFonts w:ascii="Arial" w:cs="Arial" w:eastAsia="Arial" w:hAnsi="Arial"/>
                <w:sz w:val="18"/>
                <w:szCs w:val="18"/>
                <w:b w:val="1"/>
                <w:bCs w:val="1"/>
                <w:color w:val="auto"/>
                <w:w w:val="91"/>
              </w:rPr>
              <w:t>Second-Quarter Adjusted EBITDA as Percentage of Full Year</w:t>
            </w:r>
          </w:p>
        </w:tc>
        <w:tc>
          <w:tcPr>
            <w:tcW w:w="1920" w:type="dxa"/>
            <w:vAlign w:val="bottom"/>
          </w:tcPr>
          <w:p>
            <w:pPr>
              <w:spacing w:after="0"/>
              <w:rPr>
                <w:sz w:val="20"/>
                <w:szCs w:val="20"/>
                <w:color w:val="auto"/>
              </w:rPr>
            </w:pPr>
          </w:p>
        </w:tc>
        <w:tc>
          <w:tcPr>
            <w:tcW w:w="2540" w:type="dxa"/>
            <w:vAlign w:val="bottom"/>
          </w:tcPr>
          <w:p>
            <w:pPr>
              <w:jc w:val="right"/>
              <w:ind w:right="1030"/>
              <w:spacing w:after="0"/>
              <w:rPr>
                <w:sz w:val="20"/>
                <w:szCs w:val="20"/>
                <w:color w:val="auto"/>
              </w:rPr>
            </w:pPr>
            <w:r>
              <w:rPr>
                <w:rFonts w:ascii="Arial" w:cs="Arial" w:eastAsia="Arial" w:hAnsi="Arial"/>
                <w:sz w:val="18"/>
                <w:szCs w:val="18"/>
                <w:b w:val="1"/>
                <w:bCs w:val="1"/>
                <w:color w:val="auto"/>
              </w:rPr>
              <w:t>22%</w:t>
            </w: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22%</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19% - 20%</w:t>
            </w:r>
          </w:p>
        </w:tc>
        <w:tc>
          <w:tcPr>
            <w:tcW w:w="40" w:type="dxa"/>
            <w:vAlign w:val="bottom"/>
          </w:tcPr>
          <w:p>
            <w:pPr>
              <w:spacing w:after="0"/>
              <w:rPr>
                <w:sz w:val="20"/>
                <w:szCs w:val="20"/>
                <w:color w:val="auto"/>
              </w:rPr>
            </w:pPr>
          </w:p>
        </w:tc>
      </w:tr>
      <w:tr>
        <w:trPr>
          <w:trHeight w:val="414"/>
        </w:trPr>
        <w:tc>
          <w:tcPr>
            <w:tcW w:w="48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 more -</w:t>
            </w:r>
          </w:p>
        </w:tc>
        <w:tc>
          <w:tcPr>
            <w:tcW w:w="2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80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1920" w:type="dxa"/>
            <w:vAlign w:val="bottom"/>
          </w:tcPr>
          <w:p>
            <w:pPr>
              <w:ind w:left="20"/>
              <w:spacing w:after="0"/>
              <w:rPr>
                <w:sz w:val="20"/>
                <w:szCs w:val="20"/>
                <w:color w:val="auto"/>
              </w:rPr>
            </w:pPr>
            <w:r>
              <w:rPr>
                <w:rFonts w:ascii="Arial" w:cs="Arial" w:eastAsia="Arial" w:hAnsi="Arial"/>
                <w:sz w:val="18"/>
                <w:szCs w:val="18"/>
                <w:b w:val="1"/>
                <w:bCs w:val="1"/>
                <w:color w:val="auto"/>
                <w:w w:val="99"/>
              </w:rPr>
              <w:t>Houston, Texas 77002</w:t>
            </w:r>
          </w:p>
        </w:tc>
        <w:tc>
          <w:tcPr>
            <w:tcW w:w="25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713-646-4100 / 866-809-1291</w:t>
            </w: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43"/>
        </w:trPr>
        <w:tc>
          <w:tcPr>
            <w:tcW w:w="480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(G)  2018 Guidance forecasts are intended to be + / - amounts.</w:t>
      </w:r>
    </w:p>
    <w:p>
      <w:pPr>
        <w:spacing w:after="0" w:line="225" w:lineRule="exact"/>
        <w:rPr>
          <w:sz w:val="20"/>
          <w:szCs w:val="20"/>
          <w:color w:val="auto"/>
        </w:rPr>
      </w:pPr>
    </w:p>
    <w:p>
      <w:pPr>
        <w:ind w:left="340" w:right="80" w:hanging="332"/>
        <w:spacing w:after="0" w:line="259" w:lineRule="auto"/>
        <w:tabs>
          <w:tab w:leader="none" w:pos="328"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Non-GAAP Reconciliation tables attached hereto for information regarding non-GAAP financial measures and, for the historical 2016 and 2017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167"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01" w:lineRule="exact"/>
        <w:rPr>
          <w:rFonts w:ascii="Arial" w:cs="Arial" w:eastAsia="Arial" w:hAnsi="Arial"/>
          <w:sz w:val="22"/>
          <w:szCs w:val="22"/>
          <w:color w:val="auto"/>
          <w:vertAlign w:val="superscript"/>
        </w:rPr>
      </w:pPr>
    </w:p>
    <w:p>
      <w:pPr>
        <w:ind w:left="340" w:right="180" w:hanging="332"/>
        <w:spacing w:after="0"/>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our preferred unitholders during the year presented. The distribution requirement of our Series A preferred units was paid-in-kind for all 2016 and 2017 quarterly distributions and for the February 2018 quarterly distribution. Distributions on our Series A preferred units must be paid in cash beginning with the May 2018 quarterly distribution. The distribution requirement of our Series B preferred units, which were issued in October 2017, is payable semi-annually in arrears on May 15 and November 15. A pro-rated initial distribution on the Series B preferred units was paid on November 15, 2017.</w:t>
      </w:r>
    </w:p>
    <w:p>
      <w:pPr>
        <w:spacing w:after="0" w:line="170"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Cash distributions per common unit paid during 2016 and 2017. 2018(G) reflects the current distribution rate held constant.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Q1 2018</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Q4 2017</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630"/>
              <w:spacing w:after="0"/>
              <w:rPr>
                <w:sz w:val="20"/>
                <w:szCs w:val="20"/>
                <w:color w:val="auto"/>
              </w:rPr>
            </w:pPr>
            <w:r>
              <w:rPr>
                <w:rFonts w:ascii="Arial" w:cs="Arial" w:eastAsia="Arial" w:hAnsi="Arial"/>
                <w:sz w:val="14"/>
                <w:szCs w:val="14"/>
                <w:b w:val="1"/>
                <w:bCs w:val="1"/>
                <w:color w:val="auto"/>
              </w:rPr>
              <w:t>Q1 2017</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980" w:type="dxa"/>
            <w:vAlign w:val="bottom"/>
            <w:tcBorders>
              <w:top w:val="single" w:sz="8" w:color="auto"/>
            </w:tcBorders>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0.30</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0.30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80" w:type="dxa"/>
            <w:vAlign w:val="bottom"/>
            <w:tcBorders>
              <w:top w:val="single" w:sz="8" w:color="CCEEFF"/>
            </w:tcBorders>
            <w:shd w:val="clear" w:color="auto" w:fill="CCEEFF"/>
          </w:tcPr>
          <w:p>
            <w:pPr>
              <w:spacing w:after="0"/>
              <w:rPr>
                <w:sz w:val="18"/>
                <w:szCs w:val="18"/>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b w:val="1"/>
                <w:bCs w:val="1"/>
                <w:color w:val="auto"/>
              </w:rPr>
              <w:t>Q1 2018 distribution percentage change from prior periods</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joint conference call at 4:00 p.m. CT on Tuesday, May 8, 2018 to discuss the following items:</w:t>
      </w:r>
    </w:p>
    <w:p>
      <w:pPr>
        <w:spacing w:after="0" w:line="225" w:lineRule="exact"/>
        <w:rPr>
          <w:sz w:val="20"/>
          <w:szCs w:val="20"/>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PAA’s first-quarter 2018 performance;</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and operating guidance for the full year of 2018;</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access the internet webcast please go to https://event.webcasts.com/starthere.jsp?ei=1188859&amp;tp_key=2db2d6dbfd</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Alternatively, the webcast can be accessed at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 A transcript will also be available after the call at the above referenced website.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239" w:gutter="0" w:footer="0" w:header="0"/>
        </w:sectPr>
      </w:pPr>
    </w:p>
    <w:bookmarkStart w:id="5" w:name="page6"/>
    <w:bookmarkEnd w:id="5"/>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and gains or losses on significant asset sales of unconsolidated entities) and adjusted for certain selected items impacting comparability (“Adjusted EBITDA”) and implied distributable cash flow (“DCF”).</w:t>
      </w:r>
    </w:p>
    <w:p>
      <w:pPr>
        <w:spacing w:after="0" w:line="18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7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These types of variations are not separately identified in this release, but will be discussed, as applicable, in management’s discussion and analysis of operating results in our Quarterly Report on Form 10-Q.</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market distortions caused by over-commitments to infrastructure projects, which impacts volumes, margins, returns and overall earnings; unanticipated changes in crude oil and NGL market structure, grade differentials and volatility (or lack thereof); maintenance of our credit rating and ability to receive open credit from our suppliers and trade counterparties; environmental liabilities or events that are not covered by an indemnity, insurance or existing reserves; fluctuations in refinery capacity in areas supplied by our mainlines and other factors affecting demand for various grades of crude oil and natural gas and resulting changes in pricing conditions or transportation throughput requirements; the occurrence of a natural disaster, catastrophe, terrorist attack (including eco-terrorist attacks) or other event, including attacks on our electronic and computer systems; failure to implement or capitalize, or delays in implementing or capitalizing, on expansion projects, whether due to permitting delays, permitting withdrawals or other factors;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successful integration and future performance of acquired assets or businesses and the risks associated with operating in lines of business that are distinct and separate from our historical operations; the failure to consummate, or significant delay in consummating, sales of assets or interests as a part of our strategic divestiture program; the impact of current and future laws, rulings, governmental regulations, accounting standards and statements, and related interpretations;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w:t>
      </w:r>
    </w:p>
    <w:p>
      <w:pPr>
        <w:sectPr>
          <w:pgSz w:w="11900" w:h="16917" w:orient="portrait"/>
          <w:cols w:equalWidth="0" w:num="1">
            <w:col w:w="11420"/>
          </w:cols>
          <w:pgMar w:left="240" w:top="584" w:right="239" w:bottom="0" w:gutter="0" w:footer="0" w:header="0"/>
        </w:sectPr>
      </w:pPr>
    </w:p>
    <w:bookmarkStart w:id="6" w:name="page7"/>
    <w:bookmarkEnd w:id="6"/>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conditions; the availability of, and our ability to consummate, acquisition or combination opportunities; the effectiveness of our risk management activities; shortages or cost increases of supplies, materials or labor; fluctuations in the debt and equity markets, including the price of our units at the time of 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as well as in the storage of natural gas and the processing, transportation, fractionation, storage and marketing of natural gas liquids as discussed in the Partnerships’ filings with the Securities and Exchange Commission.</w:t>
      </w:r>
    </w:p>
    <w:p>
      <w:pPr>
        <w:spacing w:after="0" w:line="16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and natural gas.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Purchases and related costs</w:t>
            </w: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7,519</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Total costs and expenses</w:t>
            </w:r>
          </w:p>
        </w:tc>
        <w:tc>
          <w:tcPr>
            <w:tcW w:w="20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8,017</w:t>
            </w: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381</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OTHER INCOME/(EXPENSE)</w:t>
            </w: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Current income tax expense</w:t>
            </w: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860" w:type="dxa"/>
            <w:vAlign w:val="bottom"/>
            <w:gridSpan w:val="2"/>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Net income allocated to common unitholders — Basic</w:t>
            </w:r>
          </w:p>
        </w:tc>
        <w:tc>
          <w:tcPr>
            <w:tcW w:w="286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237</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 weighted average common units outstanding</w:t>
            </w: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Basic net income per common unit</w:t>
            </w:r>
          </w:p>
        </w:tc>
        <w:tc>
          <w:tcPr>
            <w:tcW w:w="286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346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Net income allocated to common unitholders — Diluted</w:t>
            </w:r>
          </w:p>
        </w:tc>
        <w:tc>
          <w:tcPr>
            <w:tcW w:w="286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237</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 weighted average common units outstanding</w:t>
            </w: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Diluted net income per common unit</w:t>
            </w:r>
          </w:p>
        </w:tc>
        <w:tc>
          <w:tcPr>
            <w:tcW w:w="286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NON-GAAP ADJUSTED RESULTS</w:t>
            </w:r>
          </w:p>
        </w:tc>
        <w:tc>
          <w:tcPr>
            <w:tcW w:w="2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80" w:type="dxa"/>
            <w:vAlign w:val="bottom"/>
            <w:gridSpan w:val="3"/>
            <w:vMerge w:val="continue"/>
          </w:tcPr>
          <w:p>
            <w:pPr>
              <w:spacing w:after="0"/>
              <w:rPr>
                <w:sz w:val="24"/>
                <w:szCs w:val="24"/>
                <w:color w:val="auto"/>
              </w:rPr>
            </w:pPr>
          </w:p>
        </w:tc>
        <w:tc>
          <w:tcPr>
            <w:tcW w:w="2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 except per unit data)</w:t>
            </w:r>
          </w:p>
        </w:tc>
        <w:tc>
          <w:tcPr>
            <w:tcW w:w="3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20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2860" w:type="dxa"/>
            <w:vAlign w:val="bottom"/>
            <w:gridSpan w:val="2"/>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0.36</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800" w:type="dxa"/>
            <w:vAlign w:val="bottom"/>
            <w:shd w:val="clear" w:color="auto" w:fill="CCEEFF"/>
          </w:tcPr>
          <w:p>
            <w:pPr>
              <w:spacing w:after="0"/>
              <w:rPr>
                <w:sz w:val="9"/>
                <w:szCs w:val="9"/>
                <w:color w:val="auto"/>
              </w:rPr>
            </w:pPr>
          </w:p>
        </w:tc>
        <w:tc>
          <w:tcPr>
            <w:tcW w:w="3460" w:type="dxa"/>
            <w:vAlign w:val="bottom"/>
            <w:shd w:val="clear" w:color="auto" w:fill="CCEEFF"/>
          </w:tcPr>
          <w:p>
            <w:pPr>
              <w:spacing w:after="0"/>
              <w:rPr>
                <w:sz w:val="9"/>
                <w:szCs w:val="9"/>
                <w:color w:val="auto"/>
              </w:rPr>
            </w:pPr>
          </w:p>
        </w:tc>
        <w:tc>
          <w:tcPr>
            <w:tcW w:w="20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1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593</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ind w:left="820"/>
              <w:spacing w:after="0"/>
              <w:rPr>
                <w:sz w:val="20"/>
                <w:szCs w:val="20"/>
                <w:color w:val="auto"/>
              </w:rPr>
            </w:pPr>
            <w:r>
              <w:rPr>
                <w:rFonts w:ascii="Arial" w:cs="Arial" w:eastAsia="Arial" w:hAnsi="Arial"/>
                <w:sz w:val="18"/>
                <w:szCs w:val="18"/>
                <w:color w:val="auto"/>
              </w:rPr>
              <w:t>- more -</w:t>
            </w:r>
          </w:p>
        </w:tc>
        <w:tc>
          <w:tcPr>
            <w:tcW w:w="1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6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600" w:type="dxa"/>
            <w:vAlign w:val="bottom"/>
          </w:tcPr>
          <w:p>
            <w:pPr>
              <w:ind w:left="2300"/>
              <w:spacing w:after="0"/>
              <w:rPr>
                <w:sz w:val="20"/>
                <w:szCs w:val="20"/>
                <w:color w:val="auto"/>
              </w:rPr>
            </w:pPr>
            <w:r>
              <w:rPr>
                <w:rFonts w:ascii="Arial" w:cs="Arial" w:eastAsia="Arial" w:hAnsi="Arial"/>
                <w:sz w:val="18"/>
                <w:szCs w:val="18"/>
                <w:b w:val="1"/>
                <w:bCs w:val="1"/>
                <w:color w:val="auto"/>
                <w:w w:val="99"/>
              </w:rPr>
              <w:t>333 Clay Street, Suite 1600</w:t>
            </w:r>
          </w:p>
        </w:tc>
        <w:tc>
          <w:tcPr>
            <w:tcW w:w="2120" w:type="dxa"/>
            <w:vAlign w:val="bottom"/>
          </w:tcPr>
          <w:p>
            <w:pPr>
              <w:ind w:left="220"/>
              <w:spacing w:after="0"/>
              <w:rPr>
                <w:sz w:val="20"/>
                <w:szCs w:val="20"/>
                <w:color w:val="auto"/>
              </w:rPr>
            </w:pPr>
            <w:r>
              <w:rPr>
                <w:rFonts w:ascii="Arial" w:cs="Arial" w:eastAsia="Arial" w:hAnsi="Arial"/>
                <w:sz w:val="18"/>
                <w:szCs w:val="18"/>
                <w:b w:val="1"/>
                <w:bCs w:val="1"/>
                <w:color w:val="auto"/>
                <w:w w:val="99"/>
              </w:rPr>
              <w:t>Houston, Texas 77002</w:t>
            </w:r>
          </w:p>
        </w:tc>
        <w:tc>
          <w:tcPr>
            <w:tcW w:w="2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713-646-4100 / 866-809-1291</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460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980" w:type="dxa"/>
            <w:vAlign w:val="bottom"/>
            <w:gridSpan w:val="3"/>
          </w:tcPr>
          <w:p>
            <w:pPr>
              <w:ind w:left="176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3,962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14,114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2,543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2,882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870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Other long-term assets, net</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893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25,423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980" w:type="dxa"/>
            <w:vAlign w:val="bottom"/>
            <w:gridSpan w:val="3"/>
          </w:tcPr>
          <w:p>
            <w:pPr>
              <w:ind w:left="176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4,601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net of unamortized discounts and debt issuance costs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8,935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Other long-term debt</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736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14,387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11,036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25,423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540" w:type="dxa"/>
            <w:vAlign w:val="bottom"/>
            <w:gridSpan w:val="3"/>
            <w:vMerge w:val="continue"/>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7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line="210" w:lineRule="exact"/>
              <w:rPr>
                <w:sz w:val="20"/>
                <w:szCs w:val="20"/>
                <w:color w:val="auto"/>
              </w:rPr>
            </w:pPr>
            <w:r>
              <w:rPr>
                <w:rFonts w:ascii="Arial" w:cs="Arial" w:eastAsia="Arial" w:hAnsi="Arial"/>
                <w:sz w:val="18"/>
                <w:szCs w:val="18"/>
                <w:color w:val="auto"/>
              </w:rPr>
              <w:t xml:space="preserve">Short-term debt </w:t>
            </w:r>
            <w:r>
              <w:rPr>
                <w:rFonts w:ascii="Arial" w:cs="Arial" w:eastAsia="Arial" w:hAnsi="Arial"/>
                <w:sz w:val="23"/>
                <w:szCs w:val="23"/>
                <w:color w:val="auto"/>
                <w:vertAlign w:val="superscript"/>
              </w:rPr>
              <w:t>(1)</w:t>
            </w:r>
          </w:p>
        </w:tc>
        <w:tc>
          <w:tcPr>
            <w:tcW w:w="17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9,050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9,050</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11,036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gridSpan w:val="2"/>
            <w:vMerge w:val="restart"/>
          </w:tcPr>
          <w:p>
            <w:pPr>
              <w:ind w:left="340"/>
              <w:spacing w:after="0"/>
              <w:rPr>
                <w:sz w:val="20"/>
                <w:szCs w:val="20"/>
                <w:color w:val="auto"/>
              </w:rPr>
            </w:pPr>
            <w:r>
              <w:rPr>
                <w:rFonts w:ascii="Arial" w:cs="Arial" w:eastAsia="Arial" w:hAnsi="Arial"/>
                <w:sz w:val="18"/>
                <w:szCs w:val="18"/>
                <w:color w:val="auto"/>
              </w:rPr>
              <w:t>Total book capitalization, including short-term debt</w:t>
            </w:r>
          </w:p>
        </w:tc>
        <w:tc>
          <w:tcPr>
            <w:tcW w:w="1740" w:type="dxa"/>
            <w:vAlign w:val="bottom"/>
            <w:vMerge w:val="restart"/>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20" w:type="dxa"/>
            <w:vAlign w:val="bottom"/>
            <w:tcBorders>
              <w:bottom w:val="single" w:sz="8" w:color="CCEEFF"/>
            </w:tcBorders>
            <w:gridSpan w:val="2"/>
            <w:vMerge w:val="continue"/>
          </w:tcPr>
          <w:p>
            <w:pPr>
              <w:spacing w:after="0"/>
              <w:rPr>
                <w:sz w:val="20"/>
                <w:szCs w:val="20"/>
                <w:color w:val="auto"/>
              </w:rPr>
            </w:pPr>
          </w:p>
        </w:tc>
        <w:tc>
          <w:tcPr>
            <w:tcW w:w="17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20,860</w:t>
            </w:r>
          </w:p>
        </w:tc>
        <w:tc>
          <w:tcPr>
            <w:tcW w:w="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20,878</w:t>
            </w:r>
          </w:p>
        </w:tc>
        <w:tc>
          <w:tcPr>
            <w:tcW w:w="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debt-to-total book capitalization, including short-term debt</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80" w:hanging="332"/>
        <w:spacing w:after="0" w:line="234" w:lineRule="auto"/>
        <w:tabs>
          <w:tab w:leader="none" w:pos="32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As of March 31, 2018 and December 31, 2017, short-term debt includes borrowings of approximately $556 million and $523 million, respectively, for short-term hedged inventory purchases and borrowings of approximately $217 million and $212 million, respectively, for cash margin deposits with our clearing brokers, which are associated with financial derivatives used for hedging purposes.</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ectPr>
          <w:pgSz w:w="11900" w:h="16838" w:orient="portrait"/>
          <w:cols w:equalWidth="0" w:num="1">
            <w:col w:w="11460"/>
          </w:cols>
          <w:pgMar w:left="240" w:top="140" w:right="199" w:bottom="0" w:gutter="0" w:footer="0" w:header="0"/>
        </w:sectPr>
      </w:pPr>
    </w:p>
    <w:p>
      <w:pPr>
        <w:spacing w:after="0" w:line="163" w:lineRule="exact"/>
        <w:rPr>
          <w:sz w:val="20"/>
          <w:szCs w:val="20"/>
          <w:color w:val="auto"/>
        </w:rPr>
      </w:pPr>
    </w:p>
    <w:p>
      <w:pPr>
        <w:jc w:val="center"/>
        <w:ind w:left="8200"/>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-3175</wp:posOffset>
            </wp:positionV>
            <wp:extent cx="1912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type w:val="continuous"/>
        </w:sectPr>
      </w:pPr>
    </w:p>
    <w:bookmarkStart w:id="8" w:name="page9"/>
    <w:bookmarkEnd w:id="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Transportation segment (average daily volumes in thousands of barrels per day):</w:t>
            </w: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Tariff activities volumes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 (by region):</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3,240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2,466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(2)</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441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Gulf Coast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257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Western</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Canada</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318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5,056</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8"/>
                <w:szCs w:val="18"/>
                <w:color w:val="auto"/>
              </w:rPr>
              <w:t>NGL pipelines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173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Tariff activities total volumes</w:t>
            </w: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5,229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8"/>
                <w:szCs w:val="18"/>
                <w:color w:val="auto"/>
              </w:rPr>
              <w:t>Trucking volumes</w:t>
            </w:r>
          </w:p>
        </w:tc>
        <w:tc>
          <w:tcPr>
            <w:tcW w:w="46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total volumes</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5,328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9180" w:type="dxa"/>
            <w:vAlign w:val="bottom"/>
            <w:gridSpan w:val="2"/>
          </w:tcPr>
          <w:p>
            <w:pPr>
              <w:ind w:left="160"/>
              <w:spacing w:after="0"/>
              <w:rPr>
                <w:sz w:val="20"/>
                <w:szCs w:val="20"/>
                <w:color w:val="auto"/>
              </w:rPr>
            </w:pPr>
            <w:r>
              <w:rPr>
                <w:rFonts w:ascii="Arial" w:cs="Arial" w:eastAsia="Arial" w:hAnsi="Arial"/>
                <w:sz w:val="18"/>
                <w:szCs w:val="18"/>
                <w:color w:val="auto"/>
              </w:rPr>
              <w:t>Liquids storage (average monthly capacity in millions of barrels)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8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Natural gas storage (average monthly working capacity in billions of cubic feet)</w:t>
            </w: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vMerge w:val="restart"/>
          </w:tcPr>
          <w:p>
            <w:pPr>
              <w:ind w:left="16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tcBorders>
              <w:bottom w:val="single" w:sz="8" w:color="CCEEFF"/>
            </w:tcBorders>
            <w:vMerge w:val="continue"/>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138</w:t>
            </w:r>
          </w:p>
        </w:tc>
        <w:tc>
          <w:tcPr>
            <w:tcW w:w="28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8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Facilities segment total volumes (average monthly volumes in millions of barrels) </w:t>
            </w:r>
            <w:r>
              <w:rPr>
                <w:rFonts w:ascii="Arial" w:cs="Arial" w:eastAsia="Arial" w:hAnsi="Arial"/>
                <w:sz w:val="22"/>
                <w:szCs w:val="22"/>
                <w:color w:val="auto"/>
                <w:vertAlign w:val="superscript"/>
              </w:rPr>
              <w:t>(3)</w:t>
            </w:r>
          </w:p>
        </w:tc>
        <w:tc>
          <w:tcPr>
            <w:tcW w:w="9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w:t>
            </w:r>
          </w:p>
        </w:tc>
        <w:tc>
          <w:tcPr>
            <w:tcW w:w="2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Supply and Logistics segment (average daily volumes in thousands of barrels per day):</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8"/>
                <w:szCs w:val="18"/>
                <w:color w:val="auto"/>
              </w:rPr>
              <w:t>Crude oil lease gathering purchases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1,031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Supply and Logistics segment total volumes</w:t>
            </w:r>
          </w:p>
        </w:tc>
        <w:tc>
          <w:tcPr>
            <w:tcW w:w="9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1,392</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89" w:lineRule="exact"/>
        <w:rPr>
          <w:sz w:val="20"/>
          <w:szCs w:val="20"/>
          <w:color w:val="auto"/>
        </w:rPr>
      </w:pPr>
    </w:p>
    <w:p>
      <w:pPr>
        <w:ind w:left="320" w:hanging="312"/>
        <w:spacing w:after="0"/>
        <w:tabs>
          <w:tab w:leader="none" w:pos="32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Average volumes are calculated as total volumes for the period (attributable to our interest) divided by the number of days or months in the period.</w:t>
      </w:r>
    </w:p>
    <w:p>
      <w:pPr>
        <w:spacing w:after="0" w:line="1"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 w:lineRule="exact"/>
        <w:rPr>
          <w:rFonts w:ascii="Arial" w:cs="Arial" w:eastAsia="Arial" w:hAnsi="Arial"/>
          <w:sz w:val="23"/>
          <w:szCs w:val="23"/>
          <w:color w:val="auto"/>
          <w:vertAlign w:val="superscript"/>
        </w:rPr>
      </w:pPr>
    </w:p>
    <w:p>
      <w:pPr>
        <w:ind w:left="340" w:right="100" w:hanging="332"/>
        <w:spacing w:after="0" w:line="241" w:lineRule="auto"/>
        <w:tabs>
          <w:tab w:leader="none" w:pos="32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20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Common Unit</w:t>
            </w:r>
          </w:p>
        </w:tc>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income</w:t>
            </w:r>
          </w:p>
        </w:tc>
        <w:tc>
          <w:tcPr>
            <w:tcW w:w="3180" w:type="dxa"/>
            <w:vAlign w:val="bottom"/>
            <w:gridSpan w:val="2"/>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288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allocated to common unitholders</w:t>
            </w:r>
          </w:p>
        </w:tc>
        <w:tc>
          <w:tcPr>
            <w:tcW w:w="224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725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3180" w:type="dxa"/>
            <w:vAlign w:val="bottom"/>
            <w:gridSpan w:val="2"/>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80" w:type="dxa"/>
            <w:vAlign w:val="bottom"/>
            <w:gridSpan w:val="2"/>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Other</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allocated to common unitholders</w:t>
            </w:r>
          </w:p>
        </w:tc>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Series A preferred units</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(2)</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8" w:right="239" w:bottom="0" w:gutter="0" w:footer="0" w:header="0"/>
        </w:sectPr>
      </w:pPr>
    </w:p>
    <w:bookmarkStart w:id="9" w:name="page10"/>
    <w:bookmarkEnd w:id="9"/>
    <w:p>
      <w:pPr>
        <w:spacing w:after="0"/>
        <w:tabs>
          <w:tab w:leader="none" w:pos="8280" w:val="left"/>
          <w:tab w:leader="none" w:pos="9340" w:val="left"/>
          <w:tab w:leader="none" w:pos="9940" w:val="left"/>
          <w:tab w:leader="none" w:pos="109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5422900</wp:posOffset>
            </wp:positionH>
            <wp:positionV relativeFrom="page">
              <wp:posOffset>97790</wp:posOffset>
            </wp:positionV>
            <wp:extent cx="1912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12620" cy="8890"/>
                    </a:xfrm>
                    <a:prstGeom prst="rect">
                      <a:avLst/>
                    </a:prstGeom>
                    <a:noFill/>
                  </pic:spPr>
                </pic:pic>
              </a:graphicData>
            </a:graphic>
          </wp:anchor>
        </w:drawing>
        <w:t xml:space="preserve">Diluted net income per common unit </w:t>
      </w:r>
      <w:r>
        <w:rPr>
          <w:rFonts w:ascii="Arial" w:cs="Arial" w:eastAsia="Arial" w:hAnsi="Arial"/>
          <w:sz w:val="23"/>
          <w:szCs w:val="23"/>
          <w:color w:val="auto"/>
          <w:vertAlign w:val="superscript"/>
        </w:rPr>
        <w:t>(3)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0.33</w:t>
        <w:tab/>
        <w:t>$</w:t>
      </w:r>
      <w:r>
        <w:rPr>
          <w:sz w:val="20"/>
          <w:szCs w:val="20"/>
          <w:color w:val="auto"/>
        </w:rPr>
        <w:tab/>
      </w:r>
      <w:r>
        <w:rPr>
          <w:rFonts w:ascii="Arial" w:cs="Arial" w:eastAsia="Arial" w:hAnsi="Arial"/>
          <w:sz w:val="16"/>
          <w:szCs w:val="16"/>
          <w:color w:val="auto"/>
        </w:rPr>
        <w:t>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210185</wp:posOffset>
            </wp:positionV>
            <wp:extent cx="17754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ectPr>
          <w:pgSz w:w="11900" w:h="16838" w:orient="portrait"/>
          <w:cols w:equalWidth="0" w:num="1">
            <w:col w:w="11420"/>
          </w:cols>
          <w:pgMar w:left="240" w:top="368" w:right="239" w:bottom="266" w:gutter="0" w:footer="0" w:header="0"/>
        </w:sect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left="20" w:right="20" w:hanging="11"/>
        <w:spacing w:after="0" w:line="254" w:lineRule="auto"/>
        <w:rPr>
          <w:sz w:val="20"/>
          <w:szCs w:val="20"/>
          <w:color w:val="auto"/>
        </w:rPr>
      </w:pPr>
      <w:r>
        <w:rPr>
          <w:rFonts w:ascii="Arial" w:cs="Arial" w:eastAsia="Arial" w:hAnsi="Arial"/>
          <w:sz w:val="18"/>
          <w:szCs w:val="18"/>
          <w:color w:val="auto"/>
        </w:rPr>
        <w:t>We calculate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2" w:lineRule="exact"/>
        <w:rPr>
          <w:sz w:val="20"/>
          <w:szCs w:val="20"/>
          <w:color w:val="auto"/>
        </w:rPr>
      </w:pPr>
    </w:p>
    <w:p>
      <w:pPr>
        <w:ind w:left="20" w:right="100" w:hanging="11"/>
        <w:spacing w:after="0" w:line="250" w:lineRule="auto"/>
        <w:rPr>
          <w:sz w:val="20"/>
          <w:szCs w:val="20"/>
          <w:color w:val="auto"/>
        </w:rPr>
      </w:pPr>
      <w:r>
        <w:rPr>
          <w:rFonts w:ascii="Arial" w:cs="Arial" w:eastAsia="Arial" w:hAnsi="Arial"/>
          <w:sz w:val="18"/>
          <w:szCs w:val="18"/>
          <w:color w:val="auto"/>
        </w:rPr>
        <w:t>Our Long-term Incentive Plan (“LTIP”) awards that contemplate the issuance of common units and certain AAP Management Units that contemplate the issuance of common units to AAP when such AAP Management Units become earned are considered dilutive unless (i) vesting occurs only upon the satisfaction of a performance condition and (ii) that performance condition has yet to be satisfied. LTIP awards and AAP Management Units that are deemed to be dilutive are reduced by a hypothetical unit repurchase based on the remaining unamortized fair value, as prescribed by the treasury stock method in guidance issued by the FASB.</w:t>
      </w:r>
    </w:p>
    <w:p>
      <w:pPr>
        <w:spacing w:after="0" w:line="2" w:lineRule="exact"/>
        <w:rPr>
          <w:sz w:val="20"/>
          <w:szCs w:val="20"/>
          <w:color w:val="auto"/>
        </w:rPr>
      </w:pPr>
    </w:p>
    <w:p>
      <w:pPr>
        <w:ind w:left="20" w:right="260" w:hanging="11"/>
        <w:spacing w:after="0" w:line="261" w:lineRule="auto"/>
        <w:rPr>
          <w:sz w:val="20"/>
          <w:szCs w:val="20"/>
          <w:color w:val="auto"/>
        </w:rPr>
      </w:pPr>
      <w:r>
        <w:rPr>
          <w:rFonts w:ascii="Arial" w:cs="Arial" w:eastAsia="Arial" w:hAnsi="Arial"/>
          <w:sz w:val="18"/>
          <w:szCs w:val="18"/>
          <w:color w:val="auto"/>
        </w:rPr>
        <w:t>The possible conversion of our Series A preferred units was excluded from the calculation of diluted net income per common unit for the three months ended March 31, 2018 as the effect was antidilutive.</w:t>
      </w:r>
    </w:p>
    <w:p>
      <w:pPr>
        <w:spacing w:after="0" w:line="18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sectPr>
          <w:pgSz w:w="11900" w:h="16838" w:orient="portrait"/>
          <w:cols w:equalWidth="0" w:num="2">
            <w:col w:w="140" w:space="180"/>
            <w:col w:w="11100"/>
          </w:cols>
          <w:pgMar w:left="240" w:top="368" w:right="239" w:bottom="266" w:gutter="0" w:footer="0" w:header="0"/>
          <w:type w:val="continuous"/>
        </w:sect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March 31, 2018</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2017</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Transportation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Facilities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133"/>
              <w:spacing w:after="0" w:line="119" w:lineRule="exact"/>
              <w:rPr>
                <w:sz w:val="20"/>
                <w:szCs w:val="20"/>
                <w:color w:val="auto"/>
              </w:rPr>
            </w:pPr>
            <w:r>
              <w:rPr>
                <w:rFonts w:ascii="Arial" w:cs="Arial" w:eastAsia="Arial" w:hAnsi="Arial"/>
                <w:sz w:val="13"/>
                <w:szCs w:val="13"/>
                <w:b w:val="1"/>
                <w:bCs w:val="1"/>
                <w:color w:val="auto"/>
              </w:rPr>
              <w:t>Supply and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Transportation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Facilities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ind w:right="133"/>
              <w:spacing w:after="0" w:line="119" w:lineRule="exact"/>
              <w:rPr>
                <w:sz w:val="20"/>
                <w:szCs w:val="20"/>
                <w:color w:val="auto"/>
              </w:rPr>
            </w:pPr>
            <w:r>
              <w:rPr>
                <w:rFonts w:ascii="Arial" w:cs="Arial" w:eastAsia="Arial" w:hAnsi="Arial"/>
                <w:sz w:val="13"/>
                <w:szCs w:val="13"/>
                <w:b w:val="1"/>
                <w:bCs w:val="1"/>
                <w:color w:val="auto"/>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Logistics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8,112</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(7,925)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earnings in unconsolidated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entities</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160"/>
              <w:spacing w:after="0" w:line="201" w:lineRule="exact"/>
              <w:rPr>
                <w:sz w:val="20"/>
                <w:szCs w:val="20"/>
                <w:color w:val="auto"/>
              </w:rPr>
            </w:pPr>
            <w:r>
              <w:rPr>
                <w:rFonts w:ascii="Arial" w:cs="Arial" w:eastAsia="Arial" w:hAnsi="Arial"/>
                <w:sz w:val="18"/>
                <w:szCs w:val="18"/>
                <w:color w:val="auto"/>
              </w:rPr>
              <w:t>Depreciation and amortization of</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(Gains)/losses from derivative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activities net of inventory</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valuation adjustments</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160"/>
              <w:spacing w:after="0" w:line="201" w:lineRule="exact"/>
              <w:rPr>
                <w:sz w:val="20"/>
                <w:szCs w:val="20"/>
                <w:color w:val="auto"/>
              </w:rPr>
            </w:pPr>
            <w:r>
              <w:rPr>
                <w:rFonts w:ascii="Arial" w:cs="Arial" w:eastAsia="Arial" w:hAnsi="Arial"/>
                <w:sz w:val="18"/>
                <w:szCs w:val="18"/>
                <w:color w:val="auto"/>
              </w:rPr>
              <w:t>Long-term inventory costing</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Deficiencies under minimum</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volume commitments, net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160"/>
              <w:spacing w:after="0" w:line="201" w:lineRule="exact"/>
              <w:rPr>
                <w:sz w:val="20"/>
                <w:szCs w:val="20"/>
                <w:color w:val="auto"/>
              </w:rPr>
            </w:pPr>
            <w:r>
              <w:rPr>
                <w:rFonts w:ascii="Arial" w:cs="Arial" w:eastAsia="Arial" w:hAnsi="Arial"/>
                <w:sz w:val="18"/>
                <w:szCs w:val="18"/>
                <w:color w:val="auto"/>
              </w:rPr>
              <w:t>Equity-indexed compensation</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340"/>
              <w:spacing w:after="0"/>
              <w:rPr>
                <w:sz w:val="20"/>
                <w:szCs w:val="20"/>
                <w:color w:val="auto"/>
              </w:rPr>
            </w:pPr>
            <w:r>
              <w:rPr>
                <w:rFonts w:ascii="Arial" w:cs="Arial" w:eastAsia="Arial" w:hAnsi="Arial"/>
                <w:sz w:val="18"/>
                <w:szCs w:val="18"/>
                <w:color w:val="auto"/>
              </w:rPr>
              <w:t>expense</w:t>
            </w: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(gain)/loss on foreign currency</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160"/>
              <w:spacing w:after="0" w:line="201" w:lineRule="exact"/>
              <w:rPr>
                <w:sz w:val="20"/>
                <w:szCs w:val="20"/>
                <w:color w:val="auto"/>
              </w:rPr>
            </w:pPr>
            <w:r>
              <w:rPr>
                <w:rFonts w:ascii="Arial" w:cs="Arial" w:eastAsia="Arial" w:hAnsi="Arial"/>
                <w:sz w:val="18"/>
                <w:szCs w:val="18"/>
                <w:color w:val="auto"/>
              </w:rPr>
              <w:t>Significant acquisition-related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34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4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include equity-indexed compensation expense.</w:t>
      </w:r>
    </w:p>
    <w:p>
      <w:pPr>
        <w:spacing w:after="0" w:line="2" w:lineRule="exact"/>
        <w:rPr>
          <w:rFonts w:ascii="Arial" w:cs="Arial" w:eastAsia="Arial" w:hAnsi="Arial"/>
          <w:sz w:val="23"/>
          <w:szCs w:val="23"/>
          <w:color w:val="auto"/>
          <w:vertAlign w:val="superscript"/>
        </w:rPr>
      </w:pPr>
    </w:p>
    <w:p>
      <w:pPr>
        <w:ind w:left="340" w:right="280" w:hanging="332"/>
        <w:spacing w:after="0" w:line="242" w:lineRule="auto"/>
        <w:tabs>
          <w:tab w:leader="none" w:pos="328"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340" w:right="40" w:hanging="332"/>
        <w:spacing w:after="0" w:line="229"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Chief Operating Decision Maker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8" w:right="239" w:bottom="266" w:gutter="0" w:footer="0" w:header="0"/>
          <w:type w:val="continuous"/>
        </w:sectPr>
      </w:pPr>
    </w:p>
    <w:bookmarkStart w:id="10" w:name="page11"/>
    <w:bookmarkEnd w:id="10"/>
    <w:p>
      <w:pPr>
        <w:spacing w:after="0" w:line="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78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96"/>
        </w:trPr>
        <w:tc>
          <w:tcPr>
            <w:tcW w:w="678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1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80" w:type="dxa"/>
            <w:vAlign w:val="bottom"/>
          </w:tcPr>
          <w:p>
            <w:pPr>
              <w:spacing w:after="0" w:line="216" w:lineRule="exact"/>
              <w:rPr>
                <w:sz w:val="20"/>
                <w:szCs w:val="20"/>
                <w:color w:val="auto"/>
              </w:rPr>
            </w:pPr>
            <w:r>
              <w:rPr>
                <w:rFonts w:ascii="Arial" w:cs="Arial" w:eastAsia="Arial" w:hAnsi="Arial"/>
                <w:sz w:val="18"/>
                <w:szCs w:val="18"/>
                <w:color w:val="auto"/>
              </w:rPr>
              <w:t xml:space="preserve">Gains from derivative activities net of inventory valuation adjustments </w:t>
            </w:r>
            <w:r>
              <w:rPr>
                <w:rFonts w:ascii="Arial" w:cs="Arial" w:eastAsia="Arial" w:hAnsi="Arial"/>
                <w:sz w:val="23"/>
                <w:szCs w:val="23"/>
                <w:color w:val="auto"/>
                <w:vertAlign w:val="superscript"/>
              </w:rPr>
              <w:t>(2)</w:t>
            </w:r>
          </w:p>
        </w:tc>
        <w:tc>
          <w:tcPr>
            <w:tcW w:w="2500" w:type="dxa"/>
            <w:vAlign w:val="bottom"/>
            <w:gridSpan w:val="2"/>
          </w:tcPr>
          <w:p>
            <w:pPr>
              <w:jc w:val="right"/>
              <w:ind w:right="796"/>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r>
      <w:tr>
        <w:trPr>
          <w:trHeight w:val="216"/>
        </w:trPr>
        <w:tc>
          <w:tcPr>
            <w:tcW w:w="67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1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6780" w:type="dxa"/>
            <w:vAlign w:val="bottom"/>
          </w:tcPr>
          <w:p>
            <w:pPr>
              <w:spacing w:after="0" w:line="216"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(4)</w:t>
            </w: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67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(5)</w:t>
            </w:r>
          </w:p>
        </w:tc>
        <w:tc>
          <w:tcPr>
            <w:tcW w:w="1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6780" w:type="dxa"/>
            <w:vAlign w:val="bottom"/>
          </w:tcPr>
          <w:p>
            <w:pPr>
              <w:spacing w:after="0" w:line="216"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(6)</w:t>
            </w: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67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3"/>
                <w:szCs w:val="23"/>
                <w:color w:val="auto"/>
                <w:vertAlign w:val="superscript"/>
              </w:rPr>
              <w:t>(7)</w:t>
            </w:r>
          </w:p>
        </w:tc>
        <w:tc>
          <w:tcPr>
            <w:tcW w:w="1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0"/>
        </w:trPr>
        <w:tc>
          <w:tcPr>
            <w:tcW w:w="6780" w:type="dxa"/>
            <w:vAlign w:val="bottom"/>
          </w:tcPr>
          <w:p>
            <w:pPr>
              <w:ind w:left="180"/>
              <w:spacing w:after="0"/>
              <w:rPr>
                <w:sz w:val="20"/>
                <w:szCs w:val="20"/>
                <w:color w:val="auto"/>
              </w:rPr>
            </w:pPr>
            <w:r>
              <w:rPr>
                <w:rFonts w:ascii="Arial" w:cs="Arial" w:eastAsia="Arial" w:hAnsi="Arial"/>
                <w:sz w:val="18"/>
                <w:szCs w:val="18"/>
                <w:color w:val="auto"/>
              </w:rPr>
              <w:t>Selected items impacting comparability - Adjusted EBITDA</w:t>
            </w:r>
          </w:p>
        </w:tc>
        <w:tc>
          <w:tcPr>
            <w:tcW w:w="1520" w:type="dxa"/>
            <w:vAlign w:val="bottom"/>
          </w:tcPr>
          <w:p>
            <w:pPr>
              <w:spacing w:after="0"/>
              <w:rPr>
                <w:sz w:val="18"/>
                <w:szCs w:val="18"/>
                <w:color w:val="auto"/>
              </w:rPr>
            </w:pPr>
          </w:p>
        </w:tc>
        <w:tc>
          <w:tcPr>
            <w:tcW w:w="98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Gains from derivative activities </w:t>
            </w:r>
            <w:r>
              <w:rPr>
                <w:rFonts w:ascii="Arial" w:cs="Arial" w:eastAsia="Arial" w:hAnsi="Arial"/>
                <w:sz w:val="23"/>
                <w:szCs w:val="23"/>
                <w:color w:val="auto"/>
                <w:vertAlign w:val="superscript"/>
              </w:rPr>
              <w:t>(2)</w:t>
            </w:r>
          </w:p>
        </w:tc>
        <w:tc>
          <w:tcPr>
            <w:tcW w:w="1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23"/>
        </w:trPr>
        <w:tc>
          <w:tcPr>
            <w:tcW w:w="6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Selected items impacting comparability - Adjusted net income</w:t>
            </w:r>
          </w:p>
        </w:tc>
        <w:tc>
          <w:tcPr>
            <w:tcW w:w="15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hanging="332"/>
        <w:spacing w:after="0" w:line="254" w:lineRule="auto"/>
        <w:tabs>
          <w:tab w:leader="none" w:pos="328"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1" w:lineRule="exact"/>
        <w:rPr>
          <w:rFonts w:ascii="Arial" w:cs="Arial" w:eastAsia="Arial" w:hAnsi="Arial"/>
          <w:sz w:val="22"/>
          <w:szCs w:val="22"/>
          <w:color w:val="auto"/>
          <w:vertAlign w:val="superscript"/>
        </w:rPr>
      </w:pPr>
    </w:p>
    <w:p>
      <w:pPr>
        <w:ind w:left="340" w:right="180" w:hanging="332"/>
        <w:spacing w:after="0" w:line="265"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 w:lineRule="exact"/>
        <w:rPr>
          <w:rFonts w:ascii="Arial" w:cs="Arial" w:eastAsia="Arial" w:hAnsi="Arial"/>
          <w:sz w:val="21"/>
          <w:szCs w:val="21"/>
          <w:color w:val="auto"/>
          <w:vertAlign w:val="superscript"/>
        </w:rPr>
      </w:pPr>
    </w:p>
    <w:p>
      <w:pPr>
        <w:ind w:left="340" w:right="20" w:hanging="332"/>
        <w:spacing w:after="0" w:line="273"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 w:lineRule="exact"/>
        <w:rPr>
          <w:rFonts w:ascii="Arial" w:cs="Arial" w:eastAsia="Arial" w:hAnsi="Arial"/>
          <w:sz w:val="21"/>
          <w:szCs w:val="21"/>
          <w:color w:val="auto"/>
          <w:vertAlign w:val="superscript"/>
        </w:rPr>
      </w:pPr>
    </w:p>
    <w:p>
      <w:pPr>
        <w:ind w:left="340" w:right="140" w:hanging="332"/>
        <w:spacing w:after="0" w:line="239"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 w:lineRule="exact"/>
        <w:rPr>
          <w:rFonts w:ascii="Arial" w:cs="Arial" w:eastAsia="Arial" w:hAnsi="Arial"/>
          <w:sz w:val="23"/>
          <w:szCs w:val="23"/>
          <w:color w:val="auto"/>
          <w:vertAlign w:val="superscript"/>
        </w:rPr>
      </w:pPr>
    </w:p>
    <w:p>
      <w:pPr>
        <w:ind w:left="340" w:right="380" w:hanging="332"/>
        <w:spacing w:after="0" w:line="231" w:lineRule="auto"/>
        <w:tabs>
          <w:tab w:leader="none" w:pos="328"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ind w:left="320" w:hanging="312"/>
        <w:spacing w:after="0" w:line="196" w:lineRule="auto"/>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Includes acquisition-related expenses associated with the Alpha Crude Connector acquisition.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202"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-3175</wp:posOffset>
            </wp:positionV>
            <wp:extent cx="16205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left="9180"/>
        <w:spacing w:after="0" w:line="235" w:lineRule="auto"/>
        <w:tabs>
          <w:tab w:leader="none" w:pos="105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Net Income to Adjusted EBITDA and Implied DCF Reconciliation</w:t>
      </w:r>
    </w:p>
    <w:p>
      <w:pPr>
        <w:sectPr>
          <w:pgSz w:w="11900" w:h="16890" w:orient="portrait"/>
          <w:cols w:equalWidth="0" w:num="1">
            <w:col w:w="11420"/>
          </w:cols>
          <w:pgMar w:left="240" w:top="584" w:right="23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288</w:t>
            </w:r>
          </w:p>
        </w:tc>
        <w:tc>
          <w:tcPr>
            <w:tcW w:w="5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1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Adjusted EBITDA</w:t>
            </w:r>
          </w:p>
        </w:tc>
        <w:tc>
          <w:tcPr>
            <w:tcW w:w="1620" w:type="dxa"/>
            <w:vAlign w:val="bottom"/>
          </w:tcPr>
          <w:p>
            <w:pPr>
              <w:spacing w:after="0"/>
              <w:rPr>
                <w:sz w:val="18"/>
                <w:szCs w:val="18"/>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(3)</w:t>
            </w:r>
          </w:p>
        </w:tc>
        <w:tc>
          <w:tcPr>
            <w:tcW w:w="1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Maintenance capital</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income tax expense</w:t>
            </w:r>
          </w:p>
        </w:tc>
        <w:tc>
          <w:tcPr>
            <w:tcW w:w="1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3"/>
                <w:szCs w:val="23"/>
                <w:color w:val="auto"/>
                <w:vertAlign w:val="superscript"/>
              </w:rPr>
              <w:t>(4)</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1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Implied DCF</w:t>
            </w:r>
          </w:p>
        </w:tc>
        <w:tc>
          <w:tcPr>
            <w:tcW w:w="1620" w:type="dxa"/>
            <w:vAlign w:val="bottom"/>
          </w:tcPr>
          <w:p>
            <w:pPr>
              <w:spacing w:after="0"/>
              <w:rPr>
                <w:sz w:val="18"/>
                <w:szCs w:val="18"/>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w:t>
            </w:r>
            <w:r>
              <w:rPr>
                <w:rFonts w:ascii="Arial" w:cs="Arial" w:eastAsia="Arial" w:hAnsi="Arial"/>
                <w:sz w:val="23"/>
                <w:szCs w:val="23"/>
                <w:color w:val="auto"/>
                <w:vertAlign w:val="superscript"/>
              </w:rPr>
              <w:t>(6)</w:t>
            </w:r>
          </w:p>
        </w:tc>
        <w:tc>
          <w:tcPr>
            <w:tcW w:w="1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Implied DCF Available to Common Unitholders</w:t>
            </w:r>
          </w:p>
        </w:tc>
        <w:tc>
          <w:tcPr>
            <w:tcW w:w="16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line="216"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20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0.61</w:t>
            </w:r>
          </w:p>
        </w:tc>
        <w:tc>
          <w:tcPr>
            <w:tcW w:w="5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(8)</w:t>
            </w:r>
          </w:p>
        </w:tc>
        <w:tc>
          <w:tcPr>
            <w:tcW w:w="20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0.56</w:t>
            </w:r>
          </w:p>
        </w:tc>
        <w:tc>
          <w:tcPr>
            <w:tcW w:w="5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 Paid per Common Unit</w:t>
            </w:r>
          </w:p>
        </w:tc>
        <w:tc>
          <w:tcPr>
            <w:tcW w:w="20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w:t>
            </w:r>
          </w:p>
        </w:tc>
        <w:tc>
          <w:tcPr>
            <w:tcW w:w="5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line="216"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(5)</w:t>
            </w:r>
          </w:p>
        </w:tc>
        <w:tc>
          <w:tcPr>
            <w:tcW w:w="20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218</w:t>
            </w:r>
          </w:p>
        </w:tc>
        <w:tc>
          <w:tcPr>
            <w:tcW w:w="5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Common Unit Distribution Coverage Ratio</w:t>
            </w:r>
          </w:p>
        </w:tc>
        <w:tc>
          <w:tcPr>
            <w:tcW w:w="1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2.03x</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0.81x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Implied DCF Excess / (Shortage)</w:t>
            </w:r>
          </w:p>
        </w:tc>
        <w:tc>
          <w:tcPr>
            <w:tcW w:w="20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c>
          <w:tcPr>
            <w:tcW w:w="5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00" w:hanging="332"/>
        <w:spacing w:after="0" w:line="227"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Adjustment to add back our proportionate share of depreciation and amortization expense and gains or losses on significant asset sales of unconsolidated entities.</w:t>
      </w:r>
    </w:p>
    <w:p>
      <w:pPr>
        <w:ind w:left="320" w:hanging="312"/>
        <w:spacing w:after="0" w:line="196"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20" w:hanging="312"/>
        <w:spacing w:after="0" w:line="203" w:lineRule="auto"/>
        <w:tabs>
          <w:tab w:leader="none" w:pos="320"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 w:lineRule="exact"/>
        <w:rPr>
          <w:rFonts w:ascii="Arial" w:cs="Arial" w:eastAsia="Arial" w:hAnsi="Arial"/>
          <w:sz w:val="22"/>
          <w:szCs w:val="22"/>
          <w:color w:val="auto"/>
          <w:vertAlign w:val="superscript"/>
        </w:rPr>
      </w:pPr>
    </w:p>
    <w:p>
      <w:pPr>
        <w:ind w:left="340" w:right="780" w:hanging="332"/>
        <w:spacing w:after="0" w:line="219"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Represents the difference between non-cash equity earnings in unconsolidated entities (adjusted for our proportionate share of depreciation and amortization and gains or losses on significant asset sales) and cash distributions received from such entities.</w:t>
      </w:r>
    </w:p>
    <w:p>
      <w:pPr>
        <w:ind w:left="320" w:hanging="312"/>
        <w:spacing w:after="0" w:line="196"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1" w:lineRule="exact"/>
        <w:rPr>
          <w:rFonts w:ascii="Arial" w:cs="Arial" w:eastAsia="Arial" w:hAnsi="Arial"/>
          <w:sz w:val="23"/>
          <w:szCs w:val="23"/>
          <w:color w:val="auto"/>
          <w:vertAlign w:val="superscript"/>
        </w:rPr>
      </w:pPr>
    </w:p>
    <w:p>
      <w:pPr>
        <w:ind w:left="340" w:right="100" w:hanging="332"/>
        <w:spacing w:after="0" w:line="236"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No cash distributions were paid to our preferred unitholders during the periods presented. The current $0.5250 quarterly ($2.10 annualized) per unit distribution requirement of our Series A preferred units was paid-in-kind for each quarterly distribution since their issuance through February 2018. Distributions on our Series A preferred units will be paid in cash beginning with the May 2018 quarterly distribution. The current $61.25 per unit annual distribution requirement of our Series B preferred units, which were issued in October 2017, is payable semi-annually in arrears on May 15 and November 15.</w:t>
      </w:r>
    </w:p>
    <w:p>
      <w:pPr>
        <w:spacing w:after="0" w:line="4" w:lineRule="exact"/>
        <w:rPr>
          <w:rFonts w:ascii="Arial" w:cs="Arial" w:eastAsia="Arial" w:hAnsi="Arial"/>
          <w:sz w:val="23"/>
          <w:szCs w:val="23"/>
          <w:color w:val="auto"/>
          <w:vertAlign w:val="superscript"/>
        </w:rPr>
      </w:pPr>
    </w:p>
    <w:p>
      <w:pPr>
        <w:ind w:left="340" w:right="160" w:hanging="332"/>
        <w:spacing w:after="0" w:line="219"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divided by the weighted average common units outstanding for the period of 725 million and 691 million, respectively.</w:t>
      </w:r>
    </w:p>
    <w:p>
      <w:pPr>
        <w:spacing w:after="0" w:line="1" w:lineRule="exact"/>
        <w:rPr>
          <w:rFonts w:ascii="Arial" w:cs="Arial" w:eastAsia="Arial" w:hAnsi="Arial"/>
          <w:sz w:val="23"/>
          <w:szCs w:val="23"/>
          <w:color w:val="auto"/>
          <w:vertAlign w:val="superscript"/>
        </w:rPr>
      </w:pPr>
    </w:p>
    <w:p>
      <w:pPr>
        <w:ind w:left="340" w:right="160" w:hanging="332"/>
        <w:spacing w:after="0" w:line="234"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adjusted for Series A preferred unit cash distributions paid (if any), divided by the weighted average common units and common equivalent units outstanding for the periods of 796 million and 756 million, respectively. Our Series A preferred units are convertible into common units, generally on a one-for-one basis and subject to customary anti-dilution adjustments, at any time after January 28, 2018, in whole or in part, subject to certain minimum conversion amounts.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2"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jc w:val="center"/>
        <w:ind w:left="86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6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Income Per Common Unit to Implied DCF Per Common Unit and Common Equivalent Unit</w:t>
            </w:r>
          </w:p>
        </w:tc>
        <w:tc>
          <w:tcPr>
            <w:tcW w:w="6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Reconciliation</w:t>
            </w:r>
          </w:p>
        </w:tc>
        <w:tc>
          <w:tcPr>
            <w:tcW w:w="6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440" w:type="dxa"/>
            <w:vAlign w:val="bottom"/>
            <w:gridSpan w:val="2"/>
          </w:tcPr>
          <w:p>
            <w:pPr>
              <w:jc w:val="right"/>
              <w:ind w:right="60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Implied DCF per common unit</w:t>
            </w:r>
          </w:p>
        </w:tc>
        <w:tc>
          <w:tcPr>
            <w:tcW w:w="6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440" w:type="dxa"/>
            <w:vAlign w:val="bottom"/>
            <w:gridSpan w:val="2"/>
          </w:tcPr>
          <w:p>
            <w:pPr>
              <w:jc w:val="right"/>
              <w:ind w:right="60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3"/>
                <w:szCs w:val="23"/>
                <w:color w:val="auto"/>
                <w:vertAlign w:val="superscript"/>
              </w:rPr>
              <w:t>(1) (3)</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Implied DCF per common unit and common equivalent unit</w:t>
            </w:r>
          </w:p>
        </w:tc>
        <w:tc>
          <w:tcPr>
            <w:tcW w:w="6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60" w:hanging="332"/>
        <w:spacing w:after="0" w:line="227"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 to Adjusted EBITDA and Implied DCF Reconciliation” table for additional information.</w:t>
      </w:r>
    </w:p>
    <w:p>
      <w:pPr>
        <w:sectPr>
          <w:pgSz w:w="11900" w:h="16838" w:orient="portrait"/>
          <w:cols w:equalWidth="0" w:num="1">
            <w:col w:w="11420"/>
          </w:cols>
          <w:pgMar w:left="240" w:top="125" w:right="239" w:bottom="0" w:gutter="0" w:footer="0" w:header="0"/>
        </w:sectPr>
      </w:pPr>
    </w:p>
    <w:bookmarkStart w:id="12" w:name="page13"/>
    <w:bookmarkEnd w:id="12"/>
    <w:p>
      <w:pPr>
        <w:spacing w:after="0" w:line="62"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725 million and 691 million, respectively.</w:t>
      </w:r>
    </w:p>
    <w:p>
      <w:pPr>
        <w:spacing w:after="0" w:line="1" w:lineRule="exact"/>
        <w:rPr>
          <w:rFonts w:ascii="Arial" w:cs="Arial" w:eastAsia="Arial" w:hAnsi="Arial"/>
          <w:sz w:val="23"/>
          <w:szCs w:val="23"/>
          <w:color w:val="auto"/>
          <w:vertAlign w:val="superscript"/>
        </w:rPr>
      </w:pPr>
    </w:p>
    <w:p>
      <w:pPr>
        <w:ind w:left="340" w:right="200" w:hanging="332"/>
        <w:spacing w:after="0" w:line="219"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for the period of approximately 71 million and 65 million, respectively.</w:t>
      </w:r>
    </w:p>
    <w:p>
      <w:pPr>
        <w:spacing w:after="0" w:line="194"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jc w:val="center"/>
        <w:ind w:left="86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76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Per Common Unit to Adjusted Net Income Per Common Unit Reconciliation</w:t>
            </w:r>
          </w:p>
        </w:tc>
        <w:tc>
          <w:tcPr>
            <w:tcW w:w="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740" w:type="dxa"/>
            <w:vAlign w:val="bottom"/>
            <w:gridSpan w:val="2"/>
          </w:tcPr>
          <w:p>
            <w:pPr>
              <w:jc w:val="right"/>
              <w:ind w:right="60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adjusted net income per common unit</w:t>
            </w:r>
          </w:p>
        </w:tc>
        <w:tc>
          <w:tcPr>
            <w:tcW w:w="9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Diluted net income per common unit</w:t>
            </w:r>
          </w:p>
        </w:tc>
        <w:tc>
          <w:tcPr>
            <w:tcW w:w="1740" w:type="dxa"/>
            <w:vAlign w:val="bottom"/>
            <w:gridSpan w:val="2"/>
          </w:tcPr>
          <w:p>
            <w:pPr>
              <w:jc w:val="right"/>
              <w:ind w:right="60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Diluted adjusted net income per common unit</w:t>
            </w:r>
          </w:p>
        </w:tc>
        <w:tc>
          <w:tcPr>
            <w:tcW w:w="9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540" w:hanging="332"/>
        <w:spacing w:after="0" w:line="227"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and the “Computation of Basic and Diluted Adjusted Net Income Per Common Unit” tables for additional information.</w:t>
      </w:r>
    </w:p>
    <w:p>
      <w:pPr>
        <w:spacing w:after="0" w:line="194"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jc w:val="center"/>
        <w:ind w:left="86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28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96"/>
        </w:trPr>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Fee-based Segment Adjusted EBITDA to Adjusted EBITDA Reconciliation</w:t>
            </w:r>
          </w:p>
        </w:tc>
        <w:tc>
          <w:tcPr>
            <w:tcW w:w="1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Transportation segment adjusted EBITDA</w:t>
            </w:r>
          </w:p>
        </w:tc>
        <w:tc>
          <w:tcPr>
            <w:tcW w:w="2260" w:type="dxa"/>
            <w:vAlign w:val="bottom"/>
            <w:gridSpan w:val="2"/>
          </w:tcPr>
          <w:p>
            <w:pPr>
              <w:jc w:val="right"/>
              <w:ind w:right="626"/>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335</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Facilities segment adjusted EBITDA</w:t>
            </w:r>
          </w:p>
        </w:tc>
        <w:tc>
          <w:tcPr>
            <w:tcW w:w="1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r>
      <w:tr>
        <w:trPr>
          <w:trHeight w:val="210"/>
        </w:trPr>
        <w:tc>
          <w:tcPr>
            <w:tcW w:w="7280" w:type="dxa"/>
            <w:vAlign w:val="bottom"/>
          </w:tcPr>
          <w:p>
            <w:pPr>
              <w:ind w:left="180"/>
              <w:spacing w:after="0"/>
              <w:rPr>
                <w:sz w:val="20"/>
                <w:szCs w:val="20"/>
                <w:color w:val="auto"/>
              </w:rPr>
            </w:pPr>
            <w:r>
              <w:rPr>
                <w:rFonts w:ascii="Arial" w:cs="Arial" w:eastAsia="Arial" w:hAnsi="Arial"/>
                <w:sz w:val="18"/>
                <w:szCs w:val="18"/>
                <w:color w:val="auto"/>
              </w:rPr>
              <w:t>Fee-based segment adjusted EBITDA</w:t>
            </w:r>
          </w:p>
        </w:tc>
        <w:tc>
          <w:tcPr>
            <w:tcW w:w="1480" w:type="dxa"/>
            <w:vAlign w:val="bottom"/>
          </w:tcPr>
          <w:p>
            <w:pPr>
              <w:spacing w:after="0"/>
              <w:rPr>
                <w:sz w:val="18"/>
                <w:szCs w:val="18"/>
                <w:color w:val="auto"/>
              </w:rPr>
            </w:pPr>
          </w:p>
        </w:tc>
        <w:tc>
          <w:tcPr>
            <w:tcW w:w="780" w:type="dxa"/>
            <w:vAlign w:val="bottom"/>
            <w:tcBorders>
              <w:top w:val="single" w:sz="8" w:color="auto"/>
            </w:tcBorders>
          </w:tcPr>
          <w:p>
            <w:pPr>
              <w:jc w:val="right"/>
              <w:ind w:right="6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Supply and Logistics segment adjusted EBITDA</w:t>
            </w:r>
          </w:p>
        </w:tc>
        <w:tc>
          <w:tcPr>
            <w:tcW w:w="1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7280" w:type="dxa"/>
            <w:vAlign w:val="bottom"/>
          </w:tcPr>
          <w:p>
            <w:pPr>
              <w:spacing w:after="0" w:line="216"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280" w:type="dxa"/>
            <w:vAlign w:val="bottom"/>
            <w:tcBorders>
              <w:top w:val="single" w:sz="8" w:color="CCEEFF"/>
              <w:bottom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320" w:hanging="332"/>
        <w:spacing w:after="0" w:line="227"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Represents Other expense, net adjusted for selected items impacting comparability of $2 million and $5 million for the three months ended March 31, 2018 and 2017, respectively. See the “Selected Items Impacting Comparability” table for additional information.</w:t>
      </w:r>
    </w:p>
    <w:p>
      <w:pPr>
        <w:ind w:left="320" w:hanging="312"/>
        <w:spacing w:after="0" w:line="196"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See the “Net Income to Adjusted EBITDA and Implied DCF Reconciliation” table for reconciliation to net income.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202"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Twelve Months Ended</w:t>
      </w:r>
    </w:p>
    <w:p>
      <w:pPr>
        <w:jc w:val="center"/>
        <w:ind w:left="86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12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to Adjusted EBITDA and Implied DCF Reconciliation</w:t>
            </w:r>
          </w:p>
        </w:tc>
        <w:tc>
          <w:tcPr>
            <w:tcW w:w="1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Net Income</w:t>
            </w:r>
          </w:p>
        </w:tc>
        <w:tc>
          <w:tcPr>
            <w:tcW w:w="2340" w:type="dxa"/>
            <w:vAlign w:val="bottom"/>
            <w:gridSpan w:val="2"/>
          </w:tcPr>
          <w:p>
            <w:pPr>
              <w:jc w:val="right"/>
              <w:ind w:right="56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858</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Selected items impacting comparability - Adjusted EBITDA</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EBITDA</w:t>
            </w:r>
          </w:p>
        </w:tc>
        <w:tc>
          <w:tcPr>
            <w:tcW w:w="162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2,082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20" w:type="dxa"/>
            <w:vAlign w:val="bottom"/>
            <w:shd w:val="clear" w:color="auto" w:fill="CCEEFF"/>
          </w:tcPr>
          <w:p>
            <w:pPr>
              <w:ind w:left="160"/>
              <w:spacing w:after="0" w:line="197" w:lineRule="exact"/>
              <w:rPr>
                <w:sz w:val="20"/>
                <w:szCs w:val="20"/>
                <w:color w:val="auto"/>
              </w:rPr>
            </w:pPr>
            <w:r>
              <w:rPr>
                <w:rFonts w:ascii="Arial" w:cs="Arial" w:eastAsia="Arial" w:hAnsi="Arial"/>
                <w:sz w:val="17"/>
                <w:szCs w:val="17"/>
                <w:color w:val="auto"/>
              </w:rPr>
              <w:t xml:space="preserve">Interest expense, net </w:t>
            </w:r>
            <w:r>
              <w:rPr>
                <w:rFonts w:ascii="Arial" w:cs="Arial" w:eastAsia="Arial" w:hAnsi="Arial"/>
                <w:sz w:val="22"/>
                <w:szCs w:val="22"/>
                <w:color w:val="auto"/>
                <w:vertAlign w:val="superscript"/>
              </w:rPr>
              <w:t>(2)</w:t>
            </w:r>
          </w:p>
        </w:tc>
        <w:tc>
          <w:tcPr>
            <w:tcW w:w="1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(483)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Maintenance capital</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income tax expense</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3"/>
                <w:szCs w:val="23"/>
                <w:color w:val="auto"/>
                <w:vertAlign w:val="superscript"/>
              </w:rPr>
              <w:t>(3)</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noncontrolling interests</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Implied DCF</w:t>
            </w:r>
          </w:p>
        </w:tc>
        <w:tc>
          <w:tcPr>
            <w:tcW w:w="1620" w:type="dxa"/>
            <w:vAlign w:val="bottom"/>
          </w:tcPr>
          <w:p>
            <w:pPr>
              <w:spacing w:after="0"/>
              <w:rPr>
                <w:sz w:val="18"/>
                <w:szCs w:val="18"/>
                <w:color w:val="auto"/>
              </w:rPr>
            </w:pPr>
          </w:p>
        </w:tc>
        <w:tc>
          <w:tcPr>
            <w:tcW w:w="720" w:type="dxa"/>
            <w:vAlign w:val="bottom"/>
            <w:tcBorders>
              <w:top w:val="single" w:sz="8" w:color="auto"/>
            </w:tcBorders>
          </w:tcPr>
          <w:p>
            <w:pPr>
              <w:jc w:val="right"/>
              <w:ind w:right="56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w:t>
            </w:r>
            <w:r>
              <w:rPr>
                <w:rFonts w:ascii="Arial" w:cs="Arial" w:eastAsia="Arial" w:hAnsi="Arial"/>
                <w:sz w:val="23"/>
                <w:szCs w:val="23"/>
                <w:color w:val="auto"/>
                <w:vertAlign w:val="superscript"/>
              </w:rPr>
              <w:t>(4)</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General partner cash distributions </w:t>
            </w:r>
            <w:r>
              <w:rPr>
                <w:rFonts w:ascii="Arial" w:cs="Arial" w:eastAsia="Arial" w:hAnsi="Arial"/>
                <w:sz w:val="23"/>
                <w:szCs w:val="23"/>
                <w:color w:val="auto"/>
                <w:vertAlign w:val="superscript"/>
              </w:rPr>
              <w:t>(5)</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Available to Common Unitholders</w:t>
            </w:r>
          </w:p>
        </w:tc>
        <w:tc>
          <w:tcPr>
            <w:tcW w:w="16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(6)</w:t>
            </w:r>
          </w:p>
        </w:tc>
        <w:tc>
          <w:tcPr>
            <w:tcW w:w="2340" w:type="dxa"/>
            <w:vAlign w:val="bottom"/>
            <w:gridSpan w:val="2"/>
            <w:shd w:val="clear" w:color="auto" w:fill="CCEEFF"/>
          </w:tcPr>
          <w:p>
            <w:pPr>
              <w:jc w:val="right"/>
              <w:ind w:right="566"/>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line="216"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(7)</w:t>
            </w:r>
          </w:p>
        </w:tc>
        <w:tc>
          <w:tcPr>
            <w:tcW w:w="2340" w:type="dxa"/>
            <w:vAlign w:val="bottom"/>
            <w:gridSpan w:val="2"/>
          </w:tcPr>
          <w:p>
            <w:pPr>
              <w:jc w:val="right"/>
              <w:ind w:right="56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1.67</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Cash Distribution Paid per Common Unit</w:t>
            </w:r>
          </w:p>
        </w:tc>
        <w:tc>
          <w:tcPr>
            <w:tcW w:w="2340" w:type="dxa"/>
            <w:vAlign w:val="bottom"/>
            <w:gridSpan w:val="2"/>
          </w:tcPr>
          <w:p>
            <w:pPr>
              <w:jc w:val="right"/>
              <w:ind w:right="56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(8)</w:t>
            </w:r>
          </w:p>
        </w:tc>
        <w:tc>
          <w:tcPr>
            <w:tcW w:w="2340" w:type="dxa"/>
            <w:vAlign w:val="bottom"/>
            <w:gridSpan w:val="2"/>
            <w:shd w:val="clear" w:color="auto" w:fill="CCEEFF"/>
          </w:tcPr>
          <w:p>
            <w:pPr>
              <w:jc w:val="right"/>
              <w:ind w:right="566"/>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1,386</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Unit Distribution Coverage Ratio</w:t>
            </w:r>
          </w:p>
        </w:tc>
        <w:tc>
          <w:tcPr>
            <w:tcW w:w="16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w w:val="90"/>
              </w:rPr>
              <w:t>0.94x</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0.87x</w:t>
            </w:r>
          </w:p>
        </w:tc>
        <w:tc>
          <w:tcPr>
            <w:tcW w:w="0" w:type="dxa"/>
            <w:vAlign w:val="bottom"/>
          </w:tcPr>
          <w:p>
            <w:pPr>
              <w:spacing w:after="0"/>
              <w:rPr>
                <w:sz w:val="1"/>
                <w:szCs w:val="1"/>
                <w:color w:val="auto"/>
              </w:rPr>
            </w:pPr>
          </w:p>
        </w:tc>
      </w:tr>
    </w:tbl>
    <w:p>
      <w:pPr>
        <w:sectPr>
          <w:pgSz w:w="11900" w:h="16900" w:orient="portrait"/>
          <w:cols w:equalWidth="0" w:num="1">
            <w:col w:w="11420"/>
          </w:cols>
          <w:pgMar w:left="240" w:top="91" w:right="239" w:bottom="0" w:gutter="0" w:footer="0" w:header="0"/>
        </w:sectPr>
      </w:pPr>
    </w:p>
    <w:bookmarkStart w:id="13" w:name="page14"/>
    <w:bookmarkEnd w:id="13"/>
    <w:p>
      <w:pPr>
        <w:spacing w:after="0"/>
        <w:tabs>
          <w:tab w:leader="none" w:pos="8740" w:val="left"/>
          <w:tab w:leader="none" w:pos="9640" w:val="left"/>
          <w:tab w:leader="none" w:pos="10160" w:val="left"/>
          <w:tab w:leader="none" w:pos="10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t>Implied DCF Excess / (Shortage)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(79)</w:t>
        <w:tab/>
        <w:t>$</w:t>
      </w:r>
      <w:r>
        <w:rPr>
          <w:sz w:val="20"/>
          <w:szCs w:val="20"/>
          <w:color w:val="auto"/>
        </w:rPr>
        <w:tab/>
      </w:r>
      <w:r>
        <w:rPr>
          <w:rFonts w:ascii="Arial" w:cs="Arial" w:eastAsia="Arial" w:hAnsi="Arial"/>
          <w:sz w:val="17"/>
          <w:szCs w:val="17"/>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40" w:right="100" w:hanging="332"/>
        <w:spacing w:after="0" w:line="227"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Adjustment to add back our proportionate share of depreciation and amortization expense and gains or losses on significant asset sales of unconsolidated entities.</w:t>
      </w:r>
    </w:p>
    <w:p>
      <w:pPr>
        <w:ind w:left="320" w:hanging="312"/>
        <w:spacing w:after="0" w:line="205" w:lineRule="auto"/>
        <w:tabs>
          <w:tab w:leader="none" w:pos="320"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1" w:lineRule="exact"/>
        <w:rPr>
          <w:rFonts w:ascii="Arial" w:cs="Arial" w:eastAsia="Arial" w:hAnsi="Arial"/>
          <w:sz w:val="22"/>
          <w:szCs w:val="22"/>
          <w:color w:val="auto"/>
          <w:vertAlign w:val="superscript"/>
        </w:rPr>
      </w:pPr>
    </w:p>
    <w:p>
      <w:pPr>
        <w:ind w:left="340" w:right="780" w:hanging="332"/>
        <w:spacing w:after="0" w:line="219"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the difference between non-cash equity earnings in unconsolidated entities (adjusted for our proportionate share of depreciation and amortization and gains or losses on significant asset sales) and cash distributions received from such entities.</w:t>
      </w:r>
    </w:p>
    <w:p>
      <w:pPr>
        <w:ind w:left="340" w:right="60" w:hanging="332"/>
        <w:spacing w:after="0" w:line="265" w:lineRule="auto"/>
        <w:tabs>
          <w:tab w:leader="none" w:pos="32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Cash distributions paid to our preferred unitholders during the period presented. The $0.5250 quarterly ($2.10 annualized) per unit distribution requirement of our Series A preferred units has been paid-in-kind for each quarterly distribution since their issuance; as such, no Series A preferred unit distributions are included for any periods presented. Distributions on our Series A preferred units must be paid in cash beginning with the May 2018 quarterly distribution. The $61.25 per unit annual distribution requirement of our Series B preferred units, which were issued in October 2017, is payable semi-annually in arrears on May 15 and November 15. A pro-rated initial distribution on the Series B preferred units was paid on November 15, 2017.</w:t>
      </w:r>
    </w:p>
    <w:p>
      <w:pPr>
        <w:spacing w:after="0" w:line="1" w:lineRule="exact"/>
        <w:rPr>
          <w:rFonts w:ascii="Arial" w:cs="Arial" w:eastAsia="Arial" w:hAnsi="Arial"/>
          <w:sz w:val="21"/>
          <w:szCs w:val="21"/>
          <w:color w:val="auto"/>
          <w:vertAlign w:val="superscript"/>
        </w:rPr>
      </w:pPr>
    </w:p>
    <w:p>
      <w:pPr>
        <w:ind w:left="340" w:right="340" w:hanging="332"/>
        <w:spacing w:after="0" w:line="219"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The Simplification Transactions, which closed on November 15, 2016, simplified our governance structure and permanently eliminated our incentive distribution rights (IDRs) and the economic rights associated with our 2% general partner interest.</w:t>
      </w:r>
    </w:p>
    <w:p>
      <w:pPr>
        <w:spacing w:after="0" w:line="1" w:lineRule="exact"/>
        <w:rPr>
          <w:rFonts w:ascii="Arial" w:cs="Arial" w:eastAsia="Arial" w:hAnsi="Arial"/>
          <w:sz w:val="23"/>
          <w:szCs w:val="23"/>
          <w:color w:val="auto"/>
          <w:vertAlign w:val="superscript"/>
        </w:rPr>
      </w:pPr>
    </w:p>
    <w:p>
      <w:pPr>
        <w:ind w:left="340" w:right="80" w:hanging="332"/>
        <w:spacing w:after="0" w:line="219"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divided by the weighted average common units outstanding for the periods of 717 million and 464 million, respectively.</w:t>
      </w:r>
    </w:p>
    <w:p>
      <w:pPr>
        <w:spacing w:after="0" w:line="1" w:lineRule="exact"/>
        <w:rPr>
          <w:rFonts w:ascii="Arial" w:cs="Arial" w:eastAsia="Arial" w:hAnsi="Arial"/>
          <w:sz w:val="23"/>
          <w:szCs w:val="23"/>
          <w:color w:val="auto"/>
          <w:vertAlign w:val="superscript"/>
        </w:rPr>
      </w:pPr>
    </w:p>
    <w:p>
      <w:pPr>
        <w:ind w:left="340" w:right="160" w:hanging="332"/>
        <w:spacing w:after="0" w:line="234"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adjusted for Series A preferred unit cash distributions paid (if any), divided by the weighted average common units and common equivalent units outstanding for the periods of 784 million and 522 million, respectively. Our Series A preferred units are convertible into common units, generally on a one-for-one basis and subject to customary anti-dilution adjustments, at any time after January 28, 2018, in whole or in part, subject to certain minimum conversion amounts.</w:t>
      </w:r>
    </w:p>
    <w:p>
      <w:pPr>
        <w:spacing w:after="0" w:line="1" w:lineRule="exact"/>
        <w:rPr>
          <w:rFonts w:ascii="Arial" w:cs="Arial" w:eastAsia="Arial" w:hAnsi="Arial"/>
          <w:sz w:val="23"/>
          <w:szCs w:val="23"/>
          <w:color w:val="auto"/>
          <w:vertAlign w:val="superscript"/>
        </w:rPr>
      </w:pPr>
    </w:p>
    <w:p>
      <w:pPr>
        <w:ind w:left="340" w:right="80" w:hanging="332"/>
        <w:spacing w:after="0" w:line="219"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 For the twelve months ended December 31, 2016, includes $565 million of cash distributions paid to the general partner during the period.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2"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Twelve Months Ended</w:t>
      </w:r>
    </w:p>
    <w:p>
      <w:pPr>
        <w:jc w:val="center"/>
        <w:ind w:left="86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6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Income Per Common Unit to Implied DCF Per Common Unit and Common Equivalent Unit</w:t>
            </w:r>
          </w:p>
        </w:tc>
        <w:tc>
          <w:tcPr>
            <w:tcW w:w="6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Reconciliation</w:t>
            </w:r>
          </w:p>
        </w:tc>
        <w:tc>
          <w:tcPr>
            <w:tcW w:w="6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440" w:type="dxa"/>
            <w:vAlign w:val="bottom"/>
            <w:gridSpan w:val="2"/>
          </w:tcPr>
          <w:p>
            <w:pPr>
              <w:jc w:val="right"/>
              <w:ind w:right="60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0.96</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Implied DCF per common unit</w:t>
            </w:r>
          </w:p>
        </w:tc>
        <w:tc>
          <w:tcPr>
            <w:tcW w:w="6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440" w:type="dxa"/>
            <w:vAlign w:val="bottom"/>
            <w:gridSpan w:val="2"/>
          </w:tcPr>
          <w:p>
            <w:pPr>
              <w:jc w:val="right"/>
              <w:ind w:right="60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0.96</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3"/>
                <w:szCs w:val="23"/>
                <w:color w:val="auto"/>
                <w:vertAlign w:val="superscript"/>
              </w:rPr>
              <w:t>(1) (3)</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Implied DCF per common unit and common equivalent unit</w:t>
            </w:r>
          </w:p>
        </w:tc>
        <w:tc>
          <w:tcPr>
            <w:tcW w:w="6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60" w:hanging="332"/>
        <w:spacing w:after="0" w:line="227"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 to Adjusted EBITDA and Implied DCF Reconciliation” table for additional information.</w:t>
      </w:r>
    </w:p>
    <w:p>
      <w:pPr>
        <w:ind w:left="320" w:hanging="312"/>
        <w:spacing w:after="0" w:line="196" w:lineRule="auto"/>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717 million and 464 million, respectively.</w:t>
      </w:r>
    </w:p>
    <w:p>
      <w:pPr>
        <w:spacing w:after="0" w:line="1" w:lineRule="exact"/>
        <w:rPr>
          <w:rFonts w:ascii="Arial" w:cs="Arial" w:eastAsia="Arial" w:hAnsi="Arial"/>
          <w:sz w:val="23"/>
          <w:szCs w:val="23"/>
          <w:color w:val="auto"/>
          <w:vertAlign w:val="superscript"/>
        </w:rPr>
      </w:pPr>
    </w:p>
    <w:p>
      <w:pPr>
        <w:ind w:left="340" w:right="200" w:hanging="332"/>
        <w:spacing w:after="0" w:line="219"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for the period of 67 million and 58 million,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Segment Adjusted EBITDA to Segment Adjusted EBITDA further adjusted for impact of divested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31, 2018</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March 31, 2017</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3"/>
              </w:rPr>
              <w:t>Transportation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Facilities</w:t>
            </w:r>
          </w:p>
        </w:tc>
        <w:tc>
          <w:tcPr>
            <w:tcW w:w="80" w:type="dxa"/>
            <w:vAlign w:val="bottom"/>
          </w:tcPr>
          <w:p>
            <w:pPr>
              <w:spacing w:after="0"/>
              <w:rPr>
                <w:sz w:val="10"/>
                <w:szCs w:val="10"/>
                <w:color w:val="auto"/>
              </w:rPr>
            </w:pP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Supply and</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Transportation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Facilities</w:t>
            </w:r>
          </w:p>
        </w:tc>
        <w:tc>
          <w:tcPr>
            <w:tcW w:w="160" w:type="dxa"/>
            <w:vAlign w:val="bottom"/>
          </w:tcPr>
          <w:p>
            <w:pPr>
              <w:spacing w:after="0"/>
              <w:rPr>
                <w:sz w:val="10"/>
                <w:szCs w:val="10"/>
                <w:color w:val="auto"/>
              </w:rPr>
            </w:pPr>
          </w:p>
        </w:tc>
        <w:tc>
          <w:tcPr>
            <w:tcW w:w="98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b w:val="1"/>
                <w:bCs w:val="1"/>
                <w:color w:val="auto"/>
              </w:rPr>
              <w:t>Logistics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9"/>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72</w:t>
            </w:r>
          </w:p>
        </w:tc>
        <w:tc>
          <w:tcPr>
            <w:tcW w:w="18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Impact of divested assets </w:t>
            </w:r>
            <w:r>
              <w:rPr>
                <w:rFonts w:ascii="Arial" w:cs="Arial" w:eastAsia="Arial" w:hAnsi="Arial"/>
                <w:sz w:val="23"/>
                <w:szCs w:val="23"/>
                <w:color w:val="auto"/>
                <w:vertAlign w:val="superscript"/>
              </w:rPr>
              <w:t>(1)</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w:t>
            </w:r>
          </w:p>
        </w:tc>
        <w:tc>
          <w:tcPr>
            <w:tcW w:w="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w:t>
            </w:r>
          </w:p>
        </w:tc>
        <w:tc>
          <w:tcPr>
            <w:tcW w:w="180" w:type="dxa"/>
            <w:vAlign w:val="bottom"/>
            <w:tcBorders>
              <w:right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Segment Adjusted EBITDA further</w:t>
            </w:r>
          </w:p>
        </w:tc>
        <w:tc>
          <w:tcPr>
            <w:tcW w:w="12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00" w:type="dxa"/>
            <w:vAlign w:val="bottom"/>
            <w:vMerge w:val="continue"/>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1020" w:type="dxa"/>
            <w:vAlign w:val="bottom"/>
            <w:gridSpan w:val="2"/>
            <w:vMerge w:val="restart"/>
            <w:shd w:val="clear" w:color="auto" w:fill="CCEEFF"/>
          </w:tcPr>
          <w:p>
            <w:pPr>
              <w:jc w:val="right"/>
              <w:ind w:right="789"/>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9"/>
              </w:rPr>
              <w:t>72</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265</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7"/>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adjusted for impact of divested assets</w:t>
            </w:r>
          </w:p>
        </w:tc>
        <w:tc>
          <w:tcPr>
            <w:tcW w:w="120" w:type="dxa"/>
            <w:vAlign w:val="bottom"/>
            <w:vMerge w:val="continue"/>
            <w:shd w:val="clear" w:color="auto" w:fill="CCEEFF"/>
          </w:tcPr>
          <w:p>
            <w:pPr>
              <w:spacing w:after="0"/>
              <w:rPr>
                <w:sz w:val="18"/>
                <w:szCs w:val="18"/>
                <w:color w:val="auto"/>
              </w:rPr>
            </w:pPr>
          </w:p>
        </w:tc>
        <w:tc>
          <w:tcPr>
            <w:tcW w:w="1120" w:type="dxa"/>
            <w:vAlign w:val="bottom"/>
            <w:tcBorders>
              <w:right w:val="single" w:sz="8" w:color="CCEEFF"/>
            </w:tcBorders>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00" w:type="dxa"/>
            <w:vAlign w:val="bottom"/>
            <w:tcBorders>
              <w:right w:val="single" w:sz="8" w:color="auto"/>
            </w:tcBorders>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260" w:type="dxa"/>
            <w:vAlign w:val="bottom"/>
            <w:tcBorders>
              <w:right w:val="single" w:sz="8" w:color="CCEEFF"/>
            </w:tcBorders>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20" w:hanging="332"/>
        <w:spacing w:after="0" w:line="234"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Estimated impact of divestitures completed during 2017, assuming an effective date of 1/1/17. Divested assets include certain non-core pipelines in the Rocky Mountain and Central regions previously reported in our Transportation segment, and certain Bay Area, California terminal assets and the Bluewater natural gas storage facility previously reported in our Facilities segment.</w:t>
      </w:r>
    </w:p>
    <w:p>
      <w:pPr>
        <w:spacing w:after="0" w:line="202" w:lineRule="exact"/>
        <w:rPr>
          <w:rFonts w:ascii="Arial" w:cs="Arial" w:eastAsia="Arial" w:hAnsi="Arial"/>
          <w:sz w:val="23"/>
          <w:szCs w:val="23"/>
          <w:color w:val="auto"/>
          <w:vertAlign w:val="superscript"/>
        </w:rPr>
      </w:pPr>
    </w:p>
    <w:p>
      <w:pPr>
        <w:ind w:left="5520" w:hanging="96"/>
        <w:spacing w:after="0"/>
        <w:tabs>
          <w:tab w:leader="none" w:pos="55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more -</w:t>
      </w:r>
    </w:p>
    <w:p>
      <w:pPr>
        <w:sectPr>
          <w:pgSz w:w="11900" w:h="16838" w:orient="portrait"/>
          <w:cols w:equalWidth="0" w:num="1">
            <w:col w:w="11420"/>
          </w:cols>
          <w:pgMar w:left="240" w:top="341" w:right="239" w:bottom="0" w:gutter="0" w:footer="0" w:header="0"/>
        </w:sectPr>
      </w:pPr>
    </w:p>
    <w:bookmarkStart w:id="14" w:name="page15"/>
    <w:bookmarkEnd w:id="14"/>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201"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jc w:val="center"/>
        <w:ind w:left="86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00" w:type="dxa"/>
            <w:vAlign w:val="bottom"/>
            <w:tcBorders>
              <w:bottom w:val="single" w:sz="8" w:color="CCEEFF"/>
            </w:tcBorders>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Common Unit</w:t>
            </w:r>
          </w:p>
        </w:tc>
        <w:tc>
          <w:tcPr>
            <w:tcW w:w="1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income</w:t>
            </w:r>
          </w:p>
        </w:tc>
        <w:tc>
          <w:tcPr>
            <w:tcW w:w="2700" w:type="dxa"/>
            <w:vAlign w:val="bottom"/>
            <w:gridSpan w:val="2"/>
          </w:tcPr>
          <w:p>
            <w:pPr>
              <w:jc w:val="right"/>
              <w:ind w:right="60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288</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 Adjusted net income </w:t>
            </w:r>
            <w:r>
              <w:rPr>
                <w:rFonts w:ascii="Arial" w:cs="Arial" w:eastAsia="Arial" w:hAnsi="Arial"/>
                <w:sz w:val="23"/>
                <w:szCs w:val="23"/>
                <w:color w:val="auto"/>
                <w:vertAlign w:val="superscript"/>
              </w:rPr>
              <w:t>(2)</w:t>
            </w:r>
          </w:p>
        </w:tc>
        <w:tc>
          <w:tcPr>
            <w:tcW w:w="1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Adjusted net income</w:t>
            </w:r>
          </w:p>
        </w:tc>
        <w:tc>
          <w:tcPr>
            <w:tcW w:w="1940" w:type="dxa"/>
            <w:vAlign w:val="bottom"/>
          </w:tcPr>
          <w:p>
            <w:pPr>
              <w:spacing w:after="0"/>
              <w:rPr>
                <w:sz w:val="18"/>
                <w:szCs w:val="18"/>
                <w:color w:val="auto"/>
              </w:rPr>
            </w:pPr>
          </w:p>
        </w:tc>
        <w:tc>
          <w:tcPr>
            <w:tcW w:w="760" w:type="dxa"/>
            <w:vAlign w:val="bottom"/>
            <w:tcBorders>
              <w:top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1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1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net income allocated to common unitholders</w:t>
            </w:r>
          </w:p>
        </w:tc>
        <w:tc>
          <w:tcPr>
            <w:tcW w:w="194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1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725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Basic adjusted net income per common unit</w:t>
            </w:r>
          </w:p>
        </w:tc>
        <w:tc>
          <w:tcPr>
            <w:tcW w:w="2700" w:type="dxa"/>
            <w:vAlign w:val="bottom"/>
            <w:gridSpan w:val="2"/>
          </w:tcPr>
          <w:p>
            <w:pPr>
              <w:jc w:val="right"/>
              <w:ind w:right="60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0.36</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1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700" w:type="dxa"/>
            <w:vAlign w:val="bottom"/>
            <w:gridSpan w:val="2"/>
            <w:shd w:val="clear" w:color="auto" w:fill="CCEEFF"/>
          </w:tcPr>
          <w:p>
            <w:pPr>
              <w:jc w:val="right"/>
              <w:ind w:right="606"/>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w:t>
            </w:r>
          </w:p>
        </w:tc>
        <w:tc>
          <w:tcPr>
            <w:tcW w:w="26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 Adjusted net income </w:t>
            </w:r>
            <w:r>
              <w:rPr>
                <w:rFonts w:ascii="Arial" w:cs="Arial" w:eastAsia="Arial" w:hAnsi="Arial"/>
                <w:sz w:val="23"/>
                <w:szCs w:val="23"/>
                <w:color w:val="auto"/>
                <w:vertAlign w:val="superscript"/>
              </w:rPr>
              <w:t>(2)</w:t>
            </w:r>
          </w:p>
        </w:tc>
        <w:tc>
          <w:tcPr>
            <w:tcW w:w="1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9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1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1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allocated to common unitholders</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1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(3)</w:t>
            </w:r>
          </w:p>
        </w:tc>
        <w:tc>
          <w:tcPr>
            <w:tcW w:w="1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weighted average common units outstanding</w:t>
            </w:r>
          </w:p>
        </w:tc>
        <w:tc>
          <w:tcPr>
            <w:tcW w:w="194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line="216" w:lineRule="exact"/>
              <w:rPr>
                <w:sz w:val="20"/>
                <w:szCs w:val="20"/>
                <w:color w:val="auto"/>
              </w:rPr>
            </w:pPr>
            <w:r>
              <w:rPr>
                <w:rFonts w:ascii="Arial" w:cs="Arial" w:eastAsia="Arial" w:hAnsi="Arial"/>
                <w:sz w:val="18"/>
                <w:szCs w:val="18"/>
                <w:color w:val="auto"/>
              </w:rPr>
              <w:t xml:space="preserve">Diluted adjusted net income per common unit </w:t>
            </w:r>
            <w:r>
              <w:rPr>
                <w:rFonts w:ascii="Arial" w:cs="Arial" w:eastAsia="Arial" w:hAnsi="Arial"/>
                <w:sz w:val="23"/>
                <w:szCs w:val="23"/>
                <w:color w:val="auto"/>
                <w:vertAlign w:val="superscript"/>
              </w:rPr>
              <w:t>(4)</w:t>
            </w:r>
          </w:p>
        </w:tc>
        <w:tc>
          <w:tcPr>
            <w:tcW w:w="2700" w:type="dxa"/>
            <w:vAlign w:val="bottom"/>
            <w:gridSpan w:val="2"/>
          </w:tcPr>
          <w:p>
            <w:pPr>
              <w:jc w:val="right"/>
              <w:ind w:right="60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0.36</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right="120" w:hanging="332"/>
        <w:spacing w:after="0" w:line="238"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ind w:left="320" w:hanging="312"/>
        <w:spacing w:after="0" w:line="196" w:lineRule="auto"/>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right="60" w:hanging="332"/>
        <w:spacing w:after="0" w:line="236"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Our LTIP awards that contemplate the issuance of common units and certain AAP Management Units that contemplate the issuance of common units to AAP when such AAP Management Units become earned are considered dilutive unless (i) vesting occurs only upon the satisfaction of a performance condition and (ii) that performance condition has yet to be satisfied. LTIP awards and AAP Management Units that are deemed to be dilutive are reduced by a hypothetical unit repurchase based on the remaining unamortized fair value, as prescribed by the treasury stock method in guidance issued by the FASB.</w:t>
      </w:r>
    </w:p>
    <w:p>
      <w:pPr>
        <w:spacing w:after="0" w:line="4" w:lineRule="exact"/>
        <w:rPr>
          <w:rFonts w:ascii="Arial" w:cs="Arial" w:eastAsia="Arial" w:hAnsi="Arial"/>
          <w:sz w:val="23"/>
          <w:szCs w:val="23"/>
          <w:color w:val="auto"/>
          <w:vertAlign w:val="superscript"/>
        </w:rPr>
      </w:pPr>
    </w:p>
    <w:p>
      <w:pPr>
        <w:ind w:left="340" w:right="180" w:hanging="332"/>
        <w:spacing w:after="0" w:line="219"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adjusted net income per common unit for the three months ended March 31, 2018 and 2017 as the effect was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-1653540</wp:posOffset>
            </wp:positionV>
            <wp:extent cx="23152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ectPr>
          <w:pgSz w:w="11900" w:h="16838" w:orient="portrait"/>
          <w:cols w:equalWidth="0" w:num="1">
            <w:col w:w="11420"/>
          </w:cols>
          <w:pgMar w:left="240" w:top="162" w:right="239" w:bottom="0" w:gutter="0" w:footer="0" w:header="0"/>
        </w:sectPr>
      </w:pPr>
    </w:p>
    <w:p>
      <w:pPr>
        <w:spacing w:after="0" w:line="190" w:lineRule="exact"/>
        <w:rPr>
          <w:sz w:val="20"/>
          <w:szCs w:val="20"/>
          <w:color w:val="auto"/>
        </w:rPr>
      </w:pPr>
    </w:p>
    <w:tbl>
      <w:tblPr>
        <w:tblLayout w:type="fixed"/>
        <w:tblInd w:w="3920" w:type="dxa"/>
        <w:tblCellMar>
          <w:top w:w="0" w:type="dxa"/>
          <w:left w:w="0" w:type="dxa"/>
          <w:bottom w:w="0" w:type="dxa"/>
          <w:right w:w="0" w:type="dxa"/>
        </w:tblCellMar>
      </w:tblPr>
      <w:tr>
        <w:trPr>
          <w:trHeight w:val="161"/>
        </w:trPr>
        <w:tc>
          <w:tcPr>
            <w:tcW w:w="3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2018</w:t>
            </w:r>
          </w:p>
        </w:tc>
        <w:tc>
          <w:tcPr>
            <w:tcW w:w="32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2017</w:t>
            </w:r>
          </w:p>
        </w:tc>
      </w:tr>
    </w:tbl>
    <w:p>
      <w:pPr>
        <w:sectPr>
          <w:pgSz w:w="11900" w:h="16838" w:orient="portrait"/>
          <w:cols w:equalWidth="0" w:num="1">
            <w:col w:w="11420"/>
          </w:cols>
          <w:pgMar w:left="240" w:top="162" w:right="239" w:bottom="0" w:gutter="0" w:footer="0" w:header="0"/>
          <w:type w:val="continuous"/>
        </w:sectPr>
      </w:pPr>
    </w:p>
    <w:bookmarkStart w:id="15" w:name="page16"/>
    <w:bookmarkEnd w:id="1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Consolidating</w:t>
            </w:r>
          </w:p>
        </w:tc>
        <w:tc>
          <w:tcPr>
            <w:tcW w:w="160" w:type="dxa"/>
            <w:vAlign w:val="bottom"/>
          </w:tcPr>
          <w:p>
            <w:pPr>
              <w:spacing w:after="0"/>
              <w:rPr>
                <w:sz w:val="14"/>
                <w:szCs w:val="14"/>
                <w:color w:val="auto"/>
              </w:rPr>
            </w:pPr>
          </w:p>
        </w:tc>
        <w:tc>
          <w:tcPr>
            <w:tcW w:w="10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PAGP</w:t>
            </w:r>
          </w:p>
        </w:tc>
        <w:tc>
          <w:tcPr>
            <w:tcW w:w="200" w:type="dxa"/>
            <w:vAlign w:val="bottom"/>
          </w:tcPr>
          <w:p>
            <w:pPr>
              <w:spacing w:after="0"/>
              <w:rPr>
                <w:sz w:val="14"/>
                <w:szCs w:val="14"/>
                <w:color w:val="auto"/>
              </w:rPr>
            </w:pPr>
          </w:p>
        </w:tc>
        <w:tc>
          <w:tcPr>
            <w:tcW w:w="8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Consolidating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0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16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8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7,519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7,519</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8,018</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tcPr>
          <w:p>
            <w:pPr>
              <w:ind w:left="16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NET INCOME PER</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0.23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20" w:type="dxa"/>
            <w:vAlign w:val="bottom"/>
            <w:tcBorders>
              <w:right w:val="single" w:sz="8" w:color="auto"/>
            </w:tcBorders>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WEIGHTED</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AVERAGE CLASS A SHARES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tcBorders>
              <w:right w:val="single" w:sz="8" w:color="auto"/>
            </w:tcBorders>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2018</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PAGP</w:t>
            </w:r>
          </w:p>
        </w:tc>
        <w:tc>
          <w:tcPr>
            <w:tcW w:w="200" w:type="dxa"/>
            <w:vAlign w:val="bottom"/>
          </w:tcPr>
          <w:p>
            <w:pPr>
              <w:spacing w:after="0"/>
              <w:rPr>
                <w:sz w:val="10"/>
                <w:szCs w:val="10"/>
                <w:color w:val="auto"/>
              </w:rPr>
            </w:pP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Consolidating</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8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8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3,962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3,965</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2,543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1,373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1,373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Long-term inventory</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25,423</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26,812</w:t>
            </w:r>
          </w:p>
        </w:tc>
        <w:tc>
          <w:tcPr>
            <w:tcW w:w="140" w:type="dxa"/>
            <w:vAlign w:val="bottom"/>
            <w:tcBorders>
              <w:bottom w:val="single" w:sz="8" w:color="CCEEFF"/>
              <w:right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25,351</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26,753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Arial" w:cs="Arial" w:eastAsia="Arial" w:hAnsi="Arial"/>
                <w:sz w:val="18"/>
                <w:szCs w:val="18"/>
                <w:color w:val="auto"/>
                <w:w w:val="96"/>
              </w:rPr>
              <w:t>Senior notes, net of unamortized discounts and</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8,935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8,935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8,933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9"/>
              </w:rPr>
              <w:t>Other long-term liabilities and deferred credits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14,388</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Partners’ capital excluding noncontrolling</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11,036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(9,335)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10,958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(9,263)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10,723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10,723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10,663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64"/>
        </w:trPr>
        <w:tc>
          <w:tcPr>
            <w:tcW w:w="20" w:type="dxa"/>
            <w:vAlign w:val="bottom"/>
            <w:tcBorders>
              <w:top w:val="single" w:sz="8" w:color="CCEEFF"/>
            </w:tcBorders>
            <w:shd w:val="clear" w:color="auto" w:fill="CCEEFF"/>
          </w:tcPr>
          <w:p>
            <w:pPr>
              <w:spacing w:after="0"/>
              <w:rPr>
                <w:sz w:val="5"/>
                <w:szCs w:val="5"/>
                <w:color w:val="auto"/>
              </w:rPr>
            </w:pPr>
          </w:p>
        </w:tc>
        <w:tc>
          <w:tcPr>
            <w:tcW w:w="36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04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right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04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04" w:right="2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11,036</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1,388</w:t>
            </w:r>
          </w:p>
        </w:tc>
        <w:tc>
          <w:tcPr>
            <w:tcW w:w="26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10,958</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12,358</w:t>
            </w:r>
          </w:p>
        </w:tc>
        <w:tc>
          <w:tcPr>
            <w:tcW w:w="80" w:type="dxa"/>
            <w:vAlign w:val="bottom"/>
            <w:shd w:val="clear" w:color="auto" w:fill="CCEEFF"/>
          </w:tcPr>
          <w:p>
            <w:pPr>
              <w:spacing w:after="0"/>
              <w:rPr>
                <w:sz w:val="18"/>
                <w:szCs w:val="18"/>
                <w:color w:val="auto"/>
              </w:rPr>
            </w:pPr>
          </w:p>
        </w:tc>
      </w:tr>
      <w:tr>
        <w:trPr>
          <w:trHeight w:val="210"/>
        </w:trPr>
        <w:tc>
          <w:tcPr>
            <w:tcW w:w="392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25,423</w:t>
            </w:r>
          </w:p>
        </w:tc>
        <w:tc>
          <w:tcPr>
            <w:tcW w:w="3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4"/>
              </w:rPr>
              <w:t>1,389</w:t>
            </w:r>
          </w:p>
        </w:tc>
        <w:tc>
          <w:tcPr>
            <w:tcW w:w="3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26,812</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25,351</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26,753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4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57"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jc w:val="center"/>
        <w:ind w:left="86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74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96"/>
        </w:trPr>
        <w:tc>
          <w:tcPr>
            <w:tcW w:w="674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Basic and Diluted Net Income per Class A Share </w:t>
            </w:r>
            <w:r>
              <w:rPr>
                <w:rFonts w:ascii="Arial" w:cs="Arial" w:eastAsia="Arial" w:hAnsi="Arial"/>
                <w:sz w:val="22"/>
                <w:szCs w:val="22"/>
                <w:b w:val="1"/>
                <w:bCs w:val="1"/>
                <w:color w:val="auto"/>
                <w:vertAlign w:val="superscript"/>
              </w:rPr>
              <w:t>(1)</w:t>
            </w:r>
          </w:p>
        </w:tc>
        <w:tc>
          <w:tcPr>
            <w:tcW w:w="20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4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278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weighted average Class A shares outstanding</w:t>
            </w:r>
          </w:p>
        </w:tc>
        <w:tc>
          <w:tcPr>
            <w:tcW w:w="2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6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net income per Class A share</w:t>
            </w:r>
          </w:p>
        </w:tc>
        <w:tc>
          <w:tcPr>
            <w:tcW w:w="27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0" w:hanging="332"/>
        <w:spacing w:after="0" w:line="227" w:lineRule="auto"/>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2018 and 2017, the possible exchange of any AAP units and certain AAP Management Units would not have had a dilutive effect on basic net income per Class A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21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4600" w:type="dxa"/>
            <w:vAlign w:val="bottom"/>
            <w:gridSpan w:val="2"/>
          </w:tcPr>
          <w:p>
            <w:pPr>
              <w:spacing w:after="0"/>
              <w:rPr>
                <w:sz w:val="20"/>
                <w:szCs w:val="20"/>
                <w:color w:val="auto"/>
              </w:rPr>
            </w:pPr>
            <w:r>
              <w:rPr>
                <w:rFonts w:ascii="Arial" w:cs="Arial" w:eastAsia="Arial" w:hAnsi="Arial"/>
                <w:sz w:val="18"/>
                <w:szCs w:val="18"/>
                <w:color w:val="auto"/>
              </w:rPr>
              <w:t>Roy Lamoreaux</w:t>
            </w:r>
          </w:p>
        </w:tc>
        <w:tc>
          <w:tcPr>
            <w:tcW w:w="2120" w:type="dxa"/>
            <w:vAlign w:val="bottom"/>
          </w:tcPr>
          <w:p>
            <w:pPr>
              <w:ind w:left="740"/>
              <w:spacing w:after="0"/>
              <w:rPr>
                <w:sz w:val="20"/>
                <w:szCs w:val="20"/>
                <w:color w:val="auto"/>
              </w:rPr>
            </w:pPr>
            <w:r>
              <w:rPr>
                <w:rFonts w:ascii="Arial" w:cs="Arial" w:eastAsia="Arial" w:hAnsi="Arial"/>
                <w:sz w:val="18"/>
                <w:szCs w:val="18"/>
                <w:color w:val="auto"/>
              </w:rPr>
              <w:t>Brett Magill</w:t>
            </w: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Vice President, Investor Relations &amp; Communications</w:t>
            </w:r>
          </w:p>
        </w:tc>
        <w:tc>
          <w:tcPr>
            <w:tcW w:w="6820" w:type="dxa"/>
            <w:vAlign w:val="bottom"/>
            <w:gridSpan w:val="2"/>
          </w:tcPr>
          <w:p>
            <w:pPr>
              <w:ind w:left="740"/>
              <w:spacing w:after="0"/>
              <w:rPr>
                <w:sz w:val="20"/>
                <w:szCs w:val="20"/>
                <w:color w:val="auto"/>
              </w:rPr>
            </w:pPr>
            <w:r>
              <w:rPr>
                <w:rFonts w:ascii="Arial" w:cs="Arial" w:eastAsia="Arial" w:hAnsi="Arial"/>
                <w:sz w:val="18"/>
                <w:szCs w:val="18"/>
                <w:color w:val="auto"/>
              </w:rPr>
              <w:t>Director, Investor Relations</w:t>
            </w:r>
          </w:p>
        </w:tc>
        <w:tc>
          <w:tcPr>
            <w:tcW w:w="40" w:type="dxa"/>
            <w:vAlign w:val="bottom"/>
          </w:tcPr>
          <w:p>
            <w:pPr>
              <w:spacing w:after="0"/>
              <w:rPr>
                <w:sz w:val="18"/>
                <w:szCs w:val="18"/>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2120" w:type="dxa"/>
            <w:vAlign w:val="bottom"/>
          </w:tcPr>
          <w:p>
            <w:pPr>
              <w:ind w:left="740"/>
              <w:spacing w:after="0"/>
              <w:rPr>
                <w:sz w:val="20"/>
                <w:szCs w:val="20"/>
                <w:color w:val="auto"/>
              </w:rPr>
            </w:pPr>
            <w:r>
              <w:rPr>
                <w:rFonts w:ascii="Arial" w:cs="Arial" w:eastAsia="Arial" w:hAnsi="Arial"/>
                <w:sz w:val="18"/>
                <w:szCs w:val="18"/>
                <w:color w:val="auto"/>
              </w:rPr>
              <w:t>(866) 809-1291</w:t>
            </w:r>
          </w:p>
        </w:tc>
        <w:tc>
          <w:tcPr>
            <w:tcW w:w="4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4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640" w:type="dxa"/>
            <w:vAlign w:val="bottom"/>
          </w:tcPr>
          <w:p>
            <w:pPr>
              <w:spacing w:after="0"/>
              <w:rPr>
                <w:sz w:val="20"/>
                <w:szCs w:val="20"/>
                <w:color w:val="auto"/>
              </w:rPr>
            </w:pPr>
          </w:p>
        </w:tc>
        <w:tc>
          <w:tcPr>
            <w:tcW w:w="3960" w:type="dxa"/>
            <w:vAlign w:val="bottom"/>
          </w:tcPr>
          <w:p>
            <w:pPr>
              <w:ind w:left="1660"/>
              <w:spacing w:after="0"/>
              <w:rPr>
                <w:sz w:val="20"/>
                <w:szCs w:val="20"/>
                <w:color w:val="auto"/>
              </w:rPr>
            </w:pPr>
            <w:r>
              <w:rPr>
                <w:rFonts w:ascii="Arial" w:cs="Arial" w:eastAsia="Arial" w:hAnsi="Arial"/>
                <w:sz w:val="18"/>
                <w:szCs w:val="18"/>
                <w:b w:val="1"/>
                <w:bCs w:val="1"/>
                <w:color w:val="auto"/>
                <w:w w:val="99"/>
              </w:rPr>
              <w:t>333 Clay Street, Suite 1600</w:t>
            </w:r>
          </w:p>
        </w:tc>
        <w:tc>
          <w:tcPr>
            <w:tcW w:w="2120" w:type="dxa"/>
            <w:vAlign w:val="bottom"/>
          </w:tcPr>
          <w:p>
            <w:pPr>
              <w:ind w:left="220"/>
              <w:spacing w:after="0"/>
              <w:rPr>
                <w:sz w:val="20"/>
                <w:szCs w:val="20"/>
                <w:color w:val="auto"/>
              </w:rPr>
            </w:pPr>
            <w:r>
              <w:rPr>
                <w:rFonts w:ascii="Arial" w:cs="Arial" w:eastAsia="Arial" w:hAnsi="Arial"/>
                <w:sz w:val="18"/>
                <w:szCs w:val="18"/>
                <w:b w:val="1"/>
                <w:bCs w:val="1"/>
                <w:color w:val="auto"/>
                <w:w w:val="99"/>
              </w:rPr>
              <w:t>Houston, Texas 77002</w:t>
            </w:r>
          </w:p>
        </w:tc>
        <w:tc>
          <w:tcPr>
            <w:tcW w:w="4700" w:type="dxa"/>
            <w:vAlign w:val="bottom"/>
          </w:tcPr>
          <w:p>
            <w:pPr>
              <w:jc w:val="right"/>
              <w:ind w:right="2210"/>
              <w:spacing w:after="0"/>
              <w:rPr>
                <w:sz w:val="20"/>
                <w:szCs w:val="20"/>
                <w:color w:val="auto"/>
              </w:rPr>
            </w:pPr>
            <w:r>
              <w:rPr>
                <w:rFonts w:ascii="Arial" w:cs="Arial" w:eastAsia="Arial" w:hAnsi="Arial"/>
                <w:sz w:val="18"/>
                <w:szCs w:val="18"/>
                <w:b w:val="1"/>
                <w:bCs w:val="1"/>
                <w:color w:val="auto"/>
                <w:w w:val="99"/>
              </w:rPr>
              <w:t>713-646-4100 / 866-809-1291</w:t>
            </w:r>
          </w:p>
        </w:tc>
        <w:tc>
          <w:tcPr>
            <w:tcW w:w="40" w:type="dxa"/>
            <w:vAlign w:val="bottom"/>
          </w:tcPr>
          <w:p>
            <w:pPr>
              <w:spacing w:after="0"/>
              <w:rPr>
                <w:sz w:val="20"/>
                <w:szCs w:val="20"/>
                <w:color w:val="auto"/>
              </w:rPr>
            </w:pPr>
          </w:p>
        </w:tc>
      </w:tr>
      <w:tr>
        <w:trPr>
          <w:trHeight w:val="348"/>
        </w:trPr>
        <w:tc>
          <w:tcPr>
            <w:tcW w:w="64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4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4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o"/>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2"/>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lvl w:ilvl="1">
      <w:lvlJc w:val="left"/>
      <w:lvlText w:val="-"/>
      <w:numFmt w:val="bullet"/>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2020-01-15T08:55:57Z</dcterms:created>
  <dcterms:modified xsi:type="dcterms:W3CDTF">2020-01-15T08:55:57Z</dcterms:modified>
</cp:coreProperties>
</file>