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22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0"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66"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-127635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Common Units Representing Limited Partner Interests</w:t>
      </w:r>
    </w:p>
    <w:p>
      <w:pPr>
        <w:spacing w:after="0" w:line="40"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726503105</w:t>
      </w:r>
    </w:p>
    <w:p>
      <w:pPr>
        <w:spacing w:after="0" w:line="54"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-127635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Richard McGee</w:t>
      </w:r>
    </w:p>
    <w:p>
      <w:pPr>
        <w:spacing w:after="0" w:line="3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Plains All American GP LLC</w:t>
      </w:r>
    </w:p>
    <w:p>
      <w:pPr>
        <w:spacing w:after="0" w:line="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p>
      <w:pPr>
        <w:spacing w:after="0" w:line="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(713) 646-4100</w:t>
      </w:r>
    </w:p>
    <w:p>
      <w:pPr>
        <w:spacing w:after="0" w:line="3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-127635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30"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November 15, 2016</w:t>
      </w:r>
    </w:p>
    <w:p>
      <w:pPr>
        <w:spacing w:after="0" w:line="40"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-127635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540"/>
        <w:spacing w:after="0" w:line="261"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which is the subject of this Schedule 13D, and is filing this schedule because of Rule 13d-1(e), 13d-1(f) or 13d-1(g), check the following box: o</w:t>
      </w:r>
    </w:p>
    <w:p>
      <w:pPr>
        <w:ind w:left="4440"/>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209550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spacing w:after="0"/>
        <w:tabs>
          <w:tab w:leader="none" w:pos="4920" w:val="left"/>
        </w:tabs>
        <w:rPr>
          <w:sz w:val="20"/>
          <w:szCs w:val="20"/>
          <w:color w:val="auto"/>
        </w:rPr>
      </w:pPr>
      <w:r>
        <w:rPr>
          <w:rFonts w:ascii="Times New Roman" w:cs="Times New Roman" w:eastAsia="Times New Roman" w:hAnsi="Times New Roman"/>
          <w:sz w:val="18"/>
          <w:szCs w:val="18"/>
          <w:color w:val="auto"/>
        </w:rPr>
        <w:t>CUSIP No.  726503105</w:t>
      </w:r>
      <w:r>
        <w:rPr>
          <w:sz w:val="20"/>
          <w:szCs w:val="20"/>
          <w:color w:val="auto"/>
        </w:rPr>
        <w:tab/>
      </w:r>
      <w:r>
        <w:rPr>
          <w:rFonts w:ascii="Times New Roman" w:cs="Times New Roman" w:eastAsia="Times New Roman" w:hAnsi="Times New Roman"/>
          <w:sz w:val="17"/>
          <w:szCs w:val="17"/>
          <w:color w:val="auto"/>
        </w:rPr>
        <w:t>SCHEDULE 13 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94615</wp:posOffset>
            </wp:positionV>
            <wp:extent cx="7160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020" w:right="7680" w:hanging="632"/>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 Plains AAP,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614680</wp:posOffset>
            </wp:positionH>
            <wp:positionV relativeFrom="paragraph">
              <wp:posOffset>54610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020" w:hanging="632"/>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65" w:lineRule="exact"/>
        <w:rPr>
          <w:rFonts w:ascii="Times New Roman" w:cs="Times New Roman" w:eastAsia="Times New Roman" w:hAnsi="Times New Roman"/>
          <w:sz w:val="18"/>
          <w:szCs w:val="18"/>
          <w:color w:val="auto"/>
        </w:rPr>
      </w:pPr>
    </w:p>
    <w:p>
      <w:pPr>
        <w:ind w:left="2020" w:hanging="998"/>
        <w:spacing w:after="0"/>
        <w:tabs>
          <w:tab w:leader="none" w:pos="2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98" w:lineRule="exact"/>
        <w:rPr>
          <w:rFonts w:ascii="Times New Roman" w:cs="Times New Roman" w:eastAsia="Times New Roman" w:hAnsi="Times New Roman"/>
          <w:sz w:val="18"/>
          <w:szCs w:val="18"/>
          <w:color w:val="auto"/>
        </w:rPr>
      </w:pPr>
    </w:p>
    <w:p>
      <w:pPr>
        <w:ind w:left="2020" w:hanging="998"/>
        <w:spacing w:after="0"/>
        <w:tabs>
          <w:tab w:leader="none" w:pos="2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1215390</wp:posOffset>
            </wp:positionH>
            <wp:positionV relativeFrom="paragraph">
              <wp:posOffset>43180</wp:posOffset>
            </wp:positionV>
            <wp:extent cx="59175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17565" cy="8890"/>
                    </a:xfrm>
                    <a:prstGeom prst="rect">
                      <a:avLst/>
                    </a:prstGeom>
                    <a:noFill/>
                  </pic:spPr>
                </pic:pic>
              </a:graphicData>
            </a:graphic>
          </wp:anchor>
        </w:drawing>
        <w:drawing>
          <wp:anchor simplePos="0" relativeHeight="251657728" behindDoc="1" locked="0" layoutInCell="0" allowOverlap="1">
            <wp:simplePos x="0" y="0"/>
            <wp:positionH relativeFrom="column">
              <wp:posOffset>1215390</wp:posOffset>
            </wp:positionH>
            <wp:positionV relativeFrom="paragraph">
              <wp:posOffset>-213360</wp:posOffset>
            </wp:positionV>
            <wp:extent cx="59175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175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020" w:hanging="632"/>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614680</wp:posOffset>
            </wp:positionH>
            <wp:positionV relativeFrom="paragraph">
              <wp:posOffset>94615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1020" w:right="7100" w:hanging="632"/>
        <w:spacing w:after="0" w:line="313"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Source of Funds (See Instructions) OO (please see </w:t>
      </w:r>
      <w:r>
        <w:rPr>
          <w:rFonts w:ascii="Times New Roman" w:cs="Times New Roman" w:eastAsia="Times New Roman" w:hAnsi="Times New Roman"/>
          <w:sz w:val="17"/>
          <w:szCs w:val="17"/>
          <w:u w:val="single" w:color="auto"/>
          <w:color w:val="auto"/>
        </w:rPr>
        <w:t>Item 3</w:t>
      </w:r>
      <w:r>
        <w:rPr>
          <w:rFonts w:ascii="Times New Roman" w:cs="Times New Roman" w:eastAsia="Times New Roman" w:hAnsi="Times New Roman"/>
          <w:sz w:val="17"/>
          <w:szCs w:val="17"/>
          <w:color w:val="auto"/>
        </w:rPr>
        <w:t xml:space="preserve">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614680</wp:posOffset>
            </wp:positionH>
            <wp:positionV relativeFrom="paragraph">
              <wp:posOffset>39370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380"/>
        <w:spacing w:after="0"/>
        <w:tabs>
          <w:tab w:leader="none" w:pos="1000" w:val="left"/>
          <w:tab w:leader="none" w:pos="764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Box if Disclosure of Legal Proceedings Is Required Pursuant to Items 2(d) or 2(e)</w:t>
      </w:r>
      <w:r>
        <w:rPr>
          <w:sz w:val="20"/>
          <w:szCs w:val="20"/>
          <w:color w:val="auto"/>
        </w:rPr>
        <w:tab/>
      </w: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614680</wp:posOffset>
            </wp:positionH>
            <wp:positionV relativeFrom="paragraph">
              <wp:posOffset>94615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1020" w:right="6980" w:hanging="632"/>
        <w:spacing w:after="0" w:line="313"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Delaware,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614680</wp:posOffset>
            </wp:positionH>
            <wp:positionV relativeFrom="paragraph">
              <wp:posOffset>39370</wp:posOffset>
            </wp:positionV>
            <wp:extent cx="6517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0620"/>
          </w:cols>
          <w:pgMar w:left="360" w:top="459" w:right="919" w:bottom="0" w:gutter="0" w:footer="0" w:header="0"/>
        </w:sectPr>
      </w:pPr>
    </w:p>
    <w:bookmarkStart w:id="1" w:name="page2"/>
    <w:bookmarkEnd w:id="1"/>
    <w:tbl>
      <w:tblPr>
        <w:tblLayout w:type="fixed"/>
        <w:tblInd w:w="12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w:t>
            </w: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244,707,926 Common Units</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9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5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Pr>
          <w:p>
            <w:pPr>
              <w:spacing w:after="0"/>
              <w:rPr>
                <w:sz w:val="21"/>
                <w:szCs w:val="21"/>
                <w:color w:val="auto"/>
              </w:rPr>
            </w:pP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 Common Units</w:t>
            </w:r>
          </w:p>
        </w:tc>
        <w:tc>
          <w:tcPr>
            <w:tcW w:w="0" w:type="dxa"/>
            <w:vAlign w:val="bottom"/>
          </w:tcPr>
          <w:p>
            <w:pPr>
              <w:spacing w:after="0"/>
              <w:rPr>
                <w:sz w:val="1"/>
                <w:szCs w:val="1"/>
                <w:color w:val="auto"/>
              </w:rPr>
            </w:pPr>
          </w:p>
        </w:tc>
      </w:tr>
      <w:tr>
        <w:trPr>
          <w:trHeight w:val="99"/>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00" w:type="dxa"/>
            <w:vAlign w:val="bottom"/>
          </w:tcPr>
          <w:p>
            <w:pPr>
              <w:spacing w:after="0"/>
              <w:rPr>
                <w:sz w:val="8"/>
                <w:szCs w:val="8"/>
                <w:color w:val="auto"/>
              </w:rPr>
            </w:pPr>
          </w:p>
        </w:tc>
        <w:tc>
          <w:tcPr>
            <w:tcW w:w="9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1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70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0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w:t>
            </w: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700" w:type="dxa"/>
            <w:vAlign w:val="bottom"/>
          </w:tcPr>
          <w:p>
            <w:pPr>
              <w:spacing w:after="0"/>
              <w:rPr>
                <w:sz w:val="23"/>
                <w:szCs w:val="23"/>
                <w:color w:val="auto"/>
              </w:rPr>
            </w:pP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244,707,926 Common Units</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85"/>
        </w:trPr>
        <w:tc>
          <w:tcPr>
            <w:tcW w:w="1140" w:type="dxa"/>
            <w:vAlign w:val="bottom"/>
          </w:tcPr>
          <w:p>
            <w:pPr>
              <w:spacing w:after="0"/>
              <w:rPr>
                <w:sz w:val="24"/>
                <w:szCs w:val="24"/>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w:t>
            </w: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 Common Units</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1140" w:right="5420" w:hanging="632"/>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244,707,926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54610</wp:posOffset>
            </wp:positionV>
            <wp:extent cx="65176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Box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94615</wp:posOffset>
            </wp:positionV>
            <wp:extent cx="65176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40" w:right="6340" w:hanging="632"/>
        <w:spacing w:after="0" w:line="282" w:lineRule="auto"/>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37.2% of Common Units*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5" w:lineRule="exact"/>
        <w:rPr>
          <w:rFonts w:ascii="Times New Roman" w:cs="Times New Roman" w:eastAsia="Times New Roman" w:hAnsi="Times New Roman"/>
          <w:sz w:val="18"/>
          <w:szCs w:val="18"/>
          <w:color w:val="auto"/>
        </w:rPr>
      </w:pPr>
    </w:p>
    <w:p>
      <w:pPr>
        <w:ind w:left="1140" w:hanging="632"/>
        <w:spacing w:after="0"/>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color w:val="auto"/>
        </w:rPr>
      </w:pPr>
    </w:p>
    <w:p>
      <w:pPr>
        <w:spacing w:after="0" w:line="37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-410845</wp:posOffset>
            </wp:positionV>
            <wp:extent cx="65176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-1148080</wp:posOffset>
            </wp:positionV>
            <wp:extent cx="65176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tabs>
          <w:tab w:leader="none" w:pos="5040" w:val="left"/>
        </w:tabs>
        <w:rPr>
          <w:sz w:val="20"/>
          <w:szCs w:val="20"/>
          <w:color w:val="auto"/>
        </w:rPr>
      </w:pPr>
      <w:r>
        <w:rPr>
          <w:rFonts w:ascii="Times New Roman" w:cs="Times New Roman" w:eastAsia="Times New Roman" w:hAnsi="Times New Roman"/>
          <w:sz w:val="18"/>
          <w:szCs w:val="18"/>
          <w:color w:val="auto"/>
        </w:rPr>
        <w:t>CUSIP No.  726503105</w:t>
      </w:r>
      <w:r>
        <w:rPr>
          <w:sz w:val="20"/>
          <w:szCs w:val="20"/>
          <w:color w:val="auto"/>
        </w:rPr>
        <w:tab/>
      </w:r>
      <w:r>
        <w:rPr>
          <w:rFonts w:ascii="Times New Roman" w:cs="Times New Roman" w:eastAsia="Times New Roman" w:hAnsi="Times New Roman"/>
          <w:sz w:val="17"/>
          <w:szCs w:val="17"/>
          <w:color w:val="auto"/>
        </w:rPr>
        <w:t>SCHEDULE 13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94615</wp:posOffset>
            </wp:positionV>
            <wp:extent cx="7160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140" w:right="8080" w:hanging="632"/>
        <w:spacing w:after="0" w:line="28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 Plains All American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54610</wp:posOffset>
            </wp:positionV>
            <wp:extent cx="65176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40" w:hanging="63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65" w:lineRule="exact"/>
        <w:rPr>
          <w:rFonts w:ascii="Times New Roman" w:cs="Times New Roman" w:eastAsia="Times New Roman" w:hAnsi="Times New Roman"/>
          <w:sz w:val="18"/>
          <w:szCs w:val="18"/>
          <w:color w:val="auto"/>
        </w:rPr>
      </w:pPr>
    </w:p>
    <w:p>
      <w:pPr>
        <w:ind w:left="2140" w:hanging="998"/>
        <w:spacing w:after="0"/>
        <w:tabs>
          <w:tab w:leader="none" w:pos="21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98" w:lineRule="exact"/>
        <w:rPr>
          <w:rFonts w:ascii="Times New Roman" w:cs="Times New Roman" w:eastAsia="Times New Roman" w:hAnsi="Times New Roman"/>
          <w:sz w:val="18"/>
          <w:szCs w:val="18"/>
          <w:color w:val="auto"/>
        </w:rPr>
      </w:pPr>
    </w:p>
    <w:p>
      <w:pPr>
        <w:ind w:left="2140" w:hanging="998"/>
        <w:spacing w:after="0"/>
        <w:tabs>
          <w:tab w:leader="none" w:pos="21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43180</wp:posOffset>
            </wp:positionV>
            <wp:extent cx="59175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17565"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-213360</wp:posOffset>
            </wp:positionV>
            <wp:extent cx="59175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175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40" w:hanging="632"/>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94615</wp:posOffset>
            </wp:positionV>
            <wp:extent cx="65176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40" w:right="7720" w:hanging="632"/>
        <w:spacing w:after="0" w:line="313" w:lineRule="auto"/>
        <w:tabs>
          <w:tab w:leader="none" w:pos="11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Source of Funds (See Instructions) OO (please see </w:t>
      </w:r>
      <w:r>
        <w:rPr>
          <w:rFonts w:ascii="Times New Roman" w:cs="Times New Roman" w:eastAsia="Times New Roman" w:hAnsi="Times New Roman"/>
          <w:sz w:val="17"/>
          <w:szCs w:val="17"/>
          <w:u w:val="single" w:color="auto"/>
          <w:color w:val="auto"/>
        </w:rPr>
        <w:t>Item 3</w:t>
      </w:r>
      <w:r>
        <w:rPr>
          <w:rFonts w:ascii="Times New Roman" w:cs="Times New Roman" w:eastAsia="Times New Roman" w:hAnsi="Times New Roman"/>
          <w:sz w:val="17"/>
          <w:szCs w:val="17"/>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39370</wp:posOffset>
            </wp:positionV>
            <wp:extent cx="65176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360"/>
          </w:cols>
          <w:pgMar w:left="240" w:top="675" w:right="299" w:bottom="0" w:gutter="0" w:footer="0" w:header="0"/>
        </w:sectPr>
      </w:pPr>
    </w:p>
    <w:bookmarkStart w:id="2" w:name="page3"/>
    <w:bookmarkEnd w:id="2"/>
    <w:p>
      <w:pPr>
        <w:ind w:left="500"/>
        <w:spacing w:after="0"/>
        <w:tabs>
          <w:tab w:leader="none" w:pos="1120" w:val="left"/>
          <w:tab w:leader="none" w:pos="77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Box if Disclosure of Legal Proceedings Is Required Pursuant to Items 2(d) or 2(e)</w:t>
      </w:r>
      <w:r>
        <w:rPr>
          <w:sz w:val="20"/>
          <w:szCs w:val="20"/>
          <w:color w:val="auto"/>
        </w:rPr>
        <w:tab/>
      </w:r>
      <w:r>
        <w:rPr>
          <w:rFonts w:ascii="Times New Roman" w:cs="Times New Roman" w:eastAsia="Times New Roman" w:hAnsi="Times New Roman"/>
          <w:sz w:val="16"/>
          <w:szCs w:val="16"/>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94615</wp:posOffset>
            </wp:positionV>
            <wp:extent cx="65176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40" w:right="7600" w:hanging="632"/>
        <w:spacing w:after="0" w:line="313"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39370</wp:posOffset>
            </wp:positionV>
            <wp:extent cx="65176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w:t>
            </w: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244,707,926 Common Units</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9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5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Pr>
          <w:p>
            <w:pPr>
              <w:spacing w:after="0"/>
              <w:rPr>
                <w:sz w:val="21"/>
                <w:szCs w:val="21"/>
                <w:color w:val="auto"/>
              </w:rPr>
            </w:pP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 Common Units</w:t>
            </w:r>
          </w:p>
        </w:tc>
        <w:tc>
          <w:tcPr>
            <w:tcW w:w="0" w:type="dxa"/>
            <w:vAlign w:val="bottom"/>
          </w:tcPr>
          <w:p>
            <w:pPr>
              <w:spacing w:after="0"/>
              <w:rPr>
                <w:sz w:val="1"/>
                <w:szCs w:val="1"/>
                <w:color w:val="auto"/>
              </w:rPr>
            </w:pPr>
          </w:p>
        </w:tc>
      </w:tr>
      <w:tr>
        <w:trPr>
          <w:trHeight w:val="99"/>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00" w:type="dxa"/>
            <w:vAlign w:val="bottom"/>
          </w:tcPr>
          <w:p>
            <w:pPr>
              <w:spacing w:after="0"/>
              <w:rPr>
                <w:sz w:val="8"/>
                <w:szCs w:val="8"/>
                <w:color w:val="auto"/>
              </w:rPr>
            </w:pPr>
          </w:p>
        </w:tc>
        <w:tc>
          <w:tcPr>
            <w:tcW w:w="9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1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70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0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w:t>
            </w: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700" w:type="dxa"/>
            <w:vAlign w:val="bottom"/>
          </w:tcPr>
          <w:p>
            <w:pPr>
              <w:spacing w:after="0"/>
              <w:rPr>
                <w:sz w:val="23"/>
                <w:szCs w:val="23"/>
                <w:color w:val="auto"/>
              </w:rPr>
            </w:pP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244,707,926 Common Units</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85"/>
        </w:trPr>
        <w:tc>
          <w:tcPr>
            <w:tcW w:w="1140" w:type="dxa"/>
            <w:vAlign w:val="bottom"/>
          </w:tcPr>
          <w:p>
            <w:pPr>
              <w:spacing w:after="0"/>
              <w:rPr>
                <w:sz w:val="24"/>
                <w:szCs w:val="24"/>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w:t>
            </w: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 Common Units</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1140" w:right="5420" w:hanging="632"/>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244,707,926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54610</wp:posOffset>
            </wp:positionV>
            <wp:extent cx="65176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Box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94615</wp:posOffset>
            </wp:positionV>
            <wp:extent cx="65176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40" w:right="6340" w:hanging="632"/>
        <w:spacing w:after="0" w:line="282" w:lineRule="auto"/>
        <w:tabs>
          <w:tab w:leader="none" w:pos="11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37.2% of Common Units*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5" w:lineRule="exact"/>
        <w:rPr>
          <w:rFonts w:ascii="Times New Roman" w:cs="Times New Roman" w:eastAsia="Times New Roman" w:hAnsi="Times New Roman"/>
          <w:sz w:val="18"/>
          <w:szCs w:val="18"/>
          <w:color w:val="auto"/>
        </w:rPr>
      </w:pPr>
    </w:p>
    <w:p>
      <w:pPr>
        <w:ind w:left="1140" w:hanging="632"/>
        <w:spacing w:after="0"/>
        <w:tabs>
          <w:tab w:leader="none" w:pos="11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0" w:lineRule="exact"/>
        <w:rPr>
          <w:rFonts w:ascii="Times New Roman" w:cs="Times New Roman" w:eastAsia="Times New Roman" w:hAnsi="Times New Roman"/>
          <w:sz w:val="18"/>
          <w:szCs w:val="18"/>
          <w:color w:val="auto"/>
        </w:rPr>
      </w:pPr>
    </w:p>
    <w:p>
      <w:pPr>
        <w:spacing w:after="0" w:line="37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-410845</wp:posOffset>
            </wp:positionV>
            <wp:extent cx="65176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-1148080</wp:posOffset>
            </wp:positionV>
            <wp:extent cx="65176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tabs>
          <w:tab w:leader="none" w:pos="5040" w:val="left"/>
        </w:tabs>
        <w:rPr>
          <w:sz w:val="20"/>
          <w:szCs w:val="20"/>
          <w:color w:val="auto"/>
        </w:rPr>
      </w:pPr>
      <w:r>
        <w:rPr>
          <w:rFonts w:ascii="Times New Roman" w:cs="Times New Roman" w:eastAsia="Times New Roman" w:hAnsi="Times New Roman"/>
          <w:sz w:val="18"/>
          <w:szCs w:val="18"/>
          <w:color w:val="auto"/>
        </w:rPr>
        <w:t>CUSIP No.  726503105</w:t>
      </w:r>
      <w:r>
        <w:rPr>
          <w:sz w:val="20"/>
          <w:szCs w:val="20"/>
          <w:color w:val="auto"/>
        </w:rPr>
        <w:tab/>
      </w:r>
      <w:r>
        <w:rPr>
          <w:rFonts w:ascii="Times New Roman" w:cs="Times New Roman" w:eastAsia="Times New Roman" w:hAnsi="Times New Roman"/>
          <w:sz w:val="17"/>
          <w:szCs w:val="17"/>
          <w:color w:val="auto"/>
        </w:rPr>
        <w:t>SCHEDULE 13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94615</wp:posOffset>
            </wp:positionV>
            <wp:extent cx="7160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140" w:right="8300" w:hanging="632"/>
        <w:spacing w:after="0" w:line="313" w:lineRule="auto"/>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39370</wp:posOffset>
            </wp:positionV>
            <wp:extent cx="65176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40" w:hanging="63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65" w:lineRule="exact"/>
        <w:rPr>
          <w:rFonts w:ascii="Times New Roman" w:cs="Times New Roman" w:eastAsia="Times New Roman" w:hAnsi="Times New Roman"/>
          <w:sz w:val="18"/>
          <w:szCs w:val="18"/>
          <w:color w:val="auto"/>
        </w:rPr>
      </w:pPr>
    </w:p>
    <w:p>
      <w:pPr>
        <w:ind w:left="2140" w:hanging="998"/>
        <w:spacing w:after="0"/>
        <w:tabs>
          <w:tab w:leader="none" w:pos="2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98" w:lineRule="exact"/>
        <w:rPr>
          <w:rFonts w:ascii="Times New Roman" w:cs="Times New Roman" w:eastAsia="Times New Roman" w:hAnsi="Times New Roman"/>
          <w:sz w:val="18"/>
          <w:szCs w:val="18"/>
          <w:color w:val="auto"/>
        </w:rPr>
      </w:pPr>
    </w:p>
    <w:p>
      <w:pPr>
        <w:ind w:left="2140" w:hanging="998"/>
        <w:spacing w:after="0"/>
        <w:tabs>
          <w:tab w:leader="none" w:pos="2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43180</wp:posOffset>
            </wp:positionV>
            <wp:extent cx="59175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17565"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-213360</wp:posOffset>
            </wp:positionV>
            <wp:extent cx="59175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17565" cy="8890"/>
                    </a:xfrm>
                    <a:prstGeom prst="rect">
                      <a:avLst/>
                    </a:prstGeom>
                    <a:noFill/>
                  </pic:spPr>
                </pic:pic>
              </a:graphicData>
            </a:graphic>
          </wp:anchor>
        </w:drawing>
      </w:r>
    </w:p>
    <w:p>
      <w:pPr>
        <w:sectPr>
          <w:pgSz w:w="11900" w:h="16838" w:orient="portrait"/>
          <w:cols w:equalWidth="0" w:num="1">
            <w:col w:w="11360"/>
          </w:cols>
          <w:pgMar w:left="240" w:top="594" w:right="299" w:bottom="0" w:gutter="0" w:footer="0" w:header="0"/>
        </w:sectPr>
      </w:pPr>
    </w:p>
    <w:bookmarkStart w:id="3" w:name="page4"/>
    <w:bookmarkEnd w:id="3"/>
    <w:p>
      <w:pPr>
        <w:spacing w:after="0" w:line="64" w:lineRule="exact"/>
        <w:rPr>
          <w:sz w:val="20"/>
          <w:szCs w:val="20"/>
          <w:color w:val="auto"/>
        </w:rPr>
      </w:pPr>
    </w:p>
    <w:p>
      <w:pPr>
        <w:ind w:left="1140" w:hanging="63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94615</wp:posOffset>
            </wp:positionV>
            <wp:extent cx="65176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40" w:right="7720" w:hanging="632"/>
        <w:spacing w:after="0" w:line="313" w:lineRule="auto"/>
        <w:tabs>
          <w:tab w:leader="none" w:pos="1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Source of Funds (See Instructions) OO (please see </w:t>
      </w:r>
      <w:r>
        <w:rPr>
          <w:rFonts w:ascii="Times New Roman" w:cs="Times New Roman" w:eastAsia="Times New Roman" w:hAnsi="Times New Roman"/>
          <w:sz w:val="17"/>
          <w:szCs w:val="17"/>
          <w:u w:val="single" w:color="auto"/>
          <w:color w:val="auto"/>
        </w:rPr>
        <w:t>Item 3</w:t>
      </w:r>
      <w:r>
        <w:rPr>
          <w:rFonts w:ascii="Times New Roman" w:cs="Times New Roman" w:eastAsia="Times New Roman" w:hAnsi="Times New Roman"/>
          <w:sz w:val="17"/>
          <w:szCs w:val="17"/>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39370</wp:posOffset>
            </wp:positionV>
            <wp:extent cx="65176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00"/>
        <w:spacing w:after="0"/>
        <w:tabs>
          <w:tab w:leader="none" w:pos="1120" w:val="left"/>
          <w:tab w:leader="none" w:pos="77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Box if Disclosure of Legal Proceedings Is Required Pursuant to Items 2(d) or 2(e)</w:t>
      </w:r>
      <w:r>
        <w:rPr>
          <w:sz w:val="20"/>
          <w:szCs w:val="20"/>
          <w:color w:val="auto"/>
        </w:rPr>
        <w:tab/>
      </w:r>
      <w:r>
        <w:rPr>
          <w:rFonts w:ascii="Times New Roman" w:cs="Times New Roman" w:eastAsia="Times New Roman" w:hAnsi="Times New Roman"/>
          <w:sz w:val="16"/>
          <w:szCs w:val="16"/>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94615</wp:posOffset>
            </wp:positionV>
            <wp:extent cx="65176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40" w:right="7600" w:hanging="632"/>
        <w:spacing w:after="0" w:line="313" w:lineRule="auto"/>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39370</wp:posOffset>
            </wp:positionV>
            <wp:extent cx="65176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w:t>
            </w: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244,707,926 Common Units</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9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5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Pr>
          <w:p>
            <w:pPr>
              <w:spacing w:after="0"/>
              <w:rPr>
                <w:sz w:val="21"/>
                <w:szCs w:val="21"/>
                <w:color w:val="auto"/>
              </w:rPr>
            </w:pP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 Common Units</w:t>
            </w:r>
          </w:p>
        </w:tc>
        <w:tc>
          <w:tcPr>
            <w:tcW w:w="0" w:type="dxa"/>
            <w:vAlign w:val="bottom"/>
          </w:tcPr>
          <w:p>
            <w:pPr>
              <w:spacing w:after="0"/>
              <w:rPr>
                <w:sz w:val="1"/>
                <w:szCs w:val="1"/>
                <w:color w:val="auto"/>
              </w:rPr>
            </w:pPr>
          </w:p>
        </w:tc>
      </w:tr>
      <w:tr>
        <w:trPr>
          <w:trHeight w:val="99"/>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00" w:type="dxa"/>
            <w:vAlign w:val="bottom"/>
          </w:tcPr>
          <w:p>
            <w:pPr>
              <w:spacing w:after="0"/>
              <w:rPr>
                <w:sz w:val="8"/>
                <w:szCs w:val="8"/>
                <w:color w:val="auto"/>
              </w:rPr>
            </w:pPr>
          </w:p>
        </w:tc>
        <w:tc>
          <w:tcPr>
            <w:tcW w:w="9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1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70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0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w:t>
            </w: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700" w:type="dxa"/>
            <w:vAlign w:val="bottom"/>
          </w:tcPr>
          <w:p>
            <w:pPr>
              <w:spacing w:after="0"/>
              <w:rPr>
                <w:sz w:val="23"/>
                <w:szCs w:val="23"/>
                <w:color w:val="auto"/>
              </w:rPr>
            </w:pP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244,707,926 Common Units</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85"/>
        </w:trPr>
        <w:tc>
          <w:tcPr>
            <w:tcW w:w="1140" w:type="dxa"/>
            <w:vAlign w:val="bottom"/>
          </w:tcPr>
          <w:p>
            <w:pPr>
              <w:spacing w:after="0"/>
              <w:rPr>
                <w:sz w:val="24"/>
                <w:szCs w:val="24"/>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w:t>
            </w: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 Common Units</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1140" w:right="5420" w:hanging="632"/>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244,707,926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54610</wp:posOffset>
            </wp:positionV>
            <wp:extent cx="65176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Box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94615</wp:posOffset>
            </wp:positionV>
            <wp:extent cx="65176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40" w:right="6340" w:hanging="632"/>
        <w:spacing w:after="0" w:line="282"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37.2% of Common Units*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5" w:lineRule="exact"/>
        <w:rPr>
          <w:rFonts w:ascii="Times New Roman" w:cs="Times New Roman" w:eastAsia="Times New Roman" w:hAnsi="Times New Roman"/>
          <w:sz w:val="18"/>
          <w:szCs w:val="18"/>
          <w:color w:val="auto"/>
        </w:rPr>
      </w:pPr>
    </w:p>
    <w:p>
      <w:pPr>
        <w:ind w:left="1140" w:hanging="632"/>
        <w:spacing w:after="0"/>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color w:val="auto"/>
        </w:rPr>
      </w:pPr>
    </w:p>
    <w:p>
      <w:pPr>
        <w:spacing w:after="0" w:line="37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-410845</wp:posOffset>
            </wp:positionV>
            <wp:extent cx="65176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-1148080</wp:posOffset>
            </wp:positionV>
            <wp:extent cx="65176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tabs>
          <w:tab w:leader="none" w:pos="5040" w:val="left"/>
        </w:tabs>
        <w:rPr>
          <w:sz w:val="20"/>
          <w:szCs w:val="20"/>
          <w:color w:val="auto"/>
        </w:rPr>
      </w:pPr>
      <w:r>
        <w:rPr>
          <w:rFonts w:ascii="Times New Roman" w:cs="Times New Roman" w:eastAsia="Times New Roman" w:hAnsi="Times New Roman"/>
          <w:sz w:val="18"/>
          <w:szCs w:val="18"/>
          <w:color w:val="auto"/>
        </w:rPr>
        <w:t>CUSIP No.  726503105</w:t>
      </w:r>
      <w:r>
        <w:rPr>
          <w:sz w:val="20"/>
          <w:szCs w:val="20"/>
          <w:color w:val="auto"/>
        </w:rPr>
        <w:tab/>
      </w:r>
      <w:r>
        <w:rPr>
          <w:rFonts w:ascii="Times New Roman" w:cs="Times New Roman" w:eastAsia="Times New Roman" w:hAnsi="Times New Roman"/>
          <w:sz w:val="17"/>
          <w:szCs w:val="17"/>
          <w:color w:val="auto"/>
        </w:rPr>
        <w:t>SCHEDULE 13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94615</wp:posOffset>
            </wp:positionV>
            <wp:extent cx="7160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140" w:right="8300" w:hanging="632"/>
        <w:spacing w:after="0" w:line="313" w:lineRule="auto"/>
        <w:tabs>
          <w:tab w:leader="none" w:pos="11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PAA GP Holdings LLC</w:t>
      </w:r>
    </w:p>
    <w:p>
      <w:pPr>
        <w:sectPr>
          <w:pgSz w:w="11900" w:h="16903" w:orient="portrait"/>
          <w:cols w:equalWidth="0" w:num="1">
            <w:col w:w="11360"/>
          </w:cols>
          <w:pgMar w:left="240" w:top="594" w:right="299" w:bottom="0" w:gutter="0" w:footer="0" w:header="0"/>
        </w:sectPr>
      </w:pPr>
    </w:p>
    <w:bookmarkStart w:id="4" w:name="page5"/>
    <w:bookmarkEnd w:id="4"/>
    <w:p>
      <w:pPr>
        <w:ind w:left="1140" w:hanging="63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843280</wp:posOffset>
            </wp:positionH>
            <wp:positionV relativeFrom="page">
              <wp:posOffset>123190</wp:posOffset>
            </wp:positionV>
            <wp:extent cx="65176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17640" cy="8890"/>
                    </a:xfrm>
                    <a:prstGeom prst="rect">
                      <a:avLst/>
                    </a:prstGeom>
                    <a:noFill/>
                  </pic:spPr>
                </pic:pic>
              </a:graphicData>
            </a:graphic>
          </wp:anchor>
        </w:drawing>
        <w:t>Check the Appropriate Box if a Member of a Group</w:t>
      </w:r>
    </w:p>
    <w:p>
      <w:pPr>
        <w:spacing w:after="0" w:line="265" w:lineRule="exact"/>
        <w:rPr>
          <w:rFonts w:ascii="Times New Roman" w:cs="Times New Roman" w:eastAsia="Times New Roman" w:hAnsi="Times New Roman"/>
          <w:sz w:val="18"/>
          <w:szCs w:val="18"/>
          <w:color w:val="auto"/>
        </w:rPr>
      </w:pPr>
    </w:p>
    <w:p>
      <w:pPr>
        <w:ind w:left="2140" w:hanging="998"/>
        <w:spacing w:after="0"/>
        <w:tabs>
          <w:tab w:leader="none" w:pos="21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98" w:lineRule="exact"/>
        <w:rPr>
          <w:rFonts w:ascii="Times New Roman" w:cs="Times New Roman" w:eastAsia="Times New Roman" w:hAnsi="Times New Roman"/>
          <w:sz w:val="18"/>
          <w:szCs w:val="18"/>
          <w:color w:val="auto"/>
        </w:rPr>
      </w:pPr>
    </w:p>
    <w:p>
      <w:pPr>
        <w:ind w:left="2140" w:hanging="998"/>
        <w:spacing w:after="0"/>
        <w:tabs>
          <w:tab w:leader="none" w:pos="21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43180</wp:posOffset>
            </wp:positionV>
            <wp:extent cx="59175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17565"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-213360</wp:posOffset>
            </wp:positionV>
            <wp:extent cx="59175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175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40" w:hanging="63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94615</wp:posOffset>
            </wp:positionV>
            <wp:extent cx="65176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40" w:right="7720" w:hanging="632"/>
        <w:spacing w:after="0" w:line="313" w:lineRule="auto"/>
        <w:tabs>
          <w:tab w:leader="none" w:pos="11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Source of Funds (See Instructions) OO (please see </w:t>
      </w:r>
      <w:r>
        <w:rPr>
          <w:rFonts w:ascii="Times New Roman" w:cs="Times New Roman" w:eastAsia="Times New Roman" w:hAnsi="Times New Roman"/>
          <w:sz w:val="17"/>
          <w:szCs w:val="17"/>
          <w:u w:val="single" w:color="auto"/>
          <w:color w:val="auto"/>
        </w:rPr>
        <w:t>Item 3</w:t>
      </w:r>
      <w:r>
        <w:rPr>
          <w:rFonts w:ascii="Times New Roman" w:cs="Times New Roman" w:eastAsia="Times New Roman" w:hAnsi="Times New Roman"/>
          <w:sz w:val="17"/>
          <w:szCs w:val="17"/>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39370</wp:posOffset>
            </wp:positionV>
            <wp:extent cx="65176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00"/>
        <w:spacing w:after="0"/>
        <w:tabs>
          <w:tab w:leader="none" w:pos="1120" w:val="left"/>
          <w:tab w:leader="none" w:pos="77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Box if Disclosure of Legal Proceedings Is Required Pursuant to Items 2(d) or 2(e)</w:t>
      </w:r>
      <w:r>
        <w:rPr>
          <w:sz w:val="20"/>
          <w:szCs w:val="20"/>
          <w:color w:val="auto"/>
        </w:rPr>
        <w:tab/>
      </w:r>
      <w:r>
        <w:rPr>
          <w:rFonts w:ascii="Times New Roman" w:cs="Times New Roman" w:eastAsia="Times New Roman" w:hAnsi="Times New Roman"/>
          <w:sz w:val="16"/>
          <w:szCs w:val="16"/>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94615</wp:posOffset>
            </wp:positionV>
            <wp:extent cx="65176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40" w:right="7600" w:hanging="632"/>
        <w:spacing w:after="0" w:line="313" w:lineRule="auto"/>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39370</wp:posOffset>
            </wp:positionV>
            <wp:extent cx="65176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w:t>
            </w: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244,707,926 Common Units</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9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5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Pr>
          <w:p>
            <w:pPr>
              <w:spacing w:after="0"/>
              <w:rPr>
                <w:sz w:val="21"/>
                <w:szCs w:val="21"/>
                <w:color w:val="auto"/>
              </w:rPr>
            </w:pP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 Common Units</w:t>
            </w:r>
          </w:p>
        </w:tc>
        <w:tc>
          <w:tcPr>
            <w:tcW w:w="0" w:type="dxa"/>
            <w:vAlign w:val="bottom"/>
          </w:tcPr>
          <w:p>
            <w:pPr>
              <w:spacing w:after="0"/>
              <w:rPr>
                <w:sz w:val="1"/>
                <w:szCs w:val="1"/>
                <w:color w:val="auto"/>
              </w:rPr>
            </w:pPr>
          </w:p>
        </w:tc>
      </w:tr>
      <w:tr>
        <w:trPr>
          <w:trHeight w:val="99"/>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00" w:type="dxa"/>
            <w:vAlign w:val="bottom"/>
          </w:tcPr>
          <w:p>
            <w:pPr>
              <w:spacing w:after="0"/>
              <w:rPr>
                <w:sz w:val="8"/>
                <w:szCs w:val="8"/>
                <w:color w:val="auto"/>
              </w:rPr>
            </w:pPr>
          </w:p>
        </w:tc>
        <w:tc>
          <w:tcPr>
            <w:tcW w:w="9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1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70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0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w:t>
            </w: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700" w:type="dxa"/>
            <w:vAlign w:val="bottom"/>
          </w:tcPr>
          <w:p>
            <w:pPr>
              <w:spacing w:after="0"/>
              <w:rPr>
                <w:sz w:val="23"/>
                <w:szCs w:val="23"/>
                <w:color w:val="auto"/>
              </w:rPr>
            </w:pP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244,707,926 Common Units</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85"/>
        </w:trPr>
        <w:tc>
          <w:tcPr>
            <w:tcW w:w="1140" w:type="dxa"/>
            <w:vAlign w:val="bottom"/>
          </w:tcPr>
          <w:p>
            <w:pPr>
              <w:spacing w:after="0"/>
              <w:rPr>
                <w:sz w:val="24"/>
                <w:szCs w:val="24"/>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w:t>
            </w: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 Common Units</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1140" w:right="5420" w:hanging="632"/>
        <w:spacing w:after="0" w:line="282"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244,707,926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54610</wp:posOffset>
            </wp:positionV>
            <wp:extent cx="65176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Box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94615</wp:posOffset>
            </wp:positionV>
            <wp:extent cx="65176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40" w:right="6340" w:hanging="632"/>
        <w:spacing w:after="0" w:line="282" w:lineRule="auto"/>
        <w:tabs>
          <w:tab w:leader="none" w:pos="11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37.2% of Common Units*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5" w:lineRule="exact"/>
        <w:rPr>
          <w:rFonts w:ascii="Times New Roman" w:cs="Times New Roman" w:eastAsia="Times New Roman" w:hAnsi="Times New Roman"/>
          <w:sz w:val="18"/>
          <w:szCs w:val="18"/>
          <w:color w:val="auto"/>
        </w:rPr>
      </w:pPr>
    </w:p>
    <w:p>
      <w:pPr>
        <w:ind w:left="1140" w:hanging="632"/>
        <w:spacing w:after="0"/>
        <w:tabs>
          <w:tab w:leader="none" w:pos="11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0" w:lineRule="exact"/>
        <w:rPr>
          <w:rFonts w:ascii="Times New Roman" w:cs="Times New Roman" w:eastAsia="Times New Roman" w:hAnsi="Times New Roman"/>
          <w:sz w:val="18"/>
          <w:szCs w:val="18"/>
          <w:color w:val="auto"/>
        </w:rPr>
      </w:pPr>
    </w:p>
    <w:p>
      <w:pPr>
        <w:spacing w:after="0" w:line="37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-410845</wp:posOffset>
            </wp:positionV>
            <wp:extent cx="65176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-1148080</wp:posOffset>
            </wp:positionV>
            <wp:extent cx="65176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783" w:right="29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7" w:lineRule="exact"/>
        <w:rPr>
          <w:sz w:val="20"/>
          <w:szCs w:val="20"/>
          <w:color w:val="auto"/>
        </w:rPr>
      </w:pPr>
    </w:p>
    <w:p>
      <w:pPr>
        <w:ind w:right="440" w:firstLine="648"/>
        <w:spacing w:after="0" w:line="267" w:lineRule="auto"/>
        <w:rPr>
          <w:sz w:val="20"/>
          <w:szCs w:val="20"/>
          <w:color w:val="auto"/>
        </w:rPr>
      </w:pPr>
      <w:r>
        <w:rPr>
          <w:rFonts w:ascii="Times New Roman" w:cs="Times New Roman" w:eastAsia="Times New Roman" w:hAnsi="Times New Roman"/>
          <w:sz w:val="18"/>
          <w:szCs w:val="18"/>
          <w:color w:val="auto"/>
        </w:rPr>
        <w:t>This Schedule 13D (“</w:t>
      </w:r>
      <w:r>
        <w:rPr>
          <w:rFonts w:ascii="Times New Roman" w:cs="Times New Roman" w:eastAsia="Times New Roman" w:hAnsi="Times New Roman"/>
          <w:sz w:val="18"/>
          <w:szCs w:val="18"/>
          <w:i w:val="1"/>
          <w:iCs w:val="1"/>
          <w:color w:val="auto"/>
        </w:rPr>
        <w:t>Schedule 13D</w:t>
      </w:r>
      <w:r>
        <w:rPr>
          <w:rFonts w:ascii="Times New Roman" w:cs="Times New Roman" w:eastAsia="Times New Roman" w:hAnsi="Times New Roman"/>
          <w:sz w:val="18"/>
          <w:szCs w:val="18"/>
          <w:color w:val="auto"/>
        </w:rPr>
        <w:t>”) relates to the common units representing limited partner interests (the “</w:t>
      </w:r>
      <w:r>
        <w:rPr>
          <w:rFonts w:ascii="Times New Roman" w:cs="Times New Roman" w:eastAsia="Times New Roman" w:hAnsi="Times New Roman"/>
          <w:sz w:val="18"/>
          <w:szCs w:val="18"/>
          <w:i w:val="1"/>
          <w:iCs w:val="1"/>
          <w:color w:val="auto"/>
        </w:rPr>
        <w:t>Common Units</w:t>
      </w:r>
      <w:r>
        <w:rPr>
          <w:rFonts w:ascii="Times New Roman" w:cs="Times New Roman" w:eastAsia="Times New Roman" w:hAnsi="Times New Roman"/>
          <w:sz w:val="18"/>
          <w:szCs w:val="18"/>
          <w:color w:val="auto"/>
        </w:rPr>
        <w:t>”) of Plains All American Pipeline, L.P., a Delaware limited partnership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Partnership</w:t>
      </w:r>
      <w:r>
        <w:rPr>
          <w:rFonts w:ascii="Times New Roman" w:cs="Times New Roman" w:eastAsia="Times New Roman" w:hAnsi="Times New Roman"/>
          <w:sz w:val="18"/>
          <w:szCs w:val="18"/>
          <w:color w:val="auto"/>
        </w:rPr>
        <w:t>”), which has its principal executive offices at 333 Clay Street, Suite 1600, Houston, Texas 77002.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7"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Name of Persons Filing this Schedule 13D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Plains AAP, L.P., a Delaware limited partnership (“</w:t>
      </w:r>
      <w:r>
        <w:rPr>
          <w:rFonts w:ascii="Times New Roman" w:cs="Times New Roman" w:eastAsia="Times New Roman" w:hAnsi="Times New Roman"/>
          <w:sz w:val="18"/>
          <w:szCs w:val="18"/>
          <w:i w:val="1"/>
          <w:iCs w:val="1"/>
          <w:color w:val="auto"/>
        </w:rPr>
        <w:t>AAP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Plains All American GP LLC, a Delaware limited liability company (“</w:t>
      </w:r>
      <w:r>
        <w:rPr>
          <w:rFonts w:ascii="Times New Roman" w:cs="Times New Roman" w:eastAsia="Times New Roman" w:hAnsi="Times New Roman"/>
          <w:sz w:val="18"/>
          <w:szCs w:val="18"/>
          <w:i w:val="1"/>
          <w:iCs w:val="1"/>
          <w:color w:val="auto"/>
        </w:rPr>
        <w:t>GP LLC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Plains GP Holdings, L.P., a Delaware limited partnership (“</w:t>
      </w:r>
      <w:r>
        <w:rPr>
          <w:rFonts w:ascii="Times New Roman" w:cs="Times New Roman" w:eastAsia="Times New Roman" w:hAnsi="Times New Roman"/>
          <w:sz w:val="18"/>
          <w:szCs w:val="18"/>
          <w:i w:val="1"/>
          <w:iCs w:val="1"/>
          <w:color w:val="auto"/>
        </w:rPr>
        <w:t>PAGP</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960" w:right="460" w:hanging="655"/>
        <w:spacing w:after="0" w:line="284" w:lineRule="auto"/>
        <w:tabs>
          <w:tab w:leader="none" w:pos="196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GP Holdings LLC, a Delaware limited liability company (“</w:t>
      </w:r>
      <w:r>
        <w:rPr>
          <w:rFonts w:ascii="Times New Roman" w:cs="Times New Roman" w:eastAsia="Times New Roman" w:hAnsi="Times New Roman"/>
          <w:sz w:val="18"/>
          <w:szCs w:val="18"/>
          <w:i w:val="1"/>
          <w:iCs w:val="1"/>
          <w:color w:val="auto"/>
        </w:rPr>
        <w:t>PAGP GP</w:t>
      </w:r>
      <w:r>
        <w:rPr>
          <w:rFonts w:ascii="Times New Roman" w:cs="Times New Roman" w:eastAsia="Times New Roman" w:hAnsi="Times New Roman"/>
          <w:sz w:val="18"/>
          <w:szCs w:val="18"/>
          <w:color w:val="auto"/>
        </w:rPr>
        <w:t>” and, together with AAP, GP LLC and PAGP, the “</w:t>
      </w:r>
      <w:r>
        <w:rPr>
          <w:rFonts w:ascii="Times New Roman" w:cs="Times New Roman" w:eastAsia="Times New Roman" w:hAnsi="Times New Roman"/>
          <w:sz w:val="18"/>
          <w:szCs w:val="18"/>
          <w:i w:val="1"/>
          <w:iCs w:val="1"/>
          <w:color w:val="auto"/>
        </w:rPr>
        <w:t>Reporting Persons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GP LLC is the general partner of AAP. PAGP is the sole member of GP LLC. PAGP GP is the general partner of PAGP. Accordingly, GP LLC, PAGP and PAGP GP may, pursuant to Rule 13d-3, be deemed to be indirect beneficial owners of any securities held by AAP. Accordingly the Reporting Persons are hereby filing a joint Schedule 13D.</w:t>
      </w:r>
    </w:p>
    <w:p>
      <w:pPr>
        <w:spacing w:after="0" w:line="174" w:lineRule="exact"/>
        <w:rPr>
          <w:sz w:val="20"/>
          <w:szCs w:val="20"/>
          <w:color w:val="auto"/>
        </w:rPr>
      </w:pPr>
    </w:p>
    <w:p>
      <w:pPr>
        <w:ind w:left="1320" w:hanging="66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Principal Business Address and Principal Office Address of Reporting Persons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960" w:right="560" w:hanging="655"/>
        <w:spacing w:after="0" w:line="282" w:lineRule="auto"/>
        <w:tabs>
          <w:tab w:leader="none" w:pos="196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and principal office address of each of the Reporting Persons is 333 Clay Street, Suite 1600, Houston, Texas 77002.</w:t>
      </w:r>
    </w:p>
    <w:p>
      <w:pPr>
        <w:spacing w:after="0" w:line="159"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Present Principal Occupation or Principal Business of Reporting Persons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right="320" w:hanging="655"/>
        <w:spacing w:after="0" w:line="284" w:lineRule="auto"/>
        <w:tabs>
          <w:tab w:leader="none" w:pos="196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AAP is to hold the membership interest in PAA GP LLC (“</w:t>
      </w:r>
      <w:r>
        <w:rPr>
          <w:rFonts w:ascii="Times New Roman" w:cs="Times New Roman" w:eastAsia="Times New Roman" w:hAnsi="Times New Roman"/>
          <w:sz w:val="18"/>
          <w:szCs w:val="18"/>
          <w:i w:val="1"/>
          <w:iCs w:val="1"/>
          <w:color w:val="auto"/>
        </w:rPr>
        <w:t>PAA GP</w:t>
      </w:r>
      <w:r>
        <w:rPr>
          <w:rFonts w:ascii="Times New Roman" w:cs="Times New Roman" w:eastAsia="Times New Roman" w:hAnsi="Times New Roman"/>
          <w:sz w:val="18"/>
          <w:szCs w:val="18"/>
          <w:color w:val="auto"/>
        </w:rPr>
        <w:t>”) and to hold the Common Units reported as beneficially owned herein.</w:t>
      </w:r>
    </w:p>
    <w:p>
      <w:pPr>
        <w:spacing w:after="0" w:line="160" w:lineRule="exact"/>
        <w:rPr>
          <w:rFonts w:ascii="Times New Roman" w:cs="Times New Roman" w:eastAsia="Times New Roman" w:hAnsi="Times New Roman"/>
          <w:sz w:val="18"/>
          <w:szCs w:val="18"/>
          <w:color w:val="auto"/>
        </w:rPr>
      </w:pPr>
    </w:p>
    <w:p>
      <w:pPr>
        <w:ind w:left="1960" w:right="720" w:hanging="655"/>
        <w:spacing w:after="0" w:line="282" w:lineRule="auto"/>
        <w:tabs>
          <w:tab w:leader="none" w:pos="196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GP LLC is to hold the general partner interest in AAP. GP LLC also employs the Partnership’s management and operational personnel.</w:t>
      </w:r>
    </w:p>
    <w:p>
      <w:pPr>
        <w:spacing w:after="0" w:line="161" w:lineRule="exact"/>
        <w:rPr>
          <w:rFonts w:ascii="Times New Roman" w:cs="Times New Roman" w:eastAsia="Times New Roman" w:hAnsi="Times New Roman"/>
          <w:sz w:val="18"/>
          <w:szCs w:val="18"/>
          <w:color w:val="auto"/>
        </w:rPr>
      </w:pPr>
    </w:p>
    <w:p>
      <w:pPr>
        <w:ind w:left="1960" w:right="500" w:hanging="655"/>
        <w:spacing w:after="0" w:line="282" w:lineRule="auto"/>
        <w:tabs>
          <w:tab w:leader="none" w:pos="196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PAGP is to hold the membership interest in GP LLC and, directly and indirectly through GP LLC, Class A Units in AAP representing an approximate 41% interest in AAP as of the date of this Schedule 13D.</w:t>
      </w:r>
    </w:p>
    <w:p>
      <w:pPr>
        <w:spacing w:after="0" w:line="161" w:lineRule="exact"/>
        <w:rPr>
          <w:rFonts w:ascii="Times New Roman" w:cs="Times New Roman" w:eastAsia="Times New Roman" w:hAnsi="Times New Roman"/>
          <w:sz w:val="18"/>
          <w:szCs w:val="18"/>
          <w:color w:val="auto"/>
        </w:rPr>
      </w:pPr>
    </w:p>
    <w:p>
      <w:pPr>
        <w:ind w:left="1960" w:right="20" w:hanging="655"/>
        <w:spacing w:after="0" w:line="282" w:lineRule="auto"/>
        <w:tabs>
          <w:tab w:leader="none" w:pos="196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PAGP GP is to hold the general partner interest in PAGP. Through its board, PAGP GP also manages the business and affairs of PAGP, GP LLC, AAP, PAA GP and the Partnership.</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firstLine="656"/>
        <w:spacing w:after="0" w:line="282" w:lineRule="auto"/>
        <w:tabs>
          <w:tab w:leader="none" w:pos="13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five years, none of the Reporting Persons has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ind w:right="40" w:firstLine="656"/>
        <w:spacing w:after="0" w:line="266" w:lineRule="auto"/>
        <w:tabs>
          <w:tab w:leader="none" w:pos="13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violations with respect to such laws.</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the provisions of General Instruction C to Schedule 13D, information concerning the general partners, executive officers, board of directors and each person controlling a Reporting Person, as applicable (collectively, the “</w:t>
      </w:r>
      <w:r>
        <w:rPr>
          <w:rFonts w:ascii="Times New Roman" w:cs="Times New Roman" w:eastAsia="Times New Roman" w:hAnsi="Times New Roman"/>
          <w:sz w:val="18"/>
          <w:szCs w:val="18"/>
          <w:i w:val="1"/>
          <w:iCs w:val="1"/>
          <w:color w:val="auto"/>
        </w:rPr>
        <w:t>Listed Persons</w:t>
      </w:r>
      <w:r>
        <w:rPr>
          <w:rFonts w:ascii="Times New Roman" w:cs="Times New Roman" w:eastAsia="Times New Roman" w:hAnsi="Times New Roman"/>
          <w:sz w:val="18"/>
          <w:szCs w:val="18"/>
          <w:color w:val="auto"/>
        </w:rPr>
        <w:t xml:space="preserve">”), required by Item 2 of Schedule 13D, is provided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and is incorporated by reference herein. To the Reporting Persons’ knowledge, none of Listed Persons has been, during the last five years,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7"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Pursuant to the closing of the transactions contemplated by the Simplification Agreement (the “</w:t>
      </w:r>
      <w:r>
        <w:rPr>
          <w:rFonts w:ascii="Times New Roman" w:cs="Times New Roman" w:eastAsia="Times New Roman" w:hAnsi="Times New Roman"/>
          <w:sz w:val="18"/>
          <w:szCs w:val="18"/>
          <w:i w:val="1"/>
          <w:iCs w:val="1"/>
          <w:color w:val="auto"/>
        </w:rPr>
        <w:t>Simplification Agreement</w:t>
      </w:r>
      <w:r>
        <w:rPr>
          <w:rFonts w:ascii="Times New Roman" w:cs="Times New Roman" w:eastAsia="Times New Roman" w:hAnsi="Times New Roman"/>
          <w:sz w:val="18"/>
          <w:szCs w:val="18"/>
          <w:color w:val="auto"/>
        </w:rPr>
        <w:t>”) dated July 11, 2016, by and among PAGP GP, PAGP, GP LLC, AAP, PAA GP and the Partnership (collectively, the “</w:t>
      </w:r>
      <w:r>
        <w:rPr>
          <w:rFonts w:ascii="Times New Roman" w:cs="Times New Roman" w:eastAsia="Times New Roman" w:hAnsi="Times New Roman"/>
          <w:sz w:val="18"/>
          <w:szCs w:val="18"/>
          <w:i w:val="1"/>
          <w:iCs w:val="1"/>
          <w:color w:val="auto"/>
        </w:rPr>
        <w:t>Plains Entities</w:t>
      </w:r>
      <w:r>
        <w:rPr>
          <w:rFonts w:ascii="Times New Roman" w:cs="Times New Roman" w:eastAsia="Times New Roman" w:hAnsi="Times New Roman"/>
          <w:sz w:val="18"/>
          <w:szCs w:val="18"/>
          <w:color w:val="auto"/>
        </w:rPr>
        <w:t>”), on November 15, 2016, PAA GP’s 2.0% general partner interest in the Partnership was converted into a non-economic general partner interest (“</w:t>
      </w:r>
      <w:r>
        <w:rPr>
          <w:rFonts w:ascii="Times New Roman" w:cs="Times New Roman" w:eastAsia="Times New Roman" w:hAnsi="Times New Roman"/>
          <w:sz w:val="18"/>
          <w:szCs w:val="18"/>
          <w:i w:val="1"/>
          <w:iCs w:val="1"/>
          <w:color w:val="auto"/>
        </w:rPr>
        <w:t>GP Conversion</w:t>
      </w:r>
      <w:r>
        <w:rPr>
          <w:rFonts w:ascii="Times New Roman" w:cs="Times New Roman" w:eastAsia="Times New Roman" w:hAnsi="Times New Roman"/>
          <w:sz w:val="18"/>
          <w:szCs w:val="18"/>
          <w:color w:val="auto"/>
        </w:rPr>
        <w:t>”) and the Partnership redeemed all of the incentive distribution rights representing limited partner interests held by AAP (“</w:t>
      </w:r>
      <w:r>
        <w:rPr>
          <w:rFonts w:ascii="Times New Roman" w:cs="Times New Roman" w:eastAsia="Times New Roman" w:hAnsi="Times New Roman"/>
          <w:sz w:val="18"/>
          <w:szCs w:val="18"/>
          <w:i w:val="1"/>
          <w:iCs w:val="1"/>
          <w:color w:val="auto"/>
        </w:rPr>
        <w:t>IDR Redemption</w:t>
      </w:r>
      <w:r>
        <w:rPr>
          <w:rFonts w:ascii="Times New Roman" w:cs="Times New Roman" w:eastAsia="Times New Roman" w:hAnsi="Times New Roman"/>
          <w:sz w:val="18"/>
          <w:szCs w:val="18"/>
          <w:color w:val="auto"/>
        </w:rPr>
        <w:t>”). As partial consideration for the GP Conversion and IDR Redemption, the Partnership issued 244,707,926 Common Units to AAP.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Reporting Persons acquired the Common Units reported herein solely for investment purposes.</w:t>
      </w:r>
    </w:p>
    <w:p>
      <w:pPr>
        <w:sectPr>
          <w:pgSz w:w="11900" w:h="16838" w:orient="portrait"/>
          <w:cols w:equalWidth="0" w:num="1">
            <w:col w:w="11400"/>
          </w:cols>
          <w:pgMar w:left="240" w:top="576" w:right="259" w:bottom="0" w:gutter="0" w:footer="0" w:header="0"/>
        </w:sectPr>
      </w:pPr>
    </w:p>
    <w:bookmarkStart w:id="6" w:name="page7"/>
    <w:bookmarkEnd w:id="6"/>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describes plans or proposals that the Reporting Persons may have with respect to the matters set forth in Item 4(a)-(j) of Schedule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13D:</w:t>
      </w:r>
    </w:p>
    <w:p>
      <w:pPr>
        <w:spacing w:after="0" w:line="207" w:lineRule="exact"/>
        <w:rPr>
          <w:sz w:val="20"/>
          <w:szCs w:val="20"/>
          <w:color w:val="auto"/>
        </w:rPr>
      </w:pPr>
    </w:p>
    <w:p>
      <w:pPr>
        <w:ind w:right="80" w:firstLine="656"/>
        <w:spacing w:after="0" w:line="277" w:lineRule="auto"/>
        <w:tabs>
          <w:tab w:leader="none" w:pos="129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transactions contemplated by the Simplification Agreement were designed in part to ensure that one Class A share of PAGP will represent an indirect ownership of a Common Unit. To maintain this economic parity, pursuant to an Omnibus Agreement, dated November 15, 2016 by and among the Plains Entities (the “</w:t>
      </w:r>
      <w:r>
        <w:rPr>
          <w:rFonts w:ascii="Times New Roman" w:cs="Times New Roman" w:eastAsia="Times New Roman" w:hAnsi="Times New Roman"/>
          <w:sz w:val="17"/>
          <w:szCs w:val="17"/>
          <w:i w:val="1"/>
          <w:iCs w:val="1"/>
          <w:color w:val="auto"/>
        </w:rPr>
        <w:t>Omnibus Agreement</w:t>
      </w:r>
      <w:r>
        <w:rPr>
          <w:rFonts w:ascii="Times New Roman" w:cs="Times New Roman" w:eastAsia="Times New Roman" w:hAnsi="Times New Roman"/>
          <w:sz w:val="17"/>
          <w:szCs w:val="17"/>
          <w:color w:val="auto"/>
        </w:rPr>
        <w:t>”), to the extent that PAGP issues additional Class A shares, it will cause AAP to purchase an equal number of Common Units from the Partnership for the same net amount of consideration as received by PAGP for the issuance of such Class A shares. In addition, PAGP shall not, nor shall it allow its subsidiaries (including AAP) to transfer any Common Units unless it redeems a like number of Class A shares.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extent that a Class B Unit representing a limited partner interest in AAP (the “AAP Management Units”) that is not yet “earned” pursuant to the terms of AAP’s partnership agreement becomes an “AAP Earned Unit”, the Partnership shall issue to AAP a number of additional Common Units as calculated pursuant to the Omnibus Agreement.</w:t>
      </w:r>
    </w:p>
    <w:p>
      <w:pPr>
        <w:spacing w:after="0" w:line="176" w:lineRule="exact"/>
        <w:rPr>
          <w:sz w:val="20"/>
          <w:szCs w:val="20"/>
          <w:color w:val="auto"/>
        </w:rPr>
      </w:pPr>
    </w:p>
    <w:p>
      <w:pPr>
        <w:ind w:left="1320" w:hanging="66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right="60" w:firstLine="656"/>
        <w:spacing w:after="0" w:line="266" w:lineRule="auto"/>
        <w:tabs>
          <w:tab w:leader="none" w:pos="13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2018, PAGP will hold an annual meeting of Shareholders for the election of “eligible PAGP GP directors,” which will include all directors with expiring terms other than (i) any director subject to designation, (ii) PAGP GP’s chief executive officer and (iii) any director subject to appointment by the holders of the Partnership’s Series A Preferred Units.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November 15, 2016 PAGP issued 477,648,826 Class C shares representing limited partner interests in PAGP to the Partnership. The Class C shares are non-economic shares that provide the Partnership, as the sole holder, the right to vote in elections of eligible PAGP GP directors together with the holders of PAGP’s Class A and Class B shares. The Partnership will hold an annual meeting of its limited partners in advance of PAGP’s annual meeting of its limited partners. The purpose of the Partnership’s annual meeting will be to allow its limited partners other than AAP to cast a “pass-through vote” instructing the Partnership how to vote its Class C Shares in such election. The Partnership will vote (or refrain from voting) its Class C shares for the election of eligible PAGP GP directors in the same proportion as the votes received from or withheld by its limited partners. At the Partnership’s annual meeting, Common Units held by AAP will not be voted and will not be counted for purposes of determining whether a quorum exists.</w:t>
      </w:r>
    </w:p>
    <w:p>
      <w:pPr>
        <w:spacing w:after="0" w:line="189" w:lineRule="exact"/>
        <w:rPr>
          <w:sz w:val="20"/>
          <w:szCs w:val="20"/>
          <w:color w:val="auto"/>
        </w:rPr>
      </w:pPr>
    </w:p>
    <w:p>
      <w:pPr>
        <w:jc w:val="both"/>
        <w:ind w:right="180" w:firstLine="656"/>
        <w:spacing w:after="0" w:line="261" w:lineRule="auto"/>
        <w:tabs>
          <w:tab w:leader="none" w:pos="130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as the direct and indirect owners of the general partner of the Partnership, may cause the Partnership to change its dividend policy or its capitalization, through the issuance of debt or equity securities, from time to time in the future. The Reporting Persons, however, have no current intention of changing the present capitalization or dividend policy of the Partnership, other than through ordinary course sales under the Partnership’s existing at-the-market equity offering program.</w:t>
      </w:r>
    </w:p>
    <w:p>
      <w:pPr>
        <w:spacing w:after="0" w:line="18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right="280" w:firstLine="656"/>
        <w:spacing w:after="0" w:line="261" w:lineRule="auto"/>
        <w:tabs>
          <w:tab w:leader="none" w:pos="131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as the direct and indirect owners of the general partner of the Issuer, may cause changes to the Partnership’s Certificate of Limited Partnership and Partnership Agreement. The Reporting Persons, however, have no current intention of changing the Partnership’s Certificate of Limited Partnership, Partnership Agreement or any other instrument relating thereto to impede the acquisition of control of the Issuer by any person.</w:t>
      </w:r>
    </w:p>
    <w:p>
      <w:pPr>
        <w:spacing w:after="0" w:line="180"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66" w:lineRule="auto"/>
        <w:tabs>
          <w:tab w:leader="none" w:pos="13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described in this </w:t>
      </w:r>
      <w:r>
        <w:rPr>
          <w:rFonts w:ascii="Times New Roman" w:cs="Times New Roman" w:eastAsia="Times New Roman" w:hAnsi="Times New Roman"/>
          <w:sz w:val="18"/>
          <w:szCs w:val="18"/>
          <w:u w:val="single" w:color="auto"/>
          <w:color w:val="auto"/>
        </w:rPr>
        <w:t>Item 4</w:t>
      </w:r>
      <w:r>
        <w:rPr>
          <w:rFonts w:ascii="Times New Roman" w:cs="Times New Roman" w:eastAsia="Times New Roman" w:hAnsi="Times New Roman"/>
          <w:sz w:val="18"/>
          <w:szCs w:val="18"/>
          <w:color w:val="auto"/>
        </w:rPr>
        <w:t xml:space="preserve">, the Reporting Persons do not have, as of the date of this Schedule 13D, any other plans or proposals that relate to or would result in any of the actions or events specified in clauses (a) through (i) of </w:t>
      </w:r>
      <w:r>
        <w:rPr>
          <w:rFonts w:ascii="Times New Roman" w:cs="Times New Roman" w:eastAsia="Times New Roman" w:hAnsi="Times New Roman"/>
          <w:sz w:val="18"/>
          <w:szCs w:val="18"/>
          <w:u w:val="single" w:color="auto"/>
          <w:color w:val="auto"/>
        </w:rPr>
        <w:t>Item 4</w:t>
      </w:r>
      <w:r>
        <w:rPr>
          <w:rFonts w:ascii="Times New Roman" w:cs="Times New Roman" w:eastAsia="Times New Roman" w:hAnsi="Times New Roman"/>
          <w:sz w:val="18"/>
          <w:szCs w:val="18"/>
          <w:color w:val="auto"/>
        </w:rPr>
        <w:t xml:space="preserve"> of Schedule 13D. The Reporting Persons may change their plans or proposals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1960" w:right="360" w:hanging="1304"/>
        <w:spacing w:after="0" w:line="313" w:lineRule="auto"/>
        <w:tabs>
          <w:tab w:leader="none" w:pos="130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AAP is the record and beneficial owner of 244,707,926 Common Units. Based on there being 657,967,899 Common Units outstanding as of November 15, 2016, AAP’s Common Units represent 37.2% of the outstanding Common Units at such time.</w:t>
      </w:r>
    </w:p>
    <w:p>
      <w:pPr>
        <w:spacing w:after="0" w:line="138" w:lineRule="exact"/>
        <w:rPr>
          <w:rFonts w:ascii="Times New Roman" w:cs="Times New Roman" w:eastAsia="Times New Roman" w:hAnsi="Times New Roman"/>
          <w:sz w:val="18"/>
          <w:szCs w:val="18"/>
          <w:color w:val="auto"/>
        </w:rPr>
      </w:pPr>
    </w:p>
    <w:p>
      <w:pPr>
        <w:ind w:left="1960" w:right="580" w:hanging="655"/>
        <w:spacing w:after="0" w:line="282" w:lineRule="auto"/>
        <w:tabs>
          <w:tab w:leader="none" w:pos="196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GP LLC, PAGP and PAGP GP may, pursuant to Rule 13d-3, be deemed to be indirect beneficial owners of the 244,707,926 Common Units owned of record by AAP.</w:t>
      </w:r>
    </w:p>
    <w:p>
      <w:pPr>
        <w:spacing w:after="0" w:line="161" w:lineRule="exact"/>
        <w:rPr>
          <w:rFonts w:ascii="Times New Roman" w:cs="Times New Roman" w:eastAsia="Times New Roman" w:hAnsi="Times New Roman"/>
          <w:sz w:val="18"/>
          <w:szCs w:val="18"/>
          <w:color w:val="auto"/>
        </w:rPr>
      </w:pPr>
    </w:p>
    <w:p>
      <w:pPr>
        <w:ind w:right="540" w:firstLine="656"/>
        <w:spacing w:after="0" w:line="282" w:lineRule="auto"/>
        <w:tabs>
          <w:tab w:leader="none" w:pos="13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set forth in Items 7 through 11 of the cover pages hereto is incorporated herein by reference. See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for the information applicable to the Listed Persons.</w:t>
      </w:r>
    </w:p>
    <w:p>
      <w:pPr>
        <w:spacing w:after="0" w:line="161" w:lineRule="exact"/>
        <w:rPr>
          <w:rFonts w:ascii="Times New Roman" w:cs="Times New Roman" w:eastAsia="Times New Roman" w:hAnsi="Times New Roman"/>
          <w:sz w:val="18"/>
          <w:szCs w:val="18"/>
          <w:color w:val="auto"/>
        </w:rPr>
      </w:pPr>
    </w:p>
    <w:p>
      <w:pPr>
        <w:ind w:right="340" w:firstLine="656"/>
        <w:spacing w:after="0" w:line="282" w:lineRule="auto"/>
        <w:tabs>
          <w:tab w:leader="none" w:pos="130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elsewhere in this Schedule 13D, none of the Reporting Persons or, to the Reporting Persons’ knowledge, the Listed Persons has effected any transactions in the Common Units during the past 60 days.</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13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 of Class A units of AAP have the right to receive a pro rata portion of cash distributed in respect of the Common Units owned by AAP. EMG Investment, LLC, through its 18.6% economic ownership interest in AAP, has the right to receive such distributions in respect of approximately 6.9% of the outstanding Common Units as of November 15, 2016.</w:t>
      </w:r>
    </w:p>
    <w:p>
      <w:pPr>
        <w:spacing w:after="0" w:line="17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70" w:orient="portrait"/>
          <w:cols w:equalWidth="0" w:num="1">
            <w:col w:w="11420"/>
          </w:cols>
          <w:pgMar w:left="240" w:top="121" w:right="239" w:bottom="0" w:gutter="0" w:footer="0" w:header="0"/>
        </w:sectPr>
      </w:pPr>
    </w:p>
    <w:bookmarkStart w:id="7" w:name="page8"/>
    <w:bookmarkEnd w:id="7"/>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information provided or incorporated by reference in </w:t>
      </w:r>
      <w:r>
        <w:rPr>
          <w:rFonts w:ascii="Times New Roman" w:cs="Times New Roman" w:eastAsia="Times New Roman" w:hAnsi="Times New Roman"/>
          <w:sz w:val="18"/>
          <w:szCs w:val="18"/>
          <w:u w:val="single" w:color="auto"/>
          <w:color w:val="auto"/>
        </w:rPr>
        <w:t>Item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Item 4</w:t>
      </w:r>
      <w:r>
        <w:rPr>
          <w:rFonts w:ascii="Times New Roman" w:cs="Times New Roman" w:eastAsia="Times New Roman" w:hAnsi="Times New Roman"/>
          <w:sz w:val="18"/>
          <w:szCs w:val="18"/>
          <w:color w:val="auto"/>
        </w:rPr>
        <w:t xml:space="preserve"> is hereby incorporated by reference herein.</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To the Reporting Persons’ knowledge, there are no contracts, arrangements, understandings or relationships (legal or otherwise) among the persons named in </w:t>
      </w:r>
      <w:r>
        <w:rPr>
          <w:rFonts w:ascii="Times New Roman" w:cs="Times New Roman" w:eastAsia="Times New Roman" w:hAnsi="Times New Roman"/>
          <w:sz w:val="18"/>
          <w:szCs w:val="18"/>
          <w:u w:val="single" w:color="auto"/>
          <w:color w:val="auto"/>
        </w:rPr>
        <w:t>Item 2</w:t>
      </w:r>
      <w:r>
        <w:rPr>
          <w:rFonts w:ascii="Times New Roman" w:cs="Times New Roman" w:eastAsia="Times New Roman" w:hAnsi="Times New Roman"/>
          <w:sz w:val="18"/>
          <w:szCs w:val="18"/>
          <w:color w:val="auto"/>
        </w:rPr>
        <w:t xml:space="preserve"> and between such persons and any other person with respect to any securities of the Issuer, other than the following:</w:t>
      </w:r>
    </w:p>
    <w:p>
      <w:pPr>
        <w:spacing w:after="0" w:line="162"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AAP Partnership Agreement provides holders of Class A units, including Greg Armstrong and Harry Pefanis, the right, subject to certain limitations, to cause AAP to redeem such Class A units in exchange for a like number of Common Units (an “</w:t>
      </w:r>
      <w:r>
        <w:rPr>
          <w:rFonts w:ascii="Times New Roman" w:cs="Times New Roman" w:eastAsia="Times New Roman" w:hAnsi="Times New Roman"/>
          <w:sz w:val="18"/>
          <w:szCs w:val="18"/>
          <w:i w:val="1"/>
          <w:iCs w:val="1"/>
          <w:color w:val="auto"/>
        </w:rPr>
        <w:t>AAP Unit Redemption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On November 15, 2016, the Partnership entered into a Registration Rights Agreement with the holders of Class A units of AAP (other than PAGP and GP LLC), pursuant to which the Partnership will agree to use commercially reasonable efforts to file, and cause to be continuously effective, a shelf registration statement to permit the public resale of the Common Units to be held by AAP that are distributable to such holders following an AAP Unit Redemption. Additionally, the Partnership will agree to register the resale of any Common Units issued to AAP following the Closing pursuant to the Omnibus Agreement in respect of certain currently outstanding AAP Management Units that become AAP Earned Units in the future. In certain circumstances, the holders will have piggyback registration rights on offerings initiated by persons (other than the Partnership) for whom the Partnership has the obligation to undertake an underwritten offering (including the holders of its Series A Preferred Units), and certain holders will collectively have the right to request up to a total of twelve underwritten offerings, subject to size limitations and customary rights of the Partnership to delay such offerings.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10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Simplification Agreement dated July 11, 2016, by and among the Plains Entities (filed as Exhibit 2.1 to the Partnership’s Current Report</w:t>
            </w:r>
          </w:p>
        </w:tc>
      </w:tr>
      <w:tr>
        <w:trPr>
          <w:trHeight w:val="234"/>
        </w:trPr>
        <w:tc>
          <w:tcPr>
            <w:tcW w:w="1080" w:type="dxa"/>
            <w:vAlign w:val="bottom"/>
          </w:tcPr>
          <w:p>
            <w:pPr>
              <w:spacing w:after="0"/>
              <w:rPr>
                <w:sz w:val="20"/>
                <w:szCs w:val="20"/>
                <w:color w:val="auto"/>
              </w:rPr>
            </w:pPr>
          </w:p>
        </w:tc>
        <w:tc>
          <w:tcPr>
            <w:tcW w:w="10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 Form 8-K, filed with the Commission on July 14, 2016 and incorporated herein in its entirety by reference).</w:t>
            </w: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10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Eighth Amended and Restated Limited Partnership Agreement of Plains AAP, L.P. dated November 15, 2016 (filed as Exhibit 3.4 to the</w:t>
            </w:r>
          </w:p>
        </w:tc>
      </w:tr>
      <w:tr>
        <w:trPr>
          <w:trHeight w:val="216"/>
        </w:trPr>
        <w:tc>
          <w:tcPr>
            <w:tcW w:w="1080" w:type="dxa"/>
            <w:vAlign w:val="bottom"/>
          </w:tcPr>
          <w:p>
            <w:pPr>
              <w:spacing w:after="0"/>
              <w:rPr>
                <w:sz w:val="18"/>
                <w:szCs w:val="18"/>
                <w:color w:val="auto"/>
              </w:rPr>
            </w:pPr>
          </w:p>
        </w:tc>
        <w:tc>
          <w:tcPr>
            <w:tcW w:w="10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Partnership’s Current Report on Form 8-K filed with the Commission on November 21, 2016 and incorporated herein in its entirety by</w:t>
            </w:r>
          </w:p>
        </w:tc>
      </w:tr>
      <w:tr>
        <w:trPr>
          <w:trHeight w:val="234"/>
        </w:trPr>
        <w:tc>
          <w:tcPr>
            <w:tcW w:w="1080" w:type="dxa"/>
            <w:vAlign w:val="bottom"/>
          </w:tcPr>
          <w:p>
            <w:pPr>
              <w:spacing w:after="0"/>
              <w:rPr>
                <w:sz w:val="20"/>
                <w:szCs w:val="20"/>
                <w:color w:val="auto"/>
              </w:rPr>
            </w:pPr>
          </w:p>
        </w:tc>
        <w:tc>
          <w:tcPr>
            <w:tcW w:w="10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reference).</w:t>
            </w: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10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Registration Rights Agreement, dated November 15, 2016, by and among Plains All American Pipeline, L.P., and the initial holders listed</w:t>
            </w:r>
          </w:p>
        </w:tc>
      </w:tr>
      <w:tr>
        <w:trPr>
          <w:trHeight w:val="216"/>
        </w:trPr>
        <w:tc>
          <w:tcPr>
            <w:tcW w:w="1080" w:type="dxa"/>
            <w:vAlign w:val="bottom"/>
          </w:tcPr>
          <w:p>
            <w:pPr>
              <w:spacing w:after="0"/>
              <w:rPr>
                <w:sz w:val="18"/>
                <w:szCs w:val="18"/>
                <w:color w:val="auto"/>
              </w:rPr>
            </w:pPr>
          </w:p>
        </w:tc>
        <w:tc>
          <w:tcPr>
            <w:tcW w:w="10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therein (filed as Exhibit 10.4 to the Partnership’s Current Report on Form 8-K filed with the Commission on November 21, 2016 and</w:t>
            </w:r>
          </w:p>
        </w:tc>
      </w:tr>
      <w:tr>
        <w:trPr>
          <w:trHeight w:val="234"/>
        </w:trPr>
        <w:tc>
          <w:tcPr>
            <w:tcW w:w="1080" w:type="dxa"/>
            <w:vAlign w:val="bottom"/>
          </w:tcPr>
          <w:p>
            <w:pPr>
              <w:spacing w:after="0"/>
              <w:rPr>
                <w:sz w:val="20"/>
                <w:szCs w:val="20"/>
                <w:color w:val="auto"/>
              </w:rPr>
            </w:pPr>
          </w:p>
        </w:tc>
        <w:tc>
          <w:tcPr>
            <w:tcW w:w="10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incorporated herein in its entirety by reference).</w:t>
            </w: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10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Omnibus Agreement dated November 15, 2016, by and among the Plains Entities (filed as Exhibit 10.1 to the Partnership’s Current</w:t>
            </w:r>
          </w:p>
        </w:tc>
      </w:tr>
      <w:tr>
        <w:trPr>
          <w:trHeight w:val="234"/>
        </w:trPr>
        <w:tc>
          <w:tcPr>
            <w:tcW w:w="1080" w:type="dxa"/>
            <w:vAlign w:val="bottom"/>
          </w:tcPr>
          <w:p>
            <w:pPr>
              <w:spacing w:after="0"/>
              <w:rPr>
                <w:sz w:val="20"/>
                <w:szCs w:val="20"/>
                <w:color w:val="auto"/>
              </w:rPr>
            </w:pPr>
          </w:p>
        </w:tc>
        <w:tc>
          <w:tcPr>
            <w:tcW w:w="10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Report on Form 8-K filed with the Commission on November 21, 2016 and incorporated herein in its entirety by reference).</w:t>
            </w:r>
          </w:p>
        </w:tc>
      </w:tr>
      <w:tr>
        <w:trPr>
          <w:trHeight w:val="4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10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Joint Filing Statement (filed herewith).</w:t>
            </w:r>
          </w:p>
        </w:tc>
      </w:tr>
      <w:tr>
        <w:trPr>
          <w:trHeight w:val="432"/>
        </w:trPr>
        <w:tc>
          <w:tcPr>
            <w:tcW w:w="1080" w:type="dxa"/>
            <w:vAlign w:val="bottom"/>
          </w:tcPr>
          <w:p>
            <w:pPr>
              <w:spacing w:after="0"/>
              <w:rPr>
                <w:sz w:val="24"/>
                <w:szCs w:val="24"/>
                <w:color w:val="auto"/>
              </w:rPr>
            </w:pPr>
          </w:p>
        </w:tc>
        <w:tc>
          <w:tcPr>
            <w:tcW w:w="1038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10</w:t>
            </w:r>
          </w:p>
        </w:tc>
      </w:tr>
      <w:tr>
        <w:trPr>
          <w:trHeight w:val="132"/>
        </w:trPr>
        <w:tc>
          <w:tcPr>
            <w:tcW w:w="1080" w:type="dxa"/>
            <w:vAlign w:val="bottom"/>
            <w:tcBorders>
              <w:bottom w:val="single" w:sz="8" w:color="808080"/>
            </w:tcBorders>
          </w:tcPr>
          <w:p>
            <w:pPr>
              <w:spacing w:after="0"/>
              <w:rPr>
                <w:sz w:val="11"/>
                <w:szCs w:val="11"/>
                <w:color w:val="auto"/>
              </w:rPr>
            </w:pPr>
          </w:p>
        </w:tc>
        <w:tc>
          <w:tcPr>
            <w:tcW w:w="103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November 21, 2016</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AAP,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r>
      <w:tr>
        <w:trPr>
          <w:trHeight w:val="64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64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6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432"/>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PLAINS ALL AMERICAN GP LLC</w:t>
            </w:r>
          </w:p>
        </w:tc>
      </w:tr>
      <w:tr>
        <w:trPr>
          <w:trHeight w:val="64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GP Holdings, L.P., its sole member</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64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6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432"/>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PLAINS GP HOLDINGS, L.P.</w:t>
            </w:r>
          </w:p>
        </w:tc>
      </w:tr>
      <w:tr>
        <w:trPr>
          <w:trHeight w:val="64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PAA GP Holdings LLC, its general partner</w:t>
            </w:r>
          </w:p>
        </w:tc>
      </w:tr>
    </w:tbl>
    <w:p>
      <w:pPr>
        <w:sectPr>
          <w:pgSz w:w="11900" w:h="16838" w:orient="portrait"/>
          <w:cols w:equalWidth="0" w:num="1">
            <w:col w:w="11460"/>
          </w:cols>
          <w:pgMar w:left="240" w:top="333" w:right="1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Richard McGee</w:t>
            </w:r>
          </w:p>
        </w:tc>
        <w:tc>
          <w:tcPr>
            <w:tcW w:w="40" w:type="dxa"/>
            <w:vAlign w:val="bottom"/>
          </w:tcPr>
          <w:p>
            <w:pPr>
              <w:spacing w:after="0"/>
              <w:rPr>
                <w:sz w:val="20"/>
                <w:szCs w:val="20"/>
                <w:color w:val="auto"/>
              </w:rPr>
            </w:pPr>
          </w:p>
        </w:tc>
      </w:tr>
      <w:tr>
        <w:trPr>
          <w:trHeight w:val="191"/>
        </w:trPr>
        <w:tc>
          <w:tcPr>
            <w:tcW w:w="636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Richard McGee</w:t>
            </w:r>
          </w:p>
        </w:tc>
        <w:tc>
          <w:tcPr>
            <w:tcW w:w="40" w:type="dxa"/>
            <w:vAlign w:val="bottom"/>
          </w:tcPr>
          <w:p>
            <w:pPr>
              <w:spacing w:after="0"/>
              <w:rPr>
                <w:sz w:val="16"/>
                <w:szCs w:val="16"/>
                <w:color w:val="auto"/>
              </w:rPr>
            </w:pPr>
          </w:p>
        </w:tc>
      </w:tr>
      <w:tr>
        <w:trPr>
          <w:trHeight w:val="234"/>
        </w:trPr>
        <w:tc>
          <w:tcPr>
            <w:tcW w:w="63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432"/>
        </w:trPr>
        <w:tc>
          <w:tcPr>
            <w:tcW w:w="11420" w:type="dxa"/>
            <w:vAlign w:val="bottom"/>
            <w:gridSpan w:val="3"/>
          </w:tcPr>
          <w:p>
            <w:pPr>
              <w:ind w:left="5720"/>
              <w:spacing w:after="0"/>
              <w:rPr>
                <w:sz w:val="20"/>
                <w:szCs w:val="20"/>
                <w:color w:val="auto"/>
              </w:rPr>
            </w:pPr>
            <w:r>
              <w:rPr>
                <w:rFonts w:ascii="Times New Roman" w:cs="Times New Roman" w:eastAsia="Times New Roman" w:hAnsi="Times New Roman"/>
                <w:sz w:val="18"/>
                <w:szCs w:val="18"/>
                <w:b w:val="1"/>
                <w:bCs w:val="1"/>
                <w:color w:val="auto"/>
              </w:rPr>
              <w:t>PAA GP HOLDINGS LLC</w:t>
            </w:r>
          </w:p>
        </w:tc>
        <w:tc>
          <w:tcPr>
            <w:tcW w:w="40" w:type="dxa"/>
            <w:vAlign w:val="bottom"/>
          </w:tcPr>
          <w:p>
            <w:pPr>
              <w:spacing w:after="0"/>
              <w:rPr>
                <w:sz w:val="24"/>
                <w:szCs w:val="24"/>
                <w:color w:val="auto"/>
              </w:rPr>
            </w:pPr>
          </w:p>
        </w:tc>
      </w:tr>
      <w:tr>
        <w:trPr>
          <w:trHeight w:val="648"/>
        </w:trPr>
        <w:tc>
          <w:tcPr>
            <w:tcW w:w="636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Richard McGee</w:t>
            </w:r>
          </w:p>
        </w:tc>
        <w:tc>
          <w:tcPr>
            <w:tcW w:w="40" w:type="dxa"/>
            <w:vAlign w:val="bottom"/>
          </w:tcPr>
          <w:p>
            <w:pPr>
              <w:spacing w:after="0"/>
              <w:rPr>
                <w:sz w:val="24"/>
                <w:szCs w:val="24"/>
                <w:color w:val="auto"/>
              </w:rPr>
            </w:pPr>
          </w:p>
        </w:tc>
      </w:tr>
      <w:tr>
        <w:trPr>
          <w:trHeight w:val="191"/>
        </w:trPr>
        <w:tc>
          <w:tcPr>
            <w:tcW w:w="636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Richard McGee</w:t>
            </w:r>
          </w:p>
        </w:tc>
        <w:tc>
          <w:tcPr>
            <w:tcW w:w="40" w:type="dxa"/>
            <w:vAlign w:val="bottom"/>
          </w:tcPr>
          <w:p>
            <w:pPr>
              <w:spacing w:after="0"/>
              <w:rPr>
                <w:sz w:val="16"/>
                <w:szCs w:val="16"/>
                <w:color w:val="auto"/>
              </w:rPr>
            </w:pPr>
          </w:p>
        </w:tc>
      </w:tr>
      <w:tr>
        <w:trPr>
          <w:trHeight w:val="234"/>
        </w:trPr>
        <w:tc>
          <w:tcPr>
            <w:tcW w:w="63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432"/>
        </w:trPr>
        <w:tc>
          <w:tcPr>
            <w:tcW w:w="63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Pursuant to Rule 13d-1(k)(1) under the Securities Exchange Act of 1934, as amended, the undersigned hereby agree that only one statement containing the information required by Schedule 13D need be filed with respect to the ownership by each of the undersigned of the Common Units of Plains All American Pipeline, 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21, 2016</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AAP, L.P.</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c>
          <w:tcPr>
            <w:tcW w:w="40" w:type="dxa"/>
            <w:vAlign w:val="bottom"/>
          </w:tcPr>
          <w:p>
            <w:pPr>
              <w:spacing w:after="0"/>
              <w:rPr>
                <w:sz w:val="20"/>
                <w:szCs w:val="20"/>
                <w:color w:val="auto"/>
              </w:rPr>
            </w:pPr>
          </w:p>
        </w:tc>
      </w:tr>
      <w:tr>
        <w:trPr>
          <w:trHeight w:val="630"/>
        </w:trPr>
        <w:tc>
          <w:tcPr>
            <w:tcW w:w="632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Richard McGee</w:t>
            </w:r>
          </w:p>
        </w:tc>
        <w:tc>
          <w:tcPr>
            <w:tcW w:w="40" w:type="dxa"/>
            <w:vAlign w:val="bottom"/>
          </w:tcPr>
          <w:p>
            <w:pPr>
              <w:spacing w:after="0"/>
              <w:rPr>
                <w:sz w:val="24"/>
                <w:szCs w:val="24"/>
                <w:color w:val="auto"/>
              </w:rPr>
            </w:pPr>
          </w:p>
        </w:tc>
      </w:tr>
      <w:tr>
        <w:trPr>
          <w:trHeight w:val="191"/>
        </w:trPr>
        <w:tc>
          <w:tcPr>
            <w:tcW w:w="6320" w:type="dxa"/>
            <w:vAlign w:val="bottom"/>
          </w:tcPr>
          <w:p>
            <w:pPr>
              <w:spacing w:after="0"/>
              <w:rPr>
                <w:sz w:val="16"/>
                <w:szCs w:val="16"/>
                <w:color w:val="auto"/>
              </w:rPr>
            </w:pPr>
          </w:p>
        </w:tc>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Richard McGee</w:t>
            </w:r>
          </w:p>
        </w:tc>
        <w:tc>
          <w:tcPr>
            <w:tcW w:w="40" w:type="dxa"/>
            <w:vAlign w:val="bottom"/>
          </w:tcPr>
          <w:p>
            <w:pPr>
              <w:spacing w:after="0"/>
              <w:rPr>
                <w:sz w:val="16"/>
                <w:szCs w:val="16"/>
                <w:color w:val="auto"/>
              </w:rPr>
            </w:pPr>
          </w:p>
        </w:tc>
      </w:tr>
      <w:tr>
        <w:trPr>
          <w:trHeight w:val="234"/>
        </w:trPr>
        <w:tc>
          <w:tcPr>
            <w:tcW w:w="63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432"/>
        </w:trPr>
        <w:tc>
          <w:tcPr>
            <w:tcW w:w="11420" w:type="dxa"/>
            <w:vAlign w:val="bottom"/>
            <w:gridSpan w:val="3"/>
          </w:tcPr>
          <w:p>
            <w:pPr>
              <w:ind w:left="5720"/>
              <w:spacing w:after="0"/>
              <w:rPr>
                <w:sz w:val="20"/>
                <w:szCs w:val="20"/>
                <w:color w:val="auto"/>
              </w:rPr>
            </w:pPr>
            <w:r>
              <w:rPr>
                <w:rFonts w:ascii="Times New Roman" w:cs="Times New Roman" w:eastAsia="Times New Roman" w:hAnsi="Times New Roman"/>
                <w:sz w:val="18"/>
                <w:szCs w:val="18"/>
                <w:b w:val="1"/>
                <w:bCs w:val="1"/>
                <w:color w:val="auto"/>
              </w:rPr>
              <w:t>PLAINS ALL AMERICAN GP LLC</w:t>
            </w:r>
          </w:p>
        </w:tc>
        <w:tc>
          <w:tcPr>
            <w:tcW w:w="40" w:type="dxa"/>
            <w:vAlign w:val="bottom"/>
          </w:tcPr>
          <w:p>
            <w:pPr>
              <w:spacing w:after="0"/>
              <w:rPr>
                <w:sz w:val="24"/>
                <w:szCs w:val="24"/>
                <w:color w:val="auto"/>
              </w:rPr>
            </w:pPr>
          </w:p>
        </w:tc>
      </w:tr>
      <w:tr>
        <w:trPr>
          <w:trHeight w:val="648"/>
        </w:trPr>
        <w:tc>
          <w:tcPr>
            <w:tcW w:w="632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Richard McGee</w:t>
            </w:r>
          </w:p>
        </w:tc>
        <w:tc>
          <w:tcPr>
            <w:tcW w:w="40" w:type="dxa"/>
            <w:vAlign w:val="bottom"/>
          </w:tcPr>
          <w:p>
            <w:pPr>
              <w:spacing w:after="0"/>
              <w:rPr>
                <w:sz w:val="24"/>
                <w:szCs w:val="24"/>
                <w:color w:val="auto"/>
              </w:rPr>
            </w:pPr>
          </w:p>
        </w:tc>
      </w:tr>
      <w:tr>
        <w:trPr>
          <w:trHeight w:val="191"/>
        </w:trPr>
        <w:tc>
          <w:tcPr>
            <w:tcW w:w="6320" w:type="dxa"/>
            <w:vAlign w:val="bottom"/>
          </w:tcPr>
          <w:p>
            <w:pPr>
              <w:spacing w:after="0"/>
              <w:rPr>
                <w:sz w:val="16"/>
                <w:szCs w:val="16"/>
                <w:color w:val="auto"/>
              </w:rPr>
            </w:pPr>
          </w:p>
        </w:tc>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Richard McGee</w:t>
            </w:r>
          </w:p>
        </w:tc>
        <w:tc>
          <w:tcPr>
            <w:tcW w:w="40" w:type="dxa"/>
            <w:vAlign w:val="bottom"/>
          </w:tcPr>
          <w:p>
            <w:pPr>
              <w:spacing w:after="0"/>
              <w:rPr>
                <w:sz w:val="16"/>
                <w:szCs w:val="16"/>
                <w:color w:val="auto"/>
              </w:rPr>
            </w:pPr>
          </w:p>
        </w:tc>
      </w:tr>
      <w:tr>
        <w:trPr>
          <w:trHeight w:val="234"/>
        </w:trPr>
        <w:tc>
          <w:tcPr>
            <w:tcW w:w="63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414"/>
        </w:trPr>
        <w:tc>
          <w:tcPr>
            <w:tcW w:w="11420" w:type="dxa"/>
            <w:vAlign w:val="bottom"/>
            <w:gridSpan w:val="3"/>
          </w:tcPr>
          <w:p>
            <w:pPr>
              <w:ind w:left="5720"/>
              <w:spacing w:after="0"/>
              <w:rPr>
                <w:sz w:val="20"/>
                <w:szCs w:val="20"/>
                <w:color w:val="auto"/>
              </w:rPr>
            </w:pPr>
            <w:r>
              <w:rPr>
                <w:rFonts w:ascii="Times New Roman" w:cs="Times New Roman" w:eastAsia="Times New Roman" w:hAnsi="Times New Roman"/>
                <w:sz w:val="18"/>
                <w:szCs w:val="18"/>
                <w:b w:val="1"/>
                <w:bCs w:val="1"/>
                <w:color w:val="auto"/>
              </w:rPr>
              <w:t>PLAINS GP HOLDINGS, L.P.</w:t>
            </w:r>
          </w:p>
        </w:tc>
        <w:tc>
          <w:tcPr>
            <w:tcW w:w="40" w:type="dxa"/>
            <w:vAlign w:val="bottom"/>
          </w:tcPr>
          <w:p>
            <w:pPr>
              <w:spacing w:after="0"/>
              <w:rPr>
                <w:sz w:val="24"/>
                <w:szCs w:val="24"/>
                <w:color w:val="auto"/>
              </w:rPr>
            </w:pPr>
          </w:p>
        </w:tc>
      </w:tr>
      <w:tr>
        <w:trPr>
          <w:trHeight w:val="234"/>
        </w:trPr>
        <w:tc>
          <w:tcPr>
            <w:tcW w:w="632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PAA GP Holdings LLC, its general partner</w:t>
            </w:r>
          </w:p>
        </w:tc>
        <w:tc>
          <w:tcPr>
            <w:tcW w:w="40" w:type="dxa"/>
            <w:vAlign w:val="bottom"/>
          </w:tcPr>
          <w:p>
            <w:pPr>
              <w:spacing w:after="0"/>
              <w:rPr>
                <w:sz w:val="20"/>
                <w:szCs w:val="20"/>
                <w:color w:val="auto"/>
              </w:rPr>
            </w:pPr>
          </w:p>
        </w:tc>
      </w:tr>
      <w:tr>
        <w:trPr>
          <w:trHeight w:val="648"/>
        </w:trPr>
        <w:tc>
          <w:tcPr>
            <w:tcW w:w="632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Richard McGee</w:t>
            </w:r>
          </w:p>
        </w:tc>
        <w:tc>
          <w:tcPr>
            <w:tcW w:w="40" w:type="dxa"/>
            <w:vAlign w:val="bottom"/>
          </w:tcPr>
          <w:p>
            <w:pPr>
              <w:spacing w:after="0"/>
              <w:rPr>
                <w:sz w:val="24"/>
                <w:szCs w:val="24"/>
                <w:color w:val="auto"/>
              </w:rPr>
            </w:pPr>
          </w:p>
        </w:tc>
      </w:tr>
      <w:tr>
        <w:trPr>
          <w:trHeight w:val="191"/>
        </w:trPr>
        <w:tc>
          <w:tcPr>
            <w:tcW w:w="6320" w:type="dxa"/>
            <w:vAlign w:val="bottom"/>
          </w:tcPr>
          <w:p>
            <w:pPr>
              <w:spacing w:after="0"/>
              <w:rPr>
                <w:sz w:val="16"/>
                <w:szCs w:val="16"/>
                <w:color w:val="auto"/>
              </w:rPr>
            </w:pPr>
          </w:p>
        </w:tc>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Richard McGee</w:t>
            </w:r>
          </w:p>
        </w:tc>
        <w:tc>
          <w:tcPr>
            <w:tcW w:w="40" w:type="dxa"/>
            <w:vAlign w:val="bottom"/>
          </w:tcPr>
          <w:p>
            <w:pPr>
              <w:spacing w:after="0"/>
              <w:rPr>
                <w:sz w:val="16"/>
                <w:szCs w:val="16"/>
                <w:color w:val="auto"/>
              </w:rPr>
            </w:pPr>
          </w:p>
        </w:tc>
      </w:tr>
      <w:tr>
        <w:trPr>
          <w:trHeight w:val="234"/>
        </w:trPr>
        <w:tc>
          <w:tcPr>
            <w:tcW w:w="63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432"/>
        </w:trPr>
        <w:tc>
          <w:tcPr>
            <w:tcW w:w="11420" w:type="dxa"/>
            <w:vAlign w:val="bottom"/>
            <w:gridSpan w:val="3"/>
          </w:tcPr>
          <w:p>
            <w:pPr>
              <w:ind w:left="5720"/>
              <w:spacing w:after="0"/>
              <w:rPr>
                <w:sz w:val="20"/>
                <w:szCs w:val="20"/>
                <w:color w:val="auto"/>
              </w:rPr>
            </w:pPr>
            <w:r>
              <w:rPr>
                <w:rFonts w:ascii="Times New Roman" w:cs="Times New Roman" w:eastAsia="Times New Roman" w:hAnsi="Times New Roman"/>
                <w:sz w:val="18"/>
                <w:szCs w:val="18"/>
                <w:b w:val="1"/>
                <w:bCs w:val="1"/>
                <w:color w:val="auto"/>
              </w:rPr>
              <w:t>PAA GP HOLDINGS LLC</w:t>
            </w:r>
          </w:p>
        </w:tc>
        <w:tc>
          <w:tcPr>
            <w:tcW w:w="40" w:type="dxa"/>
            <w:vAlign w:val="bottom"/>
          </w:tcPr>
          <w:p>
            <w:pPr>
              <w:spacing w:after="0"/>
              <w:rPr>
                <w:sz w:val="24"/>
                <w:szCs w:val="24"/>
                <w:color w:val="auto"/>
              </w:rPr>
            </w:pPr>
          </w:p>
        </w:tc>
      </w:tr>
      <w:tr>
        <w:trPr>
          <w:trHeight w:val="648"/>
        </w:trPr>
        <w:tc>
          <w:tcPr>
            <w:tcW w:w="632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Richard McGee</w:t>
            </w:r>
          </w:p>
        </w:tc>
        <w:tc>
          <w:tcPr>
            <w:tcW w:w="40" w:type="dxa"/>
            <w:vAlign w:val="bottom"/>
          </w:tcPr>
          <w:p>
            <w:pPr>
              <w:spacing w:after="0"/>
              <w:rPr>
                <w:sz w:val="24"/>
                <w:szCs w:val="24"/>
                <w:color w:val="auto"/>
              </w:rPr>
            </w:pPr>
          </w:p>
        </w:tc>
      </w:tr>
      <w:tr>
        <w:trPr>
          <w:trHeight w:val="191"/>
        </w:trPr>
        <w:tc>
          <w:tcPr>
            <w:tcW w:w="6320" w:type="dxa"/>
            <w:vAlign w:val="bottom"/>
          </w:tcPr>
          <w:p>
            <w:pPr>
              <w:spacing w:after="0"/>
              <w:rPr>
                <w:sz w:val="16"/>
                <w:szCs w:val="16"/>
                <w:color w:val="auto"/>
              </w:rPr>
            </w:pPr>
          </w:p>
        </w:tc>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Richard McGee</w:t>
            </w:r>
          </w:p>
        </w:tc>
        <w:tc>
          <w:tcPr>
            <w:tcW w:w="40" w:type="dxa"/>
            <w:vAlign w:val="bottom"/>
          </w:tcPr>
          <w:p>
            <w:pPr>
              <w:spacing w:after="0"/>
              <w:rPr>
                <w:sz w:val="16"/>
                <w:szCs w:val="16"/>
                <w:color w:val="auto"/>
              </w:rPr>
            </w:pPr>
          </w:p>
        </w:tc>
      </w:tr>
      <w:tr>
        <w:trPr>
          <w:trHeight w:val="234"/>
        </w:trPr>
        <w:tc>
          <w:tcPr>
            <w:tcW w:w="63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348"/>
        </w:trPr>
        <w:tc>
          <w:tcPr>
            <w:tcW w:w="63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Officers(1)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Greg L. Armstrong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Occupation</w:t>
      </w:r>
      <w:r>
        <w:rPr>
          <w:rFonts w:ascii="Times New Roman" w:cs="Times New Roman" w:eastAsia="Times New Roman" w:hAnsi="Times New Roman"/>
          <w:sz w:val="18"/>
          <w:szCs w:val="18"/>
          <w:color w:val="auto"/>
        </w:rPr>
        <w:t>: Chairman of the Board and Director of PAA GP Holdings LLC and Chief Executive Officer of Plains All American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1,507,871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Harry N. Pefanis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Occupation</w:t>
      </w:r>
      <w:r>
        <w:rPr>
          <w:rFonts w:ascii="Times New Roman" w:cs="Times New Roman" w:eastAsia="Times New Roman" w:hAnsi="Times New Roman"/>
          <w:sz w:val="18"/>
          <w:szCs w:val="18"/>
          <w:color w:val="auto"/>
        </w:rPr>
        <w:t>: President and Chief Operating Officer of Plains All American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847,532</w:t>
      </w:r>
    </w:p>
    <w:p>
      <w:pPr>
        <w:sectPr>
          <w:pgSz w:w="11900" w:h="16838" w:orient="portrait"/>
          <w:cols w:equalWidth="0" w:num="1">
            <w:col w:w="11460"/>
          </w:cols>
          <w:pgMar w:left="240" w:top="337" w:right="199" w:bottom="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Wilfred (Willie) C. Chiang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Occupation</w:t>
      </w:r>
      <w:r>
        <w:rPr>
          <w:rFonts w:ascii="Times New Roman" w:cs="Times New Roman" w:eastAsia="Times New Roman" w:hAnsi="Times New Roman"/>
          <w:sz w:val="18"/>
          <w:szCs w:val="18"/>
          <w:color w:val="auto"/>
        </w:rPr>
        <w:t>: Executive Vice President and Chief Operating Officer (U.S.) of Plains All American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 Nerbonne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Occupation</w:t>
      </w:r>
      <w:r>
        <w:rPr>
          <w:rFonts w:ascii="Times New Roman" w:cs="Times New Roman" w:eastAsia="Times New Roman" w:hAnsi="Times New Roman"/>
          <w:sz w:val="18"/>
          <w:szCs w:val="18"/>
          <w:color w:val="auto"/>
        </w:rPr>
        <w:t>: Executive Vice President—Operations and Engineering of Plains All American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Phillip D. Kramer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Occupation</w:t>
      </w:r>
      <w:r>
        <w:rPr>
          <w:rFonts w:ascii="Times New Roman" w:cs="Times New Roman" w:eastAsia="Times New Roman" w:hAnsi="Times New Roman"/>
          <w:sz w:val="18"/>
          <w:szCs w:val="18"/>
          <w:color w:val="auto"/>
        </w:rPr>
        <w:t>: Executive Vice President of Plains All American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395,321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K. McGee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Occupation</w:t>
      </w:r>
      <w:r>
        <w:rPr>
          <w:rFonts w:ascii="Times New Roman" w:cs="Times New Roman" w:eastAsia="Times New Roman" w:hAnsi="Times New Roman"/>
          <w:sz w:val="18"/>
          <w:szCs w:val="18"/>
          <w:color w:val="auto"/>
        </w:rPr>
        <w:t>: Executive Vice President, General Counsel and Secretary of Plains All American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113,420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GP LLC employs management and operational personnel of each of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 Swanson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Occupation</w:t>
      </w:r>
      <w:r>
        <w:rPr>
          <w:rFonts w:ascii="Times New Roman" w:cs="Times New Roman" w:eastAsia="Times New Roman" w:hAnsi="Times New Roman"/>
          <w:sz w:val="18"/>
          <w:szCs w:val="18"/>
          <w:color w:val="auto"/>
        </w:rPr>
        <w:t>: Executive Vice President and Chief Financial Officer of Plains All American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Beneficially Owned: 165,998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P. vonBerg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Occupation</w:t>
      </w:r>
      <w:r>
        <w:rPr>
          <w:rFonts w:ascii="Times New Roman" w:cs="Times New Roman" w:eastAsia="Times New Roman" w:hAnsi="Times New Roman"/>
          <w:sz w:val="18"/>
          <w:szCs w:val="18"/>
          <w:color w:val="auto"/>
        </w:rPr>
        <w:t>: Executive Vice President—Commercial Activities of Plains All American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122,359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 David Duckett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Occupation</w:t>
      </w:r>
      <w:r>
        <w:rPr>
          <w:rFonts w:ascii="Times New Roman" w:cs="Times New Roman" w:eastAsia="Times New Roman" w:hAnsi="Times New Roman"/>
          <w:sz w:val="18"/>
          <w:szCs w:val="18"/>
          <w:color w:val="auto"/>
        </w:rPr>
        <w:t>: Chief Executive Officer, Plains Midstream 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 Canadian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 Herbold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Occupation</w:t>
      </w:r>
      <w:r>
        <w:rPr>
          <w:rFonts w:ascii="Times New Roman" w:cs="Times New Roman" w:eastAsia="Times New Roman" w:hAnsi="Times New Roman"/>
          <w:sz w:val="18"/>
          <w:szCs w:val="18"/>
          <w:color w:val="auto"/>
        </w:rPr>
        <w:t>: Vice President—Accounting and Chief Accounting Officer of Plains All American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34,227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Greg L. Armstrong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Occupation</w:t>
      </w:r>
      <w:r>
        <w:rPr>
          <w:rFonts w:ascii="Times New Roman" w:cs="Times New Roman" w:eastAsia="Times New Roman" w:hAnsi="Times New Roman"/>
          <w:sz w:val="18"/>
          <w:szCs w:val="18"/>
          <w:color w:val="auto"/>
        </w:rPr>
        <w:t>: Chairman of the Board and Director of PAA GP Holdings LLC and Chief Executive Officer of Plains All American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1,507,871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T. Raymond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Occupation</w:t>
      </w:r>
      <w:r>
        <w:rPr>
          <w:rFonts w:ascii="Times New Roman" w:cs="Times New Roman" w:eastAsia="Times New Roman" w:hAnsi="Times New Roman"/>
          <w:sz w:val="18"/>
          <w:szCs w:val="18"/>
          <w:color w:val="auto"/>
        </w:rPr>
        <w:t>: Owner and Founder of The Energy &amp; Minerals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1,599,616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V. Sinnott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c/o PAA GP Holdings LLC, 333 Clay Street, Suite 1600, 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firstLine="8"/>
        <w:spacing w:after="0" w:line="282" w:lineRule="auto"/>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AAP, GP LLC or PAGP have a board of directors. PAGP GP’s board of directors functions as the board of directors for each of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60"/>
          </w:cols>
          <w:pgMar w:left="240" w:top="117" w:right="499" w:bottom="13"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Principal Occupation</w:t>
      </w:r>
      <w:r>
        <w:rPr>
          <w:rFonts w:ascii="Times New Roman" w:cs="Times New Roman" w:eastAsia="Times New Roman" w:hAnsi="Times New Roman"/>
          <w:sz w:val="18"/>
          <w:szCs w:val="18"/>
          <w:color w:val="auto"/>
        </w:rPr>
        <w:t>: Co-Chairman of Kayne Anderson Capital Advisors,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346,393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Bernard (Ben) Figlock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Occupation</w:t>
      </w:r>
      <w:r>
        <w:rPr>
          <w:rFonts w:ascii="Times New Roman" w:cs="Times New Roman" w:eastAsia="Times New Roman" w:hAnsi="Times New Roman"/>
          <w:sz w:val="18"/>
          <w:szCs w:val="18"/>
          <w:color w:val="auto"/>
        </w:rPr>
        <w:t>: Vice President and Treasurer at Occidental Petroleum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Everardo Goyanes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Occupation</w:t>
      </w:r>
      <w:r>
        <w:rPr>
          <w:rFonts w:ascii="Times New Roman" w:cs="Times New Roman" w:eastAsia="Times New Roman" w:hAnsi="Times New Roman"/>
          <w:sz w:val="18"/>
          <w:szCs w:val="18"/>
          <w:color w:val="auto"/>
        </w:rPr>
        <w:t>: Founder of Ex Cathedra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Beneficially Owned: 88,400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Taft Symonds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Occupation</w:t>
      </w:r>
      <w:r>
        <w:rPr>
          <w:rFonts w:ascii="Times New Roman" w:cs="Times New Roman" w:eastAsia="Times New Roman" w:hAnsi="Times New Roman"/>
          <w:sz w:val="18"/>
          <w:szCs w:val="18"/>
          <w:color w:val="auto"/>
        </w:rPr>
        <w:t>: Chairman of the Board of Symonds Investment Company,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104,050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Victor Burk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Occupation</w:t>
      </w:r>
      <w:r>
        <w:rPr>
          <w:rFonts w:ascii="Times New Roman" w:cs="Times New Roman" w:eastAsia="Times New Roman" w:hAnsi="Times New Roman"/>
          <w:sz w:val="18"/>
          <w:szCs w:val="18"/>
          <w:color w:val="auto"/>
        </w:rPr>
        <w:t>: Managing Director for Alvarez and Marsal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Beneficially Owned: 14,543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Gary R. Petersen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Occupation</w:t>
      </w:r>
      <w:r>
        <w:rPr>
          <w:rFonts w:ascii="Times New Roman" w:cs="Times New Roman" w:eastAsia="Times New Roman" w:hAnsi="Times New Roman"/>
          <w:sz w:val="18"/>
          <w:szCs w:val="18"/>
          <w:color w:val="auto"/>
        </w:rPr>
        <w:t>: Managing Partner of EnCap Investments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Beneficially Owned: 49,450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Bobby S. Shackouls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Occupation</w:t>
      </w:r>
      <w:r>
        <w:rPr>
          <w:rFonts w:ascii="Times New Roman" w:cs="Times New Roman" w:eastAsia="Times New Roman" w:hAnsi="Times New Roman"/>
          <w:sz w:val="18"/>
          <w:szCs w:val="18"/>
          <w:color w:val="auto"/>
        </w:rPr>
        <w:t>: Retired Chairman, Burlington Resources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Beneficially Owned: 19,418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Christopher M. Temple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Occupation</w:t>
      </w:r>
      <w:r>
        <w:rPr>
          <w:rFonts w:ascii="Times New Roman" w:cs="Times New Roman" w:eastAsia="Times New Roman" w:hAnsi="Times New Roman"/>
          <w:sz w:val="18"/>
          <w:szCs w:val="18"/>
          <w:color w:val="auto"/>
        </w:rPr>
        <w:t>: President of DelTex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31,250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bullet"/>
      <w:start w:val="1"/>
    </w:lvl>
  </w:abstractNum>
  <w:abstractNum w:abstractNumId="1">
    <w:nsid w:val="257130A3"/>
    <w:multiLevelType w:val="hybridMultilevel"/>
    <w:lvl w:ilvl="0">
      <w:lvlJc w:val="left"/>
      <w:lvlText w:val="2"/>
      <w:numFmt w:val="bullet"/>
      <w:start w:val="1"/>
    </w:lvl>
    <w:lvl w:ilvl="1">
      <w:lvlJc w:val="left"/>
      <w:lvlText w:val="(%2)"/>
      <w:numFmt w:val="lowerLetter"/>
      <w:start w:val="1"/>
    </w:lvl>
  </w:abstractNum>
  <w:abstractNum w:abstractNumId="2">
    <w:nsid w:val="62BBD95A"/>
    <w:multiLevelType w:val="hybridMultilevel"/>
    <w:lvl w:ilvl="0">
      <w:lvlJc w:val="left"/>
      <w:lvlText w:val="3"/>
      <w:numFmt w:val="bullet"/>
      <w:start w:val="1"/>
    </w:lvl>
  </w:abstractNum>
  <w:abstractNum w:abstractNumId="3">
    <w:nsid w:val="436C6125"/>
    <w:multiLevelType w:val="hybridMultilevel"/>
    <w:lvl w:ilvl="0">
      <w:lvlJc w:val="left"/>
      <w:lvlText w:val="4"/>
      <w:numFmt w:val="bullet"/>
      <w:start w:val="1"/>
    </w:lvl>
  </w:abstractNum>
  <w:abstractNum w:abstractNumId="4">
    <w:nsid w:val="628C895D"/>
    <w:multiLevelType w:val="hybridMultilevel"/>
    <w:lvl w:ilvl="0">
      <w:lvlJc w:val="left"/>
      <w:lvlText w:val="6"/>
      <w:numFmt w:val="bullet"/>
      <w:start w:val="1"/>
    </w:lvl>
  </w:abstractNum>
  <w:abstractNum w:abstractNumId="5">
    <w:nsid w:val="333AB105"/>
    <w:multiLevelType w:val="hybridMultilevel"/>
    <w:lvl w:ilvl="0">
      <w:lvlJc w:val="left"/>
      <w:lvlText w:val="%1"/>
      <w:numFmt w:val="decimal"/>
      <w:start w:val="11"/>
    </w:lvl>
  </w:abstractNum>
  <w:abstractNum w:abstractNumId="6">
    <w:nsid w:val="721DA317"/>
    <w:multiLevelType w:val="hybridMultilevel"/>
    <w:lvl w:ilvl="0">
      <w:lvlJc w:val="left"/>
      <w:lvlText w:val="*"/>
      <w:numFmt w:val="bullet"/>
      <w:start w:val="1"/>
    </w:lvl>
    <w:lvl w:ilvl="1">
      <w:lvlJc w:val="left"/>
      <w:lvlText w:val="%2"/>
      <w:numFmt w:val="decimal"/>
      <w:start w:val="13"/>
    </w:lvl>
  </w:abstractNum>
  <w:abstractNum w:abstractNumId="7">
    <w:nsid w:val="2443A858"/>
    <w:multiLevelType w:val="hybridMultilevel"/>
    <w:lvl w:ilvl="0">
      <w:lvlJc w:val="left"/>
      <w:lvlText w:val="1"/>
      <w:numFmt w:val="bullet"/>
      <w:start w:val="1"/>
    </w:lvl>
  </w:abstractNum>
  <w:abstractNum w:abstractNumId="8">
    <w:nsid w:val="2D1D5AE9"/>
    <w:multiLevelType w:val="hybridMultilevel"/>
    <w:lvl w:ilvl="0">
      <w:lvlJc w:val="left"/>
      <w:lvlText w:val="2"/>
      <w:numFmt w:val="bullet"/>
      <w:start w:val="1"/>
    </w:lvl>
    <w:lvl w:ilvl="1">
      <w:lvlJc w:val="left"/>
      <w:lvlText w:val="(%2)"/>
      <w:numFmt w:val="lowerLetter"/>
      <w:start w:val="1"/>
    </w:lvl>
  </w:abstractNum>
  <w:abstractNum w:abstractNumId="9">
    <w:nsid w:val="6763845E"/>
    <w:multiLevelType w:val="hybridMultilevel"/>
    <w:lvl w:ilvl="0">
      <w:lvlJc w:val="left"/>
      <w:lvlText w:val="3"/>
      <w:numFmt w:val="bullet"/>
      <w:start w:val="1"/>
    </w:lvl>
  </w:abstractNum>
  <w:abstractNum w:abstractNumId="10">
    <w:nsid w:val="75A2A8D4"/>
    <w:multiLevelType w:val="hybridMultilevel"/>
    <w:lvl w:ilvl="0">
      <w:lvlJc w:val="left"/>
      <w:lvlText w:val="4"/>
      <w:numFmt w:val="bullet"/>
      <w:start w:val="1"/>
    </w:lvl>
  </w:abstractNum>
  <w:abstractNum w:abstractNumId="11">
    <w:nsid w:val="8EDBDAB"/>
    <w:multiLevelType w:val="hybridMultilevel"/>
    <w:lvl w:ilvl="0">
      <w:lvlJc w:val="left"/>
      <w:lvlText w:val="6"/>
      <w:numFmt w:val="bullet"/>
      <w:start w:val="1"/>
    </w:lvl>
  </w:abstractNum>
  <w:abstractNum w:abstractNumId="12">
    <w:nsid w:val="79838CB2"/>
    <w:multiLevelType w:val="hybridMultilevel"/>
    <w:lvl w:ilvl="0">
      <w:lvlJc w:val="left"/>
      <w:lvlText w:val="%1"/>
      <w:numFmt w:val="decimal"/>
      <w:start w:val="11"/>
    </w:lvl>
  </w:abstractNum>
  <w:abstractNum w:abstractNumId="13">
    <w:nsid w:val="4353D0CD"/>
    <w:multiLevelType w:val="hybridMultilevel"/>
    <w:lvl w:ilvl="0">
      <w:lvlJc w:val="left"/>
      <w:lvlText w:val="*"/>
      <w:numFmt w:val="bullet"/>
      <w:start w:val="1"/>
    </w:lvl>
    <w:lvl w:ilvl="1">
      <w:lvlJc w:val="left"/>
      <w:lvlText w:val="%2"/>
      <w:numFmt w:val="decimal"/>
      <w:start w:val="13"/>
    </w:lvl>
  </w:abstractNum>
  <w:abstractNum w:abstractNumId="14">
    <w:nsid w:val="B03E0C6"/>
    <w:multiLevelType w:val="hybridMultilevel"/>
    <w:lvl w:ilvl="0">
      <w:lvlJc w:val="left"/>
      <w:lvlText w:val="1"/>
      <w:numFmt w:val="bullet"/>
      <w:start w:val="1"/>
    </w:lvl>
  </w:abstractNum>
  <w:abstractNum w:abstractNumId="15">
    <w:nsid w:val="189A769B"/>
    <w:multiLevelType w:val="hybridMultilevel"/>
    <w:lvl w:ilvl="0">
      <w:lvlJc w:val="left"/>
      <w:lvlText w:val="2"/>
      <w:numFmt w:val="bullet"/>
      <w:start w:val="1"/>
    </w:lvl>
    <w:lvl w:ilvl="1">
      <w:lvlJc w:val="left"/>
      <w:lvlText w:val="(%2)"/>
      <w:numFmt w:val="lowerLetter"/>
      <w:start w:val="1"/>
    </w:lvl>
  </w:abstractNum>
  <w:abstractNum w:abstractNumId="16">
    <w:nsid w:val="54E49EB4"/>
    <w:multiLevelType w:val="hybridMultilevel"/>
    <w:lvl w:ilvl="0">
      <w:lvlJc w:val="left"/>
      <w:lvlText w:val="3"/>
      <w:numFmt w:val="bullet"/>
      <w:start w:val="1"/>
    </w:lvl>
  </w:abstractNum>
  <w:abstractNum w:abstractNumId="17">
    <w:nsid w:val="71F32454"/>
    <w:multiLevelType w:val="hybridMultilevel"/>
    <w:lvl w:ilvl="0">
      <w:lvlJc w:val="left"/>
      <w:lvlText w:val="4"/>
      <w:numFmt w:val="bullet"/>
      <w:start w:val="1"/>
    </w:lvl>
  </w:abstractNum>
  <w:abstractNum w:abstractNumId="18">
    <w:nsid w:val="2CA88611"/>
    <w:multiLevelType w:val="hybridMultilevel"/>
    <w:lvl w:ilvl="0">
      <w:lvlJc w:val="left"/>
      <w:lvlText w:val="6"/>
      <w:numFmt w:val="bullet"/>
      <w:start w:val="1"/>
    </w:lvl>
  </w:abstractNum>
  <w:abstractNum w:abstractNumId="19">
    <w:nsid w:val="836C40E"/>
    <w:multiLevelType w:val="hybridMultilevel"/>
    <w:lvl w:ilvl="0">
      <w:lvlJc w:val="left"/>
      <w:lvlText w:val="%1"/>
      <w:numFmt w:val="decimal"/>
      <w:start w:val="11"/>
    </w:lvl>
  </w:abstractNum>
  <w:abstractNum w:abstractNumId="20">
    <w:nsid w:val="2901D82"/>
    <w:multiLevelType w:val="hybridMultilevel"/>
    <w:lvl w:ilvl="0">
      <w:lvlJc w:val="left"/>
      <w:lvlText w:val="*"/>
      <w:numFmt w:val="bullet"/>
      <w:start w:val="1"/>
    </w:lvl>
    <w:lvl w:ilvl="1">
      <w:lvlJc w:val="left"/>
      <w:lvlText w:val="%2"/>
      <w:numFmt w:val="decimal"/>
      <w:start w:val="13"/>
    </w:lvl>
  </w:abstractNum>
  <w:abstractNum w:abstractNumId="21">
    <w:nsid w:val="3A95F874"/>
    <w:multiLevelType w:val="hybridMultilevel"/>
    <w:lvl w:ilvl="0">
      <w:lvlJc w:val="left"/>
      <w:lvlText w:val="1"/>
      <w:numFmt w:val="bullet"/>
      <w:start w:val="1"/>
    </w:lvl>
  </w:abstractNum>
  <w:abstractNum w:abstractNumId="22">
    <w:nsid w:val="8138641"/>
    <w:multiLevelType w:val="hybridMultilevel"/>
    <w:lvl w:ilvl="0">
      <w:lvlJc w:val="left"/>
      <w:lvlText w:val="2"/>
      <w:numFmt w:val="bullet"/>
      <w:start w:val="1"/>
    </w:lvl>
    <w:lvl w:ilvl="1">
      <w:lvlJc w:val="left"/>
      <w:lvlText w:val="(%2)"/>
      <w:numFmt w:val="lowerLetter"/>
      <w:start w:val="1"/>
    </w:lvl>
  </w:abstractNum>
  <w:abstractNum w:abstractNumId="23">
    <w:nsid w:val="1E7FF521"/>
    <w:multiLevelType w:val="hybridMultilevel"/>
    <w:lvl w:ilvl="0">
      <w:lvlJc w:val="left"/>
      <w:lvlText w:val="3"/>
      <w:numFmt w:val="bullet"/>
      <w:start w:val="1"/>
    </w:lvl>
  </w:abstractNum>
  <w:abstractNum w:abstractNumId="24">
    <w:nsid w:val="7C3DBD3D"/>
    <w:multiLevelType w:val="hybridMultilevel"/>
    <w:lvl w:ilvl="0">
      <w:lvlJc w:val="left"/>
      <w:lvlText w:val="4"/>
      <w:numFmt w:val="bullet"/>
      <w:start w:val="1"/>
    </w:lvl>
  </w:abstractNum>
  <w:abstractNum w:abstractNumId="25">
    <w:nsid w:val="737B8DDC"/>
    <w:multiLevelType w:val="hybridMultilevel"/>
    <w:lvl w:ilvl="0">
      <w:lvlJc w:val="left"/>
      <w:lvlText w:val="6"/>
      <w:numFmt w:val="bullet"/>
      <w:start w:val="1"/>
    </w:lvl>
  </w:abstractNum>
  <w:abstractNum w:abstractNumId="26">
    <w:nsid w:val="6CEAF087"/>
    <w:multiLevelType w:val="hybridMultilevel"/>
    <w:lvl w:ilvl="0">
      <w:lvlJc w:val="left"/>
      <w:lvlText w:val="%1"/>
      <w:numFmt w:val="decimal"/>
      <w:start w:val="11"/>
    </w:lvl>
  </w:abstractNum>
  <w:abstractNum w:abstractNumId="27">
    <w:nsid w:val="22221A70"/>
    <w:multiLevelType w:val="hybridMultilevel"/>
    <w:lvl w:ilvl="0">
      <w:lvlJc w:val="left"/>
      <w:lvlText w:val="*"/>
      <w:numFmt w:val="bullet"/>
      <w:start w:val="1"/>
    </w:lvl>
    <w:lvl w:ilvl="1">
      <w:lvlJc w:val="left"/>
      <w:lvlText w:val="%2"/>
      <w:numFmt w:val="decimal"/>
      <w:start w:val="13"/>
    </w:lvl>
  </w:abstractNum>
  <w:abstractNum w:abstractNumId="28">
    <w:nsid w:val="4516DDE9"/>
    <w:multiLevelType w:val="hybridMultilevel"/>
    <w:lvl w:ilvl="0">
      <w:lvlJc w:val="left"/>
      <w:lvlText w:val="(%1)"/>
      <w:numFmt w:val="lowerLetter"/>
      <w:start w:val="1"/>
    </w:lvl>
    <w:lvl w:ilvl="1">
      <w:lvlJc w:val="left"/>
      <w:lvlText w:val="(%2)"/>
      <w:numFmt w:val="decimal"/>
      <w:start w:val="1"/>
    </w:lvl>
  </w:abstractNum>
  <w:abstractNum w:abstractNumId="29">
    <w:nsid w:val="3006C83E"/>
    <w:multiLevelType w:val="hybridMultilevel"/>
    <w:lvl w:ilvl="0">
      <w:lvlJc w:val="left"/>
      <w:lvlText w:val="(%1)"/>
      <w:numFmt w:val="lowerLetter"/>
      <w:start w:val="2"/>
    </w:lvl>
    <w:lvl w:ilvl="1">
      <w:lvlJc w:val="left"/>
      <w:lvlText w:val="(%2)"/>
      <w:numFmt w:val="decimal"/>
      <w:start w:val="1"/>
    </w:lvl>
  </w:abstractNum>
  <w:abstractNum w:abstractNumId="30">
    <w:nsid w:val="614FD4A1"/>
    <w:multiLevelType w:val="hybridMultilevel"/>
    <w:lvl w:ilvl="0">
      <w:lvlJc w:val="left"/>
      <w:lvlText w:val="(%1)"/>
      <w:numFmt w:val="lowerLetter"/>
      <w:start w:val="4"/>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2"/>
    </w:lvl>
  </w:abstractNum>
  <w:abstractNum w:abstractNumId="33">
    <w:nsid w:val="440BADFC"/>
    <w:multiLevelType w:val="hybridMultilevel"/>
    <w:lvl w:ilvl="0">
      <w:lvlJc w:val="left"/>
      <w:lvlText w:val="(%1)"/>
      <w:numFmt w:val="lowerLetter"/>
      <w:start w:val="5"/>
    </w:lvl>
  </w:abstractNum>
  <w:abstractNum w:abstractNumId="34">
    <w:nsid w:val="5072367"/>
    <w:multiLevelType w:val="hybridMultilevel"/>
    <w:lvl w:ilvl="0">
      <w:lvlJc w:val="left"/>
      <w:lvlText w:val="(%1)"/>
      <w:numFmt w:val="lowerLetter"/>
      <w:start w:val="10"/>
    </w:lvl>
  </w:abstractNum>
  <w:abstractNum w:abstractNumId="35">
    <w:nsid w:val="3804823E"/>
    <w:multiLevelType w:val="hybridMultilevel"/>
    <w:lvl w:ilvl="0">
      <w:lvlJc w:val="left"/>
      <w:lvlText w:val="(%1)"/>
      <w:numFmt w:val="lowerLetter"/>
      <w:start w:val="1"/>
    </w:lvl>
    <w:lvl w:ilvl="1">
      <w:lvlJc w:val="left"/>
      <w:lvlText w:val="(%2)"/>
      <w:numFmt w:val="decimal"/>
      <w:start w:val="2"/>
    </w:lvl>
  </w:abstractNum>
  <w:abstractNum w:abstractNumId="36">
    <w:nsid w:val="77465F0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2020-01-21T20:31:59Z</dcterms:created>
  <dcterms:modified xsi:type="dcterms:W3CDTF">2020-01-21T20:31:59Z</dcterms:modified>
</cp:coreProperties>
</file>