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469265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163830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173990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700" w:right="80" w:hanging="385"/>
        <w:spacing w:after="0" w:line="267" w:lineRule="auto"/>
        <w:tabs>
          <w:tab w:leader="none" w:pos="865"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92"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2015</w:t>
      </w:r>
    </w:p>
    <w:p>
      <w:pPr>
        <w:spacing w:after="0" w:line="154"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253" w:lineRule="exact"/>
        <w:rPr>
          <w:sz w:val="24"/>
          <w:szCs w:val="24"/>
          <w:color w:val="auto"/>
        </w:rPr>
      </w:pPr>
    </w:p>
    <w:p>
      <w:pPr>
        <w:ind w:left="700" w:right="60" w:hanging="385"/>
        <w:spacing w:after="0" w:line="267" w:lineRule="auto"/>
        <w:tabs>
          <w:tab w:leader="none" w:pos="865"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92"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183515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0"/>
        </w:trPr>
        <w:tc>
          <w:tcPr>
            <w:tcW w:w="6040" w:type="dxa"/>
            <w:vAlign w:val="bottom"/>
          </w:tcPr>
          <w:p>
            <w:pPr>
              <w:jc w:val="center"/>
              <w:ind w:right="2959"/>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90-1005472</w:t>
            </w:r>
          </w:p>
        </w:tc>
      </w:tr>
      <w:tr>
        <w:trPr>
          <w:trHeight w:val="243"/>
        </w:trPr>
        <w:tc>
          <w:tcPr>
            <w:tcW w:w="6040" w:type="dxa"/>
            <w:vAlign w:val="bottom"/>
          </w:tcPr>
          <w:p>
            <w:pPr>
              <w:jc w:val="center"/>
              <w:ind w:right="2959"/>
              <w:spacing w:after="0"/>
              <w:rPr>
                <w:sz w:val="20"/>
                <w:szCs w:val="20"/>
                <w:color w:val="auto"/>
              </w:rPr>
            </w:pPr>
            <w:r>
              <w:rPr>
                <w:rFonts w:ascii="Arial" w:cs="Arial" w:eastAsia="Arial" w:hAnsi="Arial"/>
                <w:sz w:val="16"/>
                <w:szCs w:val="16"/>
                <w:color w:val="auto"/>
                <w:w w:val="93"/>
              </w:rPr>
              <w:t>(State or other jurisdiction of</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3"/>
              </w:rPr>
              <w:t>(I.R.S. Employer</w:t>
            </w:r>
          </w:p>
        </w:tc>
      </w:tr>
      <w:tr>
        <w:trPr>
          <w:trHeight w:val="243"/>
        </w:trPr>
        <w:tc>
          <w:tcPr>
            <w:tcW w:w="6040" w:type="dxa"/>
            <w:vAlign w:val="bottom"/>
          </w:tcPr>
          <w:p>
            <w:pPr>
              <w:jc w:val="center"/>
              <w:ind w:right="2959"/>
              <w:spacing w:after="0"/>
              <w:rPr>
                <w:sz w:val="20"/>
                <w:szCs w:val="20"/>
                <w:color w:val="auto"/>
              </w:rPr>
            </w:pPr>
            <w:r>
              <w:rPr>
                <w:rFonts w:ascii="Arial" w:cs="Arial" w:eastAsia="Arial" w:hAnsi="Arial"/>
                <w:sz w:val="16"/>
                <w:szCs w:val="16"/>
                <w:color w:val="auto"/>
                <w:w w:val="94"/>
              </w:rPr>
              <w:t>incorporation or organization)</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7"/>
              </w:rPr>
              <w:t>Identification No.)</w:t>
            </w:r>
          </w:p>
        </w:tc>
      </w:tr>
      <w:tr>
        <w:trPr>
          <w:trHeight w:val="662"/>
        </w:trPr>
        <w:tc>
          <w:tcPr>
            <w:tcW w:w="6040" w:type="dxa"/>
            <w:vAlign w:val="bottom"/>
          </w:tcPr>
          <w:p>
            <w:pPr>
              <w:jc w:val="center"/>
              <w:ind w:right="2959"/>
              <w:spacing w:after="0"/>
              <w:rPr>
                <w:sz w:val="20"/>
                <w:szCs w:val="20"/>
                <w:color w:val="auto"/>
              </w:rPr>
            </w:pPr>
            <w:r>
              <w:rPr>
                <w:rFonts w:ascii="Arial" w:cs="Arial" w:eastAsia="Arial" w:hAnsi="Arial"/>
                <w:sz w:val="16"/>
                <w:szCs w:val="16"/>
                <w:b w:val="1"/>
                <w:bCs w:val="1"/>
                <w:color w:val="auto"/>
                <w:w w:val="90"/>
              </w:rPr>
              <w:t>333 Clay Street, Suite 1600, Houston, Texas</w:t>
            </w: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243"/>
        </w:trPr>
        <w:tc>
          <w:tcPr>
            <w:tcW w:w="6040" w:type="dxa"/>
            <w:vAlign w:val="bottom"/>
          </w:tcPr>
          <w:p>
            <w:pPr>
              <w:jc w:val="center"/>
              <w:ind w:right="2959"/>
              <w:spacing w:after="0"/>
              <w:rPr>
                <w:sz w:val="20"/>
                <w:szCs w:val="20"/>
                <w:color w:val="auto"/>
              </w:rPr>
            </w:pPr>
            <w:r>
              <w:rPr>
                <w:rFonts w:ascii="Arial" w:cs="Arial" w:eastAsia="Arial" w:hAnsi="Arial"/>
                <w:sz w:val="16"/>
                <w:szCs w:val="16"/>
                <w:color w:val="auto"/>
                <w:w w:val="93"/>
              </w:rPr>
              <w:t>(Address of principal executive offices)</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2"/>
              </w:rPr>
              <w:t>(Zip Code)</w:t>
            </w:r>
          </w:p>
        </w:tc>
      </w:tr>
      <w:tr>
        <w:trPr>
          <w:trHeight w:val="442"/>
        </w:trPr>
        <w:tc>
          <w:tcPr>
            <w:tcW w:w="6040" w:type="dxa"/>
            <w:vAlign w:val="bottom"/>
          </w:tcPr>
          <w:p>
            <w:pPr>
              <w:jc w:val="right"/>
              <w:ind w:right="1299"/>
              <w:spacing w:after="0"/>
              <w:rPr>
                <w:sz w:val="20"/>
                <w:szCs w:val="20"/>
                <w:color w:val="auto"/>
              </w:rPr>
            </w:pPr>
            <w:r>
              <w:rPr>
                <w:rFonts w:ascii="Arial" w:cs="Arial" w:eastAsia="Arial" w:hAnsi="Arial"/>
                <w:sz w:val="16"/>
                <w:szCs w:val="16"/>
                <w:b w:val="1"/>
                <w:bCs w:val="1"/>
                <w:color w:val="auto"/>
              </w:rPr>
              <w:t>(713) 646-4100</w:t>
            </w:r>
          </w:p>
        </w:tc>
        <w:tc>
          <w:tcPr>
            <w:tcW w:w="1380" w:type="dxa"/>
            <w:vAlign w:val="bottom"/>
          </w:tcPr>
          <w:p>
            <w:pPr>
              <w:spacing w:after="0"/>
              <w:rPr>
                <w:sz w:val="24"/>
                <w:szCs w:val="24"/>
                <w:color w:val="auto"/>
              </w:rPr>
            </w:pPr>
          </w:p>
        </w:tc>
      </w:tr>
      <w:tr>
        <w:trPr>
          <w:trHeight w:val="206"/>
        </w:trPr>
        <w:tc>
          <w:tcPr>
            <w:tcW w:w="6040" w:type="dxa"/>
            <w:vAlign w:val="bottom"/>
          </w:tcPr>
          <w:p>
            <w:pPr>
              <w:jc w:val="center"/>
              <w:ind w:left="2199"/>
              <w:spacing w:after="0"/>
              <w:rPr>
                <w:sz w:val="20"/>
                <w:szCs w:val="20"/>
                <w:color w:val="auto"/>
              </w:rPr>
            </w:pPr>
            <w:r>
              <w:rPr>
                <w:rFonts w:ascii="Arial" w:cs="Arial" w:eastAsia="Arial" w:hAnsi="Arial"/>
                <w:sz w:val="16"/>
                <w:szCs w:val="16"/>
                <w:color w:val="auto"/>
                <w:w w:val="91"/>
              </w:rPr>
              <w:t>(Registrant’s telephone number, including area code)</w:t>
            </w:r>
          </w:p>
        </w:tc>
        <w:tc>
          <w:tcPr>
            <w:tcW w:w="13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158115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right="80" w:firstLine="324"/>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8"/>
          <w:szCs w:val="18"/>
          <w:color w:val="auto"/>
        </w:rPr>
        <w:t>☐</w:t>
      </w:r>
      <w:r>
        <w:rPr>
          <w:rFonts w:ascii="Arial" w:cs="Arial" w:eastAsia="Arial" w:hAnsi="Arial"/>
          <w:sz w:val="16"/>
          <w:szCs w:val="16"/>
          <w:color w:val="auto"/>
        </w:rPr>
        <w:t xml:space="preserve"> No</w:t>
      </w:r>
    </w:p>
    <w:p>
      <w:pPr>
        <w:spacing w:after="0" w:line="121" w:lineRule="exact"/>
        <w:rPr>
          <w:sz w:val="24"/>
          <w:szCs w:val="24"/>
          <w:color w:val="auto"/>
        </w:rPr>
      </w:pPr>
    </w:p>
    <w:p>
      <w:pPr>
        <w:jc w:val="both"/>
        <w:ind w:right="20"/>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8"/>
          <w:szCs w:val="18"/>
          <w:color w:val="auto"/>
        </w:rPr>
        <w:t>☐</w:t>
      </w:r>
      <w:r>
        <w:rPr>
          <w:rFonts w:ascii="Arial" w:cs="Arial" w:eastAsia="Arial" w:hAnsi="Arial"/>
          <w:sz w:val="16"/>
          <w:szCs w:val="16"/>
          <w:color w:val="auto"/>
        </w:rPr>
        <w:t xml:space="preserve"> No</w:t>
      </w:r>
    </w:p>
    <w:p>
      <w:pPr>
        <w:spacing w:after="0" w:line="121" w:lineRule="exact"/>
        <w:rPr>
          <w:sz w:val="24"/>
          <w:szCs w:val="24"/>
          <w:color w:val="auto"/>
        </w:rPr>
      </w:pPr>
    </w:p>
    <w:p>
      <w:pPr>
        <w:jc w:val="both"/>
        <w:ind w:firstLine="324"/>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1" w:lineRule="exact"/>
        <w:rPr>
          <w:sz w:val="24"/>
          <w:szCs w:val="24"/>
          <w:color w:val="auto"/>
        </w:rPr>
      </w:pPr>
    </w:p>
    <w:tbl>
      <w:tblPr>
        <w:tblLayout w:type="fixed"/>
        <w:tblInd w:w="1700" w:type="dxa"/>
        <w:tblCellMar>
          <w:top w:w="0" w:type="dxa"/>
          <w:left w:w="0" w:type="dxa"/>
          <w:bottom w:w="0" w:type="dxa"/>
          <w:right w:w="0" w:type="dxa"/>
        </w:tblCellMar>
      </w:tblPr>
      <w:tr>
        <w:trPr>
          <w:trHeight w:val="283"/>
        </w:trPr>
        <w:tc>
          <w:tcPr>
            <w:tcW w:w="1460" w:type="dxa"/>
            <w:vAlign w:val="bottom"/>
          </w:tcPr>
          <w:p>
            <w:pPr>
              <w:jc w:val="center"/>
              <w:spacing w:after="0"/>
              <w:rPr>
                <w:sz w:val="20"/>
                <w:szCs w:val="20"/>
                <w:color w:val="auto"/>
              </w:rPr>
            </w:pPr>
            <w:r>
              <w:rPr>
                <w:rFonts w:ascii="Arial" w:cs="Arial" w:eastAsia="Arial" w:hAnsi="Arial"/>
                <w:sz w:val="16"/>
                <w:szCs w:val="16"/>
                <w:color w:val="auto"/>
                <w:w w:val="90"/>
              </w:rPr>
              <w:t>Large accelerated filer</w:t>
            </w:r>
          </w:p>
        </w:tc>
        <w:tc>
          <w:tcPr>
            <w:tcW w:w="194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jc w:val="center"/>
              <w:ind w:left="1659"/>
              <w:spacing w:after="0" w:line="207" w:lineRule="exact"/>
              <w:rPr>
                <w:sz w:val="20"/>
                <w:szCs w:val="20"/>
                <w:color w:val="auto"/>
              </w:rPr>
            </w:pPr>
            <w:r>
              <w:rPr>
                <w:rFonts w:ascii="Arial" w:cs="Arial" w:eastAsia="Arial" w:hAnsi="Arial"/>
                <w:sz w:val="16"/>
                <w:szCs w:val="16"/>
                <w:color w:val="auto"/>
                <w:w w:val="97"/>
              </w:rPr>
              <w:t xml:space="preserve">Accelerated filer </w:t>
            </w:r>
            <w:r>
              <w:rPr>
                <w:rFonts w:ascii="MS PGothic" w:cs="MS PGothic" w:eastAsia="MS PGothic" w:hAnsi="MS PGothic"/>
                <w:sz w:val="18"/>
                <w:szCs w:val="18"/>
                <w:color w:val="auto"/>
                <w:w w:val="97"/>
              </w:rPr>
              <w:t>☐</w:t>
            </w:r>
          </w:p>
        </w:tc>
      </w:tr>
      <w:tr>
        <w:trPr>
          <w:trHeight w:val="486"/>
        </w:trPr>
        <w:tc>
          <w:tcPr>
            <w:tcW w:w="1460" w:type="dxa"/>
            <w:vAlign w:val="bottom"/>
          </w:tcPr>
          <w:p>
            <w:pPr>
              <w:jc w:val="center"/>
              <w:spacing w:after="0"/>
              <w:rPr>
                <w:sz w:val="20"/>
                <w:szCs w:val="20"/>
                <w:color w:val="auto"/>
              </w:rPr>
            </w:pPr>
            <w:r>
              <w:rPr>
                <w:rFonts w:ascii="Arial" w:cs="Arial" w:eastAsia="Arial" w:hAnsi="Arial"/>
                <w:sz w:val="16"/>
                <w:szCs w:val="16"/>
                <w:color w:val="auto"/>
                <w:w w:val="92"/>
              </w:rPr>
              <w:t>Non-accelerated filer</w:t>
            </w:r>
          </w:p>
        </w:tc>
        <w:tc>
          <w:tcPr>
            <w:tcW w:w="194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jc w:val="center"/>
              <w:ind w:left="1659"/>
              <w:spacing w:after="0" w:line="207" w:lineRule="exact"/>
              <w:rPr>
                <w:sz w:val="20"/>
                <w:szCs w:val="20"/>
                <w:color w:val="auto"/>
              </w:rPr>
            </w:pPr>
            <w:r>
              <w:rPr>
                <w:rFonts w:ascii="Arial" w:cs="Arial" w:eastAsia="Arial" w:hAnsi="Arial"/>
                <w:sz w:val="16"/>
                <w:szCs w:val="16"/>
                <w:color w:val="auto"/>
                <w:w w:val="94"/>
              </w:rPr>
              <w:t xml:space="preserve">Smaller reporting company </w:t>
            </w:r>
            <w:r>
              <w:rPr>
                <w:rFonts w:ascii="MS PGothic" w:cs="MS PGothic" w:eastAsia="MS PGothic" w:hAnsi="MS PGothic"/>
                <w:sz w:val="18"/>
                <w:szCs w:val="18"/>
                <w:color w:val="auto"/>
                <w:w w:val="94"/>
              </w:rPr>
              <w:t>☐</w:t>
            </w:r>
          </w:p>
        </w:tc>
      </w:tr>
    </w:tbl>
    <w:p>
      <w:pPr>
        <w:ind w:left="1040"/>
        <w:spacing w:after="0"/>
        <w:rPr>
          <w:sz w:val="20"/>
          <w:szCs w:val="20"/>
          <w:color w:val="auto"/>
        </w:rPr>
      </w:pPr>
      <w:r>
        <w:rPr>
          <w:rFonts w:ascii="Arial" w:cs="Arial" w:eastAsia="Arial" w:hAnsi="Arial"/>
          <w:sz w:val="16"/>
          <w:szCs w:val="16"/>
          <w:color w:val="auto"/>
        </w:rPr>
        <w:t>(Do not check if a smaller reporting company)</w:t>
      </w:r>
    </w:p>
    <w:p>
      <w:pPr>
        <w:spacing w:after="0" w:line="168" w:lineRule="exact"/>
        <w:rPr>
          <w:sz w:val="24"/>
          <w:szCs w:val="24"/>
          <w:color w:val="auto"/>
        </w:rPr>
      </w:pPr>
    </w:p>
    <w:p>
      <w:pPr>
        <w:ind w:left="320" w:right="158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As of October 30, 2015, there were 227,204,958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115570</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793115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40"/>
          </w:cols>
          <w:pgMar w:left="760" w:top="233" w:right="89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480" w:type="dxa"/>
            <w:vAlign w:val="bottom"/>
            <w:gridSpan w:val="20"/>
            <w:vMerge w:val="restart"/>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22"/>
            <w:vMerge w:val="continue"/>
          </w:tcPr>
          <w:p>
            <w:pPr>
              <w:spacing w:after="0"/>
              <w:rPr>
                <w:sz w:val="13"/>
                <w:szCs w:val="13"/>
                <w:color w:val="auto"/>
              </w:rPr>
            </w:pPr>
          </w:p>
        </w:tc>
        <w:tc>
          <w:tcPr>
            <w:tcW w:w="5480" w:type="dxa"/>
            <w:vAlign w:val="bottom"/>
            <w:gridSpan w:val="20"/>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Item 1. UNAUDITED CONDENSED CONSOLIDATED FINANCIAL STATEMENTS:</w:t>
              </w:r>
            </w:hyperlink>
          </w:p>
        </w:tc>
        <w:tc>
          <w:tcPr>
            <w:tcW w:w="2140" w:type="dxa"/>
            <w:vAlign w:val="bottom"/>
            <w:gridSpan w:val="10"/>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8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2015 and December 31, 2014</w:t>
              </w:r>
            </w:hyperlink>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4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and nine months ended September 30, 2015 and</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spacing w:after="0"/>
              <w:rPr>
                <w:sz w:val="17"/>
                <w:szCs w:val="17"/>
                <w:color w:val="auto"/>
              </w:rPr>
            </w:pPr>
          </w:p>
        </w:tc>
        <w:tc>
          <w:tcPr>
            <w:tcW w:w="520" w:type="dxa"/>
            <w:vAlign w:val="bottom"/>
            <w:tcBorders>
              <w:top w:val="single" w:sz="8" w:color="0000EE"/>
            </w:tcBorders>
            <w:gridSpan w:val="3"/>
          </w:tcPr>
          <w:p>
            <w:pPr>
              <w:ind w:left="16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2014</w:t>
              </w:r>
            </w:hyperlink>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4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Income/(Loss): For the three and nine months ended</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September 30, 2015 and 2014</w:t>
              </w:r>
            </w:hyperlink>
          </w:p>
        </w:tc>
        <w:tc>
          <w:tcPr>
            <w:tcW w:w="5480" w:type="dxa"/>
            <w:vAlign w:val="bottom"/>
            <w:tcBorders>
              <w:top w:val="single" w:sz="8" w:color="0000EE"/>
            </w:tcBorders>
            <w:gridSpan w:val="21"/>
          </w:tcPr>
          <w:p>
            <w:pPr>
              <w:spacing w:after="0"/>
              <w:rPr>
                <w:sz w:val="17"/>
                <w:szCs w:val="17"/>
                <w:color w:val="auto"/>
              </w:rPr>
            </w:pPr>
          </w:p>
        </w:tc>
        <w:tc>
          <w:tcPr>
            <w:tcW w:w="560" w:type="dxa"/>
            <w:vAlign w:val="bottom"/>
            <w:gridSpan w:val="6"/>
          </w:tcPr>
          <w:p>
            <w:pPr>
              <w:spacing w:after="0"/>
              <w:rPr>
                <w:sz w:val="17"/>
                <w:szCs w:val="17"/>
                <w:color w:val="auto"/>
              </w:rPr>
            </w:pPr>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02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w:t>
              </w:r>
            </w:hyperlink>
          </w:p>
        </w:tc>
        <w:tc>
          <w:tcPr>
            <w:tcW w:w="36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gridSpan w:val="3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September 30, 2015 and 2014</w:t>
              </w:r>
            </w:hyperlink>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Borders>
              <w:right w:val="single" w:sz="8" w:color="0000EE"/>
            </w:tcBorders>
            <w:gridSpan w:val="2"/>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tcBorders>
              <w:bottom w:val="single" w:sz="8" w:color="0000EE"/>
            </w:tcBorders>
            <w:gridSpan w:val="36"/>
          </w:tcPr>
          <w:p>
            <w:pPr>
              <w:spacing w:after="0" w:line="18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2015 and 2014</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040" w:type="dxa"/>
            <w:vAlign w:val="bottom"/>
            <w:tcBorders>
              <w:bottom w:val="single" w:sz="8" w:color="0000EE"/>
            </w:tcBorders>
            <w:gridSpan w:val="3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Partners’ Capital: For the nine months ended September 30,</w:t>
              </w:r>
            </w:hyperlink>
          </w:p>
        </w:tc>
        <w:tc>
          <w:tcPr>
            <w:tcW w:w="340" w:type="dxa"/>
            <w:vAlign w:val="bottom"/>
            <w:gridSpan w:val="3"/>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2015 and 2014</w:t>
              </w:r>
            </w:hyperlink>
          </w:p>
        </w:tc>
        <w:tc>
          <w:tcPr>
            <w:tcW w:w="7120" w:type="dxa"/>
            <w:vAlign w:val="bottom"/>
            <w:gridSpan w:val="33"/>
          </w:tcPr>
          <w:p>
            <w:pPr>
              <w:spacing w:after="0"/>
              <w:rPr>
                <w:sz w:val="17"/>
                <w:szCs w:val="17"/>
                <w:color w:val="auto"/>
              </w:rPr>
            </w:pPr>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r>
              <w:rPr>
                <w:rFonts w:ascii="Arial" w:cs="Arial" w:eastAsia="Arial" w:hAnsi="Arial"/>
                <w:sz w:val="18"/>
                <w:szCs w:val="18"/>
                <w:color w:val="000000"/>
              </w:rPr>
              <w: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8">
              <w:r>
                <w:rPr>
                  <w:rFonts w:ascii="Arial" w:cs="Arial" w:eastAsia="Arial" w:hAnsi="Arial"/>
                  <w:sz w:val="17"/>
                  <w:szCs w:val="17"/>
                  <w:color w:val="0000EE"/>
                  <w:w w:val="70"/>
                </w:rPr>
                <w:t>1.</w:t>
              </w:r>
            </w:hyperlink>
          </w:p>
        </w:tc>
        <w:tc>
          <w:tcPr>
            <w:tcW w:w="4180" w:type="dxa"/>
            <w:vAlign w:val="bottom"/>
            <w:tcBorders>
              <w:bottom w:val="single" w:sz="8" w:color="0000EE"/>
            </w:tcBorders>
            <w:gridSpan w:val="26"/>
          </w:tcPr>
          <w:p>
            <w:pPr>
              <w:ind w:left="20"/>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Organization and Basis of Consolidation and Presentation</w:t>
              </w:r>
            </w:hyperlink>
          </w:p>
        </w:tc>
        <w:tc>
          <w:tcPr>
            <w:tcW w:w="40" w:type="dxa"/>
            <w:vAlign w:val="bottom"/>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9">
              <w:r>
                <w:rPr>
                  <w:rFonts w:ascii="Arial" w:cs="Arial" w:eastAsia="Arial" w:hAnsi="Arial"/>
                  <w:sz w:val="17"/>
                  <w:szCs w:val="17"/>
                  <w:color w:val="0000EE"/>
                  <w:w w:val="70"/>
                </w:rPr>
                <w:t>2.</w:t>
              </w:r>
            </w:hyperlink>
          </w:p>
        </w:tc>
        <w:tc>
          <w:tcPr>
            <w:tcW w:w="2660" w:type="dxa"/>
            <w:vAlign w:val="bottom"/>
            <w:tcBorders>
              <w:bottom w:val="single" w:sz="8" w:color="0000EE"/>
            </w:tcBorders>
            <w:gridSpan w:val="20"/>
          </w:tcPr>
          <w:p>
            <w:pPr>
              <w:ind w:left="20"/>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Recent Accounting Pronouncements</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1">
              <w:r>
                <w:rPr>
                  <w:rFonts w:ascii="Arial" w:cs="Arial" w:eastAsia="Arial" w:hAnsi="Arial"/>
                  <w:sz w:val="17"/>
                  <w:szCs w:val="17"/>
                  <w:color w:val="0000EE"/>
                  <w:w w:val="70"/>
                </w:rPr>
                <w:t>3.</w:t>
              </w:r>
            </w:hyperlink>
          </w:p>
        </w:tc>
        <w:tc>
          <w:tcPr>
            <w:tcW w:w="2220" w:type="dxa"/>
            <w:vAlign w:val="bottom"/>
            <w:tcBorders>
              <w:bottom w:val="single" w:sz="8" w:color="0000EE"/>
            </w:tcBorders>
            <w:gridSpan w:val="13"/>
          </w:tcPr>
          <w:p>
            <w:pPr>
              <w:ind w:left="20"/>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Net Income Per Class A Share</w:t>
              </w:r>
            </w:hyperlink>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1">
              <w:r>
                <w:rPr>
                  <w:rFonts w:ascii="Arial" w:cs="Arial" w:eastAsia="Arial" w:hAnsi="Arial"/>
                  <w:sz w:val="17"/>
                  <w:szCs w:val="17"/>
                  <w:color w:val="0000EE"/>
                  <w:w w:val="70"/>
                </w:rPr>
                <w:t>4.</w:t>
              </w:r>
            </w:hyperlink>
          </w:p>
        </w:tc>
        <w:tc>
          <w:tcPr>
            <w:tcW w:w="1540" w:type="dxa"/>
            <w:vAlign w:val="bottom"/>
            <w:tcBorders>
              <w:bottom w:val="single" w:sz="8" w:color="0000EE"/>
            </w:tcBorders>
            <w:gridSpan w:val="8"/>
          </w:tcPr>
          <w:p>
            <w:pPr>
              <w:ind w:left="2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Accounts Receivable</w:t>
              </w:r>
            </w:hyperlink>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2">
              <w:r>
                <w:rPr>
                  <w:rFonts w:ascii="Arial" w:cs="Arial" w:eastAsia="Arial" w:hAnsi="Arial"/>
                  <w:sz w:val="17"/>
                  <w:szCs w:val="17"/>
                  <w:color w:val="0000EE"/>
                  <w:w w:val="70"/>
                </w:rPr>
                <w:t>5.</w:t>
              </w:r>
            </w:hyperlink>
          </w:p>
        </w:tc>
        <w:tc>
          <w:tcPr>
            <w:tcW w:w="4220" w:type="dxa"/>
            <w:vAlign w:val="bottom"/>
            <w:tcBorders>
              <w:bottom w:val="single" w:sz="8" w:color="0000EE"/>
            </w:tcBorders>
            <w:gridSpan w:val="27"/>
          </w:tcPr>
          <w:p>
            <w:pPr>
              <w:ind w:left="20"/>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Inventory, Linefill and Base Gas and Long-term Inventory</w:t>
              </w:r>
            </w:hyperlink>
          </w:p>
        </w:tc>
        <w:tc>
          <w:tcPr>
            <w:tcW w:w="1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3">
              <w:r>
                <w:rPr>
                  <w:rFonts w:ascii="Arial" w:cs="Arial" w:eastAsia="Arial" w:hAnsi="Arial"/>
                  <w:sz w:val="17"/>
                  <w:szCs w:val="17"/>
                  <w:color w:val="0000EE"/>
                  <w:w w:val="70"/>
                </w:rPr>
                <w:t>6.</w:t>
              </w:r>
            </w:hyperlink>
          </w:p>
        </w:tc>
        <w:tc>
          <w:tcPr>
            <w:tcW w:w="380" w:type="dxa"/>
            <w:vAlign w:val="bottom"/>
            <w:tcBorders>
              <w:bottom w:val="single" w:sz="8" w:color="0000EE"/>
            </w:tcBorders>
            <w:gridSpan w:val="2"/>
          </w:tcPr>
          <w:p>
            <w:pPr>
              <w:ind w:left="2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Debt</w:t>
              </w:r>
            </w:hyperlink>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4">
              <w:r>
                <w:rPr>
                  <w:rFonts w:ascii="Arial" w:cs="Arial" w:eastAsia="Arial" w:hAnsi="Arial"/>
                  <w:sz w:val="17"/>
                  <w:szCs w:val="17"/>
                  <w:color w:val="0000EE"/>
                  <w:w w:val="70"/>
                </w:rPr>
                <w:t>7.</w:t>
              </w:r>
            </w:hyperlink>
          </w:p>
        </w:tc>
        <w:tc>
          <w:tcPr>
            <w:tcW w:w="2540" w:type="dxa"/>
            <w:vAlign w:val="bottom"/>
            <w:tcBorders>
              <w:bottom w:val="single" w:sz="8" w:color="0000EE"/>
            </w:tcBorders>
            <w:gridSpan w:val="17"/>
          </w:tcPr>
          <w:p>
            <w:pPr>
              <w:ind w:left="20"/>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Partners’ Capital and Distributions</w:t>
              </w:r>
            </w:hyperlink>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16">
              <w:r>
                <w:rPr>
                  <w:rFonts w:ascii="Arial" w:cs="Arial" w:eastAsia="Arial" w:hAnsi="Arial"/>
                  <w:sz w:val="17"/>
                  <w:szCs w:val="17"/>
                  <w:color w:val="0000EE"/>
                  <w:w w:val="70"/>
                </w:rPr>
                <w:t>8.</w:t>
              </w:r>
            </w:hyperlink>
          </w:p>
        </w:tc>
        <w:tc>
          <w:tcPr>
            <w:tcW w:w="3260" w:type="dxa"/>
            <w:vAlign w:val="bottom"/>
            <w:tcBorders>
              <w:bottom w:val="single" w:sz="8" w:color="0000EE"/>
            </w:tcBorders>
            <w:gridSpan w:val="23"/>
          </w:tcPr>
          <w:p>
            <w:pPr>
              <w:ind w:left="20"/>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Derivatives and Risk Management Activities</w:t>
              </w:r>
            </w:hyperlink>
          </w:p>
        </w:tc>
        <w:tc>
          <w:tcPr>
            <w:tcW w:w="28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00" w:type="dxa"/>
            <w:vAlign w:val="bottom"/>
            <w:gridSpan w:val="3"/>
          </w:tcPr>
          <w:p>
            <w:pPr>
              <w:spacing w:after="0"/>
              <w:rPr>
                <w:sz w:val="19"/>
                <w:szCs w:val="19"/>
                <w:color w:val="auto"/>
              </w:rPr>
            </w:pPr>
          </w:p>
        </w:tc>
        <w:tc>
          <w:tcPr>
            <w:tcW w:w="120" w:type="dxa"/>
            <w:vAlign w:val="bottom"/>
            <w:tcBorders>
              <w:bottom w:val="single" w:sz="8" w:color="0000EE"/>
            </w:tcBorders>
          </w:tcPr>
          <w:p>
            <w:pPr>
              <w:spacing w:after="0"/>
              <w:rPr>
                <w:rFonts w:ascii="Arial" w:cs="Arial" w:eastAsia="Arial" w:hAnsi="Arial"/>
                <w:sz w:val="17"/>
                <w:szCs w:val="17"/>
                <w:color w:val="0000EE"/>
                <w:w w:val="70"/>
              </w:rPr>
            </w:pPr>
            <w:hyperlink w:anchor="page26">
              <w:r>
                <w:rPr>
                  <w:rFonts w:ascii="Arial" w:cs="Arial" w:eastAsia="Arial" w:hAnsi="Arial"/>
                  <w:sz w:val="17"/>
                  <w:szCs w:val="17"/>
                  <w:color w:val="0000EE"/>
                  <w:w w:val="70"/>
                </w:rPr>
                <w:t>9.</w:t>
              </w:r>
            </w:hyperlink>
          </w:p>
        </w:tc>
        <w:tc>
          <w:tcPr>
            <w:tcW w:w="268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Equity-Indexed Compensation Plans</w:t>
              </w:r>
            </w:hyperlink>
          </w:p>
        </w:tc>
        <w:tc>
          <w:tcPr>
            <w:tcW w:w="540" w:type="dxa"/>
            <w:vAlign w:val="bottom"/>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10. Commitments and Contingencies</w:t>
              </w:r>
            </w:hyperlink>
          </w:p>
        </w:tc>
        <w:tc>
          <w:tcPr>
            <w:tcW w:w="120" w:type="dxa"/>
            <w:vAlign w:val="bottom"/>
            <w:gridSpan w:val="3"/>
          </w:tcPr>
          <w:p>
            <w:pPr>
              <w:spacing w:after="0"/>
              <w:rPr>
                <w:sz w:val="19"/>
                <w:szCs w:val="19"/>
                <w:color w:val="auto"/>
              </w:rPr>
            </w:pPr>
          </w:p>
        </w:tc>
        <w:tc>
          <w:tcPr>
            <w:tcW w:w="580" w:type="dxa"/>
            <w:vAlign w:val="bottom"/>
            <w:gridSpan w:val="3"/>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11. Operating Segments</w:t>
              </w:r>
            </w:hyperlink>
          </w:p>
        </w:tc>
        <w:tc>
          <w:tcPr>
            <w:tcW w:w="3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gridSpan w:val="4"/>
          </w:tcPr>
          <w:p>
            <w:pPr>
              <w:spacing w:after="0"/>
              <w:rPr>
                <w:sz w:val="19"/>
                <w:szCs w:val="19"/>
                <w:color w:val="auto"/>
              </w:rPr>
            </w:pPr>
          </w:p>
        </w:tc>
        <w:tc>
          <w:tcPr>
            <w:tcW w:w="580" w:type="dxa"/>
            <w:vAlign w:val="bottom"/>
            <w:gridSpan w:val="3"/>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12. Related Party Transactions</w:t>
              </w:r>
            </w:hyperlink>
          </w:p>
        </w:tc>
        <w:tc>
          <w:tcPr>
            <w:tcW w:w="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gridSpan w:val="4"/>
          </w:tcPr>
          <w:p>
            <w:pPr>
              <w:spacing w:after="0"/>
              <w:rPr>
                <w:sz w:val="19"/>
                <w:szCs w:val="19"/>
                <w:color w:val="auto"/>
              </w:rPr>
            </w:pPr>
          </w:p>
        </w:tc>
        <w:tc>
          <w:tcPr>
            <w:tcW w:w="580" w:type="dxa"/>
            <w:vAlign w:val="bottom"/>
            <w:gridSpan w:val="3"/>
          </w:tcPr>
          <w:p>
            <w:pPr>
              <w:spacing w:after="0"/>
              <w:rPr>
                <w:sz w:val="19"/>
                <w:szCs w:val="19"/>
                <w:color w:val="auto"/>
              </w:rPr>
            </w:pPr>
          </w:p>
        </w:tc>
        <w:tc>
          <w:tcPr>
            <w:tcW w:w="2880" w:type="dxa"/>
            <w:vAlign w:val="bottom"/>
            <w:gridSpan w:val="7"/>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66"/>
        </w:trPr>
        <w:tc>
          <w:tcPr>
            <w:tcW w:w="8560" w:type="dxa"/>
            <w:vAlign w:val="bottom"/>
            <w:gridSpan w:val="42"/>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Item 2. MANAGEMENT’S DISCUSSION AND ANALYSIS OF FINANCIAL CONDITION AND RESULTS OF</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9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OPERATIONS</w:t>
              </w:r>
            </w:hyperlink>
          </w:p>
        </w:tc>
        <w:tc>
          <w:tcPr>
            <w:tcW w:w="240" w:type="dxa"/>
            <w:vAlign w:val="bottom"/>
            <w:gridSpan w:val="2"/>
          </w:tcPr>
          <w:p>
            <w:pPr>
              <w:spacing w:after="0"/>
              <w:rPr>
                <w:sz w:val="17"/>
                <w:szCs w:val="17"/>
                <w:color w:val="auto"/>
              </w:rPr>
            </w:pPr>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4"/>
          </w:tcPr>
          <w:p>
            <w:pPr>
              <w:spacing w:after="0" w:line="18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Item 3. QUANTITATIVE AND QUALITATIVE DISCLOSURES ABOUT MARKET RISK</w:t>
              </w:r>
            </w:hyperlink>
          </w:p>
        </w:tc>
        <w:tc>
          <w:tcPr>
            <w:tcW w:w="1860" w:type="dxa"/>
            <w:vAlign w:val="bottom"/>
            <w:gridSpan w:val="8"/>
          </w:tcPr>
          <w:p>
            <w:pPr>
              <w:spacing w:after="0"/>
              <w:rPr>
                <w:sz w:val="17"/>
                <w:szCs w:val="17"/>
                <w:color w:val="auto"/>
              </w:rPr>
            </w:pPr>
          </w:p>
        </w:tc>
        <w:tc>
          <w:tcPr>
            <w:tcW w:w="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Item 4. CONTROLS AND PROCEDURES</w:t>
              </w:r>
            </w:hyperlink>
          </w:p>
        </w:tc>
        <w:tc>
          <w:tcPr>
            <w:tcW w:w="580" w:type="dxa"/>
            <w:vAlign w:val="bottom"/>
            <w:gridSpan w:val="3"/>
          </w:tcPr>
          <w:p>
            <w:pPr>
              <w:spacing w:after="0"/>
              <w:rPr>
                <w:sz w:val="19"/>
                <w:szCs w:val="19"/>
                <w:color w:val="auto"/>
              </w:rPr>
            </w:pPr>
          </w:p>
        </w:tc>
        <w:tc>
          <w:tcPr>
            <w:tcW w:w="2880" w:type="dxa"/>
            <w:vAlign w:val="bottom"/>
            <w:gridSpan w:val="7"/>
          </w:tcPr>
          <w:p>
            <w:pPr>
              <w:spacing w:after="0"/>
              <w:rPr>
                <w:sz w:val="19"/>
                <w:szCs w:val="19"/>
                <w:color w:val="auto"/>
              </w:rPr>
            </w:pPr>
          </w:p>
        </w:tc>
        <w:tc>
          <w:tcPr>
            <w:tcW w:w="1940" w:type="dxa"/>
            <w:vAlign w:val="bottom"/>
            <w:gridSpan w:val="9"/>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66"/>
        </w:trPr>
        <w:tc>
          <w:tcPr>
            <w:tcW w:w="8560" w:type="dxa"/>
            <w:vAlign w:val="bottom"/>
            <w:gridSpan w:val="42"/>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1. LEGAL PROCEEDINGS</w:t>
              </w:r>
            </w:hyperlink>
          </w:p>
        </w:tc>
        <w:tc>
          <w:tcPr>
            <w:tcW w:w="320" w:type="dxa"/>
            <w:vAlign w:val="bottom"/>
            <w:tcBorders>
              <w:top w:val="single" w:sz="8" w:color="0000EE"/>
            </w:tcBorders>
            <w:gridSpan w:val="4"/>
          </w:tcPr>
          <w:p>
            <w:pPr>
              <w:spacing w:after="0"/>
              <w:rPr>
                <w:sz w:val="19"/>
                <w:szCs w:val="19"/>
                <w:color w:val="auto"/>
              </w:rPr>
            </w:pPr>
          </w:p>
        </w:tc>
        <w:tc>
          <w:tcPr>
            <w:tcW w:w="5800" w:type="dxa"/>
            <w:vAlign w:val="bottom"/>
            <w:gridSpan w:val="24"/>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Item 1A. RISK FACTORS</w:t>
              </w:r>
            </w:hyperlink>
          </w:p>
        </w:tc>
        <w:tc>
          <w:tcPr>
            <w:tcW w:w="6620" w:type="dxa"/>
            <w:vAlign w:val="bottom"/>
            <w:gridSpan w:val="31"/>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560" w:type="dxa"/>
            <w:vAlign w:val="bottom"/>
            <w:gridSpan w:val="4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 UNREGISTERED SALES OF EQUITY SECURITIES AND USE OF PROCEEDS</w:t>
              </w:r>
            </w:hyperlink>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620" w:type="dxa"/>
            <w:vAlign w:val="bottom"/>
            <w:tcBorders>
              <w:top w:val="single" w:sz="8" w:color="0000EE"/>
            </w:tcBorders>
            <w:gridSpan w:val="3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3. DEFAULTS UPON SENIOR SECURITIES</w:t>
              </w:r>
            </w:hyperlink>
          </w:p>
        </w:tc>
        <w:tc>
          <w:tcPr>
            <w:tcW w:w="1940" w:type="dxa"/>
            <w:vAlign w:val="bottom"/>
            <w:gridSpan w:val="9"/>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0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4. MINE SAFETY DISCLOSURES</w:t>
              </w:r>
            </w:hyperlink>
          </w:p>
        </w:tc>
        <w:tc>
          <w:tcPr>
            <w:tcW w:w="740" w:type="dxa"/>
            <w:vAlign w:val="bottom"/>
            <w:tcBorders>
              <w:top w:val="single" w:sz="8" w:color="0000EE"/>
            </w:tcBorders>
            <w:gridSpan w:val="7"/>
          </w:tcPr>
          <w:p>
            <w:pPr>
              <w:spacing w:after="0"/>
              <w:rPr>
                <w:sz w:val="19"/>
                <w:szCs w:val="19"/>
                <w:color w:val="auto"/>
              </w:rPr>
            </w:pPr>
          </w:p>
        </w:tc>
        <w:tc>
          <w:tcPr>
            <w:tcW w:w="4820" w:type="dxa"/>
            <w:vAlign w:val="bottom"/>
            <w:gridSpan w:val="16"/>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560" w:type="dxa"/>
            <w:vAlign w:val="bottom"/>
            <w:gridSpan w:val="4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5. OTHER INFORMATION</w:t>
              </w:r>
            </w:hyperlink>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6. EXHIBITS</w:t>
              </w:r>
            </w:hyperlink>
          </w:p>
        </w:tc>
        <w:tc>
          <w:tcPr>
            <w:tcW w:w="1060" w:type="dxa"/>
            <w:vAlign w:val="bottom"/>
            <w:tcBorders>
              <w:top w:val="single" w:sz="8" w:color="0000EE"/>
            </w:tcBorders>
            <w:gridSpan w:val="6"/>
          </w:tcPr>
          <w:p>
            <w:pPr>
              <w:spacing w:after="0"/>
              <w:rPr>
                <w:sz w:val="19"/>
                <w:szCs w:val="19"/>
                <w:color w:val="auto"/>
              </w:rPr>
            </w:pPr>
          </w:p>
        </w:tc>
        <w:tc>
          <w:tcPr>
            <w:tcW w:w="6120" w:type="dxa"/>
            <w:vAlign w:val="bottom"/>
            <w:gridSpan w:val="28"/>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SIGNATURES</w:t>
              </w:r>
            </w:hyperlink>
          </w:p>
        </w:tc>
        <w:tc>
          <w:tcPr>
            <w:tcW w:w="7460" w:type="dxa"/>
            <w:vAlign w:val="bottom"/>
            <w:gridSpan w:val="35"/>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939"/>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26"/>
          </w:tcPr>
          <w:p>
            <w:pPr>
              <w:ind w:left="39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6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9"/>
                <w:szCs w:val="19"/>
                <w:color w:val="auto"/>
              </w:rPr>
            </w:pPr>
          </w:p>
        </w:tc>
      </w:tr>
      <w:tr>
        <w:trPr>
          <w:trHeight w:val="223"/>
        </w:trPr>
        <w:tc>
          <w:tcPr>
            <w:tcW w:w="6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300" w:type="dxa"/>
            <w:vAlign w:val="bottom"/>
            <w:gridSpan w:val="2"/>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21"/>
                <w:szCs w:val="21"/>
                <w:color w:val="auto"/>
              </w:rPr>
            </w:pPr>
          </w:p>
        </w:tc>
      </w:tr>
      <w:tr>
        <w:trPr>
          <w:trHeight w:val="22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40" w:type="dxa"/>
            <w:vAlign w:val="bottom"/>
            <w:tcBorders>
              <w:bottom w:val="single" w:sz="8" w:color="CCEEFF"/>
            </w:tcBorders>
          </w:tcPr>
          <w:p>
            <w:pPr>
              <w:spacing w:after="0"/>
              <w:rPr>
                <w:sz w:val="19"/>
                <w:szCs w:val="19"/>
                <w:color w:val="auto"/>
              </w:rPr>
            </w:pPr>
          </w:p>
        </w:tc>
      </w:tr>
      <w:tr>
        <w:trPr>
          <w:trHeight w:val="237"/>
        </w:trPr>
        <w:tc>
          <w:tcPr>
            <w:tcW w:w="6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15,492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14,219</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40" w:type="dxa"/>
            <w:vAlign w:val="bottom"/>
            <w:shd w:val="clear" w:color="auto" w:fill="CCEEFF"/>
          </w:tcPr>
          <w:p>
            <w:pPr>
              <w:spacing w:after="0"/>
              <w:rPr>
                <w:sz w:val="21"/>
                <w:szCs w:val="21"/>
                <w:color w:val="auto"/>
              </w:rPr>
            </w:pPr>
          </w:p>
        </w:tc>
      </w:tr>
      <w:tr>
        <w:trPr>
          <w:trHeight w:val="22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13,369</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140" w:type="dxa"/>
            <w:vAlign w:val="bottom"/>
            <w:tcBorders>
              <w:bottom w:val="single" w:sz="8" w:color="CCEEFF"/>
            </w:tcBorders>
          </w:tcPr>
          <w:p>
            <w:pPr>
              <w:spacing w:after="0"/>
              <w:rPr>
                <w:sz w:val="19"/>
                <w:szCs w:val="19"/>
                <w:color w:val="auto"/>
              </w:rPr>
            </w:pPr>
          </w:p>
        </w:tc>
      </w:tr>
      <w:tr>
        <w:trPr>
          <w:trHeight w:val="237"/>
        </w:trPr>
        <w:tc>
          <w:tcPr>
            <w:tcW w:w="6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Linefill and base gas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 net</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Borders>
              <w:bottom w:val="single" w:sz="8" w:color="CCEEFF"/>
            </w:tcBorders>
          </w:tcPr>
          <w:p>
            <w:pPr>
              <w:spacing w:after="0"/>
              <w:rPr>
                <w:sz w:val="21"/>
                <w:szCs w:val="21"/>
                <w:color w:val="auto"/>
              </w:rPr>
            </w:pPr>
          </w:p>
        </w:tc>
      </w:tr>
      <w:tr>
        <w:trPr>
          <w:trHeight w:val="217"/>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43"/>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21"/>
                <w:szCs w:val="21"/>
                <w:color w:val="auto"/>
              </w:rPr>
            </w:pPr>
          </w:p>
        </w:tc>
        <w:tc>
          <w:tcPr>
            <w:tcW w:w="300" w:type="dxa"/>
            <w:vAlign w:val="bottom"/>
            <w:gridSpan w:val="2"/>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2,987</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tcPr>
          <w:p>
            <w:pPr>
              <w:spacing w:after="0"/>
              <w:rPr>
                <w:sz w:val="21"/>
                <w:szCs w:val="21"/>
                <w:color w:val="auto"/>
              </w:rPr>
            </w:pPr>
          </w:p>
        </w:tc>
      </w:tr>
      <w:tr>
        <w:trPr>
          <w:trHeight w:val="223"/>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40" w:type="dxa"/>
            <w:vAlign w:val="bottom"/>
            <w:shd w:val="clear" w:color="auto" w:fill="CCEEFF"/>
          </w:tcPr>
          <w:p>
            <w:pPr>
              <w:spacing w:after="0"/>
              <w:rPr>
                <w:sz w:val="19"/>
                <w:szCs w:val="19"/>
                <w:color w:val="auto"/>
              </w:rPr>
            </w:pPr>
          </w:p>
        </w:tc>
      </w:tr>
      <w:tr>
        <w:trPr>
          <w:trHeight w:val="237"/>
        </w:trPr>
        <w:tc>
          <w:tcPr>
            <w:tcW w:w="6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Senior notes, net of unamortized discount of $18 and $18, respectively</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9,757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8,757</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 and deferred credits</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21"/>
                <w:szCs w:val="21"/>
                <w:color w:val="auto"/>
              </w:rPr>
            </w:pPr>
          </w:p>
        </w:tc>
      </w:tr>
      <w:tr>
        <w:trPr>
          <w:trHeight w:val="223"/>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liabilities</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40" w:type="dxa"/>
            <w:vAlign w:val="bottom"/>
            <w:shd w:val="clear" w:color="auto" w:fill="CCEEFF"/>
          </w:tcPr>
          <w:p>
            <w:pPr>
              <w:spacing w:after="0"/>
              <w:rPr>
                <w:sz w:val="19"/>
                <w:szCs w:val="19"/>
                <w:color w:val="auto"/>
              </w:rPr>
            </w:pPr>
          </w:p>
        </w:tc>
      </w:tr>
      <w:tr>
        <w:trPr>
          <w:trHeight w:val="237"/>
        </w:trPr>
        <w:tc>
          <w:tcPr>
            <w:tcW w:w="6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w w:val="94"/>
              </w:rPr>
              <w:t>Class A Shareholders (227,204,958 and 206,933,274 shares outstanding, respectively)</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Shareholders (378,845,615 and 399,096,499 shares outstanding, respectively)</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140" w:type="dxa"/>
            <w:vAlign w:val="bottom"/>
            <w:tcBorders>
              <w:bottom w:val="single" w:sz="8" w:color="CCEEFF"/>
            </w:tcBorders>
          </w:tcPr>
          <w:p>
            <w:pPr>
              <w:spacing w:after="0"/>
              <w:rPr>
                <w:sz w:val="21"/>
                <w:szCs w:val="21"/>
                <w:color w:val="auto"/>
              </w:rPr>
            </w:pPr>
          </w:p>
        </w:tc>
      </w:tr>
      <w:tr>
        <w:trPr>
          <w:trHeight w:val="223"/>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partners’ capital</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40" w:type="dxa"/>
            <w:vAlign w:val="bottom"/>
            <w:shd w:val="clear" w:color="auto" w:fill="CCEEFF"/>
          </w:tcPr>
          <w:p>
            <w:pPr>
              <w:spacing w:after="0"/>
              <w:rPr>
                <w:sz w:val="19"/>
                <w:szCs w:val="19"/>
                <w:color w:val="auto"/>
              </w:rPr>
            </w:pPr>
          </w:p>
        </w:tc>
      </w:tr>
      <w:tr>
        <w:trPr>
          <w:trHeight w:val="217"/>
        </w:trPr>
        <w:tc>
          <w:tcPr>
            <w:tcW w:w="6540" w:type="dxa"/>
            <w:vAlign w:val="bottom"/>
          </w:tcPr>
          <w:p>
            <w:pPr>
              <w:ind w:left="22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40" w:type="dxa"/>
            <w:vAlign w:val="bottom"/>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856"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GP HOLDINGS, L.P. AND SUBSIDIARIES CONDENSED CONSOLIDATED STATEMENTS OF OPERATIONS (in millions,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Supply and Logistics segment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17,225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32,988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Facilities segment revenues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11,127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18,156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34,005</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10,166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15,591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31,116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10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17,248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32,748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Interest expense (net of capitalized interest of $14, $12, $42 and $33,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ind w:left="10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15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5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r>
      <w:tr>
        <w:trPr>
          <w:trHeight w:val="198"/>
        </w:trPr>
        <w:tc>
          <w:tcPr>
            <w:tcW w:w="5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1"/>
                <w:szCs w:val="2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23"/>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4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9"/>
              </w:rPr>
              <w:t>Comprehensive (income)/loss attributable to noncontrolling interests</w:t>
            </w:r>
          </w:p>
        </w:tc>
        <w:tc>
          <w:tcPr>
            <w:tcW w:w="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21"/>
                <w:szCs w:val="21"/>
                <w:color w:val="auto"/>
              </w:rPr>
            </w:pPr>
          </w:p>
        </w:tc>
      </w:tr>
      <w:tr>
        <w:trPr>
          <w:trHeight w:val="217"/>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6"/>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4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8"/>
        </w:trPr>
        <w:tc>
          <w:tcPr>
            <w:tcW w:w="4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0"/>
                <w:szCs w:val="20"/>
                <w:color w:val="auto"/>
              </w:rPr>
            </w:pPr>
          </w:p>
        </w:tc>
      </w:tr>
      <w:tr>
        <w:trPr>
          <w:trHeight w:val="243"/>
        </w:trPr>
        <w:tc>
          <w:tcPr>
            <w:tcW w:w="432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1"/>
                <w:szCs w:val="21"/>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period activity</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19"/>
                <w:szCs w:val="19"/>
                <w:color w:val="auto"/>
              </w:rPr>
            </w:pPr>
          </w:p>
        </w:tc>
      </w:tr>
      <w:tr>
        <w:trPr>
          <w:trHeight w:val="2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501"/>
        </w:trPr>
        <w:tc>
          <w:tcPr>
            <w:tcW w:w="4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96"/>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4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8"/>
        </w:trPr>
        <w:tc>
          <w:tcPr>
            <w:tcW w:w="4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r>
      <w:tr>
        <w:trPr>
          <w:trHeight w:val="243"/>
        </w:trPr>
        <w:tc>
          <w:tcPr>
            <w:tcW w:w="432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period activity</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r>
      <w:tr>
        <w:trPr>
          <w:trHeight w:val="2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440" w:right="182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CASH FLOWS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228"/>
        </w:trPr>
        <w:tc>
          <w:tcPr>
            <w:tcW w:w="6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r>
      <w:tr>
        <w:trPr>
          <w:trHeight w:val="223"/>
        </w:trPr>
        <w:tc>
          <w:tcPr>
            <w:tcW w:w="6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6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593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958</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Reconciliation of net income to net cash provided by operating activities: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Equity-indexed compensation expense</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ind w:left="120"/>
              <w:spacing w:after="0"/>
              <w:rPr>
                <w:sz w:val="20"/>
                <w:szCs w:val="20"/>
                <w:color w:val="auto"/>
              </w:rPr>
            </w:pPr>
            <w:r>
              <w:rPr>
                <w:rFonts w:ascii="Arial" w:cs="Arial" w:eastAsia="Arial" w:hAnsi="Arial"/>
                <w:sz w:val="17"/>
                <w:szCs w:val="17"/>
                <w:color w:val="auto"/>
              </w:rPr>
              <w:t>Inventory valuation adjustments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income tax expense</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ind w:left="120"/>
              <w:spacing w:after="0"/>
              <w:rPr>
                <w:sz w:val="20"/>
                <w:szCs w:val="20"/>
                <w:color w:val="auto"/>
              </w:rPr>
            </w:pPr>
            <w:r>
              <w:rPr>
                <w:rFonts w:ascii="Arial" w:cs="Arial" w:eastAsia="Arial" w:hAnsi="Arial"/>
                <w:sz w:val="17"/>
                <w:szCs w:val="17"/>
                <w:color w:val="auto"/>
              </w:rPr>
              <w:t>Gain on sales of linefill and base gas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(Gain)/loss on foreign currency revaluation</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ind w:left="120"/>
              <w:spacing w:after="0"/>
              <w:rPr>
                <w:sz w:val="20"/>
                <w:szCs w:val="20"/>
                <w:color w:val="auto"/>
              </w:rPr>
            </w:pPr>
            <w:r>
              <w:rPr>
                <w:rFonts w:ascii="Arial" w:cs="Arial" w:eastAsia="Arial" w:hAnsi="Arial"/>
                <w:sz w:val="17"/>
                <w:szCs w:val="17"/>
                <w:color w:val="auto"/>
              </w:rPr>
              <w:t>Settlement of terminated interest rate hedging instruments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Equity earnings in unconsolidated entities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ind w:left="120"/>
              <w:spacing w:after="0"/>
              <w:rPr>
                <w:sz w:val="20"/>
                <w:szCs w:val="20"/>
                <w:color w:val="auto"/>
              </w:rPr>
            </w:pPr>
            <w:r>
              <w:rPr>
                <w:rFonts w:ascii="Arial" w:cs="Arial" w:eastAsia="Arial" w:hAnsi="Arial"/>
                <w:sz w:val="17"/>
                <w:szCs w:val="17"/>
                <w:color w:val="auto"/>
              </w:rPr>
              <w:t>Distributions from unconsolidated entities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Changes in assets and liabilities, net of acquisitions</w:t>
            </w:r>
          </w:p>
        </w:tc>
        <w:tc>
          <w:tcPr>
            <w:tcW w:w="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Borders>
              <w:bottom w:val="single" w:sz="8" w:color="CCEEFF"/>
            </w:tcBorders>
          </w:tcPr>
          <w:p>
            <w:pPr>
              <w:spacing w:after="0"/>
              <w:rPr>
                <w:sz w:val="20"/>
                <w:szCs w:val="20"/>
                <w:color w:val="auto"/>
              </w:rPr>
            </w:pPr>
          </w:p>
        </w:tc>
      </w:tr>
      <w:tr>
        <w:trPr>
          <w:trHeight w:val="223"/>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cash provided by operating activities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40" w:type="dxa"/>
            <w:vAlign w:val="bottom"/>
            <w:shd w:val="clear" w:color="auto" w:fill="CCEEFF"/>
          </w:tcPr>
          <w:p>
            <w:pPr>
              <w:spacing w:after="0"/>
              <w:rPr>
                <w:sz w:val="19"/>
                <w:szCs w:val="19"/>
                <w:color w:val="auto"/>
              </w:rPr>
            </w:pPr>
          </w:p>
        </w:tc>
      </w:tr>
      <w:tr>
        <w:trPr>
          <w:trHeight w:val="239"/>
        </w:trPr>
        <w:tc>
          <w:tcPr>
            <w:tcW w:w="6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Cash paid in connection with acquisitions, net of cash acquired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Additions to property, equipment and other</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Investment in unconsolidated entities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Cash received for sales of linefill and base gas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Cash paid for purchases of linefill and base gas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assets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investing activities</w:t>
            </w:r>
          </w:p>
        </w:tc>
        <w:tc>
          <w:tcPr>
            <w:tcW w:w="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tcPr>
          <w:p>
            <w:pPr>
              <w:spacing w:after="0"/>
              <w:rPr>
                <w:sz w:val="20"/>
                <w:szCs w:val="20"/>
                <w:color w:val="auto"/>
              </w:rPr>
            </w:pPr>
          </w:p>
        </w:tc>
      </w:tr>
      <w:tr>
        <w:trPr>
          <w:trHeight w:val="223"/>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(1,664)</w:t>
            </w:r>
          </w:p>
        </w:tc>
        <w:tc>
          <w:tcPr>
            <w:tcW w:w="140" w:type="dxa"/>
            <w:vAlign w:val="bottom"/>
            <w:shd w:val="clear" w:color="auto" w:fill="CCEEFF"/>
          </w:tcPr>
          <w:p>
            <w:pPr>
              <w:spacing w:after="0"/>
              <w:rPr>
                <w:sz w:val="19"/>
                <w:szCs w:val="19"/>
                <w:color w:val="auto"/>
              </w:rPr>
            </w:pPr>
          </w:p>
        </w:tc>
      </w:tr>
      <w:tr>
        <w:trPr>
          <w:trHeight w:val="239"/>
        </w:trPr>
        <w:tc>
          <w:tcPr>
            <w:tcW w:w="6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Net borrowings/(repayments) under PAA commercial paper program (Note 6)</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(683)</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borrowings/(repayments) under AAP senior secured revolving credit facility (Note 6)</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Proceeds from AAP term loan (Note 6)</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the issuance of PAA senior notes (Note 6)</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Repayments of PAA senior notes (Note 6)</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the issuance of common units by subsidiaries (Note 7)</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Distributions paid to Class A shareholders (Note 7)</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paid to noncontrolling interests (Note 7)</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Costs incurred in connection with financing arrangements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20"/>
                <w:szCs w:val="20"/>
                <w:color w:val="auto"/>
              </w:rPr>
            </w:pPr>
          </w:p>
        </w:tc>
      </w:tr>
      <w:tr>
        <w:trPr>
          <w:trHeight w:val="24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Other financing activities</w:t>
            </w:r>
          </w:p>
        </w:tc>
        <w:tc>
          <w:tcPr>
            <w:tcW w:w="5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1"/>
                <w:szCs w:val="21"/>
                <w:color w:val="auto"/>
              </w:rPr>
            </w:pPr>
          </w:p>
        </w:tc>
      </w:tr>
      <w:tr>
        <w:trPr>
          <w:trHeight w:val="223"/>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cash provided by financing activities</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140" w:type="dxa"/>
            <w:vAlign w:val="bottom"/>
            <w:tcBorders>
              <w:bottom w:val="single" w:sz="8" w:color="CCEEFF"/>
            </w:tcBorders>
          </w:tcPr>
          <w:p>
            <w:pPr>
              <w:spacing w:after="0"/>
              <w:rPr>
                <w:sz w:val="19"/>
                <w:szCs w:val="19"/>
                <w:color w:val="auto"/>
              </w:rPr>
            </w:pPr>
          </w:p>
        </w:tc>
      </w:tr>
      <w:tr>
        <w:trPr>
          <w:trHeight w:val="239"/>
        </w:trPr>
        <w:tc>
          <w:tcPr>
            <w:tcW w:w="6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Effect of translation adjustment on cash</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Net decrease in cash and cash equivalents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5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21"/>
                <w:szCs w:val="21"/>
                <w:color w:val="auto"/>
              </w:rPr>
            </w:pPr>
          </w:p>
        </w:tc>
      </w:tr>
      <w:tr>
        <w:trPr>
          <w:trHeight w:val="217"/>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 end of period</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40" w:type="dxa"/>
            <w:vAlign w:val="bottom"/>
            <w:tcBorders>
              <w:bottom w:val="single" w:sz="8" w:color="CCEEFF"/>
            </w:tcBorders>
          </w:tcPr>
          <w:p>
            <w:pPr>
              <w:spacing w:after="0"/>
              <w:rPr>
                <w:sz w:val="18"/>
                <w:szCs w:val="18"/>
                <w:color w:val="auto"/>
              </w:rPr>
            </w:pPr>
          </w:p>
        </w:tc>
      </w:tr>
      <w:tr>
        <w:trPr>
          <w:trHeight w:val="243"/>
        </w:trPr>
        <w:tc>
          <w:tcPr>
            <w:tcW w:w="6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color w:val="auto"/>
              </w:rPr>
              <w:t>Cash paid for:</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net of amounts capitalized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21"/>
                <w:szCs w:val="21"/>
                <w:color w:val="auto"/>
              </w:rPr>
            </w:pPr>
          </w:p>
        </w:tc>
      </w:tr>
      <w:tr>
        <w:trPr>
          <w:trHeight w:val="239"/>
        </w:trPr>
        <w:tc>
          <w:tcPr>
            <w:tcW w:w="6720" w:type="dxa"/>
            <w:vAlign w:val="bottom"/>
          </w:tcPr>
          <w:p>
            <w:pPr>
              <w:ind w:left="120"/>
              <w:spacing w:after="0"/>
              <w:rPr>
                <w:sz w:val="20"/>
                <w:szCs w:val="20"/>
                <w:color w:val="auto"/>
              </w:rPr>
            </w:pPr>
            <w:r>
              <w:rPr>
                <w:rFonts w:ascii="Arial" w:cs="Arial" w:eastAsia="Arial" w:hAnsi="Arial"/>
                <w:sz w:val="17"/>
                <w:szCs w:val="17"/>
                <w:color w:val="auto"/>
              </w:rPr>
              <w:t>Income taxes, net of amounts refunded</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135</w:t>
            </w:r>
          </w:p>
        </w:tc>
        <w:tc>
          <w:tcPr>
            <w:tcW w:w="140" w:type="dxa"/>
            <w:vAlign w:val="bottom"/>
          </w:tcPr>
          <w:p>
            <w:pPr>
              <w:spacing w:after="0"/>
              <w:rPr>
                <w:sz w:val="20"/>
                <w:szCs w:val="20"/>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437"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440" w:right="90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7"/>
              </w:rPr>
              <w:t>Partners’ Capital</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(Excluding Noncontrolling Interests)</w:t>
            </w:r>
          </w:p>
        </w:tc>
        <w:tc>
          <w:tcPr>
            <w:tcW w:w="14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Partners’</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7"/>
              </w:rPr>
              <w:t>(unaudited)</w:t>
            </w:r>
          </w:p>
        </w:tc>
        <w:tc>
          <w:tcPr>
            <w:tcW w:w="7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40" w:type="dxa"/>
            <w:vAlign w:val="bottom"/>
            <w:shd w:val="clear" w:color="auto" w:fill="CCEEFF"/>
          </w:tcPr>
          <w:p>
            <w:pPr>
              <w:spacing w:after="0"/>
              <w:rPr>
                <w:sz w:val="21"/>
                <w:szCs w:val="21"/>
                <w:color w:val="auto"/>
              </w:rPr>
            </w:pPr>
          </w:p>
        </w:tc>
      </w:tr>
      <w:tr>
        <w:trPr>
          <w:trHeight w:val="217"/>
        </w:trPr>
        <w:tc>
          <w:tcPr>
            <w:tcW w:w="39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0" w:type="dxa"/>
            <w:vAlign w:val="bottom"/>
            <w:tcBorders>
              <w:top w:val="single" w:sz="8" w:color="CCEEFF"/>
            </w:tcBorders>
          </w:tcPr>
          <w:p>
            <w:pPr>
              <w:spacing w:after="0"/>
              <w:rPr>
                <w:sz w:val="18"/>
                <w:szCs w:val="18"/>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0" w:type="dxa"/>
            <w:vAlign w:val="bottom"/>
            <w:shd w:val="clear" w:color="auto" w:fill="CCEEFF"/>
          </w:tcPr>
          <w:p>
            <w:pPr>
              <w:spacing w:after="0"/>
              <w:rPr>
                <w:sz w:val="21"/>
                <w:szCs w:val="21"/>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1"/>
                <w:szCs w:val="21"/>
                <w:color w:val="auto"/>
              </w:rPr>
            </w:pPr>
          </w:p>
        </w:tc>
      </w:tr>
      <w:tr>
        <w:trPr>
          <w:trHeight w:val="202"/>
        </w:trPr>
        <w:tc>
          <w:tcPr>
            <w:tcW w:w="3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Change in ownership interest in connection with</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Right exercises (Note 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Issuance of common units by subsidiaries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w:t>
            </w:r>
          </w:p>
        </w:tc>
        <w:tc>
          <w:tcPr>
            <w:tcW w:w="40" w:type="dxa"/>
            <w:vAlign w:val="bottom"/>
          </w:tcPr>
          <w:p>
            <w:pPr>
              <w:spacing w:after="0"/>
              <w:rPr>
                <w:sz w:val="21"/>
                <w:szCs w:val="21"/>
                <w:color w:val="auto"/>
              </w:rPr>
            </w:pPr>
          </w:p>
        </w:tc>
      </w:tr>
      <w:tr>
        <w:trPr>
          <w:trHeight w:val="202"/>
        </w:trPr>
        <w:tc>
          <w:tcPr>
            <w:tcW w:w="3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Settlement of employee income tax withholding</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obligations under LTIP</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0"/>
                <w:szCs w:val="20"/>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Equity-indexed compensation expense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r>
      <w:tr>
        <w:trPr>
          <w:trHeight w:val="21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501"/>
        </w:trPr>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7"/>
              </w:rPr>
              <w:t>Partners’ Capital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(Excluding Noncontrolling Interests)</w:t>
            </w:r>
          </w:p>
        </w:tc>
        <w:tc>
          <w:tcPr>
            <w:tcW w:w="14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Partners’</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7"/>
              </w:rPr>
              <w:t>(unaudited)</w:t>
            </w:r>
          </w:p>
        </w:tc>
        <w:tc>
          <w:tcPr>
            <w:tcW w:w="7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40" w:type="dxa"/>
            <w:vAlign w:val="bottom"/>
            <w:shd w:val="clear" w:color="auto" w:fill="CCEEFF"/>
          </w:tcPr>
          <w:p>
            <w:pPr>
              <w:spacing w:after="0"/>
              <w:rPr>
                <w:sz w:val="21"/>
                <w:szCs w:val="21"/>
                <w:color w:val="auto"/>
              </w:rPr>
            </w:pPr>
          </w:p>
        </w:tc>
      </w:tr>
      <w:tr>
        <w:trPr>
          <w:trHeight w:val="217"/>
        </w:trPr>
        <w:tc>
          <w:tcPr>
            <w:tcW w:w="39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40" w:type="dxa"/>
            <w:vAlign w:val="bottom"/>
            <w:tcBorders>
              <w:top w:val="single" w:sz="8" w:color="CCEEFF"/>
            </w:tcBorders>
          </w:tcPr>
          <w:p>
            <w:pPr>
              <w:spacing w:after="0"/>
              <w:rPr>
                <w:sz w:val="18"/>
                <w:szCs w:val="18"/>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0" w:type="dxa"/>
            <w:vAlign w:val="bottom"/>
            <w:shd w:val="clear" w:color="auto" w:fill="CCEEFF"/>
          </w:tcPr>
          <w:p>
            <w:pPr>
              <w:spacing w:after="0"/>
              <w:rPr>
                <w:sz w:val="21"/>
                <w:szCs w:val="21"/>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r>
      <w:tr>
        <w:trPr>
          <w:trHeight w:val="202"/>
        </w:trPr>
        <w:tc>
          <w:tcPr>
            <w:tcW w:w="3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Change in ownership interest in connection with</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Right exercises (Note 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Issuance of common units by subsidiaries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40" w:type="dxa"/>
            <w:vAlign w:val="bottom"/>
          </w:tcPr>
          <w:p>
            <w:pPr>
              <w:spacing w:after="0"/>
              <w:rPr>
                <w:sz w:val="21"/>
                <w:szCs w:val="21"/>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PAA common units under LTIP</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r>
      <w:tr>
        <w:trPr>
          <w:trHeight w:val="202"/>
        </w:trPr>
        <w:tc>
          <w:tcPr>
            <w:tcW w:w="3960" w:type="dxa"/>
            <w:vAlign w:val="bottom"/>
          </w:tcPr>
          <w:p>
            <w:pPr>
              <w:ind w:left="100"/>
              <w:spacing w:after="0" w:line="201" w:lineRule="exact"/>
              <w:rPr>
                <w:sz w:val="20"/>
                <w:szCs w:val="20"/>
                <w:color w:val="auto"/>
              </w:rPr>
            </w:pPr>
            <w:r>
              <w:rPr>
                <w:rFonts w:ascii="Arial" w:cs="Arial" w:eastAsia="Arial" w:hAnsi="Arial"/>
                <w:sz w:val="18"/>
                <w:szCs w:val="18"/>
                <w:color w:val="auto"/>
              </w:rPr>
              <w:t>Settlement of employee income tax withholding</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obligations under LTIP</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1"/>
                <w:szCs w:val="21"/>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440" w:right="136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September 30, 2015, our sole assets consisted of (i) a 100% managing member interest in Plains All American GP LLC (“GP LLC”) and (ii) an approximate 37% limited partner interest in Plains AAP, L.P. (“AAP”) through our ownership of 227,204,958 Class A units of AAP (“AAP units”).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Plains GP Holdings LLC, a Delaware limited liability company, is our general partner.</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8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AOCI</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Bcf</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Billion cubic feet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Btu</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British thermal unit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CAD</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Canadian dollar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DERs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EPA</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FASB</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GAAP</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ICE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Intercontinental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LIBOR</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LTIP</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Long-term incentive plan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Mcf</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Thousand cubic feet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NGL</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NYMEX</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Oxy</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PLA</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Pipeline loss allowance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United States Securities and Exchange Commission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USD</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United States dollar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WTI</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8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2014 Annual Report on Form 10-K. The accompanying condensed consolidated financial statements include the accounts of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PAGP. The condensed consolidated balance sheet data as of December 31, 2014 was derived from audited financial statements, but does not include all disclosures required by GAAP. The results of operations for the three and nine months ended September 30, 2015 should not be taken as indicative of results to be expected for the entire year.</w:t>
      </w:r>
    </w:p>
    <w:p>
      <w:pPr>
        <w:spacing w:after="0" w:line="17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jc w:val="both"/>
        <w:ind w:right="180" w:firstLine="648"/>
        <w:spacing w:after="0" w:line="293" w:lineRule="auto"/>
        <w:rPr>
          <w:sz w:val="20"/>
          <w:szCs w:val="20"/>
          <w:color w:val="auto"/>
        </w:rPr>
      </w:pPr>
      <w:r>
        <w:rPr>
          <w:rFonts w:ascii="Arial" w:cs="Arial" w:eastAsia="Arial" w:hAnsi="Arial"/>
          <w:sz w:val="16"/>
          <w:szCs w:val="16"/>
          <w:color w:val="auto"/>
        </w:rPr>
        <w:t>In September 2015, the FASB issued guidance to simplify the accounting for measurement-period adjustments for provisional amounts recognized in a business combination by eliminating the requirement for an acquirer to retrospectively account for measurement-period adjustments. Under the updated guidance, the acquirer must recognize adjustments in the reporting period in which the adjustment amounts are determined and the effect on earnings as a result of the change to the provisional amounts must be calculated as if the accounting had been completed at the acquisition date. This guidance will become effective for interim and annual periods beginning after December 15, 2015, with early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19"/>
        <w:spacing w:after="0" w:line="342" w:lineRule="auto"/>
        <w:rPr>
          <w:sz w:val="20"/>
          <w:szCs w:val="20"/>
          <w:color w:val="auto"/>
        </w:rPr>
      </w:pPr>
      <w:r>
        <w:rPr>
          <w:rFonts w:ascii="Arial" w:cs="Arial" w:eastAsia="Arial" w:hAnsi="Arial"/>
          <w:sz w:val="16"/>
          <w:szCs w:val="16"/>
          <w:color w:val="auto"/>
        </w:rPr>
        <w:t>adoption permitted, and must be applied prospectively. We expect to adopt this guidance on January 1, 2016, and our adoption is not expected to have a material impact on our financial position, results of operations or cash flows.</w:t>
      </w:r>
    </w:p>
    <w:p>
      <w:pPr>
        <w:spacing w:after="0" w:line="124" w:lineRule="exact"/>
        <w:rPr>
          <w:sz w:val="20"/>
          <w:szCs w:val="20"/>
          <w:color w:val="auto"/>
        </w:rPr>
      </w:pPr>
    </w:p>
    <w:p>
      <w:pPr>
        <w:ind w:right="99" w:firstLine="648"/>
        <w:spacing w:after="0" w:line="293" w:lineRule="auto"/>
        <w:rPr>
          <w:sz w:val="20"/>
          <w:szCs w:val="20"/>
          <w:color w:val="auto"/>
        </w:rPr>
      </w:pPr>
      <w:r>
        <w:rPr>
          <w:rFonts w:ascii="Arial" w:cs="Arial" w:eastAsia="Arial" w:hAnsi="Arial"/>
          <w:sz w:val="16"/>
          <w:szCs w:val="16"/>
          <w:color w:val="auto"/>
        </w:rPr>
        <w:t>In July 2015, the FASB issued guidance to simplify the measurement of inventory. This updated guidance requires entities to measure inventory at the lower of cost and net realizable value; however, inventory measured using last-in, first-out and the retail inventory method is unchanged by this update. This guidance will become effective for interim and annual periods beginning after December 15, 2016, with prospective application required. Early adoption is permitted, including adoption in an interim period. We expect to adopt this guidance on January 1, 2017, and we are currently evaluating the impact that adopting this guidance will have on our financial position, results of operations and cash flows.</w:t>
      </w:r>
    </w:p>
    <w:p>
      <w:pPr>
        <w:spacing w:after="0" w:line="165" w:lineRule="exact"/>
        <w:rPr>
          <w:sz w:val="20"/>
          <w:szCs w:val="20"/>
          <w:color w:val="auto"/>
        </w:rPr>
      </w:pPr>
    </w:p>
    <w:p>
      <w:pPr>
        <w:ind w:right="19" w:firstLine="648"/>
        <w:spacing w:after="0" w:line="291" w:lineRule="auto"/>
        <w:rPr>
          <w:sz w:val="20"/>
          <w:szCs w:val="20"/>
          <w:color w:val="auto"/>
        </w:rPr>
      </w:pPr>
      <w:r>
        <w:rPr>
          <w:rFonts w:ascii="Arial" w:cs="Arial" w:eastAsia="Arial" w:hAnsi="Arial"/>
          <w:sz w:val="16"/>
          <w:szCs w:val="16"/>
          <w:color w:val="auto"/>
        </w:rPr>
        <w:t>In April 2015, the FASB issued guidance to simplify the presentation of debt issuance costs in entities’ financial statements. This updated guidance requires entities to present such costs as a direct deduction from the related debt liability, consistent with debt discounts. Additionally, amortization of the debt issuance costs will be required to be reported as interest expense. This guidance will become effective for interim and annual periods beginning after December 15, 2015, with retrospective application required for all prior periods presented. Early adoption is permitted for financial statements that have not been previously issued. We expect to adopt this guidance during the fourth quarter of 2015. We do not believe our adoption will have a material impact on our financial position, results of operations or cash flows.</w:t>
      </w:r>
    </w:p>
    <w:p>
      <w:pPr>
        <w:spacing w:after="0" w:line="167" w:lineRule="exact"/>
        <w:rPr>
          <w:sz w:val="20"/>
          <w:szCs w:val="20"/>
          <w:color w:val="auto"/>
        </w:rPr>
      </w:pPr>
    </w:p>
    <w:p>
      <w:pPr>
        <w:ind w:right="79" w:firstLine="648"/>
        <w:spacing w:after="0" w:line="289"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 (i) 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will adopt this guidance on January 1, 2016. We do not believe our adoption will have a material impact on our financial position, results of operations or cash flows.</w:t>
      </w:r>
    </w:p>
    <w:p>
      <w:pPr>
        <w:spacing w:after="0" w:line="167" w:lineRule="exact"/>
        <w:rPr>
          <w:sz w:val="20"/>
          <w:szCs w:val="20"/>
          <w:color w:val="auto"/>
        </w:rPr>
      </w:pPr>
    </w:p>
    <w:p>
      <w:pPr>
        <w:ind w:right="19" w:firstLine="648"/>
        <w:spacing w:after="0" w:line="279" w:lineRule="auto"/>
        <w:rPr>
          <w:sz w:val="20"/>
          <w:szCs w:val="20"/>
          <w:color w:val="auto"/>
        </w:rPr>
      </w:pPr>
      <w:r>
        <w:rPr>
          <w:rFonts w:ascii="Arial" w:cs="Arial" w:eastAsia="Arial" w:hAnsi="Arial"/>
          <w:sz w:val="17"/>
          <w:szCs w:val="17"/>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will adopt this guidance on January 1, 2016. We do not believe our adoption will have a material impact on our financial position, results of operations or cash flows.</w:t>
      </w:r>
    </w:p>
    <w:p>
      <w:pPr>
        <w:spacing w:after="0" w:line="171" w:lineRule="exact"/>
        <w:rPr>
          <w:sz w:val="20"/>
          <w:szCs w:val="20"/>
          <w:color w:val="auto"/>
        </w:rPr>
      </w:pPr>
    </w:p>
    <w:p>
      <w:pPr>
        <w:ind w:right="79" w:firstLine="648"/>
        <w:spacing w:after="0" w:line="270" w:lineRule="auto"/>
        <w:rPr>
          <w:sz w:val="20"/>
          <w:szCs w:val="20"/>
          <w:color w:val="auto"/>
        </w:rPr>
      </w:pPr>
      <w:r>
        <w:rPr>
          <w:rFonts w:ascii="Arial" w:cs="Arial" w:eastAsia="Arial" w:hAnsi="Arial"/>
          <w:sz w:val="17"/>
          <w:szCs w:val="17"/>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In August 2015, the FASB issued guidance deferring the effective date to interim and annual periods beginning after December 15, 2017. Therefore, we expect to adopt this guidance on January 1, 2018, and we are currently evaluating which transition approach to apply and the impact that adopting this guidance will have on our financial position, results of operations and cash flows.</w:t>
      </w:r>
    </w:p>
    <w:p>
      <w:pPr>
        <w:spacing w:after="0" w:line="182" w:lineRule="exact"/>
        <w:rPr>
          <w:sz w:val="20"/>
          <w:szCs w:val="20"/>
          <w:color w:val="auto"/>
        </w:rPr>
      </w:pPr>
    </w:p>
    <w:p>
      <w:pPr>
        <w:ind w:right="139" w:firstLine="648"/>
        <w:spacing w:after="0" w:line="297"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Our outstanding PAGP LTIP awards that contemplate the issuance of Class A shares are considered dilutive and are reduced by a hypothetical share repurchase based on the remaining unamortized fair value, as prescribed by the treasury stock method in guidance issued by the FASB.</w:t>
      </w:r>
    </w:p>
    <w:p>
      <w:pPr>
        <w:spacing w:after="0" w:line="18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For the three and nine months ended September 30, 2015, and the same periods in 2014, the possible exchange of any AAP units and certain AAP Management Units would not have had a dilutive effect on basic net income per Class A share. For the three and nine months ended September 30, 2015 and 2014, our PAGP LTIP awards were dilutive. However, there were less than 0.1 million dilutive LTIP awards for each of the three and nine months ended September 30, 2015 and 2014, which did not change the presentation of weighted average Class A shares outstanding or net income per Class A share. The following table illustrates the calculation of basic and diluted net income per Class A share for the three and nine months ended September 30, 2015 and 2014 (in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237"/>
        </w:trPr>
        <w:tc>
          <w:tcPr>
            <w:tcW w:w="42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20"/>
                <w:szCs w:val="20"/>
                <w:color w:val="auto"/>
              </w:rPr>
            </w:pPr>
          </w:p>
        </w:tc>
      </w:tr>
      <w:tr>
        <w:trPr>
          <w:trHeight w:val="237"/>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Class A shares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0"/>
                <w:szCs w:val="20"/>
                <w:color w:val="auto"/>
              </w:rPr>
            </w:pPr>
          </w:p>
        </w:tc>
      </w:tr>
      <w:tr>
        <w:trPr>
          <w:trHeight w:val="243"/>
        </w:trPr>
        <w:tc>
          <w:tcPr>
            <w:tcW w:w="4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Class A share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9"/>
                <w:szCs w:val="19"/>
                <w:color w:val="auto"/>
              </w:rPr>
            </w:pPr>
          </w:p>
        </w:tc>
      </w:tr>
      <w:tr>
        <w:trPr>
          <w:trHeight w:val="27"/>
        </w:trPr>
        <w:tc>
          <w:tcPr>
            <w:tcW w:w="4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September 30, 2015 and December 31, 2014, we had received $110 million and $180 million, respectively, of advance cash payments from third parties to mitigate credit risk. We also received $46 million and $198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million, as of September 30, 2015 and December 31, 2014, respectively, of standby letters of credit to support obligations due from third parties, a portion of which applies to future business. The decrease in standby letters of credit and advance cash payments from third parties as of September 30, 2015 compared to December 31, 2014 is largely due to a decrease in exposure to various customers requiring letters of credit.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2015 and December 31, 2014, substantially all of our trade accounts receivable (net of allowance for doubtful accounts) were less than 30 days past their scheduled invoice date. Our allowance for doubtful accounts receivable totaled $4 million as of both September 30, 2015 and December 31, 2014. Although we consider our allowance for doubtful accounts receivable to be adequate, actual amounts could vary significantly from estimated amounts.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September 30, 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52"/>
        </w:trPr>
        <w:tc>
          <w:tcPr>
            <w:tcW w:w="2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Unit of</w:t>
            </w: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r>
      <w:tr>
        <w:trPr>
          <w:trHeight w:val="228"/>
        </w:trPr>
        <w:tc>
          <w:tcPr>
            <w:tcW w:w="2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Volumes</w:t>
            </w:r>
          </w:p>
        </w:tc>
        <w:tc>
          <w:tcPr>
            <w:tcW w:w="14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w w:val="94"/>
              </w:rPr>
              <w:t>Measure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Volumes</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r>
      <w:tr>
        <w:trPr>
          <w:trHeight w:val="237"/>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6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right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11,796</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40.27</w:t>
            </w:r>
          </w:p>
        </w:tc>
        <w:tc>
          <w:tcPr>
            <w:tcW w:w="16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6,465</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18,461</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6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80" w:type="dxa"/>
            <w:vAlign w:val="bottom"/>
            <w:shd w:val="clear" w:color="auto" w:fill="CCEEFF"/>
          </w:tcPr>
          <w:p>
            <w:pPr>
              <w:spacing w:after="0"/>
              <w:rPr>
                <w:sz w:val="21"/>
                <w:szCs w:val="2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Natural gas</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17,923</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32,317</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r>
      <w:tr>
        <w:trPr>
          <w:trHeight w:val="223"/>
        </w:trPr>
        <w:tc>
          <w:tcPr>
            <w:tcW w:w="2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Inventory subtotal</w:t>
            </w: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12,327</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6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CEEFF"/>
          </w:tcPr>
          <w:p>
            <w:pPr>
              <w:spacing w:after="0"/>
              <w:rPr>
                <w:sz w:val="21"/>
                <w:szCs w:val="2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spacing w:after="0"/>
              <w:rPr>
                <w:sz w:val="20"/>
                <w:szCs w:val="20"/>
                <w:color w:val="auto"/>
              </w:rPr>
            </w:pPr>
            <w:r>
              <w:rPr>
                <w:rFonts w:ascii="Arial" w:cs="Arial" w:eastAsia="Arial" w:hAnsi="Arial"/>
                <w:sz w:val="18"/>
                <w:szCs w:val="18"/>
                <w:color w:val="auto"/>
              </w:rPr>
              <w:t>1,348</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33.38</w:t>
            </w:r>
          </w:p>
        </w:tc>
        <w:tc>
          <w:tcPr>
            <w:tcW w:w="16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42.90</w:t>
            </w: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30,812</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1"/>
                <w:szCs w:val="21"/>
                <w:color w:val="auto"/>
              </w:rPr>
            </w:pPr>
          </w:p>
        </w:tc>
      </w:tr>
      <w:tr>
        <w:trPr>
          <w:trHeight w:val="223"/>
        </w:trPr>
        <w:tc>
          <w:tcPr>
            <w:tcW w:w="2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Linefill and base gas subtotal</w:t>
            </w: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6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21"/>
                <w:szCs w:val="21"/>
                <w:color w:val="auto"/>
              </w:rPr>
            </w:pPr>
          </w:p>
        </w:tc>
      </w:tr>
      <w:tr>
        <w:trPr>
          <w:trHeight w:val="243"/>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1,652</w:t>
            </w:r>
          </w:p>
        </w:tc>
        <w:tc>
          <w:tcPr>
            <w:tcW w:w="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13.92</w:t>
            </w:r>
          </w:p>
        </w:tc>
        <w:tc>
          <w:tcPr>
            <w:tcW w:w="160" w:type="dxa"/>
            <w:vAlign w:val="bottom"/>
            <w:tcBorders>
              <w:bottom w:val="single" w:sz="8" w:color="CCEEFF"/>
              <w:right w:val="single" w:sz="8" w:color="auto"/>
            </w:tcBorders>
          </w:tcPr>
          <w:p>
            <w:pPr>
              <w:spacing w:after="0"/>
              <w:rPr>
                <w:sz w:val="21"/>
                <w:szCs w:val="21"/>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1,681</w:t>
            </w:r>
          </w:p>
        </w:tc>
        <w:tc>
          <w:tcPr>
            <w:tcW w:w="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Borders>
              <w:bottom w:val="single" w:sz="8" w:color="CCEEFF"/>
            </w:tcBorders>
          </w:tcPr>
          <w:p>
            <w:pPr>
              <w:spacing w:after="0"/>
              <w:rPr>
                <w:sz w:val="21"/>
                <w:szCs w:val="21"/>
                <w:color w:val="auto"/>
              </w:rPr>
            </w:pPr>
          </w:p>
        </w:tc>
      </w:tr>
      <w:tr>
        <w:trPr>
          <w:trHeight w:val="223"/>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inventory subtotal</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2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7"/>
        </w:trPr>
        <w:tc>
          <w:tcPr>
            <w:tcW w:w="27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260" w:hanging="417"/>
        <w:spacing w:after="0" w:line="308"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Price per unit of measure is comprised of a weighted average associated with various grades, qualities and locations. Accordingly, these prices may not coincide with any published benchmarks for such products.</w:t>
      </w:r>
    </w:p>
    <w:p>
      <w:pPr>
        <w:spacing w:after="0" w:line="14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$25 million during the nine months ended September 30, 2015, which primarily related to the writedown of our NGL inventory due to declines in prices during the first quarter of 2015. The loss was substantially offset by a portion of the derivative mark-to-market gain that was recognized in the fourth quarter of 2014. See Note 8 for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discussion of our derivative and risk management activities. During the nine months ended September 30, 2014, we recorded a charge of $37 million related to the writedown of our natural gas inventory that was purchased in conjunction with managing natural gas storage deliverability requirements during the extended period of severe cold weather in the first quarter of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37"/>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w w:val="91"/>
              </w:rPr>
              <w:t>PAA commercial paper notes, bearing a weighted-average interest rate of 0.43% and 0.46%,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 xml:space="preserve">respectively </w:t>
            </w:r>
            <w:r>
              <w:rPr>
                <w:rFonts w:ascii="Arial" w:cs="Arial" w:eastAsia="Arial" w:hAnsi="Arial"/>
                <w:sz w:val="8"/>
                <w:szCs w:val="8"/>
                <w:color w:val="auto"/>
              </w:rPr>
              <w:t>(1)</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0"/>
                <w:szCs w:val="20"/>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5.25% senior notes due June 2015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r>
      <w:tr>
        <w:trPr>
          <w:trHeight w:val="243"/>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3.95% senior notes due September 2015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1"/>
                <w:szCs w:val="21"/>
                <w:color w:val="auto"/>
              </w:rPr>
            </w:pPr>
          </w:p>
        </w:tc>
      </w:tr>
      <w:tr>
        <w:trPr>
          <w:trHeight w:val="243"/>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1"/>
                <w:szCs w:val="21"/>
                <w:color w:val="auto"/>
              </w:rPr>
            </w:pPr>
          </w:p>
        </w:tc>
      </w:tr>
      <w:tr>
        <w:trPr>
          <w:trHeight w:val="223"/>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short-term debt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19"/>
                <w:szCs w:val="19"/>
                <w:color w:val="auto"/>
              </w:rPr>
            </w:pPr>
          </w:p>
        </w:tc>
      </w:tr>
      <w:tr>
        <w:trPr>
          <w:trHeight w:val="243"/>
        </w:trPr>
        <w:tc>
          <w:tcPr>
            <w:tcW w:w="6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 xml:space="preserve">PAA senior notes, net of unamortized discount of $18 and $18, respectively </w:t>
            </w:r>
            <w:r>
              <w:rPr>
                <w:rFonts w:ascii="Arial" w:cs="Arial" w:eastAsia="Arial" w:hAnsi="Arial"/>
                <w:sz w:val="8"/>
                <w:szCs w:val="8"/>
                <w:color w:val="auto"/>
              </w:rPr>
              <w:t>(2)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1"/>
                <w:szCs w:val="2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PAA commercial paper notes, bearing a weighted-average interest rate of 0.43% </w:t>
            </w:r>
            <w:r>
              <w:rPr>
                <w:rFonts w:ascii="Arial" w:cs="Arial" w:eastAsia="Arial" w:hAnsi="Arial"/>
                <w:sz w:val="8"/>
                <w:szCs w:val="8"/>
                <w:color w:val="auto"/>
              </w:rPr>
              <w:t>(2)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w w:val="96"/>
              </w:rPr>
              <w:t>AAP term loan, bearing a weighted-average interest rate of 1.8% and 1.8%, respectively</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AAP senior secured revolving credit facility, bearing a weighted-average interest rate of</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1.8% and 1.8%, respectively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r>
      <w:tr>
        <w:trPr>
          <w:trHeight w:val="243"/>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1"/>
                <w:szCs w:val="21"/>
                <w:color w:val="auto"/>
              </w:rPr>
            </w:pPr>
          </w:p>
        </w:tc>
      </w:tr>
      <w:tr>
        <w:trPr>
          <w:trHeight w:val="223"/>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80" w:type="dxa"/>
            <w:vAlign w:val="bottom"/>
            <w:shd w:val="clear" w:color="auto" w:fill="CCEEFF"/>
          </w:tcPr>
          <w:p>
            <w:pPr>
              <w:spacing w:after="0"/>
              <w:rPr>
                <w:sz w:val="19"/>
                <w:szCs w:val="19"/>
                <w:color w:val="auto"/>
              </w:rPr>
            </w:pPr>
          </w:p>
        </w:tc>
      </w:tr>
      <w:tr>
        <w:trPr>
          <w:trHeight w:val="217"/>
        </w:trPr>
        <w:tc>
          <w:tcPr>
            <w:tcW w:w="6800" w:type="dxa"/>
            <w:vAlign w:val="bottom"/>
          </w:tcPr>
          <w:p>
            <w:pPr>
              <w:ind w:left="32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8"/>
                <w:szCs w:val="8"/>
                <w:color w:val="auto"/>
              </w:rPr>
              <w:t>(3)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80" w:hanging="417"/>
        <w:spacing w:after="0" w:line="286"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classified these PAA commercial paper notes as short-term at September 30, 2015 and December 31, 2014 as these notes were primarily designated as working capital borrowings, were required to be repaid within one year and were primarily for hedged NGL and crude oil inventory and NYMEX and ICE margin deposits.</w:t>
      </w:r>
    </w:p>
    <w:p>
      <w:pPr>
        <w:spacing w:after="0" w:line="165" w:lineRule="exact"/>
        <w:rPr>
          <w:rFonts w:ascii="Arial" w:cs="Arial" w:eastAsia="Arial" w:hAnsi="Arial"/>
          <w:sz w:val="17"/>
          <w:szCs w:val="17"/>
          <w:color w:val="auto"/>
        </w:rPr>
      </w:pPr>
    </w:p>
    <w:p>
      <w:pPr>
        <w:jc w:val="both"/>
        <w:ind w:left="420" w:right="140" w:hanging="417"/>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September 30, 2015, we have classified PAA’s $175 million, 5.88% senior notes due August 2016 and a portion of PAA’s commercial paper notes as long-term based on PAA’s ability and intent to refinance such amounts on a long-term basis.</w:t>
      </w:r>
    </w:p>
    <w:p>
      <w:pPr>
        <w:spacing w:after="0" w:line="181" w:lineRule="exact"/>
        <w:rPr>
          <w:rFonts w:ascii="Arial" w:cs="Arial" w:eastAsia="Arial" w:hAnsi="Arial"/>
          <w:sz w:val="18"/>
          <w:szCs w:val="18"/>
          <w:color w:val="auto"/>
        </w:rPr>
      </w:pPr>
    </w:p>
    <w:p>
      <w:pPr>
        <w:ind w:left="420" w:right="80" w:hanging="417"/>
        <w:spacing w:after="0" w:line="270"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PAA’s fixed-rate senior notes (including current maturities) had a face value of approximately $9.8 billion and $9.3 billion as of September 30, 2015 and December 31, 2014, respectively. We estimated the aggregate fair value of these notes as of September 30, 2015 and December 31, 2014 to be approximately $9.7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credit facilities and the PAA commercial paper program approximates fair value as interest rates reflect current market rates. The fair value estimates for the PAA senior notes, credit facilities and the PAA commercial paper program are based upon observable market data and are classified in Level 2 of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 January 2015, PAA entered into an agreement for a 364-day senior unsecured revolving credit facility with a borrowing capacity of $1.0 billion. Borrowings accrue interest based, at PAA’s election, on either the Eurocurrency Rate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or the Base Rate, as defined in the agreement, in each case plus a margin based on PAA’s credit rating at the applicable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August 2015, PAA amended this agreement to extend the maturity date to August 2016.</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August 2015, PAA also extended the maturity dates of its senior secured hedged inventory facility and its senior unsecured revolving credit facility to August 2018 and August 2020, respectively.</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August 2015, AAP amended its credit agreement to, among other things, (i) increase its term loan commitments from $500 million to $550 million, (ii) increase the aggregate commitments under its senior secured revolving credit facility from $75 million to $125 million and (iii) extend the maturity date of the term loan and senior secured revolving credit facility to August 2020. In addition, the amendment provides for a $50 million accordion feature, which may be used to expand the term loan and/or revolving credit facility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Total borrowings under credit agreements and the PAA commercial paper program for the nine months ended September 30, 2015 and 2014 were approximately $37.1 billion and $55.7 billion, respectively. Total repayments under credit agreements and the PAA commercial paper program were approximately $36.9 billion and $56.3 billion for the nine months ended September 30,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September 30, 2015 and December 31, 2014, we had outstanding letters of credit of $44 million and $87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Issuances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August 2015, PAA completed the issuance of $1.0 billion, 4.65% senior notes due 2025 at a public offering price of 99.846%. Interest payments are due on April 15 and October 15 of each year, commencing on April 15,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PAA $150 million, 5.25% senior notes and $400 million, 3.95% senior notes were repaid in June 2015 and September 2015, respectively. We utilized cash on hand and available capacity under the PAA commercial paper program to repay these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nine months of 2015 (in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gridSpan w:val="2"/>
          </w:tcPr>
          <w:p>
            <w:pPr>
              <w:ind w:left="420"/>
              <w:spacing w:after="0"/>
              <w:rPr>
                <w:sz w:val="20"/>
                <w:szCs w:val="20"/>
                <w:color w:val="auto"/>
              </w:rPr>
            </w:pPr>
            <w:r>
              <w:rPr>
                <w:rFonts w:ascii="Arial" w:cs="Arial" w:eastAsia="Arial" w:hAnsi="Arial"/>
                <w:sz w:val="14"/>
                <w:szCs w:val="14"/>
                <w:b w:val="1"/>
                <w:bCs w:val="1"/>
                <w:color w:val="auto"/>
              </w:rPr>
              <w:t>Distributions to</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Distributions per</w:t>
            </w:r>
          </w:p>
        </w:tc>
      </w:tr>
      <w:tr>
        <w:trPr>
          <w:trHeight w:val="228"/>
        </w:trPr>
        <w:tc>
          <w:tcPr>
            <w:tcW w:w="152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980" w:type="dxa"/>
            <w:vAlign w:val="bottom"/>
            <w:gridSpan w:val="3"/>
          </w:tcPr>
          <w:p>
            <w:pPr>
              <w:ind w:left="180"/>
              <w:spacing w:after="0"/>
              <w:rPr>
                <w:sz w:val="20"/>
                <w:szCs w:val="20"/>
                <w:color w:val="auto"/>
              </w:rPr>
            </w:pPr>
            <w:r>
              <w:rPr>
                <w:rFonts w:ascii="Arial" w:cs="Arial" w:eastAsia="Arial" w:hAnsi="Arial"/>
                <w:sz w:val="14"/>
                <w:szCs w:val="14"/>
                <w:b w:val="1"/>
                <w:bCs w:val="1"/>
                <w:color w:val="auto"/>
              </w:rPr>
              <w:t>Distribution Date</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A Shareholders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Class A Share</w:t>
            </w:r>
          </w:p>
        </w:tc>
      </w:tr>
      <w:tr>
        <w:trPr>
          <w:trHeight w:val="223"/>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7, 2015</w:t>
            </w:r>
          </w:p>
        </w:tc>
        <w:tc>
          <w:tcPr>
            <w:tcW w:w="1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November 13, 2015</w:t>
            </w:r>
          </w:p>
        </w:tc>
        <w:tc>
          <w:tcPr>
            <w:tcW w:w="300" w:type="dxa"/>
            <w:vAlign w:val="bottom"/>
            <w:tcBorders>
              <w:top w:val="single" w:sz="8" w:color="CCEEFF"/>
            </w:tcBorders>
            <w:shd w:val="clear" w:color="auto" w:fill="CCEEFF"/>
          </w:tcPr>
          <w:p>
            <w:pPr>
              <w:jc w:val="right"/>
              <w:ind w:right="155"/>
              <w:spacing w:after="0"/>
              <w:rPr>
                <w:sz w:val="20"/>
                <w:szCs w:val="20"/>
                <w:color w:val="auto"/>
              </w:rPr>
            </w:pPr>
            <w:r>
              <w:rPr>
                <w:rFonts w:ascii="Arial" w:cs="Arial" w:eastAsia="Arial" w:hAnsi="Arial"/>
                <w:sz w:val="9"/>
                <w:szCs w:val="9"/>
                <w:color w:val="auto"/>
                <w:w w:val="72"/>
              </w:rPr>
              <w:t>(1)</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80" w:type="dxa"/>
            <w:vAlign w:val="bottom"/>
            <w:tcBorders>
              <w:top w:val="single" w:sz="8" w:color="CCEEFF"/>
            </w:tcBorders>
            <w:shd w:val="clear" w:color="auto" w:fill="CCEEFF"/>
          </w:tcPr>
          <w:p>
            <w:pPr>
              <w:spacing w:after="0"/>
              <w:rPr>
                <w:sz w:val="19"/>
                <w:szCs w:val="19"/>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July 7, 2015</w:t>
            </w:r>
          </w:p>
        </w:tc>
        <w:tc>
          <w:tcPr>
            <w:tcW w:w="1980" w:type="dxa"/>
            <w:vAlign w:val="bottom"/>
            <w:gridSpan w:val="3"/>
          </w:tcPr>
          <w:p>
            <w:pPr>
              <w:ind w:left="180"/>
              <w:spacing w:after="0"/>
              <w:rPr>
                <w:sz w:val="20"/>
                <w:szCs w:val="20"/>
                <w:color w:val="auto"/>
              </w:rPr>
            </w:pPr>
            <w:r>
              <w:rPr>
                <w:rFonts w:ascii="Arial" w:cs="Arial" w:eastAsia="Arial" w:hAnsi="Arial"/>
                <w:sz w:val="18"/>
                <w:szCs w:val="18"/>
                <w:color w:val="auto"/>
              </w:rPr>
              <w:t>August 14, 2015</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right w:val="single" w:sz="8" w:color="auto"/>
            </w:tcBorders>
          </w:tcPr>
          <w:p>
            <w:pPr>
              <w:spacing w:after="0"/>
              <w:rPr>
                <w:sz w:val="21"/>
                <w:szCs w:val="21"/>
                <w:color w:val="auto"/>
              </w:rPr>
            </w:pP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0.227</w:t>
            </w:r>
          </w:p>
        </w:tc>
        <w:tc>
          <w:tcPr>
            <w:tcW w:w="80" w:type="dxa"/>
            <w:vAlign w:val="bottom"/>
          </w:tcPr>
          <w:p>
            <w:pPr>
              <w:spacing w:after="0"/>
              <w:rPr>
                <w:sz w:val="21"/>
                <w:szCs w:val="21"/>
                <w:color w:val="auto"/>
              </w:rPr>
            </w:pPr>
          </w:p>
        </w:tc>
      </w:tr>
      <w:tr>
        <w:trPr>
          <w:trHeight w:val="243"/>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April 7, 2015</w:t>
            </w:r>
          </w:p>
        </w:tc>
        <w:tc>
          <w:tcPr>
            <w:tcW w:w="1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May 15, 2015</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right w:val="single" w:sz="8" w:color="auto"/>
            </w:tcBorders>
            <w:shd w:val="clear" w:color="auto" w:fill="CCEEFF"/>
          </w:tcPr>
          <w:p>
            <w:pPr>
              <w:spacing w:after="0"/>
              <w:rPr>
                <w:sz w:val="21"/>
                <w:szCs w:val="21"/>
                <w:color w:val="auto"/>
              </w:rPr>
            </w:pPr>
          </w:p>
        </w:tc>
        <w:tc>
          <w:tcPr>
            <w:tcW w:w="5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80" w:type="dxa"/>
            <w:vAlign w:val="bottom"/>
            <w:shd w:val="clear" w:color="auto" w:fill="CCEEFF"/>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January 8, 2015</w:t>
            </w:r>
          </w:p>
        </w:tc>
        <w:tc>
          <w:tcPr>
            <w:tcW w:w="1980" w:type="dxa"/>
            <w:vAlign w:val="bottom"/>
            <w:gridSpan w:val="3"/>
          </w:tcPr>
          <w:p>
            <w:pPr>
              <w:ind w:left="180"/>
              <w:spacing w:after="0"/>
              <w:rPr>
                <w:sz w:val="20"/>
                <w:szCs w:val="20"/>
                <w:color w:val="auto"/>
              </w:rPr>
            </w:pPr>
            <w:r>
              <w:rPr>
                <w:rFonts w:ascii="Arial" w:cs="Arial" w:eastAsia="Arial" w:hAnsi="Arial"/>
                <w:sz w:val="18"/>
                <w:szCs w:val="18"/>
                <w:color w:val="auto"/>
              </w:rPr>
              <w:t>February 13, 2015</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right w:val="single" w:sz="8" w:color="auto"/>
            </w:tcBorders>
          </w:tcPr>
          <w:p>
            <w:pPr>
              <w:spacing w:after="0"/>
              <w:rPr>
                <w:sz w:val="21"/>
                <w:szCs w:val="21"/>
                <w:color w:val="auto"/>
              </w:rPr>
            </w:pP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0.203</w:t>
            </w:r>
          </w:p>
        </w:tc>
        <w:tc>
          <w:tcPr>
            <w:tcW w:w="80" w:type="dxa"/>
            <w:vAlign w:val="bottom"/>
          </w:tcPr>
          <w:p>
            <w:pPr>
              <w:spacing w:after="0"/>
              <w:rPr>
                <w:sz w:val="21"/>
                <w:szCs w:val="21"/>
                <w:color w:val="auto"/>
              </w:rPr>
            </w:pPr>
          </w:p>
        </w:tc>
      </w:tr>
      <w:tr>
        <w:trPr>
          <w:trHeight w:val="891"/>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ind w:left="4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1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1440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right="440" w:hanging="417"/>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Payable to shareholders of record at the close of business on October 30, 2015 for the period July 1, 2015 through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For additional information regarding Exchange Rights, see Note 11 to our Consolidated Financial Statements included in Part IV of our 2014 Annual Report on Form 10-K. During the nine months ended September 30, 2015, certain holders of AAP units and their permitted transferees exercised their Exchange Right, which resulted in the exchange of AAP units, general partner units and our Class B shares for our Class A shares. The impact of such Exchange Right exercises on our Class A and Class B shares outstanding is reflected in the table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activity for our Class A shares and Class B shares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 Shares</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A Shares</w:t>
            </w:r>
          </w:p>
        </w:tc>
      </w:tr>
      <w:tr>
        <w:trPr>
          <w:trHeight w:val="23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399,096,499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206,933,274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140" w:type="dxa"/>
            <w:vAlign w:val="bottom"/>
          </w:tcPr>
          <w:p>
            <w:pPr>
              <w:jc w:val="right"/>
              <w:spacing w:after="0"/>
              <w:rPr>
                <w:sz w:val="20"/>
                <w:szCs w:val="20"/>
                <w:color w:val="auto"/>
              </w:rPr>
            </w:pPr>
            <w:r>
              <w:rPr>
                <w:rFonts w:ascii="Arial" w:cs="Arial" w:eastAsia="Arial" w:hAnsi="Arial"/>
                <w:sz w:val="18"/>
                <w:szCs w:val="18"/>
                <w:color w:val="auto"/>
              </w:rPr>
              <w:t>(20,250,884)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20,250,884</w:t>
            </w:r>
          </w:p>
        </w:tc>
        <w:tc>
          <w:tcPr>
            <w:tcW w:w="140" w:type="dxa"/>
            <w:vAlign w:val="bottom"/>
          </w:tcPr>
          <w:p>
            <w:pPr>
              <w:spacing w:after="0"/>
              <w:rPr>
                <w:sz w:val="18"/>
                <w:szCs w:val="18"/>
                <w:color w:val="auto"/>
              </w:rPr>
            </w:pPr>
          </w:p>
        </w:tc>
      </w:tr>
      <w:tr>
        <w:trPr>
          <w:trHeight w:val="24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40" w:type="dxa"/>
            <w:vAlign w:val="bottom"/>
            <w:shd w:val="clear" w:color="auto" w:fill="CCEEFF"/>
          </w:tcPr>
          <w:p>
            <w:pPr>
              <w:spacing w:after="0"/>
              <w:rPr>
                <w:sz w:val="21"/>
                <w:szCs w:val="2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378,845,615</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227,204,958</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September 30, 2015, noncontrolling interests in our subsidiaries consisted of (i) a 98% limited partner interest in PAA, (ii) an approximate 63% limited partner interest in AAP that consists of Class A units and AAP Management Units (a profits interest) and (iii) a 25% interest in SLC Pipeline LLC.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PAA Distributions</w:t>
      </w:r>
      <w:r>
        <w:rPr>
          <w:rFonts w:ascii="Arial" w:cs="Arial" w:eastAsia="Arial" w:hAnsi="Arial"/>
          <w:sz w:val="17"/>
          <w:szCs w:val="17"/>
          <w:color w:val="auto"/>
        </w:rPr>
        <w:t>. The following table details the distributions to PAA’s partners paid during or pertaining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nine months of 2015, net of incentive distribution reductions (in millions, except per unit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w w:val="92"/>
              </w:rPr>
              <w:t>Distributions to PAA</w:t>
            </w:r>
            <w:r>
              <w:rPr>
                <w:rFonts w:ascii="Arial" w:cs="Arial" w:eastAsia="Arial" w:hAnsi="Arial"/>
                <w:sz w:val="16"/>
                <w:szCs w:val="16"/>
                <w:b w:val="1"/>
                <w:bCs w:val="1"/>
                <w:color w:val="auto"/>
                <w:w w:val="92"/>
              </w:rPr>
              <w:t>’</w:t>
            </w:r>
            <w:r>
              <w:rPr>
                <w:rFonts w:ascii="Arial" w:cs="Arial" w:eastAsia="Arial" w:hAnsi="Arial"/>
                <w:sz w:val="14"/>
                <w:szCs w:val="14"/>
                <w:b w:val="1"/>
                <w:bCs w:val="1"/>
                <w:color w:val="auto"/>
                <w:w w:val="92"/>
              </w:rPr>
              <w:t>s Partners</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Distributions</w:t>
            </w:r>
          </w:p>
        </w:tc>
      </w:tr>
      <w:tr>
        <w:trPr>
          <w:trHeight w:val="237"/>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4"/>
                <w:szCs w:val="14"/>
                <w:b w:val="1"/>
                <w:bCs w:val="1"/>
                <w:color w:val="auto"/>
              </w:rPr>
              <w:t>Limited</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4"/>
              </w:rPr>
              <w:t>AAP</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 limited</w:t>
            </w:r>
          </w:p>
        </w:tc>
      </w:tr>
      <w:tr>
        <w:trPr>
          <w:trHeight w:val="223"/>
        </w:trPr>
        <w:tc>
          <w:tcPr>
            <w:tcW w:w="126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860" w:type="dxa"/>
            <w:vAlign w:val="bottom"/>
            <w:gridSpan w:val="3"/>
          </w:tcPr>
          <w:p>
            <w:pPr>
              <w:ind w:left="200"/>
              <w:spacing w:after="0"/>
              <w:rPr>
                <w:sz w:val="20"/>
                <w:szCs w:val="20"/>
                <w:color w:val="auto"/>
              </w:rPr>
            </w:pPr>
            <w:r>
              <w:rPr>
                <w:rFonts w:ascii="Arial" w:cs="Arial" w:eastAsia="Arial" w:hAnsi="Arial"/>
                <w:sz w:val="14"/>
                <w:szCs w:val="14"/>
                <w:b w:val="1"/>
                <w:bCs w:val="1"/>
                <w:color w:val="auto"/>
              </w:rPr>
              <w:t>Distribution Date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Partners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Incentive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partner unit</w:t>
            </w:r>
          </w:p>
        </w:tc>
      </w:tr>
      <w:tr>
        <w:trPr>
          <w:trHeight w:val="223"/>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October 7, 2015</w:t>
            </w:r>
          </w:p>
        </w:tc>
        <w:tc>
          <w:tcPr>
            <w:tcW w:w="2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November 13, 2015</w:t>
            </w:r>
          </w:p>
        </w:tc>
        <w:tc>
          <w:tcPr>
            <w:tcW w:w="1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July 7, 2015</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August 14, 2015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0.6950</w:t>
            </w:r>
          </w:p>
        </w:tc>
        <w:tc>
          <w:tcPr>
            <w:tcW w:w="120" w:type="dxa"/>
            <w:vAlign w:val="bottom"/>
          </w:tcPr>
          <w:p>
            <w:pPr>
              <w:spacing w:after="0"/>
              <w:rPr>
                <w:sz w:val="21"/>
                <w:szCs w:val="21"/>
                <w:color w:val="auto"/>
              </w:rPr>
            </w:pPr>
          </w:p>
        </w:tc>
      </w:tr>
      <w:tr>
        <w:trPr>
          <w:trHeight w:val="243"/>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April 7, 2015</w:t>
            </w:r>
          </w:p>
        </w:tc>
        <w:tc>
          <w:tcPr>
            <w:tcW w:w="1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May 15,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0.6850</w:t>
            </w:r>
          </w:p>
        </w:tc>
        <w:tc>
          <w:tcPr>
            <w:tcW w:w="120" w:type="dxa"/>
            <w:vAlign w:val="bottom"/>
            <w:shd w:val="clear" w:color="auto" w:fill="CCEEFF"/>
          </w:tcPr>
          <w:p>
            <w:pPr>
              <w:spacing w:after="0"/>
              <w:rPr>
                <w:sz w:val="21"/>
                <w:szCs w:val="2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w w:val="96"/>
              </w:rPr>
              <w:t>January 8, 2015</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February 13, 2015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0.6750</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0" w:right="540" w:hanging="417"/>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Payable to unitholders of record at the close of business on October 30, 2015 for the period July 1, 2015 through September 30,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The following table details the distributions to AAP’s partners from distributions received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PAA paid during or pertaining to the first nine months of 2015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4"/>
                <w:szCs w:val="14"/>
                <w:b w:val="1"/>
                <w:bCs w:val="1"/>
                <w:color w:val="auto"/>
                <w:w w:val="93"/>
              </w:rPr>
              <w:t>Distributions to AAP’s Partners</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52"/>
        </w:trPr>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Distributions Received</w:t>
            </w:r>
          </w:p>
        </w:tc>
        <w:tc>
          <w:tcPr>
            <w:tcW w:w="20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8"/>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Distribution Date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by AAP from PAA</w:t>
            </w:r>
          </w:p>
        </w:tc>
        <w:tc>
          <w:tcPr>
            <w:tcW w:w="200" w:type="dxa"/>
            <w:vAlign w:val="bottom"/>
          </w:tcPr>
          <w:p>
            <w:pPr>
              <w:spacing w:after="0"/>
              <w:rPr>
                <w:sz w:val="19"/>
                <w:szCs w:val="19"/>
                <w:color w:val="auto"/>
              </w:rPr>
            </w:pPr>
          </w:p>
        </w:tc>
        <w:tc>
          <w:tcPr>
            <w:tcW w:w="960" w:type="dxa"/>
            <w:vAlign w:val="bottom"/>
          </w:tcPr>
          <w:p>
            <w:pPr>
              <w:jc w:val="right"/>
              <w:ind w:right="7"/>
              <w:spacing w:after="0"/>
              <w:rPr>
                <w:sz w:val="20"/>
                <w:szCs w:val="20"/>
                <w:color w:val="auto"/>
              </w:rPr>
            </w:pPr>
            <w:r>
              <w:rPr>
                <w:rFonts w:ascii="Arial" w:cs="Arial" w:eastAsia="Arial" w:hAnsi="Arial"/>
                <w:sz w:val="14"/>
                <w:szCs w:val="14"/>
                <w:b w:val="1"/>
                <w:bCs w:val="1"/>
                <w:color w:val="auto"/>
              </w:rPr>
              <w:t>Reserves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PAGP</w:t>
            </w:r>
          </w:p>
        </w:tc>
      </w:tr>
      <w:tr>
        <w:trPr>
          <w:trHeight w:val="223"/>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November 13, 2015</w:t>
            </w:r>
          </w:p>
        </w:tc>
        <w:tc>
          <w:tcPr>
            <w:tcW w:w="240" w:type="dxa"/>
            <w:vAlign w:val="bottom"/>
            <w:tcBorders>
              <w:top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August 14, 2015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1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r>
      <w:tr>
        <w:trPr>
          <w:trHeight w:val="243"/>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1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21"/>
                <w:szCs w:val="21"/>
                <w:color w:val="auto"/>
              </w:rPr>
            </w:pP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February 13, 2015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1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540" w:hanging="417"/>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Payable to unitholders of record at the close of business on October 30, 2015 for the period July 1, 2015 through September 30, 2015.</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nine months ended September 30, 2015, distributions of $2 million were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interests in SLC Pipeline LLC.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of Common Units by Subsidiaries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PAA Continuous Offering Program</w:t>
      </w:r>
      <w:r>
        <w:rPr>
          <w:rFonts w:ascii="Arial" w:cs="Arial" w:eastAsia="Arial" w:hAnsi="Arial"/>
          <w:sz w:val="18"/>
          <w:szCs w:val="18"/>
          <w:color w:val="auto"/>
        </w:rPr>
        <w:t>. During the nine months ended September 30, 2015, PAA issued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 million common units under its continuous offering program, generating proceeds of $58 million, net of offering costs.</w:t>
      </w:r>
    </w:p>
    <w:p>
      <w:pPr>
        <w:spacing w:after="0" w:line="181"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i w:val="1"/>
          <w:iCs w:val="1"/>
          <w:color w:val="auto"/>
        </w:rPr>
        <w:t>PAA Underwritten Offering</w:t>
      </w:r>
      <w:r>
        <w:rPr>
          <w:rFonts w:ascii="Arial" w:cs="Arial" w:eastAsia="Arial" w:hAnsi="Arial"/>
          <w:sz w:val="16"/>
          <w:szCs w:val="16"/>
          <w:color w:val="auto"/>
        </w:rPr>
        <w:t>. In March 2015, PAA completed an underwritten public offering of 21.0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generating proceeds of approximately $1.0 billion, net of costs associated with the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core business activities involve certain commodity price-related risks that we manage in various ways,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including through the use of derivative instruments. Our policy is to (i) only purchase inventory for which we have a market,</w:t>
      </w:r>
    </w:p>
    <w:p>
      <w:pPr>
        <w:spacing w:after="0" w:line="32" w:lineRule="exact"/>
        <w:rPr>
          <w:sz w:val="20"/>
          <w:szCs w:val="20"/>
          <w:color w:val="auto"/>
        </w:rPr>
      </w:pPr>
    </w:p>
    <w:p>
      <w:pPr>
        <w:ind w:right="180" w:firstLine="3"/>
        <w:spacing w:after="0" w:line="302" w:lineRule="auto"/>
        <w:tabs>
          <w:tab w:leader="none" w:pos="265"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use derivatives to manage the associated risks and to optimize profits. As of September 30, 2015, net derivative positions related to these activities included:</w:t>
      </w:r>
    </w:p>
    <w:p>
      <w:pPr>
        <w:spacing w:after="0" w:line="181" w:lineRule="exact"/>
        <w:rPr>
          <w:sz w:val="20"/>
          <w:szCs w:val="20"/>
          <w:color w:val="auto"/>
        </w:rPr>
      </w:pPr>
    </w:p>
    <w:p>
      <w:pPr>
        <w:ind w:left="700" w:right="160" w:hanging="53"/>
        <w:spacing w:after="0" w:line="308" w:lineRule="auto"/>
        <w:rPr>
          <w:sz w:val="20"/>
          <w:szCs w:val="20"/>
          <w:color w:val="auto"/>
        </w:rPr>
      </w:pPr>
      <w:r>
        <w:rPr>
          <w:rFonts w:ascii="Arial" w:cs="Arial" w:eastAsia="Arial" w:hAnsi="Arial"/>
          <w:sz w:val="17"/>
          <w:szCs w:val="17"/>
          <w:color w:val="auto"/>
        </w:rPr>
        <w:t>·An average of 159,000 barrels per day net long position (total of 4.9 million barrels) associated with our crude oil purchases, which was unwound ratably during October 2015 to match monthly average pricing.</w:t>
      </w:r>
    </w:p>
    <w:p>
      <w:pPr>
        <w:spacing w:after="0" w:line="147" w:lineRule="exact"/>
        <w:rPr>
          <w:sz w:val="20"/>
          <w:szCs w:val="20"/>
          <w:color w:val="auto"/>
        </w:rPr>
      </w:pPr>
    </w:p>
    <w:p>
      <w:pPr>
        <w:ind w:left="700" w:right="380" w:hanging="53"/>
        <w:spacing w:after="0" w:line="277" w:lineRule="auto"/>
        <w:rPr>
          <w:sz w:val="20"/>
          <w:szCs w:val="20"/>
          <w:color w:val="auto"/>
        </w:rPr>
      </w:pPr>
      <w:r>
        <w:rPr>
          <w:rFonts w:ascii="Arial" w:cs="Arial" w:eastAsia="Arial" w:hAnsi="Arial"/>
          <w:sz w:val="18"/>
          <w:szCs w:val="18"/>
          <w:color w:val="auto"/>
        </w:rPr>
        <w:t>·A net short time spread position averaging 12,900 barrels per day (total of 5.9 million barrels), which hedges a portion of our anticipated crude oil lease gathering purchases through December 2016.</w:t>
      </w:r>
    </w:p>
    <w:p>
      <w:pPr>
        <w:spacing w:after="0" w:line="170" w:lineRule="exact"/>
        <w:rPr>
          <w:sz w:val="20"/>
          <w:szCs w:val="20"/>
          <w:color w:val="auto"/>
        </w:rPr>
      </w:pPr>
    </w:p>
    <w:p>
      <w:pPr>
        <w:ind w:left="700" w:right="560" w:hanging="53"/>
        <w:spacing w:after="0" w:line="277" w:lineRule="auto"/>
        <w:rPr>
          <w:sz w:val="20"/>
          <w:szCs w:val="20"/>
          <w:color w:val="auto"/>
        </w:rPr>
      </w:pPr>
      <w:r>
        <w:rPr>
          <w:rFonts w:ascii="Arial" w:cs="Arial" w:eastAsia="Arial" w:hAnsi="Arial"/>
          <w:sz w:val="18"/>
          <w:szCs w:val="18"/>
          <w:color w:val="auto"/>
        </w:rPr>
        <w:t>·An average of 8,200 barrels per day (total of 2.2 million barrels) of crude oil grade spread positions through June 2016. These derivatives allow us to lock in grade basis differentials.</w:t>
      </w:r>
    </w:p>
    <w:p>
      <w:pPr>
        <w:spacing w:after="0" w:line="170" w:lineRule="exact"/>
        <w:rPr>
          <w:sz w:val="20"/>
          <w:szCs w:val="20"/>
          <w:color w:val="auto"/>
        </w:rPr>
      </w:pPr>
    </w:p>
    <w:p>
      <w:pPr>
        <w:ind w:left="700" w:hanging="53"/>
        <w:spacing w:after="0" w:line="277" w:lineRule="auto"/>
        <w:rPr>
          <w:sz w:val="20"/>
          <w:szCs w:val="20"/>
          <w:color w:val="auto"/>
        </w:rPr>
      </w:pPr>
      <w:r>
        <w:rPr>
          <w:rFonts w:ascii="Arial" w:cs="Arial" w:eastAsia="Arial" w:hAnsi="Arial"/>
          <w:sz w:val="18"/>
          <w:szCs w:val="18"/>
          <w:color w:val="auto"/>
        </w:rPr>
        <w:t>·A net short position of 15.8 Bcf through May 2016 related to anticipated sales of natural gas inventory and base gas requirements.</w:t>
      </w:r>
    </w:p>
    <w:p>
      <w:pPr>
        <w:spacing w:after="0" w:line="170" w:lineRule="exact"/>
        <w:rPr>
          <w:sz w:val="20"/>
          <w:szCs w:val="20"/>
          <w:color w:val="auto"/>
        </w:rPr>
      </w:pPr>
    </w:p>
    <w:p>
      <w:pPr>
        <w:ind w:left="700" w:right="200" w:hanging="53"/>
        <w:spacing w:after="0" w:line="277" w:lineRule="auto"/>
        <w:rPr>
          <w:sz w:val="20"/>
          <w:szCs w:val="20"/>
          <w:color w:val="auto"/>
        </w:rPr>
      </w:pPr>
      <w:r>
        <w:rPr>
          <w:rFonts w:ascii="Arial" w:cs="Arial" w:eastAsia="Arial" w:hAnsi="Arial"/>
          <w:sz w:val="18"/>
          <w:szCs w:val="18"/>
          <w:color w:val="auto"/>
        </w:rPr>
        <w:t>·A net short position of 22.7 million barrels through June 2017 related to anticipated net sales of our crude oil and NGL inventory.</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Storage Capacity Utilization — </w:t>
      </w:r>
      <w:r>
        <w:rPr>
          <w:rFonts w:ascii="Arial" w:cs="Arial" w:eastAsia="Arial" w:hAnsi="Arial"/>
          <w:sz w:val="17"/>
          <w:szCs w:val="17"/>
          <w:color w:val="auto"/>
        </w:rPr>
        <w:t>We own a significant amount of crude oil, NGL and refined products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September 30, 2015, we used derivatives to manage the risk of potentially not utilizing an average of approximately 2.0 million barrels per month of storage capacity through January 2018. These positions involve no outright price exposure, but instead enable us to profit in the event it is not economic to store oil.</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Pipeline Loss Allowance Oil </w:t>
      </w:r>
      <w:r>
        <w:rPr>
          <w:rFonts w:ascii="Arial" w:cs="Arial" w:eastAsia="Arial" w:hAnsi="Arial"/>
          <w:sz w:val="17"/>
          <w:szCs w:val="17"/>
          <w:color w:val="auto"/>
        </w:rPr>
        <w:t>— As is common in the pipeline transportation industry, our tariffs incorporate a loss</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factor that is intended to, among other things, offset losses due to evaporation, measurement and other losses in transit. We utilize derivative instruments to hedge a portion of the anticipated sales of the allowance oil that is to be collected under our tariffs. As of September 30, 2015, our PLA hedges included a net short position consisting of crude oil futures and swaps for an average of approximately 400 barrels per day (total of 0.2 million barrels) and a long call option position of approximately 1.7 million barrels through December 2018.</w:t>
      </w:r>
    </w:p>
    <w:p>
      <w:pPr>
        <w:spacing w:after="0" w:line="178"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2015, we had a long natural gas position of 9.7 Bcf through December 2016, a short propane position of 2.2 million barrels through December 2016, a short butane position of 0.6 million barrels through December 2016 and a short WTI position of 0.2 million barrels through December 2016. In addition, we had a long power position of 0.5 million megawatt hours, which hedges a portion of our power supply requirements at our Canadian natural gas processing and fractionation plants through December 2018.</w:t>
      </w:r>
    </w:p>
    <w:p>
      <w:pPr>
        <w:spacing w:after="0" w:line="18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September 30, 2015, AOCI includes deferred losses of $192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6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have entered into forward starting interest rate swaps to hedge the underlying benchmark interest rate related to forecasted interest payments through 2049. The following table summarizes the terms of our forward starting interest rate swaps as of September 30, 2015 (notional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ind w:left="120"/>
              <w:spacing w:after="0"/>
              <w:rPr>
                <w:sz w:val="20"/>
                <w:szCs w:val="20"/>
                <w:color w:val="auto"/>
              </w:rPr>
            </w:pPr>
            <w:r>
              <w:rPr>
                <w:rFonts w:ascii="Arial" w:cs="Arial" w:eastAsia="Arial" w:hAnsi="Arial"/>
                <w:sz w:val="14"/>
                <w:szCs w:val="14"/>
                <w:b w:val="1"/>
                <w:bCs w:val="1"/>
                <w:color w:val="auto"/>
                <w:w w:val="99"/>
              </w:rPr>
              <w:t>Number and Types of</w:t>
            </w:r>
          </w:p>
        </w:tc>
        <w:tc>
          <w:tcPr>
            <w:tcW w:w="16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Notional</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Expected</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1"/>
              </w:rPr>
              <w:t>Average Rate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Accounting</w:t>
            </w:r>
          </w:p>
        </w:tc>
      </w:tr>
      <w:tr>
        <w:trPr>
          <w:trHeight w:val="228"/>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Hedged Transaction</w:t>
            </w:r>
          </w:p>
        </w:tc>
        <w:tc>
          <w:tcPr>
            <w:tcW w:w="1560" w:type="dxa"/>
            <w:vAlign w:val="bottom"/>
          </w:tcPr>
          <w:p>
            <w:pPr>
              <w:ind w:left="100"/>
              <w:spacing w:after="0"/>
              <w:rPr>
                <w:sz w:val="20"/>
                <w:szCs w:val="20"/>
                <w:color w:val="auto"/>
              </w:rPr>
            </w:pPr>
            <w:r>
              <w:rPr>
                <w:rFonts w:ascii="Arial" w:cs="Arial" w:eastAsia="Arial" w:hAnsi="Arial"/>
                <w:sz w:val="14"/>
                <w:szCs w:val="14"/>
                <w:b w:val="1"/>
                <w:bCs w:val="1"/>
                <w:color w:val="auto"/>
                <w:w w:val="98"/>
              </w:rPr>
              <w:t>Derivatives Employed</w:t>
            </w:r>
          </w:p>
        </w:tc>
        <w:tc>
          <w:tcPr>
            <w:tcW w:w="160" w:type="dxa"/>
            <w:vAlign w:val="bottom"/>
          </w:tcPr>
          <w:p>
            <w:pPr>
              <w:spacing w:after="0"/>
              <w:rPr>
                <w:sz w:val="19"/>
                <w:szCs w:val="19"/>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Termination Date</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Locked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r>
      <w:tr>
        <w:trPr>
          <w:trHeight w:val="195"/>
        </w:trPr>
        <w:tc>
          <w:tcPr>
            <w:tcW w:w="2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1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 forward starting</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6/15/2016</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3.06</w:t>
            </w:r>
          </w:p>
        </w:tc>
        <w:tc>
          <w:tcPr>
            <w:tcW w:w="26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w:t>
            </w:r>
          </w:p>
        </w:tc>
        <w:tc>
          <w:tcPr>
            <w:tcW w:w="14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2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2"/>
              </w:rPr>
              <w:t>8 forward starting</w:t>
            </w:r>
          </w:p>
        </w:tc>
        <w:tc>
          <w:tcPr>
            <w:tcW w:w="340" w:type="dxa"/>
            <w:vAlign w:val="bottom"/>
            <w:gridSpan w:val="2"/>
          </w:tcPr>
          <w:p>
            <w:pPr>
              <w:jc w:val="right"/>
              <w:ind w:right="2"/>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6/15/2017</w:t>
            </w:r>
          </w:p>
        </w:tc>
        <w:tc>
          <w:tcPr>
            <w:tcW w:w="160" w:type="dxa"/>
            <w:vAlign w:val="bottom"/>
          </w:tcPr>
          <w:p>
            <w:pPr>
              <w:spacing w:after="0"/>
              <w:rPr>
                <w:sz w:val="17"/>
                <w:szCs w:val="17"/>
                <w:color w:val="auto"/>
              </w:rPr>
            </w:pPr>
          </w:p>
        </w:tc>
        <w:tc>
          <w:tcPr>
            <w:tcW w:w="11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3.14 %</w:t>
            </w:r>
          </w:p>
        </w:tc>
        <w:tc>
          <w:tcPr>
            <w:tcW w:w="15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8 forward starting</w:t>
            </w:r>
          </w:p>
        </w:tc>
        <w:tc>
          <w:tcPr>
            <w:tcW w:w="340" w:type="dxa"/>
            <w:vAlign w:val="bottom"/>
            <w:gridSpan w:val="2"/>
            <w:shd w:val="clear" w:color="auto" w:fill="CCEEFF"/>
          </w:tcPr>
          <w:p>
            <w:pPr>
              <w:jc w:val="right"/>
              <w:ind w:right="2"/>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6/15/2018</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3.20 %</w:t>
            </w:r>
          </w:p>
        </w:tc>
        <w:tc>
          <w:tcPr>
            <w:tcW w:w="15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2"/>
              </w:rPr>
              <w:t>8 forward starting</w:t>
            </w:r>
          </w:p>
        </w:tc>
        <w:tc>
          <w:tcPr>
            <w:tcW w:w="340" w:type="dxa"/>
            <w:vAlign w:val="bottom"/>
            <w:gridSpan w:val="2"/>
          </w:tcPr>
          <w:p>
            <w:pPr>
              <w:jc w:val="right"/>
              <w:ind w:right="2"/>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6/14/2019</w:t>
            </w:r>
          </w:p>
        </w:tc>
        <w:tc>
          <w:tcPr>
            <w:tcW w:w="160" w:type="dxa"/>
            <w:vAlign w:val="bottom"/>
          </w:tcPr>
          <w:p>
            <w:pPr>
              <w:spacing w:after="0"/>
              <w:rPr>
                <w:sz w:val="17"/>
                <w:szCs w:val="17"/>
                <w:color w:val="auto"/>
              </w:rPr>
            </w:pPr>
          </w:p>
        </w:tc>
        <w:tc>
          <w:tcPr>
            <w:tcW w:w="11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2.83 %</w:t>
            </w:r>
          </w:p>
        </w:tc>
        <w:tc>
          <w:tcPr>
            <w:tcW w:w="15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swaps (30-year)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2015, we made a cash payment of approximately $31 million in connection with the termination of ten forward starting swaps that had an aggregate notional amount of $250 million and an average fixed rate of 3.60%. In August 2015, we made a cash payment of approximately $21 million in connection with the termination of seven forward starting swaps that had an aggregate notional amount of $250 million and an average fixed rate of 3.03%. In conjunction with these terminations, we recognized a loss of $4 million in interest expense attributable to an anticipated hedged transaction that is no longer probable of occurring.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September 30,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open forward exchange contracts as of September 30, 2015 (in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Average Exchange Rate</w:t>
            </w:r>
          </w:p>
        </w:tc>
      </w:tr>
      <w:tr>
        <w:trPr>
          <w:trHeight w:val="228"/>
        </w:trPr>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CAD</w:t>
            </w:r>
          </w:p>
        </w:tc>
        <w:tc>
          <w:tcPr>
            <w:tcW w:w="160" w:type="dxa"/>
            <w:vAlign w:val="bottom"/>
          </w:tcPr>
          <w:p>
            <w:pPr>
              <w:spacing w:after="0"/>
              <w:rPr>
                <w:sz w:val="19"/>
                <w:szCs w:val="19"/>
                <w:color w:val="auto"/>
              </w:rPr>
            </w:pPr>
          </w:p>
        </w:tc>
        <w:tc>
          <w:tcPr>
            <w:tcW w:w="1540" w:type="dxa"/>
            <w:vAlign w:val="bottom"/>
            <w:gridSpan w:val="5"/>
          </w:tcPr>
          <w:p>
            <w:pPr>
              <w:ind w:left="340"/>
              <w:spacing w:after="0"/>
              <w:rPr>
                <w:sz w:val="20"/>
                <w:szCs w:val="20"/>
                <w:color w:val="auto"/>
              </w:rPr>
            </w:pPr>
            <w:r>
              <w:rPr>
                <w:rFonts w:ascii="Arial" w:cs="Arial" w:eastAsia="Arial" w:hAnsi="Arial"/>
                <w:sz w:val="14"/>
                <w:szCs w:val="14"/>
                <w:b w:val="1"/>
                <w:bCs w:val="1"/>
                <w:color w:val="auto"/>
              </w:rPr>
              <w:t>USD to CAD</w:t>
            </w:r>
          </w:p>
        </w:tc>
      </w:tr>
      <w:tr>
        <w:trPr>
          <w:trHeight w:val="237"/>
        </w:trPr>
        <w:tc>
          <w:tcPr>
            <w:tcW w:w="5660" w:type="dxa"/>
            <w:vAlign w:val="bottom"/>
            <w:tcBorders>
              <w:top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r>
      <w:tr>
        <w:trPr>
          <w:trHeight w:val="243"/>
        </w:trPr>
        <w:tc>
          <w:tcPr>
            <w:tcW w:w="56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$ 1.00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21"/>
                <w:szCs w:val="21"/>
                <w:color w:val="auto"/>
              </w:rPr>
            </w:pPr>
          </w:p>
        </w:tc>
      </w:tr>
      <w:tr>
        <w:trPr>
          <w:trHeight w:val="243"/>
        </w:trPr>
        <w:tc>
          <w:tcPr>
            <w:tcW w:w="5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EEFF"/>
          </w:tcPr>
          <w:p>
            <w:pPr>
              <w:spacing w:after="0"/>
              <w:rPr>
                <w:sz w:val="21"/>
                <w:szCs w:val="21"/>
                <w:color w:val="auto"/>
              </w:rPr>
            </w:pPr>
          </w:p>
        </w:tc>
      </w:tr>
      <w:tr>
        <w:trPr>
          <w:trHeight w:val="217"/>
        </w:trPr>
        <w:tc>
          <w:tcPr>
            <w:tcW w:w="5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43"/>
        </w:trPr>
        <w:tc>
          <w:tcPr>
            <w:tcW w:w="5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5660" w:type="dxa"/>
            <w:vAlign w:val="bottom"/>
          </w:tcPr>
          <w:p>
            <w:pPr>
              <w:jc w:val="right"/>
              <w:ind w:right="10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21"/>
                <w:szCs w:val="21"/>
                <w:color w:val="auto"/>
              </w:rPr>
            </w:pPr>
          </w:p>
        </w:tc>
      </w:tr>
      <w:tr>
        <w:trPr>
          <w:trHeight w:val="243"/>
        </w:trPr>
        <w:tc>
          <w:tcPr>
            <w:tcW w:w="56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$ 1.00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tcPr>
          <w:p>
            <w:pPr>
              <w:spacing w:after="0"/>
              <w:rPr>
                <w:sz w:val="21"/>
                <w:szCs w:val="21"/>
                <w:color w:val="auto"/>
              </w:rPr>
            </w:pPr>
          </w:p>
        </w:tc>
      </w:tr>
      <w:tr>
        <w:trPr>
          <w:trHeight w:val="217"/>
        </w:trPr>
        <w:tc>
          <w:tcPr>
            <w:tcW w:w="5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Three Months Ended September 30, 2015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4"/>
                <w:szCs w:val="14"/>
                <w:b w:val="1"/>
                <w:bCs w:val="1"/>
                <w:color w:val="auto"/>
                <w:w w:val="92"/>
              </w:rPr>
              <w:t>Derivatives in Hedging Relationships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Derivatives Not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rPr>
              <w:t>from AOCI</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Designated</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Supply and Logistics segment revenues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Transportation segment revenues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Supply and Logistics segment revenues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38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Three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13970</wp:posOffset>
            </wp:positionV>
            <wp:extent cx="3395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87"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6350</wp:posOffset>
            </wp:positionV>
            <wp:extent cx="16205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Gain/(Loss)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r>
      <w:tr>
        <w:trPr>
          <w:trHeight w:val="243"/>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Reclassified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r>
      <w:tr>
        <w:trPr>
          <w:trHeight w:val="243"/>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from AOCI</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r>
      <w:tr>
        <w:trPr>
          <w:trHeight w:val="228"/>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auto"/>
        </w:rPr>
        <w:t>Derivatives Not</w:t>
      </w:r>
    </w:p>
    <w:p>
      <w:pPr>
        <w:spacing w:after="0" w:line="94" w:lineRule="exact"/>
        <w:rPr>
          <w:sz w:val="20"/>
          <w:szCs w:val="20"/>
          <w:color w:val="auto"/>
        </w:rPr>
      </w:pPr>
    </w:p>
    <w:p>
      <w:pPr>
        <w:jc w:val="center"/>
        <w:ind w:right="1700"/>
        <w:spacing w:after="0"/>
        <w:rPr>
          <w:sz w:val="20"/>
          <w:szCs w:val="20"/>
          <w:color w:val="auto"/>
        </w:rPr>
      </w:pPr>
      <w:r>
        <w:rPr>
          <w:rFonts w:ascii="Arial" w:cs="Arial" w:eastAsia="Arial" w:hAnsi="Arial"/>
          <w:sz w:val="14"/>
          <w:szCs w:val="14"/>
          <w:b w:val="1"/>
          <w:bCs w:val="1"/>
          <w:color w:val="auto"/>
        </w:rPr>
        <w:t>Designated</w:t>
      </w:r>
    </w:p>
    <w:p>
      <w:pPr>
        <w:spacing w:after="0" w:line="82"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4"/>
          <w:szCs w:val="14"/>
          <w:b w:val="1"/>
          <w:bCs w:val="1"/>
          <w:color w:val="auto"/>
        </w:rPr>
        <w:t>as a Hedge</w:t>
      </w:r>
      <w:r>
        <w:rPr>
          <w:sz w:val="20"/>
          <w:szCs w:val="20"/>
          <w:color w:val="auto"/>
        </w:rPr>
        <w:tab/>
      </w:r>
      <w:r>
        <w:rPr>
          <w:rFonts w:ascii="Arial" w:cs="Arial" w:eastAsia="Arial" w:hAnsi="Arial"/>
          <w:sz w:val="13"/>
          <w:szCs w:val="13"/>
          <w:b w:val="1"/>
          <w:bCs w:val="1"/>
          <w:color w:val="auto"/>
        </w:rPr>
        <w:t>Total</w:t>
      </w:r>
    </w:p>
    <w:p>
      <w:pPr>
        <w:spacing w:after="0" w:line="24" w:lineRule="exact"/>
        <w:rPr>
          <w:sz w:val="20"/>
          <w:szCs w:val="20"/>
          <w:color w:val="auto"/>
        </w:rPr>
      </w:pPr>
    </w:p>
    <w:p>
      <w:pPr>
        <w:sectPr>
          <w:pgSz w:w="11900" w:h="16838" w:orient="portrait"/>
          <w:cols w:equalWidth="0" w:num="2">
            <w:col w:w="6100" w:space="300"/>
            <w:col w:w="266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left w:val="single" w:sz="8" w:color="CCEEFF"/>
            </w:tcBorders>
            <w:shd w:val="clear" w:color="auto" w:fill="CCEEFF"/>
          </w:tcPr>
          <w:p>
            <w:pPr>
              <w:spacing w:after="0"/>
              <w:rPr>
                <w:sz w:val="19"/>
                <w:szCs w:val="19"/>
                <w:color w:val="auto"/>
              </w:rPr>
            </w:pPr>
          </w:p>
        </w:tc>
        <w:tc>
          <w:tcPr>
            <w:tcW w:w="118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Supply and Logistics segment 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Supply and Logistics segment revenues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220" w:type="dxa"/>
            <w:vAlign w:val="bottom"/>
            <w:vMerge w:val="restart"/>
            <w:shd w:val="clear" w:color="auto" w:fill="CCEEFF"/>
          </w:tcPr>
          <w:p>
            <w:pPr>
              <w:spacing w:after="0"/>
              <w:rPr>
                <w:sz w:val="15"/>
                <w:szCs w:val="15"/>
                <w:color w:val="auto"/>
              </w:rPr>
            </w:pPr>
          </w:p>
        </w:tc>
        <w:tc>
          <w:tcPr>
            <w:tcW w:w="16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220" w:type="dxa"/>
            <w:vAlign w:val="bottom"/>
            <w:vMerge w:val="continue"/>
            <w:shd w:val="clear" w:color="auto" w:fill="CCEEFF"/>
          </w:tcPr>
          <w:p>
            <w:pPr>
              <w:spacing w:after="0"/>
              <w:rPr>
                <w:sz w:val="19"/>
                <w:szCs w:val="19"/>
                <w:color w:val="auto"/>
              </w:rPr>
            </w:pPr>
          </w:p>
        </w:tc>
        <w:tc>
          <w:tcPr>
            <w:tcW w:w="160" w:type="dxa"/>
            <w:vAlign w:val="bottom"/>
            <w:tcBorders>
              <w:left w:val="single" w:sz="8" w:color="CCEEFF"/>
            </w:tcBorders>
            <w:vMerge w:val="continue"/>
            <w:shd w:val="clear" w:color="auto" w:fill="CCEEFF"/>
          </w:tcPr>
          <w:p>
            <w:pPr>
              <w:spacing w:after="0"/>
              <w:rPr>
                <w:sz w:val="19"/>
                <w:szCs w:val="19"/>
                <w:color w:val="auto"/>
              </w:rPr>
            </w:pPr>
          </w:p>
        </w:tc>
        <w:tc>
          <w:tcPr>
            <w:tcW w:w="118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0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0" w:type="dxa"/>
            <w:vAlign w:val="bottom"/>
            <w:tcBorders>
              <w:right w:val="single" w:sz="8" w:color="CCEEFF"/>
            </w:tcBorders>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Nine Months Ended September 30, 2015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Derivatives in Hedging Relationships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8"/>
              </w:rPr>
              <w:t>Reclassified</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Derivatives Not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rPr>
              <w:t>from AOCI</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Designated</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as a Hedge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left w:val="single" w:sz="8" w:color="CCEEFF"/>
            </w:tcBorders>
            <w:shd w:val="clear" w:color="auto" w:fill="CCEEFF"/>
          </w:tcPr>
          <w:p>
            <w:pPr>
              <w:spacing w:after="0"/>
              <w:rPr>
                <w:sz w:val="20"/>
                <w:szCs w:val="20"/>
                <w:color w:val="auto"/>
              </w:rPr>
            </w:pPr>
          </w:p>
        </w:tc>
        <w:tc>
          <w:tcPr>
            <w:tcW w:w="1180" w:type="dxa"/>
            <w:vAlign w:val="bottom"/>
            <w:tcBorders>
              <w:top w:val="single" w:sz="8" w:color="auto"/>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Supply and Logistics segment 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Transportation segment revenues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Supply and Logistics segment revenues</w:t>
            </w: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380" w:type="dxa"/>
            <w:vAlign w:val="bottom"/>
            <w:gridSpan w:val="2"/>
            <w:vMerge w:val="continue"/>
            <w:shd w:val="clear" w:color="auto" w:fill="CCEEFF"/>
          </w:tcPr>
          <w:p>
            <w:pPr>
              <w:spacing w:after="0"/>
              <w:rPr>
                <w:sz w:val="19"/>
                <w:szCs w:val="19"/>
                <w:color w:val="auto"/>
              </w:rPr>
            </w:pPr>
          </w:p>
        </w:tc>
        <w:tc>
          <w:tcPr>
            <w:tcW w:w="118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Nine Months Ended September 30, 2014</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Derivatives in Hedging Relationships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Derivatives Not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b w:val="1"/>
                <w:bCs w:val="1"/>
                <w:color w:val="auto"/>
              </w:rPr>
              <w:t>from AOCI</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Designated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Supply and Logistics segment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Supply and Logistics segment revenues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18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gains/(losses) on cash flow hedges reclassified from AOCI to income during the period.</w:t>
      </w:r>
    </w:p>
    <w:p>
      <w:pPr>
        <w:spacing w:after="0" w:line="238" w:lineRule="exact"/>
        <w:rPr>
          <w:rFonts w:ascii="Arial" w:cs="Arial" w:eastAsia="Arial" w:hAnsi="Arial"/>
          <w:sz w:val="18"/>
          <w:szCs w:val="18"/>
          <w:color w:val="auto"/>
        </w:rPr>
      </w:pPr>
    </w:p>
    <w:p>
      <w:pPr>
        <w:ind w:left="420" w:right="60" w:hanging="417"/>
        <w:spacing w:after="0" w:line="25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nine months ended September 30, 2015 we reclassified a loss of approximately $4 million from AOCI to Interest expense as a result of an anticipated hedged transaction that is no longer probable of occurring. All of our anticipated hedged transactions were deemed probable of occurring during the three months ended September 30, 2015 and the three and nine months ended September 30, 2014.</w:t>
      </w:r>
    </w:p>
    <w:p>
      <w:pPr>
        <w:spacing w:after="0" w:line="186" w:lineRule="exact"/>
        <w:rPr>
          <w:rFonts w:ascii="Arial" w:cs="Arial" w:eastAsia="Arial" w:hAnsi="Arial"/>
          <w:sz w:val="18"/>
          <w:szCs w:val="18"/>
          <w:color w:val="auto"/>
        </w:rPr>
      </w:pPr>
    </w:p>
    <w:p>
      <w:pPr>
        <w:ind w:left="620" w:hanging="61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represent ineffective portion of cash flow hedges.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September 30, 2015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 Derivatives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60" w:type="dxa"/>
            <w:vAlign w:val="bottom"/>
          </w:tcPr>
          <w:p>
            <w:pPr>
              <w:spacing w:after="0"/>
              <w:rPr>
                <w:sz w:val="19"/>
                <w:szCs w:val="19"/>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3"/>
              </w:rPr>
              <w:t>Derivatives designated as hedging</w:t>
            </w:r>
          </w:p>
        </w:tc>
        <w:tc>
          <w:tcPr>
            <w:tcW w:w="18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instruments:</w:t>
            </w:r>
          </w:p>
        </w:tc>
        <w:tc>
          <w:tcPr>
            <w:tcW w:w="1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gridSpan w:val="2"/>
          </w:tcPr>
          <w:p>
            <w:pPr>
              <w:spacing w:after="0"/>
              <w:rPr>
                <w:sz w:val="20"/>
                <w:szCs w:val="20"/>
                <w:color w:val="auto"/>
              </w:rPr>
            </w:pPr>
            <w:r>
              <w:rPr>
                <w:rFonts w:ascii="Arial" w:cs="Arial" w:eastAsia="Arial" w:hAnsi="Arial"/>
                <w:sz w:val="18"/>
                <w:szCs w:val="18"/>
                <w:color w:val="auto"/>
              </w:rPr>
              <w:t>Commodity derivatives</w:t>
            </w:r>
          </w:p>
        </w:tc>
        <w:tc>
          <w:tcPr>
            <w:tcW w:w="220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right w:val="single" w:sz="8" w:color="auto"/>
            </w:tcBorders>
          </w:tcPr>
          <w:p>
            <w:pPr>
              <w:spacing w:after="0"/>
              <w:rPr>
                <w:sz w:val="21"/>
                <w:szCs w:val="21"/>
                <w:color w:val="auto"/>
              </w:rPr>
            </w:pPr>
          </w:p>
        </w:tc>
        <w:tc>
          <w:tcPr>
            <w:tcW w:w="226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Other long-term assets, net</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1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and deferred credits</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derivatives designated as</w:t>
            </w:r>
          </w:p>
        </w:tc>
        <w:tc>
          <w:tcPr>
            <w:tcW w:w="1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hedging instruments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CCEEFF"/>
              <w:right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1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hedging instruments:</w:t>
            </w:r>
          </w:p>
        </w:tc>
        <w:tc>
          <w:tcPr>
            <w:tcW w:w="1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20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right w:val="single" w:sz="8" w:color="auto"/>
            </w:tcBorders>
          </w:tcPr>
          <w:p>
            <w:pPr>
              <w:spacing w:after="0"/>
              <w:rPr>
                <w:sz w:val="21"/>
                <w:szCs w:val="21"/>
                <w:color w:val="auto"/>
              </w:rPr>
            </w:pPr>
          </w:p>
        </w:tc>
        <w:tc>
          <w:tcPr>
            <w:tcW w:w="226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Other long-term assets, net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right w:val="single" w:sz="8" w:color="auto"/>
            </w:tcBorders>
            <w:shd w:val="clear" w:color="auto" w:fill="CCEEFF"/>
          </w:tcPr>
          <w:p>
            <w:pPr>
              <w:spacing w:after="0"/>
              <w:rPr>
                <w:sz w:val="21"/>
                <w:szCs w:val="21"/>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Other long-term assets, net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26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2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deferred credits</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spacing w:after="0" w:line="182" w:lineRule="exact"/>
              <w:rPr>
                <w:sz w:val="20"/>
                <w:szCs w:val="20"/>
                <w:color w:val="auto"/>
              </w:rPr>
            </w:pPr>
            <w:r>
              <w:rPr>
                <w:rFonts w:ascii="Arial" w:cs="Arial" w:eastAsia="Arial" w:hAnsi="Arial"/>
                <w:sz w:val="18"/>
                <w:szCs w:val="18"/>
                <w:color w:val="auto"/>
                <w:w w:val="99"/>
              </w:rPr>
              <w:t>Total derivatives not designated as</w:t>
            </w:r>
          </w:p>
        </w:tc>
        <w:tc>
          <w:tcPr>
            <w:tcW w:w="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hedging instruments</w:t>
            </w: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7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derivatives</w:t>
            </w: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0" w:type="dxa"/>
            <w:vAlign w:val="bottom"/>
            <w:gridSpan w:val="2"/>
          </w:tcPr>
          <w:p>
            <w:pPr>
              <w:jc w:val="right"/>
              <w:ind w:right="308"/>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9"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December 31, 2014 (in millions):</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right="240" w:hanging="129"/>
        <w:spacing w:after="0" w:line="268" w:lineRule="auto"/>
        <w:rPr>
          <w:sz w:val="20"/>
          <w:szCs w:val="20"/>
          <w:color w:val="auto"/>
        </w:rPr>
      </w:pPr>
      <w:r>
        <w:rPr>
          <w:rFonts w:ascii="Arial" w:cs="Arial" w:eastAsia="Arial" w:hAnsi="Arial"/>
          <w:sz w:val="18"/>
          <w:szCs w:val="18"/>
          <w:b w:val="1"/>
          <w:bCs w:val="1"/>
          <w:color w:val="auto"/>
        </w:rPr>
        <w:t>Derivatives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derivatives</w:t>
      </w:r>
    </w:p>
    <w:p>
      <w:pPr>
        <w:spacing w:after="0" w:line="200" w:lineRule="exact"/>
        <w:rPr>
          <w:sz w:val="20"/>
          <w:szCs w:val="20"/>
          <w:color w:val="auto"/>
        </w:rPr>
      </w:pPr>
    </w:p>
    <w:p>
      <w:pPr>
        <w:spacing w:after="0" w:line="241"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Total derivatives designated as hedging instruments</w:t>
      </w:r>
    </w:p>
    <w:p>
      <w:pPr>
        <w:spacing w:after="0" w:line="207" w:lineRule="exact"/>
        <w:rPr>
          <w:sz w:val="20"/>
          <w:szCs w:val="20"/>
          <w:color w:val="auto"/>
        </w:rPr>
      </w:pPr>
    </w:p>
    <w:p>
      <w:pPr>
        <w:ind w:left="140" w:right="600" w:hanging="129"/>
        <w:spacing w:after="0" w:line="284" w:lineRule="auto"/>
        <w:rPr>
          <w:sz w:val="20"/>
          <w:szCs w:val="20"/>
          <w:color w:val="auto"/>
        </w:rPr>
      </w:pPr>
      <w:r>
        <w:rPr>
          <w:rFonts w:ascii="Arial" w:cs="Arial" w:eastAsia="Arial" w:hAnsi="Arial"/>
          <w:sz w:val="17"/>
          <w:szCs w:val="17"/>
          <w:b w:val="1"/>
          <w:bCs w:val="1"/>
          <w:color w:val="auto"/>
        </w:rPr>
        <w:t>Derivatives not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Foreign currency derivatives Total derivatives not designated as</w:t>
      </w:r>
    </w:p>
    <w:p>
      <w:pPr>
        <w:ind w:left="140"/>
        <w:spacing w:after="0"/>
        <w:rPr>
          <w:sz w:val="20"/>
          <w:szCs w:val="20"/>
          <w:color w:val="auto"/>
        </w:rPr>
      </w:pPr>
      <w:r>
        <w:rPr>
          <w:rFonts w:ascii="Arial" w:cs="Arial" w:eastAsia="Arial" w:hAnsi="Arial"/>
          <w:sz w:val="18"/>
          <w:szCs w:val="18"/>
          <w:color w:val="auto"/>
        </w:rPr>
        <w:t>hedging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Asset Derivatives</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Liability Derivatives</w:t>
            </w:r>
          </w:p>
        </w:tc>
        <w:tc>
          <w:tcPr>
            <w:tcW w:w="700" w:type="dxa"/>
            <w:vAlign w:val="bottom"/>
            <w:tcBorders>
              <w:bottom w:val="single" w:sz="8" w:color="auto"/>
            </w:tcBorders>
          </w:tcPr>
          <w:p>
            <w:pPr>
              <w:spacing w:after="0"/>
              <w:rPr>
                <w:sz w:val="14"/>
                <w:szCs w:val="14"/>
                <w:color w:val="auto"/>
              </w:rPr>
            </w:pPr>
          </w:p>
        </w:tc>
      </w:tr>
      <w:tr>
        <w:trPr>
          <w:trHeight w:val="252"/>
        </w:trPr>
        <w:tc>
          <w:tcPr>
            <w:tcW w:w="2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700" w:type="dxa"/>
            <w:vAlign w:val="bottom"/>
          </w:tcPr>
          <w:p>
            <w:pPr>
              <w:spacing w:after="0"/>
              <w:rPr>
                <w:sz w:val="21"/>
                <w:szCs w:val="21"/>
                <w:color w:val="auto"/>
              </w:rPr>
            </w:pPr>
          </w:p>
        </w:tc>
      </w:tr>
      <w:tr>
        <w:trPr>
          <w:trHeight w:val="228"/>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4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-8255</wp:posOffset>
            </wp:positionV>
            <wp:extent cx="5754370" cy="3515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351599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2"/>
              </w:rPr>
              <w:t>Other long-term assets,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460" w:type="dxa"/>
            <w:vAlign w:val="bottom"/>
          </w:tcPr>
          <w:p>
            <w:pPr>
              <w:ind w:left="280"/>
              <w:spacing w:after="0"/>
              <w:rPr>
                <w:sz w:val="20"/>
                <w:szCs w:val="20"/>
                <w:color w:val="auto"/>
              </w:rPr>
            </w:pPr>
            <w:r>
              <w:rPr>
                <w:rFonts w:ascii="Arial" w:cs="Arial" w:eastAsia="Arial" w:hAnsi="Arial"/>
                <w:sz w:val="18"/>
                <w:szCs w:val="18"/>
                <w:color w:val="auto"/>
                <w:w w:val="99"/>
              </w:rPr>
              <w:t>Other long-term assets, net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6"/>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Pr>
          <w:p>
            <w:pPr>
              <w:ind w:left="420"/>
              <w:spacing w:after="0"/>
              <w:rPr>
                <w:sz w:val="20"/>
                <w:szCs w:val="20"/>
                <w:color w:val="auto"/>
              </w:rPr>
            </w:pPr>
            <w:r>
              <w:rPr>
                <w:rFonts w:ascii="Arial" w:cs="Arial" w:eastAsia="Arial" w:hAnsi="Arial"/>
                <w:sz w:val="18"/>
                <w:szCs w:val="18"/>
                <w:color w:val="auto"/>
              </w:rPr>
              <w:t>and deferred credits</w:t>
            </w: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406"/>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6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904"/>
        </w:trPr>
        <w:tc>
          <w:tcPr>
            <w:tcW w:w="20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24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2"/>
              </w:rPr>
              <w:t>Other long-term assets,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60" w:type="dxa"/>
            <w:vAlign w:val="bottom"/>
          </w:tcPr>
          <w:p>
            <w:pPr>
              <w:ind w:left="280"/>
              <w:spacing w:after="0"/>
              <w:rPr>
                <w:sz w:val="20"/>
                <w:szCs w:val="20"/>
                <w:color w:val="auto"/>
              </w:rPr>
            </w:pPr>
            <w:r>
              <w:rPr>
                <w:rFonts w:ascii="Arial" w:cs="Arial" w:eastAsia="Arial" w:hAnsi="Arial"/>
                <w:sz w:val="18"/>
                <w:szCs w:val="18"/>
                <w:color w:val="auto"/>
                <w:w w:val="99"/>
              </w:rPr>
              <w:t>Other long-term assets, net</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60" w:type="dxa"/>
            <w:vAlign w:val="bottom"/>
          </w:tcPr>
          <w:p>
            <w:pPr>
              <w:ind w:left="420"/>
              <w:spacing w:after="0"/>
              <w:rPr>
                <w:sz w:val="20"/>
                <w:szCs w:val="20"/>
                <w:color w:val="auto"/>
              </w:rPr>
            </w:pPr>
            <w:r>
              <w:rPr>
                <w:rFonts w:ascii="Arial" w:cs="Arial" w:eastAsia="Arial" w:hAnsi="Arial"/>
                <w:sz w:val="18"/>
                <w:szCs w:val="18"/>
                <w:color w:val="auto"/>
              </w:rPr>
              <w:t>and deferred credits</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06"/>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6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480"/>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6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bl>
    <w:p>
      <w:pPr>
        <w:spacing w:after="0" w:line="200" w:lineRule="exact"/>
        <w:rPr>
          <w:sz w:val="20"/>
          <w:szCs w:val="20"/>
          <w:color w:val="auto"/>
        </w:rPr>
      </w:pPr>
    </w:p>
    <w:p>
      <w:pPr>
        <w:sectPr>
          <w:pgSz w:w="11900" w:h="16838" w:orient="portrait"/>
          <w:cols w:equalWidth="0" w:num="2">
            <w:col w:w="2840" w:space="180"/>
            <w:col w:w="6019"/>
          </w:cols>
          <w:pgMar w:left="1420" w:top="125" w:right="1440" w:bottom="1440" w:gutter="0" w:footer="0" w:header="0"/>
          <w:type w:val="continuous"/>
        </w:sectPr>
      </w:pPr>
    </w:p>
    <w:p>
      <w:pPr>
        <w:spacing w:after="0" w:line="2" w:lineRule="exact"/>
        <w:rPr>
          <w:sz w:val="20"/>
          <w:szCs w:val="20"/>
          <w:color w:val="auto"/>
        </w:rPr>
      </w:pPr>
    </w:p>
    <w:p>
      <w:pPr>
        <w:ind w:right="19" w:firstLine="648"/>
        <w:spacing w:after="0" w:line="279" w:lineRule="auto"/>
        <w:rPr>
          <w:sz w:val="20"/>
          <w:szCs w:val="20"/>
          <w:color w:val="auto"/>
        </w:rPr>
      </w:pPr>
      <w:r>
        <w:rPr>
          <w:rFonts w:ascii="Arial" w:cs="Arial" w:eastAsia="Arial" w:hAnsi="Arial"/>
          <w:sz w:val="17"/>
          <w:szCs w:val="17"/>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71" w:lineRule="exact"/>
        <w:rPr>
          <w:sz w:val="20"/>
          <w:szCs w:val="20"/>
          <w:color w:val="auto"/>
        </w:rPr>
      </w:pPr>
    </w:p>
    <w:p>
      <w:pPr>
        <w:ind w:right="39" w:firstLine="648"/>
        <w:spacing w:after="0" w:line="270"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2015, we had a net broker payable of $121 million (consisting of initial margin of $70 million reduced by $191 million of variation margin that had been returned to us). As of December 31, 2014, we had a net broker payable of $133 million (consisting of initial margin of $126 million reduced by $259 million of variation margin that had been returned to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following table presents information about derivatives and financial assets and liabilities that are subject to offsetting, including enforceable master netting arrangements as of the dates indicated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7"/>
          </w:tcPr>
          <w:p>
            <w:pPr>
              <w:ind w:left="400"/>
              <w:spacing w:after="0"/>
              <w:rPr>
                <w:sz w:val="20"/>
                <w:szCs w:val="20"/>
                <w:color w:val="auto"/>
              </w:rPr>
            </w:pPr>
            <w:r>
              <w:rPr>
                <w:rFonts w:ascii="Arial" w:cs="Arial" w:eastAsia="Arial" w:hAnsi="Arial"/>
                <w:sz w:val="14"/>
                <w:szCs w:val="14"/>
                <w:b w:val="1"/>
                <w:bCs w:val="1"/>
                <w:color w:val="auto"/>
              </w:rPr>
              <w:t>December 31, 2014</w:t>
            </w:r>
          </w:p>
        </w:tc>
      </w:tr>
      <w:tr>
        <w:trPr>
          <w:trHeight w:val="180"/>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Derivative</w:t>
            </w: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Derivative</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Derivative</w:t>
            </w:r>
          </w:p>
        </w:tc>
        <w:tc>
          <w:tcPr>
            <w:tcW w:w="40" w:type="dxa"/>
            <w:vAlign w:val="bottom"/>
            <w:gridSpan w:val="2"/>
          </w:tcPr>
          <w:p>
            <w:pPr>
              <w:spacing w:after="0"/>
              <w:rPr>
                <w:sz w:val="15"/>
                <w:szCs w:val="15"/>
                <w:color w:val="auto"/>
              </w:rPr>
            </w:pPr>
          </w:p>
        </w:tc>
      </w:tr>
      <w:tr>
        <w:trPr>
          <w:trHeight w:val="205"/>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Liability Positions</w:t>
            </w:r>
          </w:p>
        </w:tc>
        <w:tc>
          <w:tcPr>
            <w:tcW w:w="14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 Positions</w:t>
            </w:r>
          </w:p>
        </w:tc>
        <w:tc>
          <w:tcPr>
            <w:tcW w:w="2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6"/>
              </w:rPr>
              <w:t>Liability Positions</w:t>
            </w:r>
          </w:p>
        </w:tc>
      </w:tr>
      <w:tr>
        <w:trPr>
          <w:trHeight w:val="237"/>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21"/>
                <w:szCs w:val="21"/>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3"/>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Sheet Location After Netting Adjustments: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17"/>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September 30, 2015, there was a net loss of $208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September 30, 2015, we do not expect to reclassify a material amount to earnings in the next twelve months. A deferred loss of $16 million is expected to be reclassified to earnings through 2018 and the remainder is expected to be reclassified through 2049. A portion of these amounts is based on market prices as of September 30, 2015; thus, actual amounts to be reclassified will differ and could vary materially as a result of changes in market conditions.</w:t>
      </w:r>
    </w:p>
    <w:p>
      <w:pPr>
        <w:spacing w:after="0" w:line="1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periods indicated was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3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42"/>
        </w:trPr>
        <w:tc>
          <w:tcPr>
            <w:tcW w:w="3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1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derivatives, net</w:t>
            </w:r>
          </w:p>
        </w:tc>
        <w:tc>
          <w:tcPr>
            <w:tcW w:w="1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w:t>
            </w:r>
          </w:p>
        </w:tc>
        <w:tc>
          <w:tcPr>
            <w:tcW w:w="160" w:type="dxa"/>
            <w:vAlign w:val="bottom"/>
            <w:tcBorders>
              <w:bottom w:val="single" w:sz="8" w:color="CCEEFF"/>
            </w:tcBorders>
          </w:tcPr>
          <w:p>
            <w:pPr>
              <w:spacing w:after="0"/>
              <w:rPr>
                <w:sz w:val="21"/>
                <w:szCs w:val="21"/>
                <w:color w:val="auto"/>
              </w:rPr>
            </w:pPr>
          </w:p>
        </w:tc>
      </w:tr>
      <w:tr>
        <w:trPr>
          <w:trHeight w:val="217"/>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At September 30,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the dates indicated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rPr>
              <w:t>Fair Value as of September 30, 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1"/>
          </w:tcPr>
          <w:p>
            <w:pPr>
              <w:jc w:val="right"/>
              <w:ind w:right="354"/>
              <w:spacing w:after="0"/>
              <w:rPr>
                <w:sz w:val="20"/>
                <w:szCs w:val="20"/>
                <w:color w:val="auto"/>
              </w:rPr>
            </w:pPr>
            <w:r>
              <w:rPr>
                <w:rFonts w:ascii="Arial" w:cs="Arial" w:eastAsia="Arial" w:hAnsi="Arial"/>
                <w:sz w:val="14"/>
                <w:szCs w:val="14"/>
                <w:b w:val="1"/>
                <w:bCs w:val="1"/>
                <w:color w:val="auto"/>
              </w:rPr>
              <w:t>Fair Value as of December 31, 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4"/>
                <w:szCs w:val="14"/>
                <w:b w:val="1"/>
                <w:bCs w:val="1"/>
                <w:color w:val="auto"/>
                <w:vertAlign w:val="superscript"/>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4"/>
                <w:szCs w:val="14"/>
                <w:b w:val="1"/>
                <w:bCs w:val="1"/>
                <w:color w:val="auto"/>
                <w:w w:val="88"/>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60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Total net derivative</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auto"/>
              </w:rPr>
              <w:t>90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600" w:type="dxa"/>
            <w:vAlign w:val="bottom"/>
            <w:gridSpan w:val="2"/>
          </w:tcPr>
          <w:p>
            <w:pPr>
              <w:ind w:left="240"/>
              <w:spacing w:after="0"/>
              <w:rPr>
                <w:sz w:val="20"/>
                <w:szCs w:val="20"/>
                <w:color w:val="auto"/>
              </w:rPr>
            </w:pPr>
            <w:r>
              <w:rPr>
                <w:rFonts w:ascii="Arial" w:cs="Arial" w:eastAsia="Arial" w:hAnsi="Arial"/>
                <w:sz w:val="18"/>
                <w:szCs w:val="18"/>
                <w:color w:val="auto"/>
              </w:rPr>
              <w:t>asset/(liability)</w:t>
            </w:r>
          </w:p>
        </w:tc>
        <w:tc>
          <w:tcPr>
            <w:tcW w:w="24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hanging="417"/>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Derivative assets and liabilities are presented above on a net basis but do not include related cash margin deposits.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 unrealized gains and losses associated with Level 3 commodity derivatives in our Condensed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periods indicated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Gains for the period included in earnings</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Derivatives entered into during the period</w:t>
            </w:r>
          </w:p>
        </w:tc>
        <w:tc>
          <w:tcPr>
            <w:tcW w:w="3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unrealized gains included in earnings relating to Level 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We refer to the PAGP LTIP, PAA LTIPs and AAP Management Units collectively as our “equity-indexed compensation plans.” For additional discussion of our equity-indexed compensation plans and awards, see Note 16 to our Consolidated Financial Statements included in Part IV of our 2014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LTIP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awards under the PAGP LTIP is summarized in the following table (shares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r>
      <w:tr>
        <w:trPr>
          <w:trHeight w:val="243"/>
        </w:trPr>
        <w:tc>
          <w:tcPr>
            <w:tcW w:w="22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r>
      <w:tr>
        <w:trPr>
          <w:trHeight w:val="228"/>
        </w:trPr>
        <w:tc>
          <w:tcPr>
            <w:tcW w:w="22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9"/>
                <w:szCs w:val="19"/>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Fair Value per Share</w:t>
            </w:r>
          </w:p>
        </w:tc>
      </w:tr>
      <w:tr>
        <w:trPr>
          <w:trHeight w:val="230"/>
        </w:trPr>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8"/>
                <w:szCs w:val="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Pr>
          <w:p>
            <w:pPr>
              <w:spacing w:after="0"/>
              <w:rPr>
                <w:sz w:val="18"/>
                <w:szCs w:val="18"/>
                <w:color w:val="auto"/>
              </w:rPr>
            </w:pPr>
          </w:p>
        </w:tc>
      </w:tr>
      <w:tr>
        <w:trPr>
          <w:trHeight w:val="243"/>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8"/>
                <w:szCs w:val="8"/>
                <w:color w:val="auto"/>
              </w:rPr>
              <w:t>(2)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21"/>
                <w:szCs w:val="21"/>
                <w:color w:val="auto"/>
              </w:rPr>
            </w:pPr>
          </w:p>
        </w:tc>
      </w:tr>
      <w:tr>
        <w:trPr>
          <w:trHeight w:val="217"/>
        </w:trPr>
        <w:tc>
          <w:tcPr>
            <w:tcW w:w="6520" w:type="dxa"/>
            <w:vAlign w:val="bottom"/>
            <w:gridSpan w:val="2"/>
          </w:tcPr>
          <w:p>
            <w:pPr>
              <w:spacing w:after="0"/>
              <w:rPr>
                <w:sz w:val="20"/>
                <w:szCs w:val="20"/>
                <w:color w:val="auto"/>
              </w:rPr>
            </w:pPr>
            <w:r>
              <w:rPr>
                <w:rFonts w:ascii="Arial" w:cs="Arial" w:eastAsia="Arial" w:hAnsi="Arial"/>
                <w:sz w:val="18"/>
                <w:szCs w:val="18"/>
                <w:color w:val="auto"/>
              </w:rPr>
              <w:t>Outstanding at September 30, 2015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94" w:lineRule="exact"/>
        <w:rPr>
          <w:sz w:val="20"/>
          <w:szCs w:val="20"/>
          <w:color w:val="auto"/>
        </w:rPr>
      </w:pPr>
    </w:p>
    <w:p>
      <w:pPr>
        <w:ind w:left="420" w:right="360" w:hanging="417"/>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nine months ended September 30, 2015, less than 0.1 million PAGP LTIP awards were issued under the automatic re-grant feature for awards issued to PAGP directors.</w:t>
      </w:r>
    </w:p>
    <w:p>
      <w:pPr>
        <w:spacing w:after="0" w:line="170"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nine months ended September 30, 2015, less than 0.1 million PAGP LTIP awards vested and were settled in Class A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r>
      <w:tr>
        <w:trPr>
          <w:trHeight w:val="243"/>
        </w:trPr>
        <w:tc>
          <w:tcPr>
            <w:tcW w:w="6540" w:type="dxa"/>
            <w:vAlign w:val="bottom"/>
          </w:tcPr>
          <w:p>
            <w:pPr>
              <w:spacing w:after="0"/>
              <w:rPr>
                <w:sz w:val="21"/>
                <w:szCs w:val="21"/>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r>
      <w:tr>
        <w:trPr>
          <w:trHeight w:val="228"/>
        </w:trPr>
        <w:tc>
          <w:tcPr>
            <w:tcW w:w="654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4"/>
                <w:szCs w:val="14"/>
                <w:b w:val="1"/>
                <w:bCs w:val="1"/>
                <w:color w:val="auto"/>
                <w:vertAlign w:val="superscript"/>
              </w:rPr>
              <w:t>(1)</w:t>
            </w:r>
          </w:p>
        </w:tc>
        <w:tc>
          <w:tcPr>
            <w:tcW w:w="140" w:type="dxa"/>
            <w:vAlign w:val="bottom"/>
          </w:tcPr>
          <w:p>
            <w:pPr>
              <w:spacing w:after="0"/>
              <w:rPr>
                <w:sz w:val="19"/>
                <w:szCs w:val="19"/>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Fair Value per Unit</w:t>
            </w:r>
          </w:p>
        </w:tc>
      </w:tr>
      <w:tr>
        <w:trPr>
          <w:trHeight w:val="230"/>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540" w:type="dxa"/>
            <w:vAlign w:val="bottom"/>
          </w:tcPr>
          <w:p>
            <w:pPr>
              <w:ind w:left="2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8"/>
                <w:szCs w:val="18"/>
                <w:color w:val="auto"/>
              </w:rPr>
            </w:pPr>
          </w:p>
        </w:tc>
      </w:tr>
      <w:tr>
        <w:trPr>
          <w:trHeight w:val="243"/>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7"/>
                <w:szCs w:val="7"/>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21"/>
                <w:szCs w:val="21"/>
                <w:color w:val="auto"/>
              </w:rPr>
            </w:pPr>
          </w:p>
        </w:tc>
      </w:tr>
      <w:tr>
        <w:trPr>
          <w:trHeight w:val="24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 or 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tcPr>
          <w:p>
            <w:pPr>
              <w:spacing w:after="0"/>
              <w:rPr>
                <w:sz w:val="21"/>
                <w:szCs w:val="21"/>
                <w:color w:val="auto"/>
              </w:rPr>
            </w:pPr>
          </w:p>
        </w:tc>
      </w:tr>
      <w:tr>
        <w:trPr>
          <w:trHeight w:val="21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hanging="69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do not include AAP Management Units.</w:t>
      </w:r>
    </w:p>
    <w:p>
      <w:pPr>
        <w:spacing w:after="0" w:line="238" w:lineRule="exact"/>
        <w:rPr>
          <w:rFonts w:ascii="Arial" w:cs="Arial" w:eastAsia="Arial" w:hAnsi="Arial"/>
          <w:sz w:val="18"/>
          <w:szCs w:val="18"/>
          <w:color w:val="auto"/>
        </w:rPr>
      </w:pPr>
    </w:p>
    <w:p>
      <w:pPr>
        <w:jc w:val="both"/>
        <w:ind w:left="420" w:right="60" w:hanging="417"/>
        <w:spacing w:after="0" w:line="31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Approximately 0.5 million PAA common units were issued, net of tax withholding of 0.3 million units, during the nine months ended September 30, 2015 in connection with the settlement of vested awards. The remaining PAA awards that vested during the nine months ended September 30, 2015 (approximately 1.3 million units) were settled in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Reserved for Future</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Outstanding</w:t>
            </w: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Outstanding Units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Fair Value Of Outstanding</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Grants</w:t>
            </w:r>
          </w:p>
        </w:tc>
        <w:tc>
          <w:tcPr>
            <w:tcW w:w="1260" w:type="dxa"/>
            <w:vAlign w:val="bottom"/>
            <w:gridSpan w:val="2"/>
            <w:vMerge w:val="continue"/>
          </w:tcPr>
          <w:p>
            <w:pPr>
              <w:spacing w:after="0"/>
              <w:rPr>
                <w:sz w:val="14"/>
                <w:szCs w:val="14"/>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Earned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AAP Management Units </w:t>
            </w:r>
            <w:r>
              <w:rPr>
                <w:rFonts w:ascii="Arial" w:cs="Arial" w:eastAsia="Arial" w:hAnsi="Arial"/>
                <w:sz w:val="14"/>
                <w:szCs w:val="14"/>
                <w:b w:val="1"/>
                <w:bCs w:val="1"/>
                <w:color w:val="auto"/>
                <w:w w:val="93"/>
                <w:vertAlign w:val="superscript"/>
              </w:rPr>
              <w:t>(1)</w:t>
            </w: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14408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80" w:hanging="417"/>
        <w:spacing w:after="0" w:line="34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the $88 million grant date fair value, $57 million had been recognized through September 30, 2015 on a cumulative basis. Of this amount, $1 million was recognized as expense during the nine months ended September 30,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table below summarizes the expense recognized and the value of vested LTIP awards (settled in PAA common units, PAGP shares and cash) under our equity-indexed compensation plans and includes both liability-classified and equity-classified awards for the periods indicated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39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294"/>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9"/>
                <w:szCs w:val="19"/>
                <w:color w:val="auto"/>
              </w:rPr>
            </w:pPr>
          </w:p>
        </w:tc>
      </w:tr>
      <w:tr>
        <w:trPr>
          <w:trHeight w:val="223"/>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 xml:space="preserve">Equity-indexed compensation expense/(benefit) </w:t>
            </w:r>
            <w:r>
              <w:rPr>
                <w:rFonts w:ascii="Arial" w:cs="Arial" w:eastAsia="Arial" w:hAnsi="Arial"/>
                <w:sz w:val="18"/>
                <w:szCs w:val="18"/>
                <w:color w:val="auto"/>
                <w:w w:val="98"/>
                <w:vertAlign w:val="superscript"/>
              </w:rPr>
              <w:t>(1)</w:t>
            </w:r>
          </w:p>
        </w:tc>
        <w:tc>
          <w:tcPr>
            <w:tcW w:w="3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CEEFF"/>
            </w:tcBorders>
            <w:shd w:val="clear" w:color="auto" w:fill="CCEEFF"/>
          </w:tcPr>
          <w:p>
            <w:pPr>
              <w:spacing w:after="0"/>
              <w:rPr>
                <w:sz w:val="19"/>
                <w:szCs w:val="19"/>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 xml:space="preserve">LTIP unit- or share-settled vestings </w:t>
            </w:r>
            <w:r>
              <w:rPr>
                <w:rFonts w:ascii="Arial" w:cs="Arial" w:eastAsia="Arial" w:hAnsi="Arial"/>
                <w:sz w:val="18"/>
                <w:szCs w:val="18"/>
                <w:color w:val="auto"/>
                <w:vertAlign w:val="superscript"/>
              </w:rPr>
              <w:t>(2)</w:t>
            </w:r>
          </w:p>
        </w:tc>
        <w:tc>
          <w:tcPr>
            <w:tcW w:w="102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LTIP cash-settled vestings </w:t>
            </w:r>
            <w:r>
              <w:rPr>
                <w:rFonts w:ascii="Arial" w:cs="Arial" w:eastAsia="Arial" w:hAnsi="Arial"/>
                <w:sz w:val="18"/>
                <w:szCs w:val="18"/>
                <w:color w:val="auto"/>
                <w:vertAlign w:val="superscript"/>
              </w:rPr>
              <w:t>(3)</w:t>
            </w:r>
          </w:p>
        </w:tc>
        <w:tc>
          <w:tcPr>
            <w:tcW w:w="102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r>
      <w:tr>
        <w:trPr>
          <w:trHeight w:val="254"/>
        </w:trPr>
        <w:tc>
          <w:tcPr>
            <w:tcW w:w="3940" w:type="dxa"/>
            <w:vAlign w:val="bottom"/>
          </w:tcPr>
          <w:p>
            <w:pPr>
              <w:spacing w:after="0"/>
              <w:rPr>
                <w:sz w:val="20"/>
                <w:szCs w:val="20"/>
                <w:color w:val="auto"/>
              </w:rPr>
            </w:pPr>
            <w:r>
              <w:rPr>
                <w:rFonts w:ascii="Arial" w:cs="Arial" w:eastAsia="Arial" w:hAnsi="Arial"/>
                <w:sz w:val="18"/>
                <w:szCs w:val="18"/>
                <w:color w:val="auto"/>
              </w:rPr>
              <w:t xml:space="preserve">DER cash payments </w:t>
            </w:r>
            <w:r>
              <w:rPr>
                <w:rFonts w:ascii="Arial" w:cs="Arial" w:eastAsia="Arial" w:hAnsi="Arial"/>
                <w:sz w:val="18"/>
                <w:szCs w:val="18"/>
                <w:color w:val="auto"/>
                <w:vertAlign w:val="superscript"/>
              </w:rPr>
              <w:t>(4)</w:t>
            </w:r>
          </w:p>
        </w:tc>
        <w:tc>
          <w:tcPr>
            <w:tcW w:w="102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2"/>
                <w:szCs w:val="22"/>
                <w:color w:val="auto"/>
              </w:rPr>
            </w:pPr>
          </w:p>
        </w:tc>
      </w:tr>
      <w:tr>
        <w:trPr>
          <w:trHeight w:val="840"/>
        </w:trPr>
        <w:tc>
          <w:tcPr>
            <w:tcW w:w="3940" w:type="dxa"/>
            <w:vAlign w:val="bottom"/>
          </w:tcPr>
          <w:p>
            <w:pPr>
              <w:spacing w:after="0"/>
              <w:rPr>
                <w:sz w:val="24"/>
                <w:szCs w:val="24"/>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right="180" w:hanging="417"/>
        <w:spacing w:after="0" w:line="286"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each of the three months ended September 30, 2015 and 2014, and the nine months ended September 30, 2015, amount includes less than $1 million of expense related to PAGP LTIP awards. For the nine months ended September 30, 2014, amount includes $1 million of expense related to PAGP LTIP awards.</w:t>
      </w:r>
    </w:p>
    <w:p>
      <w:pPr>
        <w:spacing w:after="0" w:line="165" w:lineRule="exact"/>
        <w:rPr>
          <w:rFonts w:ascii="Arial" w:cs="Arial" w:eastAsia="Arial" w:hAnsi="Arial"/>
          <w:sz w:val="17"/>
          <w:szCs w:val="17"/>
          <w:color w:val="auto"/>
        </w:rPr>
      </w:pPr>
    </w:p>
    <w:p>
      <w:pPr>
        <w:ind w:left="420" w:right="20" w:hanging="417"/>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nine months ended September 30, 2015, $1 million relates to awards settled in PAGP Class A shares. For the three months ended September 30, 2015 and the three and nine months ended September 30, 2014, all amounts relate to awards settled in PAA common units.</w:t>
      </w:r>
    </w:p>
    <w:p>
      <w:pPr>
        <w:spacing w:after="0" w:line="181" w:lineRule="exact"/>
        <w:rPr>
          <w:rFonts w:ascii="Arial" w:cs="Arial" w:eastAsia="Arial" w:hAnsi="Arial"/>
          <w:sz w:val="18"/>
          <w:szCs w:val="18"/>
          <w:color w:val="auto"/>
        </w:rPr>
      </w:pPr>
    </w:p>
    <w:p>
      <w:pPr>
        <w:ind w:left="420" w:right="540" w:hanging="417"/>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cash settled vestings for the three and nine months ended September 30, 2015 and 2014 related to PAA LTIP awards.</w:t>
      </w:r>
    </w:p>
    <w:p>
      <w:pPr>
        <w:spacing w:after="0" w:line="170" w:lineRule="exact"/>
        <w:rPr>
          <w:rFonts w:ascii="Arial" w:cs="Arial" w:eastAsia="Arial" w:hAnsi="Arial"/>
          <w:sz w:val="18"/>
          <w:szCs w:val="18"/>
          <w:color w:val="auto"/>
        </w:rPr>
      </w:pPr>
    </w:p>
    <w:p>
      <w:pPr>
        <w:ind w:left="420" w:right="500" w:hanging="417"/>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each of the three and nine months ended September 30, 2015 and 2014, less than $1 million of cash paid was related to DERs on PAGP LTIP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6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and storage operations. These releases can result from accidents or from unpredictable man-made or natural forces and may reach surface water bodies, groundwater aquifers or other sensitive environments. Damages and liabilities associated with any such releases from our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existing or future assets could be significant and could have a material adverse effect on our consolidated financial condition, results of operations or cash flows.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September 30, 2015, our estimated undiscounted reserve for environmental liabilities (including liabilities related to the Line 901 incident, as discussed further below) totaled $197 million, of which $96 million was classified as short-term and $101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2015 and December 31, 2014, we had recorded receivables totaling $200 million and $8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Line 901 Incident</w:t>
      </w:r>
      <w:r>
        <w:rPr>
          <w:rFonts w:ascii="Arial" w:cs="Arial" w:eastAsia="Arial" w:hAnsi="Arial"/>
          <w:sz w:val="18"/>
          <w:szCs w:val="18"/>
          <w:color w:val="auto"/>
        </w:rPr>
        <w:t>. During May 2015, we experienced a crude oil release from our Las Flores to Gaviota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(Line 901) in Santa Barbara County, 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and contamination monitoring continue, and the cause of the release is currently under investigation.</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Shortly after the incident, we developed an initial “worst case” estimate of the amount of oil spilled, representing the maximum volume of oil that we believed could have been spilled based on relevant facts, data and information available at the time of such calculation. Our initial worst case estimate was approximately 2,500 barrels, which was subsequently adjusted down to approximately 2,400 barrels. These estimates were based primarily on information regarding (i) an estimate of the amount of oil that flowed into Line 901 during the period between the estimated time of release and the point when the pumps were shut down and (ii) an estimate of the volume of oil that drained out of the line due to natural forces based on the characteristics of the pipeline (i.e., length, elevation profile, diameter and location of the release point).</w:t>
      </w:r>
    </w:p>
    <w:p>
      <w:pPr>
        <w:spacing w:after="0" w:line="16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Utilizing information that became available in June as a result of emptying and purging Line 901, we developed an alternative worst case discharge estimate of up to 3,400 barrels. This alternative estimate did not take into account certain factors that, while difficult to quantify, could account for a meaningful portion of the difference between the two estimates. As part of our effort to reconcile the difference between these two estimates, we retained a third party engineering and consulting firm to develop an independent estimate of the worst case discharge.</w:t>
      </w:r>
    </w:p>
    <w:p>
      <w:pPr>
        <w:spacing w:after="0" w:line="17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Although we have not yet received such firm’s final written report, we have discussed their findings with them. They have orally advised us that based on their detailed analysis of the pertinent data and materials, their estimate of the worst case discharge is approximately 3,000 barrels. Accordingly, while we have not finalized our calculation of the “worst case” discharge, based on the relatively narrow range of difference between the low and high end of the range of various worst case estimates that have been prepared, we do not anticipate that any variance between these estimates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final estimate of the worst case discharge will have a material impact on our accrual (described below) for the estimated total costs that we have incurred or will incur with respect to the Line 901 incident.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Set forth below is a brief summary of such actions and matters: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No timeline has been established for the restart of Line 901 or Line 903. By virtue of its statutory authority, PHMSA has the power and authority to impose fines and penalties on us and cause civil or criminal charges to be brought against us. While to date PHMSA has not imposed any such fines or penalties or pursued any such civil or criminal charges, there can be no assurance that such fines or penalties will not be imposed upon us, or that such civil or criminal charges will not be brought against us, in the future.</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late May,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expressed an interest in talking to several of our employees and consistent with the terms of our governing organizational documents, we are funding their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 received a Request for Information from the EPA relating to Line 901 and we are in the process of responding to such request. While to date no civil or criminal charges have been brought against PAA or any of its affiliates, officers or employees by the DOJ, EPA, California Attorney General or Santa Barbara County District Attorney, and no fines or penalties have been imposed by such governmental agencies, there can be no assurance that such fines or penalties will not be imposed upon us, or that such civil or criminal charges will not be brought against us, in the future.</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seven class action lawsuits filed against us, all of which have been filed in the United States District Court for the Central District of California. In general, these lawsuits have been brought by various plaintiffs seeking to establish different classes of claimants that have allegedly been damaged by the release, including potential classes such as persons that derive a significant portion of their income through commercial fishing and harvesting activities in the waters adjacent to Santa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plaintiffs. PAA and PAGP deny the allegations in these lawsuits and intend to respond accordingly.</w:t>
      </w:r>
    </w:p>
    <w:p>
      <w:pPr>
        <w:spacing w:after="0" w:line="1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54"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Taking the foregoing into account, we estimate that the aggregate total costs we have incurred or will incur with respect to the Line 901 incident will be approximately $257 million, which estimate includes actual and projected emergency response and clean-up costs, natural resource damage assessments and certain third party claims settlements as well as estimates for fines, penalties and certain legal fees. This estimate does not include any lost revenue associated with the shutdown of Line 901 or 903. In addition,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clean up, remediation and monitoring services will be required, the number of personnel and equipment required at the site and the rates charged by the associated service and equipment providers,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and (v) the nature, extent and cost of legal services that will be required in connection with all lawsuits, claims and other matters requiring legal or expert advice associated with the Line 901 incident. We believe we have accrued adequate amounts for all probable and reasonably estimable costs; however, this estimate is subject to uncertainties associated with the assumptions that we have made. Our assumptions and estimates may turn out to be inaccurate and our total costs could turn out to be higher; accordingly, we can provide no assurance that we will not have to accrue additional costs in the future with respect to the Line 901 incident.</w:t>
      </w:r>
    </w:p>
    <w:p>
      <w:pPr>
        <w:spacing w:after="0" w:line="19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Condensed Consolidated Statement of Operations. As of September 30, 2015, we had a remaining undiscounted gross liability of $126 million related to this event, the majority of which is presented as a current liability in “Accounts payable and accrued liabilities” on our Condensed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We therefore have recognized a receivable of $192 million as of September 30, 2015 for the portion of the release costs that we believe is probable of recovery from insurance, net of deductibles. A majority of this receivable has been recognized as a current asset in “Trade accounts receivable and other receivables, net” on our Condensed Consolidated Balance Sheets with the offset reducing “Field operating costs” on our Condensed Consolidated Statement of Operations.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MP29 Release. </w:t>
      </w:r>
      <w:r>
        <w:rPr>
          <w:rFonts w:ascii="Arial" w:cs="Arial" w:eastAsia="Arial" w:hAnsi="Arial"/>
          <w:sz w:val="17"/>
          <w:szCs w:val="17"/>
          <w:color w:val="auto"/>
        </w:rPr>
        <w:t>On July 10, 2015, we experienced a crude oil release of approximately 100 barrels at our Pocahontas</w:t>
      </w:r>
      <w:r>
        <w:rPr>
          <w:rFonts w:ascii="Arial" w:cs="Arial" w:eastAsia="Arial" w:hAnsi="Arial"/>
          <w:sz w:val="17"/>
          <w:szCs w:val="17"/>
          <w:i w:val="1"/>
          <w:iCs w:val="1"/>
          <w:color w:val="auto"/>
        </w:rPr>
        <w:t xml:space="preserve"> </w:t>
      </w:r>
      <w:r>
        <w:rPr>
          <w:rFonts w:ascii="Arial" w:cs="Arial" w:eastAsia="Arial" w:hAnsi="Arial"/>
          <w:sz w:val="17"/>
          <w:szCs w:val="17"/>
          <w:color w:val="auto"/>
        </w:rPr>
        <w:t>Pump Station near the border of 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We are in the process of satisfying the requirements of the corrective action order. On August 10, 2015, we received a Notice of Violation from the Illinois Environmental Protection Agency alleging violations relating to the release and outlining the activities recommended by the agency to resolve the alleged violations, including the completion of an investigation and various remediation activities. PAA has submitted a work plan to the agency that describes the proposed remediation activities for any remaining hydrocarbon impacts; the agency is currently reviewing the work plan.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In this lawsuit, the plaintiff seeks unspecified money damages and other remedies on behalf of itself and other unspecified similarly situated claimants. We estimate that the aggregate total costs associated with this release will be less than $10 million.</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Cushing Tank Cathodic Protection</w:t>
      </w:r>
      <w:r>
        <w:rPr>
          <w:rFonts w:ascii="Arial" w:cs="Arial" w:eastAsia="Arial" w:hAnsi="Arial"/>
          <w:sz w:val="16"/>
          <w:szCs w:val="16"/>
          <w:color w:val="auto"/>
        </w:rPr>
        <w:t>. On May 22, 2015, PHMSA issued a Final Order relating to an April 2013</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of Probable Violation and 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 On July 14, 2015, we submitted to PHMSA a Remediation Plan and schedule to satisfy the conditions of the Compliance Order.</w:t>
      </w:r>
    </w:p>
    <w:p>
      <w:pPr>
        <w:spacing w:after="0" w:line="16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(“NOV”) to 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8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w:t>
      </w:r>
      <w:r>
        <w:rPr>
          <w:rFonts w:ascii="Arial" w:cs="Arial" w:eastAsia="Arial" w:hAnsi="Arial"/>
          <w:sz w:val="16"/>
          <w:szCs w:val="16"/>
          <w:i w:val="1"/>
          <w:iCs w:val="1"/>
          <w:color w:val="auto"/>
        </w:rPr>
        <w:t xml:space="preserve"> </w:t>
      </w:r>
      <w:r>
        <w:rPr>
          <w:rFonts w:ascii="Arial" w:cs="Arial" w:eastAsia="Arial" w:hAnsi="Arial"/>
          <w:sz w:val="16"/>
          <w:szCs w:val="16"/>
          <w:color w:val="auto"/>
        </w:rPr>
        <w:t>PMC that various corrective 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Kemp River Pipeline Releases. </w:t>
      </w:r>
      <w:r>
        <w:rPr>
          <w:rFonts w:ascii="Arial" w:cs="Arial" w:eastAsia="Arial" w:hAnsi="Arial"/>
          <w:sz w:val="16"/>
          <w:szCs w:val="16"/>
          <w:color w:val="auto"/>
        </w:rPr>
        <w:t>During May and June 2013, two separate releases were discovered on our Kemp</w:t>
      </w:r>
      <w:r>
        <w:rPr>
          <w:rFonts w:ascii="Arial" w:cs="Arial" w:eastAsia="Arial" w:hAnsi="Arial"/>
          <w:sz w:val="16"/>
          <w:szCs w:val="16"/>
          <w:i w:val="1"/>
          <w:iCs w:val="1"/>
          <w:color w:val="auto"/>
        </w:rPr>
        <w:t xml:space="preserve"> </w:t>
      </w:r>
      <w:r>
        <w:rPr>
          <w:rFonts w:ascii="Arial" w:cs="Arial" w:eastAsia="Arial" w:hAnsi="Arial"/>
          <w:sz w:val="16"/>
          <w:szCs w:val="16"/>
          <w:color w:val="auto"/>
        </w:rPr>
        <w:t>River pipeline in Northern Alberta, 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associated with these releases will be $15 million. Through September 30, 2015, we spent $9 million in connection with clean-up and remediation activities.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w:t>
      </w:r>
      <w:r>
        <w:rPr>
          <w:rFonts w:ascii="Arial" w:cs="Arial" w:eastAsia="Arial" w:hAnsi="Arial"/>
          <w:sz w:val="17"/>
          <w:szCs w:val="17"/>
          <w:i w:val="1"/>
          <w:iCs w:val="1"/>
          <w:color w:val="auto"/>
        </w:rPr>
        <w:t xml:space="preserve"> </w:t>
      </w:r>
      <w:r>
        <w:rPr>
          <w:rFonts w:ascii="Arial" w:cs="Arial" w:eastAsia="Arial" w:hAnsi="Arial"/>
          <w:sz w:val="17"/>
          <w:szCs w:val="17"/>
          <w:color w:val="auto"/>
        </w:rPr>
        <w:t>barrels on a portion of one of our 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51"/>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Supply and Logistics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37"/>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Three Months Ended September 30, 2015</w:t>
            </w: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External customers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1"/>
                <w:szCs w:val="21"/>
                <w:color w:val="auto"/>
              </w:rPr>
            </w:pPr>
          </w:p>
        </w:tc>
      </w:tr>
      <w:tr>
        <w:trPr>
          <w:trHeight w:val="230"/>
        </w:trPr>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r>
      <w:tr>
        <w:trPr>
          <w:trHeight w:val="243"/>
        </w:trPr>
        <w:tc>
          <w:tcPr>
            <w:tcW w:w="3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Pr>
          <w:p>
            <w:pPr>
              <w:ind w:left="120"/>
              <w:spacing w:after="0"/>
              <w:rPr>
                <w:sz w:val="20"/>
                <w:szCs w:val="20"/>
                <w:color w:val="auto"/>
              </w:rPr>
            </w:pPr>
            <w:r>
              <w:rPr>
                <w:rFonts w:ascii="Arial" w:cs="Arial" w:eastAsia="Arial" w:hAnsi="Arial"/>
                <w:sz w:val="18"/>
                <w:szCs w:val="18"/>
                <w:color w:val="auto"/>
              </w:rPr>
              <w:t>External customers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10,788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1"/>
                <w:szCs w:val="21"/>
                <w:color w:val="auto"/>
              </w:rPr>
            </w:pPr>
          </w:p>
        </w:tc>
      </w:tr>
      <w:tr>
        <w:trPr>
          <w:trHeight w:val="217"/>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tcPr>
          <w:p>
            <w:pPr>
              <w:spacing w:after="0"/>
              <w:rPr>
                <w:sz w:val="18"/>
                <w:szCs w:val="18"/>
                <w:color w:val="auto"/>
              </w:rPr>
            </w:pPr>
          </w:p>
        </w:tc>
      </w:tr>
      <w:tr>
        <w:trPr>
          <w:trHeight w:val="22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905"/>
        </w:trPr>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51"/>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Supply and Logistics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37"/>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Nine Months Ended September 30, 2015</w:t>
            </w: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External customers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tcPr>
          <w:p>
            <w:pPr>
              <w:spacing w:after="0"/>
              <w:rPr>
                <w:sz w:val="21"/>
                <w:szCs w:val="21"/>
                <w:color w:val="auto"/>
              </w:rPr>
            </w:pPr>
          </w:p>
        </w:tc>
      </w:tr>
      <w:tr>
        <w:trPr>
          <w:trHeight w:val="230"/>
        </w:trPr>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8"/>
                <w:szCs w:val="18"/>
                <w:color w:val="auto"/>
              </w:rPr>
            </w:pPr>
          </w:p>
        </w:tc>
      </w:tr>
      <w:tr>
        <w:trPr>
          <w:trHeight w:val="243"/>
        </w:trPr>
        <w:tc>
          <w:tcPr>
            <w:tcW w:w="3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260" w:type="dxa"/>
            <w:vAlign w:val="bottom"/>
          </w:tcPr>
          <w:p>
            <w:pPr>
              <w:ind w:left="120"/>
              <w:spacing w:after="0"/>
              <w:rPr>
                <w:sz w:val="20"/>
                <w:szCs w:val="20"/>
                <w:color w:val="auto"/>
              </w:rPr>
            </w:pPr>
            <w:r>
              <w:rPr>
                <w:rFonts w:ascii="Arial" w:cs="Arial" w:eastAsia="Arial" w:hAnsi="Arial"/>
                <w:sz w:val="18"/>
                <w:szCs w:val="18"/>
                <w:color w:val="auto"/>
              </w:rPr>
              <w:t>External customers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32,988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34,005</w:t>
            </w:r>
          </w:p>
        </w:tc>
        <w:tc>
          <w:tcPr>
            <w:tcW w:w="120" w:type="dxa"/>
            <w:vAlign w:val="bottom"/>
          </w:tcPr>
          <w:p>
            <w:pPr>
              <w:spacing w:after="0"/>
              <w:rPr>
                <w:sz w:val="21"/>
                <w:szCs w:val="2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21"/>
                <w:szCs w:val="21"/>
                <w:color w:val="auto"/>
              </w:rPr>
            </w:pPr>
          </w:p>
        </w:tc>
      </w:tr>
      <w:tr>
        <w:trPr>
          <w:trHeight w:val="217"/>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Total revenues of reportable segments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35,101</w:t>
            </w:r>
          </w:p>
        </w:tc>
        <w:tc>
          <w:tcPr>
            <w:tcW w:w="120" w:type="dxa"/>
            <w:vAlign w:val="bottom"/>
            <w:tcBorders>
              <w:bottom w:val="single" w:sz="8" w:color="CCEEFF"/>
            </w:tcBorders>
          </w:tcPr>
          <w:p>
            <w:pPr>
              <w:spacing w:after="0"/>
              <w:rPr>
                <w:sz w:val="18"/>
                <w:szCs w:val="18"/>
                <w:color w:val="auto"/>
              </w:rPr>
            </w:pP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Equity earnings in unconsolidated entities</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tcPr>
          <w:p>
            <w:pPr>
              <w:spacing w:after="0"/>
              <w:rPr>
                <w:sz w:val="18"/>
                <w:szCs w:val="18"/>
                <w:color w:val="auto"/>
              </w:rPr>
            </w:pPr>
          </w:p>
        </w:tc>
      </w:tr>
      <w:tr>
        <w:trPr>
          <w:trHeight w:val="22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20" w:hanging="417"/>
        <w:spacing w:after="0" w:line="31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2014 Annual Report on Form 10-K.</w:t>
      </w:r>
    </w:p>
    <w:p>
      <w:pPr>
        <w:spacing w:after="0" w:line="146" w:lineRule="exact"/>
        <w:rPr>
          <w:rFonts w:ascii="Arial" w:cs="Arial" w:eastAsia="Arial" w:hAnsi="Arial"/>
          <w:sz w:val="16"/>
          <w:szCs w:val="16"/>
          <w:color w:val="auto"/>
        </w:rPr>
      </w:pPr>
    </w:p>
    <w:p>
      <w:pPr>
        <w:ind w:left="420" w:hanging="417"/>
        <w:spacing w:after="0" w:line="26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and Logistics segment profit includes interest expense (related to hedged inventory purchases) of $1 million and $4 million for the three months ended September 30, 2015 and 2014, respectively, and $4 million and $11 million for the nine months ended September 30, 2015 and 2014, respectively.</w:t>
      </w:r>
    </w:p>
    <w:p>
      <w:pPr>
        <w:spacing w:after="0" w:line="181" w:lineRule="exact"/>
        <w:rPr>
          <w:rFonts w:ascii="Arial" w:cs="Arial" w:eastAsia="Arial" w:hAnsi="Arial"/>
          <w:sz w:val="18"/>
          <w:szCs w:val="18"/>
          <w:color w:val="auto"/>
        </w:rPr>
      </w:pPr>
    </w:p>
    <w:p>
      <w:pPr>
        <w:ind w:left="480" w:hanging="47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table reconciles segment profit to net income attributable to PAGP (in millions):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2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w w:val="94"/>
              </w:rPr>
              <w:t>Unallocated general and administrative expenses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1"/>
                <w:szCs w:val="2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Income before tax</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r>
      <w:tr>
        <w:trPr>
          <w:trHeight w:val="202"/>
        </w:trPr>
        <w:tc>
          <w:tcPr>
            <w:tcW w:w="37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0"/>
                <w:szCs w:val="20"/>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2014 Annual Report on Form 10-K for a complete discussion of our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of September 30, 2015, Oxy owned approximately 13% of the limited partner interests in AAP and had a representative on the board of directors of GP LLC and our general partner. During the three and nine months ended September 30, 2015 and 2014, we recognized sales and transportation revenues and purchased petroleum products from Oxy. These transactions were conducted at posted tariff rates or prices that we believe approximate market. The impact to our Condensed Consolidated Statements of Operations from those transactions is included below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3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r>
      <w:tr>
        <w:trPr>
          <w:trHeight w:val="223"/>
        </w:trPr>
        <w:tc>
          <w:tcPr>
            <w:tcW w:w="3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9"/>
                <w:szCs w:val="19"/>
                <w:color w:val="auto"/>
              </w:rPr>
            </w:pPr>
          </w:p>
        </w:tc>
      </w:tr>
      <w:tr>
        <w:trPr>
          <w:trHeight w:val="223"/>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187</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top w:val="single" w:sz="8" w:color="CCEEFF"/>
            </w:tcBorders>
            <w:shd w:val="clear" w:color="auto" w:fill="CCEEFF"/>
          </w:tcPr>
          <w:p>
            <w:pPr>
              <w:spacing w:after="0"/>
              <w:rPr>
                <w:sz w:val="19"/>
                <w:szCs w:val="19"/>
                <w:color w:val="auto"/>
              </w:rPr>
            </w:pPr>
          </w:p>
        </w:tc>
      </w:tr>
      <w:tr>
        <w:trPr>
          <w:trHeight w:val="243"/>
        </w:trPr>
        <w:tc>
          <w:tcPr>
            <w:tcW w:w="3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(1)</w:t>
            </w:r>
          </w:p>
        </w:tc>
        <w:tc>
          <w:tcPr>
            <w:tcW w:w="19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w:t>
            </w:r>
          </w:p>
        </w:tc>
        <w:tc>
          <w:tcPr>
            <w:tcW w:w="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hanging="417"/>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1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as of the dates indicated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39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9"/>
                <w:szCs w:val="19"/>
                <w:color w:val="auto"/>
              </w:rPr>
            </w:pP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r>
      <w:tr>
        <w:trPr>
          <w:trHeight w:val="243"/>
        </w:trPr>
        <w:tc>
          <w:tcPr>
            <w:tcW w:w="39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1"/>
                <w:szCs w:val="21"/>
                <w:color w:val="auto"/>
              </w:rPr>
            </w:pPr>
          </w:p>
        </w:tc>
      </w:tr>
      <w:tr>
        <w:trPr>
          <w:trHeight w:val="878"/>
        </w:trPr>
        <w:tc>
          <w:tcPr>
            <w:tcW w:w="3940" w:type="dxa"/>
            <w:vAlign w:val="bottom"/>
          </w:tcPr>
          <w:p>
            <w:pPr>
              <w:spacing w:after="0"/>
              <w:rPr>
                <w:sz w:val="24"/>
                <w:szCs w:val="24"/>
                <w:color w:val="auto"/>
              </w:rPr>
            </w:pPr>
          </w:p>
        </w:tc>
        <w:tc>
          <w:tcPr>
            <w:tcW w:w="2940" w:type="dxa"/>
            <w:vAlign w:val="bottom"/>
          </w:tcPr>
          <w:p>
            <w:pPr>
              <w:jc w:val="right"/>
              <w:ind w:right="217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12" w:lineRule="exact"/>
        <w:rPr>
          <w:sz w:val="20"/>
          <w:szCs w:val="20"/>
          <w:color w:val="auto"/>
        </w:rPr>
      </w:pPr>
    </w:p>
    <w:p>
      <w:pPr>
        <w:ind w:left="940" w:hanging="2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11" w:lineRule="exact"/>
        <w:rPr>
          <w:rFonts w:ascii="Arial" w:cs="Arial" w:eastAsia="Arial" w:hAnsi="Arial"/>
          <w:sz w:val="18"/>
          <w:szCs w:val="18"/>
          <w:color w:val="auto"/>
        </w:rPr>
      </w:pPr>
    </w:p>
    <w:p>
      <w:pPr>
        <w:ind w:left="920" w:hanging="269"/>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1340" w:hanging="689"/>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Outlook</w:t>
      </w:r>
    </w:p>
    <w:p>
      <w:pPr>
        <w:spacing w:after="0" w:line="211" w:lineRule="exact"/>
        <w:rPr>
          <w:rFonts w:ascii="Arial" w:cs="Arial" w:eastAsia="Arial" w:hAnsi="Arial"/>
          <w:sz w:val="18"/>
          <w:szCs w:val="18"/>
          <w:color w:val="auto"/>
        </w:rPr>
      </w:pPr>
    </w:p>
    <w:p>
      <w:pPr>
        <w:ind w:left="840" w:hanging="18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11" w:lineRule="exact"/>
        <w:rPr>
          <w:rFonts w:ascii="Arial" w:cs="Arial" w:eastAsia="Arial" w:hAnsi="Arial"/>
          <w:sz w:val="18"/>
          <w:szCs w:val="18"/>
          <w:color w:val="auto"/>
        </w:rPr>
      </w:pPr>
    </w:p>
    <w:p>
      <w:pPr>
        <w:ind w:left="780" w:hanging="12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11" w:lineRule="exact"/>
        <w:rPr>
          <w:rFonts w:ascii="Arial" w:cs="Arial" w:eastAsia="Arial" w:hAnsi="Arial"/>
          <w:sz w:val="18"/>
          <w:szCs w:val="18"/>
          <w:color w:val="auto"/>
        </w:rPr>
      </w:pPr>
    </w:p>
    <w:p>
      <w:pPr>
        <w:ind w:left="860" w:hanging="209"/>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September 30, 2015, we owned an approximate 37% limited partner interest in AAP, a Delaware limited partnership that directly owns all of PAA’s IDRs and indirectly owns the 2% general partner interest in PAA. AAP is the sole member of PAA GP, a Delaware limited liability company that directly holds the 2% general partner interest in PAA.</w:t>
      </w:r>
    </w:p>
    <w:p>
      <w:pPr>
        <w:spacing w:after="0" w:line="178"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Since we are the managing member of and control GP LLC, which in turn effectively controls PAA, we reflect our ownership in PAA, as well as its subsidiaries, on a consolidated basis in accordance with GAAP. Accordingly, our financial results are combined with those of GP LLC and PAA as well as with their subsidiaries. As such, our results of operations as discussed below do not differ materially from the results of operations of PAA.</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the nine months ended September 30, 2015 and 2014, we recognized net income of $593 million and $958 million, respectively. This decrease was primarily driven by less favorable results from our Supply and Logistics segment, as compressed differentials from the transitioning crude oil market and increased competition drove lower unit margins in this part of our business. In addition, our operating results for the 2015 period were impacted by costs and lost revenue associated with the Line 901 incident. See further discussion of our segment operating results in the following sections. Other items impacting net income for the first nine months of 2015 were higher depreciation and amortization expense and interest expense associated with our growing asset base and related financing activities.</w:t>
      </w:r>
    </w:p>
    <w:p>
      <w:pPr>
        <w:spacing w:after="0" w:line="178" w:lineRule="exact"/>
        <w:rPr>
          <w:sz w:val="20"/>
          <w:szCs w:val="20"/>
          <w:color w:val="auto"/>
        </w:rPr>
      </w:pPr>
    </w:p>
    <w:p>
      <w:pPr>
        <w:ind w:left="40" w:firstLine="612"/>
        <w:spacing w:after="0" w:line="255" w:lineRule="auto"/>
        <w:rPr>
          <w:sz w:val="20"/>
          <w:szCs w:val="20"/>
          <w:color w:val="auto"/>
        </w:rPr>
      </w:pPr>
      <w:r>
        <w:rPr>
          <w:rFonts w:ascii="Arial" w:cs="Arial" w:eastAsia="Arial" w:hAnsi="Arial"/>
          <w:sz w:val="18"/>
          <w:szCs w:val="18"/>
          <w:color w:val="auto"/>
        </w:rPr>
        <w:t>We invested approximately $1.8 billion in midstream infrastructure projects during the nine months ended September 30, 2015, with a targeted expansion capital plan for the full year of 2015 of $2.2 billion. To fund such capital expansion activities, PAA executed multiple financings, including raising an aggregate of approximately $2.1 billion of long-term debt and equity capital. In addition, we paid approximately $1.2 billion of cash distributions to our Class A shareholders and noncontrolling interests during the nine months ended September 30, 2015, and we declared a quarterly distribution of $0.231 per Class A share to be paid on November 13,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for the periods indicated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2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r>
      <w:tr>
        <w:trPr>
          <w:trHeight w:val="223"/>
        </w:trPr>
        <w:tc>
          <w:tcPr>
            <w:tcW w:w="228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9"/>
                <w:szCs w:val="19"/>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8"/>
                <w:szCs w:val="8"/>
                <w:color w:val="auto"/>
              </w:rPr>
              <w:t>(1)</w:t>
            </w:r>
          </w:p>
        </w:tc>
        <w:tc>
          <w:tcPr>
            <w:tcW w:w="47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8"/>
                <w:szCs w:val="8"/>
                <w:color w:val="auto"/>
              </w:rPr>
              <w:t>(2)</w:t>
            </w:r>
          </w:p>
        </w:tc>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21"/>
                <w:szCs w:val="21"/>
                <w:color w:val="auto"/>
              </w:rPr>
            </w:pP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8"/>
                <w:szCs w:val="8"/>
                <w:color w:val="auto"/>
              </w:rPr>
              <w:t>(2)</w:t>
            </w:r>
          </w:p>
        </w:tc>
        <w:tc>
          <w:tcPr>
            <w:tcW w:w="47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21"/>
                <w:szCs w:val="21"/>
                <w:color w:val="auto"/>
              </w:rPr>
            </w:pPr>
          </w:p>
        </w:tc>
      </w:tr>
      <w:tr>
        <w:trPr>
          <w:trHeight w:val="217"/>
        </w:trPr>
        <w:tc>
          <w:tcPr>
            <w:tcW w:w="2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94" w:lineRule="exact"/>
        <w:rPr>
          <w:sz w:val="20"/>
          <w:szCs w:val="20"/>
          <w:color w:val="auto"/>
        </w:rPr>
      </w:pPr>
    </w:p>
    <w:p>
      <w:pPr>
        <w:ind w:left="420" w:right="600" w:hanging="417"/>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w:t>
      </w:r>
    </w:p>
    <w:p>
      <w:pPr>
        <w:spacing w:after="0" w:line="181" w:lineRule="exact"/>
        <w:rPr>
          <w:rFonts w:ascii="Arial" w:cs="Arial" w:eastAsia="Arial" w:hAnsi="Arial"/>
          <w:sz w:val="18"/>
          <w:szCs w:val="18"/>
          <w:color w:val="auto"/>
        </w:rPr>
      </w:pPr>
    </w:p>
    <w:p>
      <w:pPr>
        <w:ind w:left="420" w:right="140" w:hanging="417"/>
        <w:spacing w:after="0" w:line="286"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Capital Projects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2015 expansion capital program will be invested in our fee-based Transportation and Facilities segments. We expect that our investments will have minimal contributions to our 2015 results, but will provide growth for 2016 and beyond.</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2015 and the forecasted expenditures for the year ending December 31, 2015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r>
      <w:tr>
        <w:trPr>
          <w:trHeight w:val="223"/>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$445</w:t>
            </w:r>
          </w:p>
        </w:tc>
        <w:tc>
          <w:tcPr>
            <w:tcW w:w="60" w:type="dxa"/>
            <w:vAlign w:val="bottom"/>
            <w:tcBorders>
              <w:top w:val="single" w:sz="8" w:color="CCEEFF"/>
            </w:tcBorders>
            <w:shd w:val="clear" w:color="auto" w:fill="CCEEFF"/>
          </w:tcPr>
          <w:p>
            <w:pPr>
              <w:spacing w:after="0"/>
              <w:rPr>
                <w:sz w:val="19"/>
                <w:szCs w:val="19"/>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8"/>
                <w:szCs w:val="8"/>
                <w:color w:val="auto"/>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295</w:t>
            </w: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Saskatchewan Facility Projects / NGL Line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270</w:t>
            </w:r>
          </w:p>
        </w:tc>
        <w:tc>
          <w:tcPr>
            <w:tcW w:w="6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 xml:space="preserve">Cactus Pipeline </w:t>
            </w:r>
            <w:r>
              <w:rPr>
                <w:rFonts w:ascii="Arial" w:cs="Arial" w:eastAsia="Arial" w:hAnsi="Arial"/>
                <w:sz w:val="8"/>
                <w:szCs w:val="8"/>
                <w:color w:val="auto"/>
              </w:rPr>
              <w:t>(2)</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w:t>
            </w:r>
          </w:p>
        </w:tc>
        <w:tc>
          <w:tcPr>
            <w:tcW w:w="6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Saddlehorn Pipeline</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135</w:t>
            </w: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6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Cowboy Pipeline (Cheyenne to Carr)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Area Projects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6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6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St. James Terminal Expansions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60" w:type="dxa"/>
            <w:vAlign w:val="bottom"/>
            <w:shd w:val="clear" w:color="auto" w:fill="CCEEFF"/>
          </w:tcPr>
          <w:p>
            <w:pPr>
              <w:spacing w:after="0"/>
              <w:rPr>
                <w:sz w:val="21"/>
                <w:szCs w:val="21"/>
                <w:color w:val="auto"/>
              </w:rPr>
            </w:pPr>
          </w:p>
        </w:tc>
      </w:tr>
      <w:tr>
        <w:trPr>
          <w:trHeight w:val="243"/>
        </w:trPr>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Projects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450</w:t>
            </w:r>
          </w:p>
        </w:tc>
        <w:tc>
          <w:tcPr>
            <w:tcW w:w="60" w:type="dxa"/>
            <w:vAlign w:val="bottom"/>
            <w:tcBorders>
              <w:bottom w:val="single" w:sz="8" w:color="CCEEFF"/>
            </w:tcBorders>
          </w:tcPr>
          <w:p>
            <w:pPr>
              <w:spacing w:after="0"/>
              <w:rPr>
                <w:sz w:val="21"/>
                <w:szCs w:val="21"/>
                <w:color w:val="auto"/>
              </w:rPr>
            </w:pPr>
          </w:p>
        </w:tc>
      </w:tr>
      <w:tr>
        <w:trPr>
          <w:trHeight w:val="223"/>
        </w:trPr>
        <w:tc>
          <w:tcPr>
            <w:tcW w:w="7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60" w:type="dxa"/>
            <w:vAlign w:val="bottom"/>
            <w:shd w:val="clear" w:color="auto" w:fill="CCEEFF"/>
          </w:tcPr>
          <w:p>
            <w:pPr>
              <w:spacing w:after="0"/>
              <w:rPr>
                <w:sz w:val="19"/>
                <w:szCs w:val="19"/>
                <w:color w:val="auto"/>
              </w:rPr>
            </w:pPr>
          </w:p>
        </w:tc>
      </w:tr>
      <w:tr>
        <w:trPr>
          <w:trHeight w:val="243"/>
        </w:trPr>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8"/>
                <w:szCs w:val="8"/>
                <w:color w:val="auto"/>
              </w:rPr>
              <w:t>(3)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-$100 + $100</w:t>
            </w:r>
          </w:p>
        </w:tc>
        <w:tc>
          <w:tcPr>
            <w:tcW w:w="60" w:type="dxa"/>
            <w:vAlign w:val="bottom"/>
            <w:tcBorders>
              <w:bottom w:val="single" w:sz="8" w:color="CCEEFF"/>
            </w:tcBorders>
          </w:tcPr>
          <w:p>
            <w:pPr>
              <w:spacing w:after="0"/>
              <w:rPr>
                <w:sz w:val="21"/>
                <w:szCs w:val="21"/>
                <w:color w:val="auto"/>
              </w:rPr>
            </w:pPr>
          </w:p>
        </w:tc>
      </w:tr>
      <w:tr>
        <w:trPr>
          <w:trHeight w:val="195"/>
        </w:trPr>
        <w:tc>
          <w:tcPr>
            <w:tcW w:w="7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$2,100 -</w:t>
            </w:r>
          </w:p>
        </w:tc>
        <w:tc>
          <w:tcPr>
            <w:tcW w:w="60" w:type="dxa"/>
            <w:vAlign w:val="bottom"/>
            <w:shd w:val="clear" w:color="auto" w:fill="CCEEFF"/>
          </w:tcPr>
          <w:p>
            <w:pPr>
              <w:spacing w:after="0"/>
              <w:rPr>
                <w:sz w:val="16"/>
                <w:szCs w:val="16"/>
                <w:color w:val="auto"/>
              </w:rPr>
            </w:pPr>
          </w:p>
        </w:tc>
      </w:tr>
      <w:tr>
        <w:trPr>
          <w:trHeight w:val="237"/>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Projected Expansion Capital Expenditures</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7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 $220</w:t>
            </w:r>
          </w:p>
        </w:tc>
        <w:tc>
          <w:tcPr>
            <w:tcW w:w="6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7"/>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railcar purchases and projects located in or near St. James, LA; Kerrobert, Canada; and Tampa, CO.</w:t>
      </w:r>
    </w:p>
    <w:p>
      <w:pPr>
        <w:spacing w:after="0" w:line="250" w:lineRule="exact"/>
        <w:rPr>
          <w:rFonts w:ascii="Arial" w:cs="Arial" w:eastAsia="Arial" w:hAnsi="Arial"/>
          <w:sz w:val="17"/>
          <w:szCs w:val="17"/>
          <w:color w:val="auto"/>
        </w:rPr>
      </w:pPr>
    </w:p>
    <w:p>
      <w:pPr>
        <w:ind w:left="700" w:hanging="69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linefill costs associated with the project.</w:t>
      </w:r>
    </w:p>
    <w:p>
      <w:pPr>
        <w:spacing w:after="0" w:line="238" w:lineRule="exact"/>
        <w:rPr>
          <w:rFonts w:ascii="Arial" w:cs="Arial" w:eastAsia="Arial" w:hAnsi="Arial"/>
          <w:sz w:val="18"/>
          <w:szCs w:val="18"/>
          <w:color w:val="auto"/>
        </w:rPr>
      </w:pPr>
    </w:p>
    <w:p>
      <w:pPr>
        <w:jc w:val="both"/>
        <w:ind w:left="420" w:right="440" w:hanging="417"/>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included in Part IV of our 2014 Annual Report on Form 10-K for further discussion of how we evaluate segment profit.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for the periods indicated (in millions,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center"/>
              <w:ind w:right="91"/>
              <w:spacing w:after="0"/>
              <w:rPr>
                <w:sz w:val="20"/>
                <w:szCs w:val="20"/>
                <w:color w:val="auto"/>
              </w:rPr>
            </w:pPr>
            <w:r>
              <w:rPr>
                <w:rFonts w:ascii="Arial" w:cs="Arial" w:eastAsia="Arial" w:hAnsi="Arial"/>
                <w:sz w:val="14"/>
                <w:szCs w:val="14"/>
                <w:b w:val="1"/>
                <w:bCs w:val="1"/>
                <w:color w:val="auto"/>
                <w:w w:val="94"/>
              </w:rPr>
              <w:t>Favorable/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131"/>
              <w:spacing w:after="0"/>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5"/>
          </w:tcPr>
          <w:p>
            <w:pPr>
              <w:jc w:val="right"/>
              <w:ind w:right="19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center"/>
              <w:ind w:right="91"/>
              <w:spacing w:after="0"/>
              <w:rPr>
                <w:sz w:val="20"/>
                <w:szCs w:val="20"/>
                <w:color w:val="auto"/>
              </w:rPr>
            </w:pPr>
            <w:r>
              <w:rPr>
                <w:rFonts w:ascii="Arial" w:cs="Arial" w:eastAsia="Arial" w:hAnsi="Arial"/>
                <w:sz w:val="14"/>
                <w:szCs w:val="14"/>
                <w:b w:val="1"/>
                <w:bCs w:val="1"/>
                <w:color w:val="auto"/>
                <w:w w:val="92"/>
              </w:rPr>
              <w:t>Variance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8"/>
                <w:szCs w:val="18"/>
                <w:color w:val="auto"/>
              </w:rPr>
              <w:t>Facilities segment profit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4"/>
              </w:rPr>
              <w:t>Supply and Logistics segment profit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Total segment profit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1,371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Unallocated general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administrative expenses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272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Class A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20"/>
                <w:szCs w:val="20"/>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weighted average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Class A shares outstanding</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operating results from our Transportation segment for the periods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Favorable/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60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Variance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2"/>
              </w:rPr>
              <w:t>Variance</w:t>
            </w:r>
          </w:p>
        </w:tc>
      </w:tr>
      <w:tr>
        <w:trPr>
          <w:trHeight w:val="237"/>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r>
      <w:tr>
        <w:trPr>
          <w:trHeight w:val="23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1,063</w:t>
            </w:r>
          </w:p>
        </w:tc>
        <w:tc>
          <w:tcPr>
            <w:tcW w:w="100" w:type="dxa"/>
            <w:vAlign w:val="bottom"/>
          </w:tcPr>
          <w:p>
            <w:pPr>
              <w:spacing w:after="0"/>
              <w:rPr>
                <w:sz w:val="21"/>
                <w:szCs w:val="21"/>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Trucking</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1"/>
                <w:szCs w:val="21"/>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Total transportation revenues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1,203</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Trucking costs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(153)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2"/>
        </w:trPr>
        <w:tc>
          <w:tcPr>
            <w:tcW w:w="2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(expense)/benefit - operations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2"/>
        </w:trPr>
        <w:tc>
          <w:tcPr>
            <w:tcW w:w="2600" w:type="dxa"/>
            <w:vAlign w:val="bottom"/>
          </w:tcPr>
          <w:p>
            <w:pPr>
              <w:ind w:left="100"/>
              <w:spacing w:after="0" w:line="201" w:lineRule="exact"/>
              <w:rPr>
                <w:sz w:val="20"/>
                <w:szCs w:val="20"/>
                <w:color w:val="auto"/>
              </w:rPr>
            </w:pPr>
            <w:r>
              <w:rPr>
                <w:rFonts w:ascii="Arial" w:cs="Arial" w:eastAsia="Arial" w:hAnsi="Arial"/>
                <w:sz w:val="18"/>
                <w:szCs w:val="18"/>
                <w:color w:val="auto"/>
              </w:rPr>
              <w:t>Segment general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2600" w:type="dxa"/>
            <w:vAlign w:val="bottom"/>
          </w:tcPr>
          <w:p>
            <w:pPr>
              <w:ind w:left="240"/>
              <w:spacing w:after="0"/>
              <w:rPr>
                <w:sz w:val="20"/>
                <w:szCs w:val="20"/>
                <w:color w:val="auto"/>
              </w:rPr>
            </w:pPr>
            <w:r>
              <w:rPr>
                <w:rFonts w:ascii="Arial" w:cs="Arial" w:eastAsia="Arial" w:hAnsi="Arial"/>
                <w:sz w:val="18"/>
                <w:szCs w:val="18"/>
                <w:color w:val="auto"/>
              </w:rPr>
              <w:t xml:space="preserve">administrative expenses </w:t>
            </w:r>
            <w:r>
              <w:rPr>
                <w:rFonts w:ascii="Arial" w:cs="Arial" w:eastAsia="Arial" w:hAnsi="Arial"/>
                <w:sz w:val="8"/>
                <w:szCs w:val="8"/>
                <w:color w:val="auto"/>
              </w:rPr>
              <w:t>(2) (3)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2"/>
        </w:trPr>
        <w:tc>
          <w:tcPr>
            <w:tcW w:w="2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26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(expense)/benefit - general and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0"/>
        </w:trPr>
        <w:tc>
          <w:tcPr>
            <w:tcW w:w="2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w w:val="95"/>
              </w:rPr>
              <w:t>Equity earnings in unconsolidated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entities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right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6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right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r>
      <w:tr>
        <w:trPr>
          <w:trHeight w:val="22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918"/>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34"/>
              <w:spacing w:after="0"/>
              <w:rPr>
                <w:sz w:val="20"/>
                <w:szCs w:val="20"/>
                <w:color w:val="auto"/>
              </w:rPr>
            </w:pPr>
            <w:r>
              <w:rPr>
                <w:rFonts w:ascii="Arial" w:cs="Arial" w:eastAsia="Arial" w:hAnsi="Arial"/>
                <w:sz w:val="18"/>
                <w:szCs w:val="18"/>
                <w:color w:val="auto"/>
                <w:w w:val="79"/>
              </w:rPr>
              <w:t>40</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29"/>
        </w:trPr>
        <w:tc>
          <w:tcPr>
            <w:tcW w:w="2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Favorable/</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7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(Unfavorable)</w:t>
            </w:r>
          </w:p>
        </w:tc>
        <w:tc>
          <w:tcPr>
            <w:tcW w:w="14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4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Variance</w:t>
            </w:r>
          </w:p>
        </w:tc>
      </w:tr>
      <w:tr>
        <w:trPr>
          <w:trHeight w:val="237"/>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4"/>
                <w:szCs w:val="14"/>
                <w:b w:val="1"/>
                <w:bCs w:val="1"/>
                <w:color w:val="auto"/>
                <w:vertAlign w:val="superscript"/>
              </w:rPr>
              <w:t>(4)</w:t>
            </w:r>
          </w:p>
        </w:tc>
        <w:tc>
          <w:tcPr>
            <w:tcW w:w="5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Volumes</w:t>
            </w: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Volumes</w:t>
            </w:r>
          </w:p>
        </w:tc>
        <w:tc>
          <w:tcPr>
            <w:tcW w:w="5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43"/>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 American</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Basin / Mesa / Sunrise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BridgeTex</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7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Cactus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Capline</w:t>
            </w: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8"/>
                <w:szCs w:val="8"/>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Line 63 / Line 2000</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Manito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Mid-Continent Area Systems</w:t>
            </w: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Permian Basin Area Systems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Rainbow</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Rangeland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South Saskatchewan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White Cliffs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NGL Pipelines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Trucking</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00" w:hanging="59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38"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rFonts w:ascii="Arial" w:cs="Arial" w:eastAsia="Arial" w:hAnsi="Arial"/>
          <w:sz w:val="18"/>
          <w:szCs w:val="18"/>
          <w:color w:val="auto"/>
        </w:rPr>
      </w:pPr>
    </w:p>
    <w:p>
      <w:pPr>
        <w:ind w:left="420" w:right="40" w:hanging="41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81" w:lineRule="exact"/>
        <w:rPr>
          <w:rFonts w:ascii="Arial" w:cs="Arial" w:eastAsia="Arial" w:hAnsi="Arial"/>
          <w:sz w:val="18"/>
          <w:szCs w:val="18"/>
          <w:color w:val="auto"/>
        </w:rPr>
      </w:pPr>
    </w:p>
    <w:p>
      <w:pPr>
        <w:ind w:left="420" w:right="180" w:hanging="41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81" w:lineRule="exact"/>
        <w:rPr>
          <w:rFonts w:ascii="Arial" w:cs="Arial" w:eastAsia="Arial" w:hAnsi="Arial"/>
          <w:sz w:val="18"/>
          <w:szCs w:val="18"/>
          <w:color w:val="auto"/>
        </w:rPr>
      </w:pPr>
    </w:p>
    <w:p>
      <w:pPr>
        <w:ind w:left="440" w:hanging="437"/>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Area systems include volumes (attributable to our interest) from our investments in unconsolidated entities.</w:t>
      </w:r>
    </w:p>
    <w:p>
      <w:pPr>
        <w:spacing w:after="0" w:line="23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As reflected in the tables above, our total Transportation segment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net of trucking costs, increased by $12 million for the nine months ended September 30, 2015 compared to the nine months ended September 30, 2014, but decreased by $11 million for the three months ended September 30, 2015 compared to three months ended September 30, 2014. Average daily volumes increased for each of the comparative periods presented. Our Transportation segment results were impacted by the following:</w:t>
      </w:r>
    </w:p>
    <w:p>
      <w:pPr>
        <w:spacing w:after="0" w:line="173" w:lineRule="exact"/>
        <w:rPr>
          <w:sz w:val="20"/>
          <w:szCs w:val="20"/>
          <w:color w:val="auto"/>
        </w:rPr>
      </w:pPr>
    </w:p>
    <w:p>
      <w:pPr>
        <w:ind w:left="380" w:hanging="53"/>
        <w:spacing w:after="0" w:line="290" w:lineRule="auto"/>
        <w:rPr>
          <w:sz w:val="20"/>
          <w:szCs w:val="20"/>
          <w:color w:val="auto"/>
        </w:rPr>
      </w:pPr>
      <w:r>
        <w:rPr>
          <w:rFonts w:ascii="Arial" w:cs="Arial" w:eastAsia="Arial" w:hAnsi="Arial"/>
          <w:sz w:val="16"/>
          <w:szCs w:val="16"/>
          <w:color w:val="auto"/>
        </w:rPr>
        <w:t>·North American Crude Oil Production and Related Expansion Projects — Production growth from the development of certain North American crude oil resource plays increased throughput on our existing pipeline systems over the comparative periods presented. Additionally, we have recently completed infrastructure projects related to production growth that have generated incremental volumes through increased capacity and connections. We estimate that the impact of increased throughput, most notably on our Eagle Ford Area Systems and certain pipelines in our Permian Basin Area Systems, and incremental volumes from our recently constructed infrastructure projects, including our Cactus and Sunrise pipelines, increased our revenues by $10 million and $55 million, respectively, for the three and nine months ended September 30, 2015 compared to the three and nine months ended September 30, 2014.</w:t>
      </w:r>
    </w:p>
    <w:p>
      <w:pPr>
        <w:spacing w:after="0" w:line="166" w:lineRule="exact"/>
        <w:rPr>
          <w:sz w:val="20"/>
          <w:szCs w:val="20"/>
          <w:color w:val="auto"/>
        </w:rPr>
      </w:pPr>
    </w:p>
    <w:p>
      <w:pPr>
        <w:jc w:val="both"/>
        <w:ind w:left="380" w:right="100" w:hanging="53"/>
        <w:spacing w:after="0" w:line="310" w:lineRule="auto"/>
        <w:rPr>
          <w:sz w:val="20"/>
          <w:szCs w:val="20"/>
          <w:color w:val="auto"/>
        </w:rPr>
      </w:pPr>
      <w:r>
        <w:rPr>
          <w:rFonts w:ascii="Arial" w:cs="Arial" w:eastAsia="Arial" w:hAnsi="Arial"/>
          <w:sz w:val="15"/>
          <w:szCs w:val="15"/>
          <w:color w:val="auto"/>
        </w:rPr>
        <w:t>·Tariff Rates — Revenues on our pipelines are impacted by various tariff rate changes that may occur during the period, which include (i) rate increases or decreases on our intrastate and Canadian pipelines and fees on related system assets,</w:t>
      </w:r>
    </w:p>
    <w:p>
      <w:pPr>
        <w:spacing w:after="0" w:line="1" w:lineRule="exact"/>
        <w:rPr>
          <w:sz w:val="20"/>
          <w:szCs w:val="20"/>
          <w:color w:val="auto"/>
        </w:rPr>
      </w:pPr>
    </w:p>
    <w:p>
      <w:pPr>
        <w:ind w:left="380" w:right="60" w:firstLine="1"/>
        <w:spacing w:after="0" w:line="252" w:lineRule="auto"/>
        <w:tabs>
          <w:tab w:leader="none" w:pos="6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indexing of rates on our FERC regulated pipelines or (iii) other negotiated rate changes. We estimate that the net impact of such rate changes on our pipelines increased revenues by $15 million and $45 million for the three and nine months ended September 30, 2015, respectively, compared to the three and nine months ended September 30, 2014 primarily due to tariff rate increases on certain of our Canadian crude oil pipelines and incremental fees on related system assets, and, to a lesser extent, indexing on our FERC regulated pipelines and rate increases on our intrastate pipelines.</w:t>
      </w:r>
    </w:p>
    <w:p>
      <w:pPr>
        <w:spacing w:after="0" w:line="194" w:lineRule="exact"/>
        <w:rPr>
          <w:sz w:val="20"/>
          <w:szCs w:val="20"/>
          <w:color w:val="auto"/>
        </w:rPr>
      </w:pPr>
    </w:p>
    <w:p>
      <w:pPr>
        <w:ind w:left="380" w:right="20" w:hanging="53"/>
        <w:spacing w:after="0" w:line="259" w:lineRule="auto"/>
        <w:rPr>
          <w:sz w:val="20"/>
          <w:szCs w:val="20"/>
          <w:color w:val="auto"/>
        </w:rPr>
      </w:pPr>
      <w:r>
        <w:rPr>
          <w:rFonts w:ascii="Arial" w:cs="Arial" w:eastAsia="Arial" w:hAnsi="Arial"/>
          <w:sz w:val="18"/>
          <w:szCs w:val="18"/>
          <w:color w:val="auto"/>
        </w:rPr>
        <w:t>·Foreign Exchange Impact — We estimate that tariff revenues from our Canadian pipeline systems and net revenues from our Canadian trucking operations were unfavorably impacted by $18 million and $39 million for the three and nine months ended September 30, 2015, respectively, compared to the three and nine months ended September 30, 2014 due to the depreciation of CAD relative to USD.</w:t>
      </w:r>
    </w:p>
    <w:p>
      <w:pPr>
        <w:spacing w:after="0" w:line="187" w:lineRule="exact"/>
        <w:rPr>
          <w:sz w:val="20"/>
          <w:szCs w:val="20"/>
          <w:color w:val="auto"/>
        </w:rPr>
      </w:pPr>
    </w:p>
    <w:p>
      <w:pPr>
        <w:ind w:left="380" w:right="120" w:hanging="53"/>
        <w:spacing w:after="0" w:line="291" w:lineRule="auto"/>
        <w:rPr>
          <w:sz w:val="20"/>
          <w:szCs w:val="20"/>
          <w:color w:val="auto"/>
        </w:rPr>
      </w:pPr>
      <w:r>
        <w:rPr>
          <w:rFonts w:ascii="Arial" w:cs="Arial" w:eastAsia="Arial" w:hAnsi="Arial"/>
          <w:sz w:val="16"/>
          <w:szCs w:val="16"/>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$11 million and $38 million, respectively, for the three and nine months ended September 30, 2015 compared to the three and nine months ended September 30, 2014 primarily due to a lower average realized price per barrel, partially offset by higher volumes.</w:t>
      </w:r>
    </w:p>
    <w:p>
      <w:pPr>
        <w:spacing w:after="0" w:line="167" w:lineRule="exact"/>
        <w:rPr>
          <w:sz w:val="20"/>
          <w:szCs w:val="20"/>
          <w:color w:val="auto"/>
        </w:rPr>
      </w:pPr>
    </w:p>
    <w:p>
      <w:pPr>
        <w:ind w:left="380" w:right="220" w:hanging="53"/>
        <w:spacing w:after="0" w:line="257" w:lineRule="auto"/>
        <w:rPr>
          <w:sz w:val="20"/>
          <w:szCs w:val="20"/>
          <w:color w:val="auto"/>
        </w:rPr>
      </w:pPr>
      <w:r>
        <w:rPr>
          <w:rFonts w:ascii="Arial" w:cs="Arial" w:eastAsia="Arial" w:hAnsi="Arial"/>
          <w:sz w:val="18"/>
          <w:szCs w:val="18"/>
          <w:color w:val="auto"/>
        </w:rPr>
        <w:t>·All American Pipeline — As a result of pipeline downtime associated with the Line 901 incident that occurred in the second quarter of 2015, tariff revenues from our All American pipeline were $9 million and $12 million lower for the three and nine months ended September 30, 2015, respectively, compared to the three and nine months ended September 30, 2014. See Note 10 to our Condensed Consolidated Financial Statements for additional information regarding this incident.</w:t>
      </w:r>
    </w:p>
    <w:p>
      <w:pPr>
        <w:spacing w:after="0" w:line="188"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Additional noteworthy volume and revenue variances for the comparative periods presented included (i) decreased volumes and revenues from our trucking operations due to lower producer volumes, (ii) lower volumes and revenues on our San Joaquin Valley gathering system due to refinery outages, (iii) lower volumes on our Pascagoula pipeline during the third quarter of 2015 due to downtime for pipeline and refinery maintenance and (iv) increased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volumes and revenues on the Capline Pipeline System for the nine-month comparative period due to higher refinery demand and timing of a refinery turnaround, which occurred in the second quarter of 2014.</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2015 compared to the three months ended September 30, 2014 primarily due to a favorable foreign exchange impact of $7 million.</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Field operating costs (excluding equity-indexed compensation expense) increased for the nine months ended September 30, 2015 compared to the nine months ended September 30, 2014 primarily due to estimated costs of $65 million recognized during the second quarter of 2015 associated with the Line 901 incident, net of amounts we believe are probable of recovery from insurance. See Note 10 to our Condensed Consolidated Financial Statements for additional information regarding this incident. The nine-month 2015 period was also impacted by higher salary and related expenses and property tax expense primarily associated with the growth and capital expansion in the segment, partially offset by favorable foreign exchange impacts of $16 million.</w:t>
      </w:r>
    </w:p>
    <w:p>
      <w:pPr>
        <w:spacing w:after="0" w:line="18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increase in general and administrative expenses (excluding equity-indexed compensation expense) for the three and nine months ended September 30, 2015 over the comparable 2014 periods was primarily due to increased salaries, benefits and other costs associated with the growth in the segment.</w:t>
      </w:r>
    </w:p>
    <w:p>
      <w:pPr>
        <w:spacing w:after="0" w:line="14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decreased for the three and nine months ended September 30, 2015 compared to the same periods in 2014 primarily due to the impact of the decrease in PAA’s unit price during each of the 2015 periods compared to the impact of the change in PAA’s unit price during the 2014 periods.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Allocations of equity-indexed compensation expense vary over time (i) between field operating costs and general and administrative expenses and (ii) between segments and could result in variances in those expense categories or segments that differ from the consolidated variance explanations above. See Note 16 to our Consolidated Financial Statements included in Part IV of our 2014 Annual Report on Form 10-K for additional information regarding our equity-indexed compensation plans.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Equity Earnings in Unconsolidated Entities</w:t>
      </w:r>
      <w:r>
        <w:rPr>
          <w:rFonts w:ascii="Arial" w:cs="Arial" w:eastAsia="Arial" w:hAnsi="Arial"/>
          <w:sz w:val="17"/>
          <w:szCs w:val="17"/>
          <w:color w:val="auto"/>
        </w:rPr>
        <w:t>. The favorable variance in equity earnings in unconsolidated entities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nine months ended September 30, 2015 compared to the three and nine months ended September 30, 2014 was primarily driven by (i) earnings from our 50% interest in BridgeTex, which we acquired in November 2014, and</w:t>
      </w:r>
    </w:p>
    <w:p>
      <w:pPr>
        <w:ind w:right="160" w:firstLine="3"/>
        <w:spacing w:after="0" w:line="281"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throughput on the Eagle Ford pipeline as a result of increased crude oil production in that region, as discussed in “Net Operating Revenues and Volumes” above. The nine-month comparative period was further favorably impacted</w:t>
      </w:r>
    </w:p>
    <w:p>
      <w:pPr>
        <w:spacing w:after="0" w:line="1" w:lineRule="exact"/>
        <w:rPr>
          <w:rFonts w:ascii="Arial" w:cs="Arial" w:eastAsia="Arial" w:hAnsi="Arial"/>
          <w:sz w:val="16"/>
          <w:szCs w:val="16"/>
          <w:color w:val="auto"/>
        </w:rPr>
      </w:pPr>
    </w:p>
    <w:p>
      <w:pPr>
        <w:ind w:right="480"/>
        <w:spacing w:after="0" w:line="261" w:lineRule="auto"/>
        <w:rPr>
          <w:rFonts w:ascii="Arial" w:cs="Arial" w:eastAsia="Arial" w:hAnsi="Arial"/>
          <w:sz w:val="16"/>
          <w:szCs w:val="16"/>
          <w:color w:val="auto"/>
        </w:rPr>
      </w:pPr>
      <w:r>
        <w:rPr>
          <w:rFonts w:ascii="Arial" w:cs="Arial" w:eastAsia="Arial" w:hAnsi="Arial"/>
          <w:sz w:val="18"/>
          <w:szCs w:val="18"/>
          <w:color w:val="auto"/>
        </w:rPr>
        <w:t>by increased throughput on the White Cliffs pipeline due to an expansion of the pipeline that was placed into service in July 2014.</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for the nine months ended September 30, 2015 compared to the nine months ended September 30, 2014 was primarily due to a reclassification of certain maintenance capital costs from our Facilities segment during the 2014 period. In addition, increased spending on integrity and repair activities was largely offset by the impact of the depreciation of CAD relative to USD.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4"/>
              </w:rPr>
              <w:t>Favorable/</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5"/>
              </w:rPr>
              <w:t>(Unfavorable)</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54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2"/>
              </w:rPr>
              <w:t>Variance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Variance</w:t>
            </w:r>
          </w:p>
        </w:tc>
      </w:tr>
      <w:tr>
        <w:trPr>
          <w:trHeight w:val="237"/>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0"/>
                <w:szCs w:val="20"/>
                <w:color w:val="auto"/>
              </w:rPr>
            </w:pPr>
          </w:p>
        </w:tc>
      </w:tr>
      <w:tr>
        <w:trPr>
          <w:trHeight w:val="223"/>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w w:val="95"/>
              </w:rPr>
              <w:t>Natural gas related storage costs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r>
      <w:tr>
        <w:trPr>
          <w:trHeight w:val="243"/>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1"/>
                <w:szCs w:val="2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w w:val="99"/>
              </w:rPr>
              <w:t>(expense)/benefit - operations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0"/>
                <w:szCs w:val="20"/>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administrative expenses </w:t>
            </w:r>
            <w:r>
              <w:rPr>
                <w:rFonts w:ascii="Arial" w:cs="Arial" w:eastAsia="Arial" w:hAnsi="Arial"/>
                <w:sz w:val="8"/>
                <w:szCs w:val="8"/>
                <w:color w:val="auto"/>
              </w:rPr>
              <w:t>(2) (3)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0"/>
                <w:szCs w:val="20"/>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w w:val="95"/>
              </w:rPr>
              <w:t>(expense)/benefit - general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right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tcPr>
          <w:p>
            <w:pPr>
              <w:spacing w:after="0"/>
              <w:rPr>
                <w:sz w:val="20"/>
                <w:szCs w:val="20"/>
                <w:color w:val="auto"/>
              </w:rPr>
            </w:pPr>
          </w:p>
        </w:tc>
      </w:tr>
      <w:tr>
        <w:trPr>
          <w:trHeight w:val="230"/>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0"/>
        </w:trPr>
        <w:tc>
          <w:tcPr>
            <w:tcW w:w="25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tcPr>
          <w:p>
            <w:pPr>
              <w:spacing w:after="0"/>
              <w:rPr>
                <w:sz w:val="18"/>
                <w:szCs w:val="18"/>
                <w:color w:val="auto"/>
              </w:rPr>
            </w:pPr>
          </w:p>
        </w:tc>
      </w:tr>
      <w:tr>
        <w:trPr>
          <w:trHeight w:val="223"/>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Favorable/</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Variance</w:t>
            </w: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37"/>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4"/>
                <w:szCs w:val="14"/>
                <w:b w:val="1"/>
                <w:bCs w:val="1"/>
                <w:color w:val="auto"/>
                <w:vertAlign w:val="superscript"/>
              </w:rPr>
              <w:t>(4)</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20"/>
                <w:szCs w:val="20"/>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Volumes</w:t>
            </w:r>
          </w:p>
        </w:tc>
        <w:tc>
          <w:tcPr>
            <w:tcW w:w="5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20"/>
                <w:szCs w:val="20"/>
                <w:color w:val="auto"/>
              </w:rPr>
            </w:pP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9"/>
              </w:rPr>
              <w:t>Volumes</w:t>
            </w:r>
          </w:p>
        </w:tc>
        <w:tc>
          <w:tcPr>
            <w:tcW w:w="5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w:t>
            </w: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terminalling and storage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(average monthly capacity in</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95</w:t>
            </w:r>
          </w:p>
        </w:tc>
        <w:tc>
          <w:tcPr>
            <w:tcW w:w="3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99</w:t>
            </w:r>
          </w:p>
        </w:tc>
        <w:tc>
          <w:tcPr>
            <w:tcW w:w="2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95</w:t>
            </w:r>
          </w:p>
        </w:tc>
        <w:tc>
          <w:tcPr>
            <w:tcW w:w="3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millions of barrels)</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40" w:type="dxa"/>
            <w:vAlign w:val="bottom"/>
            <w:gridSpan w:val="2"/>
          </w:tcPr>
          <w:p>
            <w:pPr>
              <w:spacing w:after="0" w:line="176" w:lineRule="exact"/>
              <w:rPr>
                <w:sz w:val="20"/>
                <w:szCs w:val="20"/>
                <w:color w:val="auto"/>
              </w:rPr>
            </w:pPr>
            <w:r>
              <w:rPr>
                <w:rFonts w:ascii="Arial" w:cs="Arial" w:eastAsia="Arial" w:hAnsi="Arial"/>
                <w:sz w:val="18"/>
                <w:szCs w:val="18"/>
                <w:color w:val="auto"/>
              </w:rPr>
              <w:t>Rail load / unload volumes</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40"/>
              <w:spacing w:after="0"/>
              <w:rPr>
                <w:sz w:val="20"/>
                <w:szCs w:val="20"/>
                <w:color w:val="auto"/>
              </w:rPr>
            </w:pPr>
            <w:r>
              <w:rPr>
                <w:rFonts w:ascii="Arial" w:cs="Arial" w:eastAsia="Arial" w:hAnsi="Arial"/>
                <w:sz w:val="18"/>
                <w:szCs w:val="18"/>
                <w:color w:val="auto"/>
              </w:rPr>
              <w:t>(average volumes in thousands</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3"/>
              </w:rPr>
              <w:t>231</w:t>
            </w:r>
          </w:p>
        </w:tc>
        <w:tc>
          <w:tcPr>
            <w:tcW w:w="2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3"/>
              </w:rPr>
              <w:t>241</w:t>
            </w:r>
          </w:p>
        </w:tc>
        <w:tc>
          <w:tcPr>
            <w:tcW w:w="3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3"/>
              </w:rPr>
              <w:t>223</w:t>
            </w:r>
          </w:p>
        </w:tc>
        <w:tc>
          <w:tcPr>
            <w:tcW w:w="24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6"/>
              </w:rPr>
              <w:t>232</w:t>
            </w:r>
          </w:p>
        </w:tc>
        <w:tc>
          <w:tcPr>
            <w:tcW w:w="300" w:type="dxa"/>
            <w:vAlign w:val="bottom"/>
          </w:tcPr>
          <w:p>
            <w:pPr>
              <w:spacing w:after="0"/>
              <w:rPr>
                <w:sz w:val="18"/>
                <w:szCs w:val="18"/>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140"/>
              <w:spacing w:after="0"/>
              <w:rPr>
                <w:sz w:val="20"/>
                <w:szCs w:val="20"/>
                <w:color w:val="auto"/>
              </w:rPr>
            </w:pPr>
            <w:r>
              <w:rPr>
                <w:rFonts w:ascii="Arial" w:cs="Arial" w:eastAsia="Arial" w:hAnsi="Arial"/>
                <w:sz w:val="18"/>
                <w:szCs w:val="18"/>
                <w:color w:val="auto"/>
              </w:rPr>
              <w:t>of barrels per day)</w:t>
            </w:r>
          </w:p>
        </w:tc>
        <w:tc>
          <w:tcPr>
            <w:tcW w:w="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Natural gas storage (average</w:t>
            </w: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monthly working capacity in</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97</w:t>
            </w:r>
          </w:p>
        </w:tc>
        <w:tc>
          <w:tcPr>
            <w:tcW w:w="2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97</w:t>
            </w:r>
          </w:p>
        </w:tc>
        <w:tc>
          <w:tcPr>
            <w:tcW w:w="3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97</w:t>
            </w:r>
          </w:p>
        </w:tc>
        <w:tc>
          <w:tcPr>
            <w:tcW w:w="2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97</w:t>
            </w:r>
          </w:p>
        </w:tc>
        <w:tc>
          <w:tcPr>
            <w:tcW w:w="3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billions of cubic feet)</w:t>
            </w:r>
          </w:p>
        </w:tc>
        <w:tc>
          <w:tcPr>
            <w:tcW w:w="5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780" w:type="dxa"/>
            <w:vAlign w:val="bottom"/>
            <w:tcBorders>
              <w:right w:val="single" w:sz="8" w:color="auto"/>
            </w:tcBorders>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NGL fractionation (average</w:t>
            </w: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CCEEFF"/>
              <w:right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40"/>
              <w:spacing w:after="0"/>
              <w:rPr>
                <w:sz w:val="20"/>
                <w:szCs w:val="20"/>
                <w:color w:val="auto"/>
              </w:rPr>
            </w:pPr>
            <w:r>
              <w:rPr>
                <w:rFonts w:ascii="Arial" w:cs="Arial" w:eastAsia="Arial" w:hAnsi="Arial"/>
                <w:sz w:val="18"/>
                <w:szCs w:val="18"/>
                <w:color w:val="auto"/>
              </w:rPr>
              <w:t>volumes in thousands of barrels</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9"/>
              </w:rPr>
              <w:t>98</w:t>
            </w:r>
          </w:p>
        </w:tc>
        <w:tc>
          <w:tcPr>
            <w:tcW w:w="2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3"/>
              </w:rPr>
              <w:t>104</w:t>
            </w:r>
          </w:p>
        </w:tc>
        <w:tc>
          <w:tcPr>
            <w:tcW w:w="3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3"/>
              </w:rPr>
              <w:t>101</w:t>
            </w:r>
          </w:p>
        </w:tc>
        <w:tc>
          <w:tcPr>
            <w:tcW w:w="24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9"/>
              </w:rPr>
              <w:t>94</w:t>
            </w:r>
          </w:p>
        </w:tc>
        <w:tc>
          <w:tcPr>
            <w:tcW w:w="3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per day)</w:t>
            </w:r>
          </w:p>
        </w:tc>
        <w:tc>
          <w:tcPr>
            <w:tcW w:w="5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right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Facilities segment total (average</w:t>
            </w: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monthly volumes in millions of</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126</w:t>
            </w:r>
          </w:p>
        </w:tc>
        <w:tc>
          <w:tcPr>
            <w:tcW w:w="2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121</w:t>
            </w:r>
          </w:p>
        </w:tc>
        <w:tc>
          <w:tcPr>
            <w:tcW w:w="3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126</w:t>
            </w:r>
          </w:p>
        </w:tc>
        <w:tc>
          <w:tcPr>
            <w:tcW w:w="2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3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barrels) </w:t>
            </w:r>
            <w:r>
              <w:rPr>
                <w:rFonts w:ascii="Arial" w:cs="Arial" w:eastAsia="Arial" w:hAnsi="Arial"/>
                <w:sz w:val="8"/>
                <w:szCs w:val="8"/>
                <w:color w:val="auto"/>
              </w:rPr>
              <w:t>(5)</w:t>
            </w: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00" w:hanging="597"/>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38"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rFonts w:ascii="Arial" w:cs="Arial" w:eastAsia="Arial" w:hAnsi="Arial"/>
          <w:sz w:val="18"/>
          <w:szCs w:val="18"/>
          <w:color w:val="auto"/>
        </w:rPr>
      </w:pPr>
    </w:p>
    <w:p>
      <w:pPr>
        <w:ind w:left="420" w:right="40" w:hanging="417"/>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right="160" w:hanging="417"/>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Volumes associated with assets employed through acquisitions and capital expansion projects represent total volumes for the number of months we employed the assets divided by the number of months in the period.</w:t>
      </w:r>
    </w:p>
    <w:p>
      <w:pPr>
        <w:spacing w:after="0" w:line="146" w:lineRule="exact"/>
        <w:rPr>
          <w:rFonts w:ascii="Arial" w:cs="Arial" w:eastAsia="Arial" w:hAnsi="Arial"/>
          <w:sz w:val="17"/>
          <w:szCs w:val="17"/>
          <w:color w:val="auto"/>
        </w:rPr>
      </w:pPr>
    </w:p>
    <w:p>
      <w:pPr>
        <w:ind w:left="420" w:hanging="417"/>
        <w:spacing w:after="0" w:line="255"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As noted in the table above, our Facilities segment revenues, less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costs, decreased by $16 million and $39 million for the three and nine months ended September 30, 2015, respectively, compared to the same periods in 2014, while total volumes for each of the comparative periods presented increased. Our Facilities segment results for the comparative periods were impacted by:</w:t>
      </w:r>
    </w:p>
    <w:p>
      <w:pPr>
        <w:spacing w:after="0" w:line="171" w:lineRule="exact"/>
        <w:rPr>
          <w:sz w:val="20"/>
          <w:szCs w:val="20"/>
          <w:color w:val="auto"/>
        </w:rPr>
      </w:pPr>
    </w:p>
    <w:p>
      <w:pPr>
        <w:ind w:left="380" w:right="20" w:hanging="53"/>
        <w:spacing w:after="0" w:line="259" w:lineRule="auto"/>
        <w:rPr>
          <w:sz w:val="20"/>
          <w:szCs w:val="20"/>
          <w:color w:val="auto"/>
        </w:rPr>
      </w:pPr>
      <w:r>
        <w:rPr>
          <w:rFonts w:ascii="Arial" w:cs="Arial" w:eastAsia="Arial" w:hAnsi="Arial"/>
          <w:sz w:val="18"/>
          <w:szCs w:val="18"/>
          <w:color w:val="auto"/>
        </w:rPr>
        <w:t>·Rail Terminals — For the three and nine months ended September 30, 2015, revenues from our rail activities decreased by $6 million and $16 million, respectively, due to lower volumes and lower rail fees related to the movement of certain volumes of Bakken crude oil, partially offset by revenues from our Bakersfield rail terminal that came online in the fourth quarter of 2014.</w:t>
      </w:r>
    </w:p>
    <w:p>
      <w:pPr>
        <w:spacing w:after="0" w:line="187" w:lineRule="exact"/>
        <w:rPr>
          <w:sz w:val="20"/>
          <w:szCs w:val="20"/>
          <w:color w:val="auto"/>
        </w:rPr>
      </w:pPr>
    </w:p>
    <w:p>
      <w:pPr>
        <w:ind w:left="380" w:right="100" w:hanging="53"/>
        <w:spacing w:after="0" w:line="259" w:lineRule="auto"/>
        <w:rPr>
          <w:sz w:val="20"/>
          <w:szCs w:val="20"/>
          <w:color w:val="auto"/>
        </w:rPr>
      </w:pPr>
      <w:r>
        <w:rPr>
          <w:rFonts w:ascii="Arial" w:cs="Arial" w:eastAsia="Arial" w:hAnsi="Arial"/>
          <w:sz w:val="18"/>
          <w:szCs w:val="18"/>
          <w:color w:val="auto"/>
        </w:rPr>
        <w:t>·Natural Gas Storage — Net revenues from our natural gas storage activities decreased by $5 million and $9 million for the three and nine month comparative periods, respectively, primarily due to declines in market rates for natural gas storage during the 2015 periods resulting in lower rates on new contracts replacing expiring contracts and reduced hub services opportunities.</w:t>
      </w:r>
    </w:p>
    <w:p>
      <w:pPr>
        <w:spacing w:after="0" w:line="187" w:lineRule="exact"/>
        <w:rPr>
          <w:sz w:val="20"/>
          <w:szCs w:val="20"/>
          <w:color w:val="auto"/>
        </w:rPr>
      </w:pPr>
    </w:p>
    <w:p>
      <w:pPr>
        <w:ind w:left="380" w:right="60" w:hanging="53"/>
        <w:spacing w:after="0" w:line="312" w:lineRule="auto"/>
        <w:rPr>
          <w:sz w:val="20"/>
          <w:szCs w:val="20"/>
          <w:color w:val="auto"/>
        </w:rPr>
      </w:pPr>
      <w:r>
        <w:rPr>
          <w:rFonts w:ascii="Arial" w:cs="Arial" w:eastAsia="Arial" w:hAnsi="Arial"/>
          <w:sz w:val="16"/>
          <w:szCs w:val="16"/>
          <w:color w:val="auto"/>
        </w:rPr>
        <w:t>·Gulf Coast Gas Processing — Revenues from our Gulf Coast gas processing activities decreased by $3 million and $10 million for the three and nine months ended September 30, 2015, respectively, compared to the three and nine months ended September 30, 2014, primarily due to lower volumes and decreased margins driven by lower commodity prices.</w:t>
      </w:r>
    </w:p>
    <w:p>
      <w:pPr>
        <w:spacing w:after="0" w:line="147" w:lineRule="exact"/>
        <w:rPr>
          <w:sz w:val="20"/>
          <w:szCs w:val="20"/>
          <w:color w:val="auto"/>
        </w:rPr>
      </w:pPr>
    </w:p>
    <w:p>
      <w:pPr>
        <w:ind w:left="380" w:hanging="53"/>
        <w:spacing w:after="0" w:line="254" w:lineRule="auto"/>
        <w:rPr>
          <w:sz w:val="20"/>
          <w:szCs w:val="20"/>
          <w:color w:val="auto"/>
        </w:rPr>
      </w:pPr>
      <w:r>
        <w:rPr>
          <w:rFonts w:ascii="Arial" w:cs="Arial" w:eastAsia="Arial" w:hAnsi="Arial"/>
          <w:sz w:val="18"/>
          <w:szCs w:val="18"/>
          <w:color w:val="auto"/>
        </w:rPr>
        <w:t>·NGL Storage, NGL Fractionation and Canadian Gas Processing — Revenues from our NGL storage, NGL fractionation and Canadian gas processing activities decreased by $3 million and $7 million for the three and nine month comparative periods presented, respectively. Such decreases were primarily due to unfavorable foreign currency impacts of $13 million and $30 million for the three and nine month comparative periods, respectively, due to the depreciation of CAD relative to USD, which offset revenue increases from higher facility fees for the 2015 periods. These impacts were largely offset in our Supply and Logistics segment results. The nine-month comparative period was further unfavorably impacted by lower physical processing gains related to component mix at our fractionation facilities and significantly lower NGL prices during 2015.</w:t>
      </w:r>
    </w:p>
    <w:p>
      <w:pPr>
        <w:spacing w:after="0" w:line="192"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NGL fractionation volumes increased for the nine-month comparative period due to higher NGL supply volumes from western Canada; however, volumes decreased for the three-month comparative period due to a facility outage. Such volume variances did not have a corresponding impact on revenue as the impacted facilities charge a fixed monthly fee.</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September 30, 2015 compared to the three and nine months ended September 30, 2014 primarily due to a decrease in maintenance and repair costs and favorable foreign exchange impacts of $6 million and $15 million for the three and nine month comparative periods, respectively, partially offset by higher salary and related expenses. In addition, the nine month 2015 period was impacted by lower gas and power costs largely associated with our NGL fractionation and Canadian natural gas processing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decrease in maintenance capital for the three months ended September 30, 2015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2014 was primarily due to timing of tank and facility projects.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increase in maintenance capital for the nine months ended September 30, 2015 compared to the nine months ended September 30, 2014 was primarily due to various tank and facility projects and timing of equipment replacements. The nine month comparative period was also impacted by a change in classification of certain maintenance capital costs to our Transportation segment in the second quarter of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 (i) increases or decreases in our Supply and Logistics segment volumes (which consist of lease gathering crude oil purchase volumes and NGL sales volumes),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operating results from our Supply and Logistics segment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50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Variance</w:t>
            </w:r>
          </w:p>
        </w:tc>
      </w:tr>
      <w:tr>
        <w:trPr>
          <w:trHeight w:val="237"/>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0"/>
                <w:szCs w:val="20"/>
                <w:color w:val="auto"/>
              </w:rPr>
            </w:pPr>
          </w:p>
        </w:tc>
      </w:tr>
      <w:tr>
        <w:trPr>
          <w:trHeight w:val="223"/>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17,238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(15,783)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9"/>
                <w:szCs w:val="19"/>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(5,032)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(16,553)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(32,041)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15,488</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1"/>
                <w:szCs w:val="21"/>
                <w:color w:val="auto"/>
              </w:rPr>
            </w:pPr>
          </w:p>
        </w:tc>
      </w:tr>
      <w:tr>
        <w:trPr>
          <w:trHeight w:val="243"/>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500" w:type="dxa"/>
            <w:vAlign w:val="bottom"/>
          </w:tcPr>
          <w:p>
            <w:pPr>
              <w:ind w:left="140"/>
              <w:spacing w:after="0"/>
              <w:rPr>
                <w:sz w:val="20"/>
                <w:szCs w:val="20"/>
                <w:color w:val="auto"/>
              </w:rPr>
            </w:pPr>
            <w:r>
              <w:rPr>
                <w:rFonts w:ascii="Arial" w:cs="Arial" w:eastAsia="Arial" w:hAnsi="Arial"/>
                <w:sz w:val="18"/>
                <w:szCs w:val="18"/>
                <w:color w:val="auto"/>
              </w:rPr>
              <w:t>expense - operations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40" w:type="dxa"/>
            <w:vAlign w:val="bottom"/>
          </w:tcPr>
          <w:p>
            <w:pPr>
              <w:spacing w:after="0"/>
              <w:rPr>
                <w:sz w:val="20"/>
                <w:szCs w:val="20"/>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administrative expenses </w:t>
            </w:r>
            <w:r>
              <w:rPr>
                <w:rFonts w:ascii="Arial" w:cs="Arial" w:eastAsia="Arial" w:hAnsi="Arial"/>
                <w:sz w:val="8"/>
                <w:szCs w:val="8"/>
                <w:color w:val="auto"/>
              </w:rPr>
              <w:t>(3) (4)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w w:val="93"/>
              </w:rPr>
              <w:t>(expense)/benefit - general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w:t>
            </w:r>
          </w:p>
        </w:tc>
        <w:tc>
          <w:tcPr>
            <w:tcW w:w="12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CCEEFF"/>
            </w:tcBorders>
          </w:tcPr>
          <w:p>
            <w:pPr>
              <w:spacing w:after="0"/>
              <w:rPr>
                <w:sz w:val="20"/>
                <w:szCs w:val="20"/>
                <w:color w:val="auto"/>
              </w:rPr>
            </w:pPr>
          </w:p>
        </w:tc>
      </w:tr>
      <w:tr>
        <w:trPr>
          <w:trHeight w:val="230"/>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0"/>
        </w:trPr>
        <w:tc>
          <w:tcPr>
            <w:tcW w:w="25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 %</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barrels per day)</w:t>
            </w:r>
          </w:p>
        </w:tc>
        <w:tc>
          <w:tcPr>
            <w:tcW w:w="540" w:type="dxa"/>
            <w:vAlign w:val="bottom"/>
            <w:tcBorders>
              <w:top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0"/>
                <w:szCs w:val="20"/>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Volume</w:t>
            </w:r>
          </w:p>
        </w:tc>
        <w:tc>
          <w:tcPr>
            <w:tcW w:w="5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top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0"/>
                <w:szCs w:val="20"/>
                <w:color w:val="auto"/>
              </w:rPr>
            </w:pPr>
          </w:p>
        </w:tc>
        <w:tc>
          <w:tcPr>
            <w:tcW w:w="9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Volume</w:t>
            </w:r>
          </w:p>
        </w:tc>
        <w:tc>
          <w:tcPr>
            <w:tcW w:w="40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lease gathering</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54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8"/>
              </w:rPr>
              <w:t>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2"/>
        </w:trPr>
        <w:tc>
          <w:tcPr>
            <w:tcW w:w="2660" w:type="dxa"/>
            <w:vAlign w:val="bottom"/>
            <w:gridSpan w:val="2"/>
          </w:tcPr>
          <w:p>
            <w:pPr>
              <w:spacing w:after="0" w:line="182" w:lineRule="exact"/>
              <w:rPr>
                <w:sz w:val="20"/>
                <w:szCs w:val="20"/>
                <w:color w:val="auto"/>
              </w:rPr>
            </w:pPr>
            <w:r>
              <w:rPr>
                <w:rFonts w:ascii="Arial" w:cs="Arial" w:eastAsia="Arial" w:hAnsi="Arial"/>
                <w:sz w:val="18"/>
                <w:szCs w:val="18"/>
                <w:color w:val="auto"/>
              </w:rPr>
              <w:t>Supply and Logistics segment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15"/>
                <w:szCs w:val="15"/>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1,168</w:t>
            </w:r>
          </w:p>
        </w:tc>
        <w:tc>
          <w:tcPr>
            <w:tcW w:w="300" w:type="dxa"/>
            <w:vAlign w:val="bottom"/>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6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00" w:hanging="697"/>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 and costs include intersegment amounts.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right="160" w:hanging="417"/>
        <w:spacing w:after="0" w:line="264"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and related costs include interest expense (related to hedged inventory purchases) of $1 million and $4 million for the three months ended September 30, 2015 and 2014, respectively, and $4 million and $11 million for the nine months ended September 30, 2015 and 2014, respectively.</w:t>
      </w:r>
    </w:p>
    <w:p>
      <w:pPr>
        <w:spacing w:after="0" w:line="181" w:lineRule="exact"/>
        <w:rPr>
          <w:rFonts w:ascii="Arial" w:cs="Arial" w:eastAsia="Arial" w:hAnsi="Arial"/>
          <w:sz w:val="18"/>
          <w:szCs w:val="18"/>
          <w:color w:val="auto"/>
        </w:rPr>
      </w:pPr>
    </w:p>
    <w:p>
      <w:pPr>
        <w:ind w:left="420" w:right="60" w:hanging="417"/>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02" w:lineRule="exact"/>
        <w:rPr>
          <w:rFonts w:ascii="Arial" w:cs="Arial" w:eastAsia="Arial" w:hAnsi="Arial"/>
          <w:sz w:val="18"/>
          <w:szCs w:val="18"/>
          <w:color w:val="auto"/>
        </w:rPr>
      </w:pPr>
    </w:p>
    <w:p>
      <w:pPr>
        <w:ind w:left="420" w:right="40" w:hanging="417"/>
        <w:spacing w:after="0" w:line="264"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68" w:lineRule="exact"/>
        <w:rPr>
          <w:sz w:val="20"/>
          <w:szCs w:val="20"/>
          <w:color w:val="auto"/>
        </w:rPr>
      </w:pPr>
    </w:p>
    <w:p>
      <w:pPr>
        <w:ind w:left="20" w:right="600" w:firstLine="648"/>
        <w:spacing w:after="0" w:line="277" w:lineRule="auto"/>
        <w:rPr>
          <w:sz w:val="20"/>
          <w:szCs w:val="20"/>
          <w:color w:val="auto"/>
        </w:rPr>
      </w:pPr>
      <w:r>
        <w:rPr>
          <w:rFonts w:ascii="Arial" w:cs="Arial" w:eastAsia="Arial" w:hAnsi="Arial"/>
          <w:sz w:val="18"/>
          <w:szCs w:val="18"/>
          <w:color w:val="auto"/>
        </w:rPr>
        <w:t>The following table presents the range of the NYMEX WTI benchmark price of crude oil during the periods indicated (in dollars per barrel):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0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NYMEX WTI</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5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Crude Oil Price</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r>
      <w:tr>
        <w:trPr>
          <w:trHeight w:val="22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2015</w:t>
            </w:r>
          </w:p>
        </w:tc>
        <w:tc>
          <w:tcPr>
            <w:tcW w:w="20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Three months ended September 30, 2014</w:t>
            </w:r>
          </w:p>
        </w:tc>
        <w:tc>
          <w:tcPr>
            <w:tcW w:w="2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90</w:t>
            </w:r>
          </w:p>
        </w:tc>
        <w:tc>
          <w:tcPr>
            <w:tcW w:w="6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r>
      <w:tr>
        <w:trPr>
          <w:trHeight w:val="243"/>
        </w:trPr>
        <w:tc>
          <w:tcPr>
            <w:tcW w:w="50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Nine months ended September 30, 2015</w:t>
            </w:r>
          </w:p>
        </w:tc>
        <w:tc>
          <w:tcPr>
            <w:tcW w:w="2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6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2014</w:t>
            </w:r>
          </w:p>
        </w:tc>
        <w:tc>
          <w:tcPr>
            <w:tcW w:w="264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w:t>
            </w:r>
          </w:p>
        </w:tc>
        <w:tc>
          <w:tcPr>
            <w:tcW w:w="64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nine months ended September 30, 2015 due to lower crude oil and NGL prices relative to the comparative 2014 periods.</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discussion of items impacting Supply and Logistics segment profit and segment profit per barrel for the periods indicated.</w:t>
      </w:r>
    </w:p>
    <w:p>
      <w:pPr>
        <w:spacing w:after="0" w:line="15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decreased by $83 million and $295 million for the three and nine months ended September 30, 2015 compared to the three and nine months ended September 30, 2014, respectively. The following summarizes the more significant items in the comparative periods:</w:t>
      </w:r>
    </w:p>
    <w:p>
      <w:pPr>
        <w:spacing w:after="0" w:line="173" w:lineRule="exact"/>
        <w:rPr>
          <w:sz w:val="20"/>
          <w:szCs w:val="20"/>
          <w:color w:val="auto"/>
        </w:rPr>
      </w:pPr>
    </w:p>
    <w:p>
      <w:pPr>
        <w:ind w:left="400" w:right="20" w:hanging="73"/>
        <w:spacing w:after="0" w:line="293"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Crude Oil Operations — Net revenues from our crude oil supply and logistics activities decreased for the three and nine months ended September 30, 2015 as compared to the same periods in 2014 primarily due to the compression of certain differentials during the 2015 periods, which resulted in fewer opportunities to capture above-baseline margins as compared to 2014. Additionally, lease gathering volumes and unit margins were negatively impacted by increased competition, most notably during the three-month comparative periods. However, such unfavorable results were partially offset by revenues from opportunities created by the contango market structure during the 2015 periods.</w:t>
      </w:r>
    </w:p>
    <w:p>
      <w:pPr>
        <w:spacing w:after="0" w:line="151" w:lineRule="exact"/>
        <w:rPr>
          <w:rFonts w:ascii="Arial" w:cs="Arial" w:eastAsia="Arial" w:hAnsi="Arial"/>
          <w:sz w:val="16"/>
          <w:szCs w:val="16"/>
          <w:color w:val="auto"/>
        </w:rPr>
      </w:pPr>
    </w:p>
    <w:p>
      <w:pPr>
        <w:ind w:left="400" w:right="160" w:hanging="73"/>
        <w:spacing w:after="0" w:line="308" w:lineRule="auto"/>
        <w:tabs>
          <w:tab w:leader="none" w:pos="4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increased for the three and nine months ended September 30, 2015 compared to the three and nine months ended September 30, 2014. These increases were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primarily driven by (i) higher sales volumes and (ii) higher margins due to strong demand and lower supply costs in the summer months.</w:t>
      </w:r>
    </w:p>
    <w:p>
      <w:pPr>
        <w:spacing w:after="0" w:line="170" w:lineRule="exact"/>
        <w:rPr>
          <w:sz w:val="20"/>
          <w:szCs w:val="20"/>
          <w:color w:val="auto"/>
        </w:rPr>
      </w:pPr>
    </w:p>
    <w:p>
      <w:pPr>
        <w:ind w:left="400" w:right="100" w:hanging="73"/>
        <w:spacing w:after="0" w:line="312"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We did not incur similar costs during 2015.</w:t>
      </w:r>
    </w:p>
    <w:p>
      <w:pPr>
        <w:spacing w:after="0" w:line="133" w:lineRule="exact"/>
        <w:rPr>
          <w:rFonts w:ascii="Arial" w:cs="Arial" w:eastAsia="Arial" w:hAnsi="Arial"/>
          <w:sz w:val="16"/>
          <w:szCs w:val="16"/>
          <w:color w:val="auto"/>
        </w:rPr>
      </w:pPr>
    </w:p>
    <w:p>
      <w:pPr>
        <w:ind w:left="400" w:hanging="73"/>
        <w:spacing w:after="0" w:line="342"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Impact from Certain Derivative Activities, Net of Inventory Valuation Adjustments — The mark-to-market of certain of our derivative activities impacted our net revenues as shown in the table below for the periods indicated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9"/>
                <w:szCs w:val="19"/>
                <w:color w:val="auto"/>
              </w:rPr>
            </w:pPr>
          </w:p>
        </w:tc>
        <w:tc>
          <w:tcPr>
            <w:tcW w:w="1080" w:type="dxa"/>
            <w:vAlign w:val="bottom"/>
            <w:gridSpan w:val="4"/>
          </w:tcPr>
          <w:p>
            <w:pPr>
              <w:ind w:left="220"/>
              <w:spacing w:after="0"/>
              <w:rPr>
                <w:sz w:val="20"/>
                <w:szCs w:val="20"/>
                <w:color w:val="auto"/>
              </w:rPr>
            </w:pPr>
            <w:r>
              <w:rPr>
                <w:rFonts w:ascii="Arial" w:cs="Arial" w:eastAsia="Arial" w:hAnsi="Arial"/>
                <w:sz w:val="14"/>
                <w:szCs w:val="14"/>
                <w:b w:val="1"/>
                <w:bCs w:val="1"/>
                <w:color w:val="auto"/>
              </w:rPr>
              <w:t>Variance</w:t>
            </w:r>
          </w:p>
        </w:tc>
        <w:tc>
          <w:tcPr>
            <w:tcW w:w="60" w:type="dxa"/>
            <w:vAlign w:val="bottom"/>
          </w:tcPr>
          <w:p>
            <w:pPr>
              <w:spacing w:after="0"/>
              <w:rPr>
                <w:sz w:val="19"/>
                <w:szCs w:val="19"/>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9"/>
                <w:szCs w:val="19"/>
                <w:color w:val="auto"/>
              </w:rPr>
            </w:pP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3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8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Gains/(losses) from certain derivative</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activities net of inventory valuation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8"/>
                <w:szCs w:val="8"/>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w:t>
            </w:r>
          </w:p>
        </w:tc>
        <w:tc>
          <w:tcPr>
            <w:tcW w:w="100" w:type="dxa"/>
            <w:vAlign w:val="bottom"/>
            <w:tcBorders>
              <w:right w:val="single" w:sz="8" w:color="auto"/>
            </w:tcBorders>
            <w:shd w:val="clear" w:color="auto" w:fill="CCEEFF"/>
          </w:tcPr>
          <w:p>
            <w:pPr>
              <w:spacing w:after="0"/>
              <w:rPr>
                <w:sz w:val="20"/>
                <w:szCs w:val="20"/>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w:t>
            </w:r>
          </w:p>
        </w:tc>
        <w:tc>
          <w:tcPr>
            <w:tcW w:w="0" w:type="dxa"/>
            <w:vAlign w:val="bottom"/>
          </w:tcPr>
          <w:p>
            <w:pPr>
              <w:spacing w:after="0"/>
              <w:rPr>
                <w:sz w:val="1"/>
                <w:szCs w:val="1"/>
                <w:color w:val="auto"/>
              </w:rPr>
            </w:pPr>
          </w:p>
        </w:tc>
      </w:tr>
      <w:tr>
        <w:trPr>
          <w:trHeight w:val="108"/>
        </w:trPr>
        <w:tc>
          <w:tcPr>
            <w:tcW w:w="6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60" w:right="300" w:hanging="409"/>
        <w:spacing w:after="0" w:line="255"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126" w:lineRule="exact"/>
        <w:rPr>
          <w:sz w:val="20"/>
          <w:szCs w:val="20"/>
          <w:color w:val="auto"/>
        </w:rPr>
      </w:pPr>
    </w:p>
    <w:p>
      <w:pPr>
        <w:ind w:left="380" w:right="20" w:hanging="53"/>
        <w:spacing w:after="0" w:line="272" w:lineRule="auto"/>
        <w:rPr>
          <w:sz w:val="20"/>
          <w:szCs w:val="20"/>
          <w:color w:val="auto"/>
        </w:rPr>
      </w:pPr>
      <w:r>
        <w:rPr>
          <w:rFonts w:ascii="Arial" w:cs="Arial" w:eastAsia="Arial" w:hAnsi="Arial"/>
          <w:sz w:val="17"/>
          <w:szCs w:val="17"/>
          <w:color w:val="auto"/>
        </w:rPr>
        <w:t>·Long-Term Inventory Costing Adjustments — Our operating results are impacted by changes in the weighted average cost of our crude oil and NGL inventory pools that result from price movements during the periods. Such costing adjustments resulted in unfavorable impacts of $47 million and $62 million for the three and nine months ended September 30, 2015, respectively, due to price decreases during such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10" w:lineRule="exact"/>
        <w:rPr>
          <w:sz w:val="20"/>
          <w:szCs w:val="20"/>
          <w:color w:val="auto"/>
        </w:rPr>
      </w:pPr>
    </w:p>
    <w:p>
      <w:pPr>
        <w:ind w:left="380" w:right="20" w:hanging="53"/>
        <w:spacing w:after="0" w:line="293" w:lineRule="auto"/>
        <w:rPr>
          <w:sz w:val="20"/>
          <w:szCs w:val="20"/>
          <w:color w:val="auto"/>
        </w:rPr>
      </w:pPr>
      <w:r>
        <w:rPr>
          <w:rFonts w:ascii="Arial" w:cs="Arial" w:eastAsia="Arial" w:hAnsi="Arial"/>
          <w:sz w:val="16"/>
          <w:szCs w:val="16"/>
          <w:color w:val="auto"/>
        </w:rPr>
        <w:t>·Foreign Exchange — During 2015, there were fluctuations in the value of CAD to USD, resulting in net foreign exchange gains on U.S. denominated net assets within our Canadian operations of approximately $30 million for the nine months ended September 30, 2015. Our results were also favorably impacted by approximately $13 million and $26 million for the three and nine months ended September 30, 2015 compared to the three and nine months ended September 30, 2014, respectively, due to the depreciation of CAD relative to USD. This resulted in lower net USD costs that were primarily associated with intercompany facility fees and were largely offset in our Facilities segment results.</w:t>
      </w:r>
    </w:p>
    <w:p>
      <w:pPr>
        <w:spacing w:after="0" w:line="16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2015 compared to the three months ended September 30, 2014 and was relatively consistent for the nine month comparative periods. The decrease for the three month comparative periods was primarily due to lower trucking costs resulting from decreased lease gathering volumes.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700" w:firstLine="648"/>
        <w:spacing w:after="0" w:line="264" w:lineRule="auto"/>
        <w:rPr>
          <w:sz w:val="20"/>
          <w:szCs w:val="20"/>
          <w:color w:val="auto"/>
        </w:rPr>
      </w:pPr>
      <w:r>
        <w:rPr>
          <w:rFonts w:ascii="Arial" w:cs="Arial" w:eastAsia="Arial" w:hAnsi="Arial"/>
          <w:sz w:val="18"/>
          <w:szCs w:val="18"/>
          <w:color w:val="auto"/>
        </w:rPr>
        <w:t>Depreciation and amortization expense increased for the three and nine months ended September 30, 2015 compared to the three and nine months ended September 30, 2014, primarily due to various internal growth projects completed since September 30, 2014.</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increase in interest expense for the three and nine months ended September 30, 2015 over the three and nine months ended September 30, 2014 was due to a higher weighted average debt balance driven by PAA senior notes issuances in April, September and December of 2014 for an aggregate of $2.6 billion, as well as $1.0 billion of PAA senior notes issued in August 2015. The impact of the higher weighted average debt balance was partially offset by a favorable impact from lower weighted average interest rates on these senior notes issuances.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Income tax expense increased for the three and nine months ended September 30, 2015 compared to the three and nine months ended September 30, 2014 primarily due to higher deferred income tax expense associated with the amortization of our deferred tax asset, an Alberta, Canada provincial tax rate increase of 2% enacted during the second quarter of 2015, as well as higher current income tax expense resulting from increased year-over-year taxable earnings from our Canadian operations. This increase was partially offset by the deferred income tax impact associated with fluctuations in the derivative mark-to-market valuation in our Canadian operations during the periods and the depreciation of CAD relative to USD.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20" w:firstLine="612"/>
        <w:spacing w:after="0" w:line="270"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8" w:lineRule="exact"/>
        <w:rPr>
          <w:sz w:val="20"/>
          <w:szCs w:val="20"/>
          <w:color w:val="auto"/>
        </w:rPr>
      </w:pPr>
    </w:p>
    <w:p>
      <w:pPr>
        <w:ind w:left="40" w:right="100" w:firstLine="612"/>
        <w:spacing w:after="0" w:line="286" w:lineRule="auto"/>
        <w:rPr>
          <w:sz w:val="20"/>
          <w:szCs w:val="20"/>
          <w:color w:val="auto"/>
        </w:rPr>
      </w:pPr>
      <w:r>
        <w:rPr>
          <w:rFonts w:ascii="Arial" w:cs="Arial" w:eastAsia="Arial" w:hAnsi="Arial"/>
          <w:sz w:val="16"/>
          <w:szCs w:val="16"/>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Additionally, the slowdown in North American production coupled with an increase in new infrastructure has led to a compression of basis differentials in a number of locations.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the first three quarters of 2015 relative to the levels experienced during 2013 and the first half of 2014 have led many producers, including producers that impact North American production levels, to significantly scale back capital programs. As a result, during the first three quarters of 2015, the rate of growth of North American crude oil production has slowed significantly and began to decrease in some areas as producers have taken rigs out of service and deferred completions at an increased rate. While we believe that the large North American resource base remains intact and will be developed, such production will likely take place at a slower pace and previously anticipated peak production levels will likely be reduced. This transitioning crude oil market may present challenges to our business model and asset base and may impact the rate of cash flow and distribution growth that we would have otherwise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right="300"/>
        <w:spacing w:after="0" w:line="308" w:lineRule="auto"/>
        <w:rPr>
          <w:sz w:val="20"/>
          <w:szCs w:val="20"/>
          <w:color w:val="auto"/>
        </w:rPr>
      </w:pPr>
      <w:r>
        <w:rPr>
          <w:rFonts w:ascii="Arial" w:cs="Arial" w:eastAsia="Arial" w:hAnsi="Arial"/>
          <w:sz w:val="17"/>
          <w:szCs w:val="17"/>
          <w:color w:val="auto"/>
        </w:rPr>
        <w:t>experienced over the next several years. In addition, increased competition and compressed differentials may drive lower volumes and lower unit margins in parts of our business, including our Supply and Logistics segment.</w:t>
      </w:r>
    </w:p>
    <w:p>
      <w:pPr>
        <w:spacing w:after="0" w:line="147" w:lineRule="exact"/>
        <w:rPr>
          <w:sz w:val="20"/>
          <w:szCs w:val="20"/>
          <w:color w:val="auto"/>
        </w:rPr>
      </w:pPr>
    </w:p>
    <w:p>
      <w:pPr>
        <w:ind w:left="40" w:right="20" w:firstLine="612"/>
        <w:spacing w:after="0" w:line="270" w:lineRule="auto"/>
        <w:rPr>
          <w:sz w:val="20"/>
          <w:szCs w:val="20"/>
          <w:color w:val="auto"/>
        </w:rPr>
      </w:pPr>
      <w:r>
        <w:rPr>
          <w:rFonts w:ascii="Arial" w:cs="Arial" w:eastAsia="Arial" w:hAnsi="Arial"/>
          <w:sz w:val="17"/>
          <w:szCs w:val="17"/>
          <w:color w:val="auto"/>
        </w:rPr>
        <w:t>While we believe that these recent market developments will continue to slow down crude oil supply growth and contribute toward bringing the markets back to equilibrium, there can be no assurance that such equilibrium will be achieved or that we will not be negatively impacted by declining crude oil supply, unfavorable volatility or challenging capital markets conditions. Additionally, construction of additional infrastructure by us and our competitors will likely create excess takeaway capacity in certain areas at least for the near to medium term, which could further reduce unit margins in our various segments, and underutilization of midstream assets resulting from continued production declines could have a similar unfavorable impact on volumes and unit margins. Finally, we cannot be certain that our expansion efforts will generate targeted returns or that any future acquisition activities will be successful. See “Risk Factors—Risks Related to PAA’s Business” discussed in Item 1A of our 2014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September 30, 2015, we had a working capital deficit of $519 million and approximately $3.2 billion of liquidity available to meet our ongoing operating, investing and financing needs as noted below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r>
      <w:tr>
        <w:trPr>
          <w:trHeight w:val="228"/>
        </w:trPr>
        <w:tc>
          <w:tcPr>
            <w:tcW w:w="7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2015</w:t>
            </w:r>
          </w:p>
        </w:tc>
      </w:tr>
      <w:tr>
        <w:trPr>
          <w:trHeight w:val="223"/>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8"/>
                <w:szCs w:val="8"/>
                <w:color w:val="auto"/>
              </w:rPr>
              <w:t>(1) (2)</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8"/>
                <w:szCs w:val="8"/>
                <w:color w:val="auto"/>
              </w:rPr>
              <w:t>(1) (2)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21"/>
                <w:szCs w:val="21"/>
                <w:color w:val="auto"/>
              </w:rPr>
            </w:pPr>
          </w:p>
        </w:tc>
      </w:tr>
      <w:tr>
        <w:trPr>
          <w:trHeight w:val="243"/>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1"/>
                <w:szCs w:val="2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8"/>
                <w:szCs w:val="18"/>
                <w:color w:val="auto"/>
              </w:rPr>
              <w:t>Amounts outstanding under PAA commercial paper program</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r>
      <w:tr>
        <w:trPr>
          <w:trHeight w:val="223"/>
        </w:trPr>
        <w:tc>
          <w:tcPr>
            <w:tcW w:w="77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1"/>
                <w:szCs w:val="21"/>
                <w:color w:val="auto"/>
              </w:rPr>
            </w:pPr>
          </w:p>
        </w:tc>
      </w:tr>
      <w:tr>
        <w:trPr>
          <w:trHeight w:val="243"/>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21"/>
                <w:szCs w:val="21"/>
                <w:color w:val="auto"/>
              </w:rPr>
            </w:pPr>
          </w:p>
        </w:tc>
      </w:tr>
      <w:tr>
        <w:trPr>
          <w:trHeight w:val="217"/>
        </w:trPr>
        <w:tc>
          <w:tcPr>
            <w:tcW w:w="776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14408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100" w:hanging="417"/>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170" w:lineRule="exact"/>
        <w:rPr>
          <w:rFonts w:ascii="Arial" w:cs="Arial" w:eastAsia="Arial" w:hAnsi="Arial"/>
          <w:sz w:val="18"/>
          <w:szCs w:val="18"/>
          <w:color w:val="auto"/>
        </w:rPr>
      </w:pPr>
    </w:p>
    <w:p>
      <w:pPr>
        <w:ind w:left="420" w:right="80" w:hanging="417"/>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$15 million and $29 million, respectively.</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2014 Annual Report on Form 10-K for further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discussion regarding such risks that may impact our liquidity and capital resources. Usage of the credit facilities, certain of which provide the backstop for the PAA commercial paper program, is subject to ongoing compliance with covenants. As of September 30, 2015, PAA and AAP were in compliance with all such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For a comprehensive discussion of the primary drivers of cash flow from operating activities, including the impact of varying market conditions and the timing of settlement of our derivatives, see “Liquidity and Capital Resources—Cash Flow from Operating Activities” under Item 7 of our 2014 Annual Report on Form 10-K.</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2015 and 2014 was approximately $1.2 billion and $1.3 billion, respectively, and primarily resulted from earnings from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operating needs discussed above, we also use cash for our acquisition activities and capital projects.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have made and will continue to make capital expenditures for acquisitions, expansion capital and maintenance capital.</w:t>
      </w:r>
    </w:p>
    <w:p>
      <w:pPr>
        <w:spacing w:after="0" w:line="2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2015 Capital Projects. </w:t>
      </w:r>
      <w:r>
        <w:rPr>
          <w:rFonts w:ascii="Arial" w:cs="Arial" w:eastAsia="Arial" w:hAnsi="Arial"/>
          <w:sz w:val="18"/>
          <w:szCs w:val="18"/>
          <w:color w:val="auto"/>
        </w:rPr>
        <w:t>See “—Acquisitions and Capital Projects” for detail of our projected capital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ending December 31, 2015. A majority of the funding for our 2015 capital program has been provided by borrowings under the PAA commercial paper program as well as through proceeds received from PAA’s March 2015 underwritten equity offering and PAA’s August 2015 debt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a consolidated basis, our financing activities primarily relate to funding acquisitions, expansion capital projects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PAA Registration Statements. </w:t>
      </w:r>
      <w:r>
        <w:rPr>
          <w:rFonts w:ascii="Arial" w:cs="Arial" w:eastAsia="Arial" w:hAnsi="Arial"/>
          <w:sz w:val="17"/>
          <w:szCs w:val="17"/>
          <w:color w:val="auto"/>
        </w:rPr>
        <w:t>PAA periodically accesses the capital markets for both equity and debt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PAA has filed with the SEC a universal shelf registration statement that, subject to effectiveness at the time of use, allows PAA to issue up to an aggregate of $2.0 billion of debt or equity securities (“Traditional Shelf”). All issuances of PAA equity securities associated with PAA’s continuous offering program, as discussed further below, have been issued pursuant to the Traditional Shelf. As of November 5, 2015, PAA had $2.0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 PAA’s March 2015 underwritten equity offering and the issuance of $1.0 billion, 4.65% PAA senior notes in August 2015, as discussed further below, were conducted under PAA’s WKSI Shelf.</w:t>
      </w:r>
    </w:p>
    <w:p>
      <w:pPr>
        <w:spacing w:after="0" w:line="18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PAA Continuous Offering Program</w:t>
      </w:r>
      <w:r>
        <w:rPr>
          <w:rFonts w:ascii="Arial" w:cs="Arial" w:eastAsia="Arial" w:hAnsi="Arial"/>
          <w:sz w:val="18"/>
          <w:szCs w:val="18"/>
          <w:color w:val="auto"/>
        </w:rPr>
        <w:t>. During the nine months ended September 30, 2015, PAA issued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 million common units under its continuous offering program, generating proceeds of $58 million. The net proceeds from sales were used for general partnership purposes.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Underwritten Offering</w:t>
      </w:r>
      <w:r>
        <w:rPr>
          <w:rFonts w:ascii="Arial" w:cs="Arial" w:eastAsia="Arial" w:hAnsi="Arial"/>
          <w:sz w:val="17"/>
          <w:szCs w:val="17"/>
          <w:color w:val="auto"/>
        </w:rPr>
        <w:t>. In March 2015, PAA completed an underwritten public offering of 21.0 million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generating net proceeds of approximately $1.0 billion, net of costs associated with the offering. We used a portion of the net proceeds from this offering to repay outstanding borrowings under PAA’s commercial paper program and we used the remaining net proceeds for general partnership purposes, including expenditures for our 2015 capital program.</w:t>
      </w:r>
    </w:p>
    <w:p>
      <w:pPr>
        <w:spacing w:after="0" w:line="17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access the PAA commercial paper program because they provide the backstop that supports PAA’s short-term</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PAA and AAP were in compliance with the covenants contained in the credit agreements and indentures as of September 30, 2015.</w:t>
      </w:r>
    </w:p>
    <w:p>
      <w:pPr>
        <w:spacing w:after="0" w:line="188" w:lineRule="exact"/>
        <w:rPr>
          <w:sz w:val="20"/>
          <w:szCs w:val="20"/>
          <w:color w:val="auto"/>
        </w:rPr>
      </w:pPr>
    </w:p>
    <w:p>
      <w:pPr>
        <w:ind w:right="219" w:firstLine="648"/>
        <w:spacing w:after="0" w:line="279" w:lineRule="auto"/>
        <w:rPr>
          <w:sz w:val="20"/>
          <w:szCs w:val="20"/>
          <w:color w:val="auto"/>
        </w:rPr>
      </w:pPr>
      <w:r>
        <w:rPr>
          <w:rFonts w:ascii="Arial" w:cs="Arial" w:eastAsia="Arial" w:hAnsi="Arial"/>
          <w:sz w:val="17"/>
          <w:szCs w:val="17"/>
          <w:color w:val="auto"/>
        </w:rPr>
        <w:t>During the nine months ended September 30, 2015, we had net borrowings under credit agreements and the PAA commercial paper program of $174 million. Borrowings resulted primarily from funding needs for (i) internal capital projects, (ii) repayment of the PAA senior notes that matured during 2015 and (iii) other general partnership purposes, and were partially offset by repayments from cash received from PAA’s debt and equity activities.</w:t>
      </w:r>
    </w:p>
    <w:p>
      <w:pPr>
        <w:spacing w:after="0" w:line="171" w:lineRule="exact"/>
        <w:rPr>
          <w:sz w:val="20"/>
          <w:szCs w:val="20"/>
          <w:color w:val="auto"/>
        </w:rPr>
      </w:pPr>
    </w:p>
    <w:p>
      <w:pPr>
        <w:ind w:right="99" w:firstLine="648"/>
        <w:spacing w:after="0" w:line="264" w:lineRule="auto"/>
        <w:rPr>
          <w:sz w:val="20"/>
          <w:szCs w:val="20"/>
          <w:color w:val="auto"/>
        </w:rPr>
      </w:pPr>
      <w:r>
        <w:rPr>
          <w:rFonts w:ascii="Arial" w:cs="Arial" w:eastAsia="Arial" w:hAnsi="Arial"/>
          <w:sz w:val="18"/>
          <w:szCs w:val="18"/>
          <w:color w:val="auto"/>
        </w:rPr>
        <w:t>During the nine months ended September 30, 2014, we had net repayments under credit agreements and the PAA commercial paper program of $667 million. The net repayments resulted primarily from cash flow from operating activities, as well as cash received from PAA’s debt and equity activities.</w:t>
      </w:r>
    </w:p>
    <w:p>
      <w:pPr>
        <w:spacing w:after="0" w:line="181" w:lineRule="exact"/>
        <w:rPr>
          <w:sz w:val="20"/>
          <w:szCs w:val="20"/>
          <w:color w:val="auto"/>
        </w:rPr>
      </w:pPr>
    </w:p>
    <w:p>
      <w:pPr>
        <w:jc w:val="both"/>
        <w:ind w:right="239" w:firstLine="648"/>
        <w:spacing w:after="0" w:line="279" w:lineRule="auto"/>
        <w:rPr>
          <w:sz w:val="20"/>
          <w:szCs w:val="20"/>
          <w:color w:val="auto"/>
        </w:rPr>
      </w:pPr>
      <w:r>
        <w:rPr>
          <w:rFonts w:ascii="Arial" w:cs="Arial" w:eastAsia="Arial" w:hAnsi="Arial"/>
          <w:sz w:val="17"/>
          <w:szCs w:val="17"/>
          <w:color w:val="auto"/>
        </w:rPr>
        <w:t>In January 2015, PAA entered into a new agreement for a $1.0 billion, 364-day senior unsecured revolving credit facility. Borrowings, if any, accrue interest based, at PAA’s election, on either the Eurocurrency Rate or the Base Rate, as defined in the agreement, in each case plus a margin based on PAA’s credit rating at the applicable time. In August 2015, PAA amended the agreement to extend the maturity date to August 2016.</w:t>
      </w:r>
    </w:p>
    <w:p>
      <w:pPr>
        <w:spacing w:after="0" w:line="171" w:lineRule="exact"/>
        <w:rPr>
          <w:sz w:val="20"/>
          <w:szCs w:val="20"/>
          <w:color w:val="auto"/>
        </w:rPr>
      </w:pPr>
    </w:p>
    <w:p>
      <w:pPr>
        <w:ind w:right="459" w:firstLine="648"/>
        <w:spacing w:after="0" w:line="277" w:lineRule="auto"/>
        <w:rPr>
          <w:sz w:val="20"/>
          <w:szCs w:val="20"/>
          <w:color w:val="auto"/>
        </w:rPr>
      </w:pPr>
      <w:r>
        <w:rPr>
          <w:rFonts w:ascii="Arial" w:cs="Arial" w:eastAsia="Arial" w:hAnsi="Arial"/>
          <w:sz w:val="18"/>
          <w:szCs w:val="18"/>
          <w:color w:val="auto"/>
        </w:rPr>
        <w:t>In August 2015, PAA extended the maturity dates of its senior secured hedged inventory facility and its senior unsecured revolving credit facility by one year to August 2018 and August 2020, respectively.</w:t>
      </w:r>
    </w:p>
    <w:p>
      <w:pPr>
        <w:spacing w:after="0" w:line="170" w:lineRule="exact"/>
        <w:rPr>
          <w:sz w:val="20"/>
          <w:szCs w:val="20"/>
          <w:color w:val="auto"/>
        </w:rPr>
      </w:pPr>
    </w:p>
    <w:p>
      <w:pPr>
        <w:ind w:right="79" w:firstLine="648"/>
        <w:spacing w:after="0" w:line="257" w:lineRule="auto"/>
        <w:rPr>
          <w:sz w:val="20"/>
          <w:szCs w:val="20"/>
          <w:color w:val="auto"/>
        </w:rPr>
      </w:pPr>
      <w:r>
        <w:rPr>
          <w:rFonts w:ascii="Arial" w:cs="Arial" w:eastAsia="Arial" w:hAnsi="Arial"/>
          <w:sz w:val="18"/>
          <w:szCs w:val="18"/>
          <w:color w:val="auto"/>
        </w:rPr>
        <w:t>In August 2015, AAP amended its credit agreement to, among other things, (i) increase its term loan commitments from $500 million to $550 million, (ii) increase the aggregate commitments under its senior secured revolving credit facility from $75 million to $125 million and (iii) extend the maturity date of the term loan and senior secured revolving credit facility to August 2020. In addition, the amendment provides for a $50 million accordion feature, which may be used to expand the term loan and/or revolving credit facility commitments.</w:t>
      </w:r>
    </w:p>
    <w:p>
      <w:pPr>
        <w:spacing w:after="0" w:line="188" w:lineRule="exact"/>
        <w:rPr>
          <w:sz w:val="20"/>
          <w:szCs w:val="20"/>
          <w:color w:val="auto"/>
        </w:rPr>
      </w:pPr>
    </w:p>
    <w:p>
      <w:pPr>
        <w:ind w:right="19" w:firstLine="648"/>
        <w:spacing w:after="0" w:line="302" w:lineRule="auto"/>
        <w:rPr>
          <w:sz w:val="20"/>
          <w:szCs w:val="20"/>
          <w:color w:val="auto"/>
        </w:rPr>
      </w:pPr>
      <w:r>
        <w:rPr>
          <w:rFonts w:ascii="Arial" w:cs="Arial" w:eastAsia="Arial" w:hAnsi="Arial"/>
          <w:sz w:val="16"/>
          <w:szCs w:val="16"/>
          <w:color w:val="auto"/>
        </w:rPr>
        <w:t>In August 2015, PAA completed the issuance of $1.0 billion, 4.65% senior notes due 2025 at a public offering price of 99.846%. Interest payments are due on April 15 and October 15 of each year, commencing on April 15, 2016. PAA used the net proceeds from this offering of $990 million, after deducting the underwriting discount and offering expenses, to repay outstanding borrowings under the PAA commercial paper program and for general partnership purposes.</w:t>
      </w:r>
    </w:p>
    <w:p>
      <w:pPr>
        <w:spacing w:after="0" w:line="154" w:lineRule="exact"/>
        <w:rPr>
          <w:sz w:val="20"/>
          <w:szCs w:val="20"/>
          <w:color w:val="auto"/>
        </w:rPr>
      </w:pPr>
    </w:p>
    <w:p>
      <w:pPr>
        <w:jc w:val="both"/>
        <w:ind w:right="79" w:firstLine="648"/>
        <w:spacing w:after="0" w:line="264" w:lineRule="auto"/>
        <w:rPr>
          <w:sz w:val="20"/>
          <w:szCs w:val="20"/>
          <w:color w:val="auto"/>
        </w:rPr>
      </w:pPr>
      <w:r>
        <w:rPr>
          <w:rFonts w:ascii="Arial" w:cs="Arial" w:eastAsia="Arial" w:hAnsi="Arial"/>
          <w:sz w:val="18"/>
          <w:szCs w:val="18"/>
          <w:color w:val="auto"/>
        </w:rPr>
        <w:t>As mentioned above, in June 2015 and September 2015, PAA’s $150 million, 5.25% senior notes and $400 million, 3.95% senior notes, respectively, matured and were repaid with cash on hand and proceeds from borrowings under the PAA commercial paper program.</w:t>
      </w:r>
    </w:p>
    <w:p>
      <w:pPr>
        <w:spacing w:after="0" w:line="181" w:lineRule="exact"/>
        <w:rPr>
          <w:sz w:val="20"/>
          <w:szCs w:val="20"/>
          <w:color w:val="auto"/>
        </w:rPr>
      </w:pPr>
    </w:p>
    <w:p>
      <w:pPr>
        <w:ind w:right="219" w:firstLine="648"/>
        <w:spacing w:after="0" w:line="277" w:lineRule="auto"/>
        <w:rPr>
          <w:sz w:val="20"/>
          <w:szCs w:val="20"/>
          <w:color w:val="auto"/>
        </w:rPr>
      </w:pPr>
      <w:r>
        <w:rPr>
          <w:rFonts w:ascii="Arial" w:cs="Arial" w:eastAsia="Arial" w:hAnsi="Arial"/>
          <w:sz w:val="18"/>
          <w:szCs w:val="18"/>
          <w:color w:val="auto"/>
        </w:rPr>
        <w:t>PAA’s $175 million, 5.88% senior notes will mature in August 2016. We intend to use borrowings under the PAA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Class A Shareholders and Noncontrolling Interests</w:t>
      </w:r>
    </w:p>
    <w:p>
      <w:pPr>
        <w:spacing w:after="0" w:line="225" w:lineRule="exact"/>
        <w:rPr>
          <w:sz w:val="20"/>
          <w:szCs w:val="20"/>
          <w:color w:val="auto"/>
        </w:rPr>
      </w:pPr>
    </w:p>
    <w:p>
      <w:pPr>
        <w:ind w:right="79" w:firstLine="648"/>
        <w:spacing w:after="0" w:line="271"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100% of our available cash within 55 days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end of each quarter to Class A shareholders of record. Available cash is generally defined as all of our cash and cash equivalents on hand at the end of each quarter less reserves established in the discretion of our general partner for future requirements. On November 13, 2015, we will pay a quarterly distribution of $0.231 per Class A share. This distribution represents a year-over-year distribution increase of approximately 21.1%. See Note 7 to our Condensed Consolidated Financial Statements for details of distributions paid. Also, see Item 5. “Market for Registrant’s Shares, Related Shareholder Matters and Issuer Purchases of Equity Securities—Cash Distribution Policy” included in our 2014 Annual Report on Form 10-K for additional discussion regarding distributions.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Distributions to noncontrolling interests. </w:t>
      </w:r>
      <w:r>
        <w:rPr>
          <w:rFonts w:ascii="Arial" w:cs="Arial" w:eastAsia="Arial" w:hAnsi="Arial"/>
          <w:sz w:val="17"/>
          <w:szCs w:val="17"/>
          <w:color w:val="auto"/>
        </w:rPr>
        <w:t>Distributions to noncontrolling interests represent amounts paid on</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in consolidated entities that are not owned by us. During the nine months ended September 30, 2015 and 2014, we paid distributions of approximately $1.1 billion and $959 million, respectively, to noncontrolling interests.</w:t>
      </w:r>
    </w:p>
    <w:p>
      <w:pPr>
        <w:spacing w:after="0" w:line="166"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believe that we have sufficient liquid assets, cash flow from operating activities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under contracts, the majority 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2015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Remainder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2020 and</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2017</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9"/>
                <w:szCs w:val="19"/>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Long-term debt, including current maturities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8"/>
                <w:szCs w:val="8"/>
                <w:color w:val="auto"/>
              </w:rPr>
              <w:t>(1)</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$ 12,441</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$ 16,564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8"/>
                <w:szCs w:val="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8"/>
                <w:szCs w:val="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1,235</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1,128</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purchases </w:t>
            </w:r>
            <w:r>
              <w:rPr>
                <w:rFonts w:ascii="Arial" w:cs="Arial" w:eastAsia="Arial" w:hAnsi="Arial"/>
                <w:sz w:val="8"/>
                <w:szCs w:val="8"/>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4,857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3,694</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$ 3,067</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$ 2,680</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$ 17,221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$ 34,030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40" w:hanging="417"/>
        <w:spacing w:after="0" w:line="255"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debt service payments, interest payments due on PAA’s senior notes, interest payments on long-term borrowings outstanding under the AAP credit agreement, the commitment fee on assumed available capacity under the PAA revolving credit facilities and long-term borrowings under the PAA commercial paper program. Although there may be short-term borrowings under the PAA revolving credit facilities and the PAA commercial paper program, we historically repay and borrow at varying amounts. As such, we have included only the maximum commitment fee (as if no short-term borrowings were outstanding on the facilities or the PAA commercial paper program) in the amounts above.</w:t>
      </w:r>
    </w:p>
    <w:p>
      <w:pPr>
        <w:spacing w:after="0" w:line="189" w:lineRule="exact"/>
        <w:rPr>
          <w:rFonts w:ascii="Arial" w:cs="Arial" w:eastAsia="Arial" w:hAnsi="Arial"/>
          <w:sz w:val="18"/>
          <w:szCs w:val="18"/>
          <w:color w:val="auto"/>
        </w:rPr>
      </w:pPr>
    </w:p>
    <w:p>
      <w:pPr>
        <w:ind w:left="420" w:right="460" w:hanging="417"/>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right="200" w:hanging="417"/>
        <w:spacing w:after="0" w:line="302"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(i) other long-term liabilities, (ii) storage, processing and transportation agreements and (iii) non-cancelable commitments related to our capital expansion projects, including projected contributions for our share of the capital spending of our equity-method investments. Excludes a non-current liability of approximately $39 million related to derivative activity included in Crude oil, natural gas, NGL and other purchases.</w:t>
      </w:r>
    </w:p>
    <w:p>
      <w:pPr>
        <w:spacing w:after="0" w:line="154" w:lineRule="exact"/>
        <w:rPr>
          <w:rFonts w:ascii="Arial" w:cs="Arial" w:eastAsia="Arial" w:hAnsi="Arial"/>
          <w:sz w:val="16"/>
          <w:szCs w:val="16"/>
          <w:color w:val="auto"/>
        </w:rPr>
      </w:pPr>
    </w:p>
    <w:p>
      <w:pPr>
        <w:ind w:left="420" w:hanging="417"/>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are primarily based on estimated volumes and market prices based on average activity during</w:t>
      </w:r>
    </w:p>
    <w:p>
      <w:pPr>
        <w:spacing w:after="0" w:line="23" w:lineRule="exact"/>
        <w:rPr>
          <w:rFonts w:ascii="Arial" w:cs="Arial" w:eastAsia="Arial" w:hAnsi="Arial"/>
          <w:sz w:val="18"/>
          <w:szCs w:val="18"/>
          <w:color w:val="auto"/>
        </w:rPr>
      </w:pPr>
    </w:p>
    <w:p>
      <w:pPr>
        <w:ind w:left="420" w:right="280"/>
        <w:spacing w:after="0" w:line="255" w:lineRule="auto"/>
        <w:rPr>
          <w:rFonts w:ascii="Arial" w:cs="Arial" w:eastAsia="Arial" w:hAnsi="Arial"/>
          <w:sz w:val="18"/>
          <w:szCs w:val="18"/>
          <w:color w:val="auto"/>
        </w:rPr>
      </w:pPr>
      <w:r>
        <w:rPr>
          <w:rFonts w:ascii="Arial" w:cs="Arial" w:eastAsia="Arial" w:hAnsi="Arial"/>
          <w:sz w:val="18"/>
          <w:szCs w:val="18"/>
          <w:color w:val="auto"/>
        </w:rPr>
        <w:t>September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w:t>
      </w:r>
      <w:r>
        <w:rPr>
          <w:rFonts w:ascii="Arial" w:cs="Arial" w:eastAsia="Arial" w:hAnsi="Arial"/>
          <w:sz w:val="16"/>
          <w:szCs w:val="16"/>
          <w:i w:val="1"/>
          <w:iCs w:val="1"/>
          <w:color w:val="auto"/>
        </w:rPr>
        <w:t xml:space="preserve"> </w:t>
      </w:r>
      <w:r>
        <w:rPr>
          <w:rFonts w:ascii="Arial" w:cs="Arial" w:eastAsia="Arial" w:hAnsi="Arial"/>
          <w:sz w:val="16"/>
          <w:szCs w:val="16"/>
          <w:color w:val="auto"/>
        </w:rPr>
        <w:t>standby letters of credit to secure our obligation for the purchase of crude oil, NGL and natural gas. Additionally, we issue letters of credit to support insurance programs, derivative transactions and construction activities. At September 30, 2015 and December 31, 2014, we had outstanding letters of credit of approximately $44 million and $87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2014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92" w:lineRule="exact"/>
        <w:rPr>
          <w:sz w:val="20"/>
          <w:szCs w:val="20"/>
          <w:color w:val="auto"/>
        </w:rPr>
      </w:pPr>
    </w:p>
    <w:p>
      <w:pPr>
        <w:ind w:left="740" w:hanging="8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sz w:val="20"/>
          <w:szCs w:val="20"/>
          <w:color w:val="auto"/>
        </w:rPr>
      </w:pPr>
    </w:p>
    <w:p>
      <w:pPr>
        <w:ind w:left="700" w:right="100" w:hanging="53"/>
        <w:spacing w:after="0" w:line="279" w:lineRule="auto"/>
        <w:rPr>
          <w:sz w:val="20"/>
          <w:szCs w:val="20"/>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hanging="22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sz w:val="20"/>
          <w:szCs w:val="20"/>
          <w:color w:val="auto"/>
        </w:rPr>
      </w:pPr>
    </w:p>
    <w:p>
      <w:pPr>
        <w:jc w:val="both"/>
        <w:ind w:left="700" w:right="160" w:hanging="53"/>
        <w:spacing w:after="0" w:line="264" w:lineRule="auto"/>
        <w:rPr>
          <w:sz w:val="20"/>
          <w:szCs w:val="20"/>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81" w:lineRule="exact"/>
        <w:rPr>
          <w:sz w:val="20"/>
          <w:szCs w:val="20"/>
          <w:color w:val="auto"/>
        </w:rPr>
      </w:pPr>
    </w:p>
    <w:p>
      <w:pPr>
        <w:jc w:val="both"/>
        <w:ind w:left="700" w:right="160" w:hanging="53"/>
        <w:spacing w:after="0" w:line="277" w:lineRule="auto"/>
        <w:rPr>
          <w:sz w:val="20"/>
          <w:szCs w:val="20"/>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170" w:lineRule="exact"/>
        <w:rPr>
          <w:sz w:val="20"/>
          <w:szCs w:val="20"/>
          <w:color w:val="auto"/>
        </w:rPr>
      </w:pPr>
    </w:p>
    <w:p>
      <w:pPr>
        <w:ind w:left="700" w:hanging="53"/>
        <w:spacing w:after="0" w:line="264" w:lineRule="auto"/>
        <w:rPr>
          <w:sz w:val="20"/>
          <w:szCs w:val="20"/>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currency exchange rate of the Canadian dollar;</w:t>
      </w:r>
    </w:p>
    <w:p>
      <w:pPr>
        <w:spacing w:after="0" w:line="225" w:lineRule="exact"/>
        <w:rPr>
          <w:sz w:val="20"/>
          <w:szCs w:val="20"/>
          <w:color w:val="auto"/>
        </w:rPr>
      </w:pPr>
    </w:p>
    <w:p>
      <w:pPr>
        <w:ind w:left="700" w:right="140" w:hanging="53"/>
        <w:spacing w:after="0" w:line="277" w:lineRule="auto"/>
        <w:rPr>
          <w:sz w:val="20"/>
          <w:szCs w:val="20"/>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·maintenance of PAA’s credit rating and ability to receive open credit from suppliers and trade counterparties;</w:t>
      </w:r>
    </w:p>
    <w:p>
      <w:pPr>
        <w:spacing w:after="0" w:line="237" w:lineRule="exact"/>
        <w:rPr>
          <w:sz w:val="20"/>
          <w:szCs w:val="20"/>
          <w:color w:val="auto"/>
        </w:rPr>
      </w:pPr>
    </w:p>
    <w:p>
      <w:pPr>
        <w:ind w:left="700" w:right="360" w:hanging="53"/>
        <w:spacing w:after="0" w:line="277" w:lineRule="auto"/>
        <w:rPr>
          <w:sz w:val="20"/>
          <w:szCs w:val="20"/>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ind w:left="700" w:right="340" w:hanging="53"/>
        <w:spacing w:after="0" w:line="308" w:lineRule="auto"/>
        <w:rPr>
          <w:sz w:val="20"/>
          <w:szCs w:val="20"/>
          <w:color w:val="auto"/>
        </w:rPr>
      </w:pPr>
      <w:r>
        <w:rPr>
          <w:rFonts w:ascii="Arial" w:cs="Arial" w:eastAsia="Arial" w:hAnsi="Arial"/>
          <w:sz w:val="17"/>
          <w:szCs w:val="17"/>
          <w:color w:val="auto"/>
        </w:rPr>
        <w:t>·the successful integration and future performance of acquired assets or businesses and the risks associated with operating in lines of business that are distinct and separate from historical operations;</w:t>
      </w:r>
    </w:p>
    <w:p>
      <w:pPr>
        <w:spacing w:after="0" w:line="147" w:lineRule="exact"/>
        <w:rPr>
          <w:sz w:val="20"/>
          <w:szCs w:val="20"/>
          <w:color w:val="auto"/>
        </w:rPr>
      </w:pPr>
    </w:p>
    <w:p>
      <w:pPr>
        <w:ind w:left="760" w:hanging="109"/>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760" w:hanging="109"/>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sz w:val="20"/>
          <w:szCs w:val="20"/>
          <w:color w:val="auto"/>
        </w:rPr>
      </w:pPr>
    </w:p>
    <w:p>
      <w:pPr>
        <w:ind w:left="700" w:right="100" w:hanging="53"/>
        <w:spacing w:after="0" w:line="277" w:lineRule="auto"/>
        <w:rPr>
          <w:sz w:val="20"/>
          <w:szCs w:val="20"/>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170" w:lineRule="exact"/>
        <w:rPr>
          <w:sz w:val="20"/>
          <w:szCs w:val="20"/>
          <w:color w:val="auto"/>
        </w:rPr>
      </w:pPr>
    </w:p>
    <w:p>
      <w:pPr>
        <w:ind w:left="700" w:right="80" w:hanging="53"/>
        <w:spacing w:after="0" w:line="277" w:lineRule="auto"/>
        <w:rPr>
          <w:sz w:val="20"/>
          <w:szCs w:val="20"/>
          <w:color w:val="auto"/>
        </w:rPr>
      </w:pPr>
      <w:r>
        <w:rPr>
          <w:rFonts w:ascii="Arial" w:cs="Arial" w:eastAsia="Arial" w:hAnsi="Arial"/>
          <w:sz w:val="18"/>
          <w:szCs w:val="18"/>
          <w:color w:val="auto"/>
        </w:rPr>
        <w:t>·fluctuations in the debt and equity markets, including the price of PAA’s units at the time of vesting under its long-term incentive plans;</w:t>
      </w:r>
    </w:p>
    <w:p>
      <w:pPr>
        <w:spacing w:after="0" w:line="170" w:lineRule="exact"/>
        <w:rPr>
          <w:sz w:val="20"/>
          <w:szCs w:val="20"/>
          <w:color w:val="auto"/>
        </w:rPr>
      </w:pPr>
    </w:p>
    <w:p>
      <w:pPr>
        <w:ind w:left="700" w:right="680" w:hanging="53"/>
        <w:spacing w:after="0" w:line="277" w:lineRule="auto"/>
        <w:rPr>
          <w:sz w:val="20"/>
          <w:szCs w:val="20"/>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170" w:lineRule="exact"/>
        <w:rPr>
          <w:sz w:val="20"/>
          <w:szCs w:val="20"/>
          <w:color w:val="auto"/>
        </w:rPr>
      </w:pPr>
    </w:p>
    <w:p>
      <w:pPr>
        <w:ind w:left="700" w:right="60" w:hanging="53"/>
        <w:spacing w:after="0" w:line="277" w:lineRule="auto"/>
        <w:rPr>
          <w:sz w:val="20"/>
          <w:szCs w:val="20"/>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sz w:val="20"/>
          <w:szCs w:val="20"/>
          <w:color w:val="auto"/>
        </w:rPr>
      </w:pPr>
    </w:p>
    <w:p>
      <w:pPr>
        <w:ind w:left="700" w:right="240" w:hanging="53"/>
        <w:spacing w:after="0" w:line="277" w:lineRule="auto"/>
        <w:rPr>
          <w:sz w:val="20"/>
          <w:szCs w:val="20"/>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sz w:val="20"/>
          <w:szCs w:val="20"/>
          <w:color w:val="auto"/>
        </w:rPr>
      </w:pPr>
    </w:p>
    <w:p>
      <w:pPr>
        <w:jc w:val="both"/>
        <w:ind w:left="700" w:right="200" w:hanging="53"/>
        <w:spacing w:after="0" w:line="264" w:lineRule="auto"/>
        <w:rPr>
          <w:sz w:val="20"/>
          <w:szCs w:val="20"/>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2014 Annual Report on Form 10-K. Except as required by applicable securities laws, we do not intend to update these forward-looking statements and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1260" w:hanging="609"/>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120"/>
        <w:spacing w:after="0" w:line="279"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1" w:lineRule="exact"/>
        <w:rPr>
          <w:sz w:val="20"/>
          <w:szCs w:val="20"/>
          <w:color w:val="auto"/>
        </w:rPr>
      </w:pPr>
    </w:p>
    <w:p>
      <w:pPr>
        <w:ind w:left="1140" w:hanging="489"/>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980" w:right="240"/>
        <w:spacing w:after="0" w:line="259"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7" w:lineRule="exact"/>
        <w:rPr>
          <w:sz w:val="20"/>
          <w:szCs w:val="20"/>
          <w:color w:val="auto"/>
        </w:rPr>
      </w:pPr>
    </w:p>
    <w:p>
      <w:pPr>
        <w:ind w:left="1040" w:hanging="38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8 to our Condensed Consolidated Financial Statements for further discussion regarding our hedging strategies and objectives.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2015 that would be expected from a 10% price increase or decrease is shown in the table below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Effect of 10%</w:t>
            </w:r>
          </w:p>
        </w:tc>
        <w:tc>
          <w:tcPr>
            <w:tcW w:w="14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Effect of 10%</w:t>
            </w:r>
          </w:p>
        </w:tc>
      </w:tr>
      <w:tr>
        <w:trPr>
          <w:trHeight w:val="228"/>
        </w:trPr>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Price Increase</w:t>
            </w:r>
          </w:p>
        </w:tc>
        <w:tc>
          <w:tcPr>
            <w:tcW w:w="14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Price Decrease</w:t>
            </w:r>
          </w:p>
        </w:tc>
      </w:tr>
      <w:tr>
        <w:trPr>
          <w:trHeight w:val="223"/>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CEEFF"/>
            </w:tcBorders>
            <w:shd w:val="clear" w:color="auto" w:fill="CCEEFF"/>
          </w:tcPr>
          <w:p>
            <w:pPr>
              <w:spacing w:after="0"/>
              <w:rPr>
                <w:sz w:val="19"/>
                <w:szCs w:val="19"/>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Natural gas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21"/>
                <w:szCs w:val="21"/>
                <w:color w:val="auto"/>
              </w:rPr>
            </w:pPr>
          </w:p>
        </w:tc>
      </w:tr>
      <w:tr>
        <w:trPr>
          <w:trHeight w:val="217"/>
        </w:trPr>
        <w:tc>
          <w:tcPr>
            <w:tcW w:w="6200" w:type="dxa"/>
            <w:vAlign w:val="bottom"/>
          </w:tcPr>
          <w:p>
            <w:pPr>
              <w:ind w:left="220"/>
              <w:spacing w:after="0"/>
              <w:rPr>
                <w:sz w:val="20"/>
                <w:szCs w:val="20"/>
                <w:color w:val="auto"/>
              </w:rPr>
            </w:pPr>
            <w:r>
              <w:rPr>
                <w:rFonts w:ascii="Arial" w:cs="Arial" w:eastAsia="Arial" w:hAnsi="Arial"/>
                <w:sz w:val="18"/>
                <w:szCs w:val="18"/>
                <w:color w:val="auto"/>
              </w:rPr>
              <w:t>Total fair value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The majority of our variable rate debt at September 30, 2015, approximately $1.4 billion, is subject to interest rate re-sets, which range from one day to one month. The average interest rate on variable rate debt that was outstanding during the nine months ended September 30, 2015 was 1.2%, based upon rates in effect during such period. The fair value of our interest rate derivatives was a liability of $57 million as of September 30, 2015. A 10% increase in the forward LIBOR curve as of September 30, 2015 would have resulted in an increase of $46 million to the fair value of our interest rate derivatives. A 10% decrease in the forward LIBOR curve as of September 30, 2015 would have resulted in a decrease of $46 million to the fair value of our interest rate derivatives. See Note 8 to our Condensed Consolidated Financial Statements for a discussion of our interest rate risk hedging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$9 million as of September 30, 2015. A 10% increase in the exchange rate (USD-to-CAD) would have resulted in a decrease of $17 million to the fair value of our foreign currency derivatives. A 10% decrease in the exchange rate (USD-to-CAD) would have resulted in an increase of $17 million to the fair value of our foreign currency derivatives. See Note 8 to our Condensed Consolidated Financial Statements for a discussion of our currency exchange rate risk hedging.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2015, the end of the period covered by this report, and, based on such evaluation, our Chief Executive Officer and Chief Financial Officer have concluded that our DCP is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2015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a discussion regarding our risk factors, see Item 1A of our 2014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September 30, 2015, certain Legacy Owners or their permitted transferees exercised the Exchange Right, which resulted in the issuance of 2,892,505 Class A shares. The issuance of Class A shares in connection with the exercise of the Exchange Rights was exempt from the registration requirements of the Securities Act of 1933, as amended, pursuant to Section 4(2) thereof.</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19" w:firstLine="45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w:t>
      </w:r>
    </w:p>
    <w:p>
      <w:pPr>
        <w:spacing w:after="0" w:line="252"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PAA GP HOLDINGS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its general partner</w:t>
      </w:r>
    </w:p>
    <w:p>
      <w:pPr>
        <w:spacing w:after="0" w:line="26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5984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6"/>
          <w:szCs w:val="16"/>
          <w:b w:val="1"/>
          <w:bCs w:val="1"/>
          <w:i w:val="1"/>
          <w:iCs w:val="1"/>
          <w:color w:val="auto"/>
        </w:rPr>
        <w:t>Chairman of the Board, Chief Executive Officer and</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Director (Principal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79"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5984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right"/>
        <w:ind w:right="99"/>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79"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Herbold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5984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6"/>
          <w:szCs w:val="16"/>
          <w:b w:val="1"/>
          <w:bCs w:val="1"/>
          <w:i w:val="1"/>
          <w:iCs w:val="1"/>
          <w:color w:val="auto"/>
        </w:rPr>
        <w:t>Vice President —Accounting and Chief Accounting</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Officer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3" w:lineRule="exact"/>
        <w:rPr>
          <w:sz w:val="20"/>
          <w:szCs w:val="20"/>
          <w:color w:val="auto"/>
        </w:rPr>
      </w:pPr>
    </w:p>
    <w:p>
      <w:pPr>
        <w:ind w:left="1200" w:right="39" w:hanging="1552"/>
        <w:spacing w:after="0" w:line="277" w:lineRule="auto"/>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Certificate of Limited Partnership of Plains GP Holdings, L.P. (incorporated by reference to Exhibit 3.1 to our Registration Statement on Form S-1 (333-190227) filed July 29, 2013).</w:t>
      </w:r>
    </w:p>
    <w:p>
      <w:pPr>
        <w:spacing w:after="0" w:line="197" w:lineRule="exact"/>
        <w:rPr>
          <w:sz w:val="20"/>
          <w:szCs w:val="20"/>
          <w:color w:val="auto"/>
        </w:rPr>
      </w:pPr>
    </w:p>
    <w:p>
      <w:pPr>
        <w:ind w:left="1200" w:right="279" w:hanging="1552"/>
        <w:spacing w:after="0" w:line="264" w:lineRule="auto"/>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Amended and Restated Agreement of Limited Partnership of Plains GP Holdings, L.P. dated as of October 21, 2013 (incorporated by reference to Exhibit 3.1 to our Current Report on Form 8-K filed October 25, 2013).</w:t>
      </w:r>
    </w:p>
    <w:p>
      <w:pPr>
        <w:spacing w:after="0" w:line="208" w:lineRule="exact"/>
        <w:rPr>
          <w:sz w:val="20"/>
          <w:szCs w:val="20"/>
          <w:color w:val="auto"/>
        </w:rPr>
      </w:pPr>
    </w:p>
    <w:p>
      <w:pPr>
        <w:ind w:left="1200" w:right="339" w:hanging="1552"/>
        <w:spacing w:after="0" w:line="277" w:lineRule="auto"/>
        <w:tabs>
          <w:tab w:leader="none" w:pos="11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Certificate of Formation of PAA GP Holdings LLC (incorporated by reference to Exhibit 3.3 to our Registration Statement on Form S-1 (333-190227) filed July 29, 2013).</w:t>
      </w:r>
    </w:p>
    <w:p>
      <w:pPr>
        <w:spacing w:after="0" w:line="197" w:lineRule="exact"/>
        <w:rPr>
          <w:sz w:val="20"/>
          <w:szCs w:val="20"/>
          <w:color w:val="auto"/>
        </w:rPr>
      </w:pPr>
    </w:p>
    <w:p>
      <w:pPr>
        <w:ind w:left="1200" w:right="179" w:hanging="1552"/>
        <w:spacing w:after="0" w:line="264" w:lineRule="auto"/>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Amended and Restated Limited Liability Company Agreement of PAA GP Holdings LLC dated as of October 21, 2013 (incorporated by reference to Exhibit 3.2 to our Current Report on Form 8-K filed October 25, 2013).</w:t>
      </w:r>
    </w:p>
    <w:p>
      <w:pPr>
        <w:spacing w:after="0" w:line="208" w:lineRule="exact"/>
        <w:rPr>
          <w:sz w:val="20"/>
          <w:szCs w:val="20"/>
          <w:color w:val="auto"/>
        </w:rPr>
      </w:pPr>
    </w:p>
    <w:p>
      <w:pPr>
        <w:ind w:left="1200" w:right="419" w:hanging="1552"/>
        <w:spacing w:after="0" w:line="264" w:lineRule="auto"/>
        <w:tabs>
          <w:tab w:leader="none" w:pos="11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Amendment No. 1 dated as of December 31, 2013 to the Amended and Restated Limited Liability Company Agreement of PAA GP Holdings LLC (incorporated by reference to Exhibit 3.2 to our Current Report on Form 8-K filed December 31, 2013).</w:t>
      </w:r>
    </w:p>
    <w:p>
      <w:pPr>
        <w:spacing w:after="0" w:line="208" w:lineRule="exact"/>
        <w:rPr>
          <w:sz w:val="20"/>
          <w:szCs w:val="20"/>
          <w:color w:val="auto"/>
        </w:rPr>
      </w:pPr>
    </w:p>
    <w:p>
      <w:pPr>
        <w:jc w:val="both"/>
        <w:ind w:left="1200" w:right="19" w:hanging="1552"/>
        <w:spacing w:after="0" w:line="264" w:lineRule="auto"/>
        <w:tabs>
          <w:tab w:leader="none" w:pos="11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Fourth Amended and Restated Agreement of Limited Partnership of Plains All American Pipeline, L.P. dated as of May 17, 2012 (incorporated by reference to Exhibit 3.1 to PAA’s Current Report on Form 8-K filed May 23, 2012).</w:t>
      </w:r>
    </w:p>
    <w:p>
      <w:pPr>
        <w:spacing w:after="0" w:line="208" w:lineRule="exact"/>
        <w:rPr>
          <w:sz w:val="20"/>
          <w:szCs w:val="20"/>
          <w:color w:val="auto"/>
        </w:rPr>
      </w:pPr>
    </w:p>
    <w:p>
      <w:pPr>
        <w:ind w:left="1200" w:right="159" w:hanging="1552"/>
        <w:spacing w:after="0" w:line="264" w:lineRule="auto"/>
        <w:tabs>
          <w:tab w:leader="none" w:pos="11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Amendment No. 1 dated October 1, 2012 to the Fourth Amended and Restated Agreement of Limited Partnership of Plains All American Pipeline, L.P. (incorporated by reference to Exhibit 3.1 to PAA’s Current Report on Form 8-K filed October 2, 2012).</w:t>
      </w:r>
    </w:p>
    <w:p>
      <w:pPr>
        <w:spacing w:after="0" w:line="208" w:lineRule="exact"/>
        <w:rPr>
          <w:sz w:val="20"/>
          <w:szCs w:val="20"/>
          <w:color w:val="auto"/>
        </w:rPr>
      </w:pPr>
    </w:p>
    <w:p>
      <w:pPr>
        <w:ind w:left="1200" w:right="159" w:hanging="1552"/>
        <w:spacing w:after="0" w:line="264" w:lineRule="auto"/>
        <w:tabs>
          <w:tab w:leader="none" w:pos="11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Amendment No. 2 dated December 31, 2013 to the Fourth Amended and Restated Agreement of Limited Partnership of Plains All American Pipeline, L.P. (incorporated by reference to Exhibit 3.3 to our Current Report on Form 8-K filed December 31, 2013).</w:t>
      </w:r>
    </w:p>
    <w:p>
      <w:pPr>
        <w:spacing w:after="0" w:line="208" w:lineRule="exact"/>
        <w:rPr>
          <w:sz w:val="20"/>
          <w:szCs w:val="20"/>
          <w:color w:val="auto"/>
        </w:rPr>
      </w:pPr>
    </w:p>
    <w:p>
      <w:pPr>
        <w:jc w:val="both"/>
        <w:ind w:left="1200" w:right="299" w:hanging="1552"/>
        <w:spacing w:after="0" w:line="264" w:lineRule="auto"/>
        <w:tabs>
          <w:tab w:leader="none" w:pos="11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Amendment No. 3 dated May 15, 2015 to the Fourth Amended and Restated Agreement of Limited Partnership of Plains All American Pipeline, L.P. (incorporated by reference to Exhibit 3.1 to PAA’s Current Report on Form 8-K filed May 15, 2015).</w:t>
      </w:r>
    </w:p>
    <w:p>
      <w:pPr>
        <w:spacing w:after="0" w:line="208" w:lineRule="exact"/>
        <w:rPr>
          <w:sz w:val="20"/>
          <w:szCs w:val="20"/>
          <w:color w:val="auto"/>
        </w:rPr>
      </w:pPr>
    </w:p>
    <w:p>
      <w:pPr>
        <w:jc w:val="both"/>
        <w:ind w:left="1200" w:right="159" w:hanging="1552"/>
        <w:spacing w:after="0" w:line="264" w:lineRule="auto"/>
        <w:tabs>
          <w:tab w:leader="none" w:pos="11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Sixth Amended and Restated Limited Liability Company Agreement of Plains All American GP LLC dated October 21, 2013 (incorporated by reference to Exhibit 3.4 to our Current Report on Form 8-K filed October 25, 2013).</w:t>
      </w:r>
    </w:p>
    <w:p>
      <w:pPr>
        <w:spacing w:after="0" w:line="208"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Seventh Amended and Restated Limited Partnership Agreement of Plains AAP, L.P. dated October 21,</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2013 (incorporated by reference to Exhibit 3.3 to our Current Report on Form 8-K filed October 25,</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2013).</w:t>
      </w:r>
    </w:p>
    <w:p>
      <w:pPr>
        <w:spacing w:after="0" w:line="238" w:lineRule="exact"/>
        <w:rPr>
          <w:sz w:val="20"/>
          <w:szCs w:val="20"/>
          <w:color w:val="auto"/>
        </w:rPr>
      </w:pPr>
    </w:p>
    <w:p>
      <w:pPr>
        <w:ind w:left="1200" w:right="259" w:hanging="1552"/>
        <w:spacing w:after="0" w:line="264" w:lineRule="auto"/>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Amendment No. 1 dated December 31, 2013 to Seventh Amended and Restated Limited Partnership Agreement of Plains AAP, L.P. (incorporated by reference to Exhibit 3.1 to our Current Report on Form 8-K filed December 31, 2013).</w:t>
      </w:r>
    </w:p>
    <w:p>
      <w:pPr>
        <w:spacing w:after="0" w:line="208" w:lineRule="exact"/>
        <w:rPr>
          <w:sz w:val="20"/>
          <w:szCs w:val="20"/>
          <w:color w:val="auto"/>
        </w:rPr>
      </w:pPr>
    </w:p>
    <w:p>
      <w:pPr>
        <w:ind w:left="1200" w:right="299" w:hanging="1552"/>
        <w:spacing w:after="0" w:line="308" w:lineRule="auto"/>
        <w:tabs>
          <w:tab w:leader="none" w:pos="11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 Limited Liability Company Agreement of PAA GP LLC dated December 28, 2007 (incorporated by reference to Exhibit 3.3 to PAA’s Current Report on Form 8-K filed January 4, 2008).</w:t>
      </w:r>
    </w:p>
    <w:p>
      <w:pPr>
        <w:spacing w:after="0" w:line="174" w:lineRule="exact"/>
        <w:rPr>
          <w:sz w:val="20"/>
          <w:szCs w:val="20"/>
          <w:color w:val="auto"/>
        </w:rPr>
      </w:pPr>
    </w:p>
    <w:p>
      <w:pPr>
        <w:ind w:left="1200" w:right="19" w:hanging="1552"/>
        <w:spacing w:after="0" w:line="264" w:lineRule="auto"/>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Indenture dated September 25, 2002 among Plains All American Pipeline, L.P., PAA Finance Corp. and Wachovia Bank, National Association, as trustee (incorporated by reference to Exhibit 4.1 to PAA’s Quarterly Report on Form 10-Q for the quarter ended September 30, 2002).</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0" w:right="520" w:hanging="1552"/>
        <w:spacing w:after="0" w:line="279" w:lineRule="auto"/>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PAA’s Registration Statement on Form S-4, File No. 333-121168).</w:t>
      </w:r>
    </w:p>
    <w:p>
      <w:pPr>
        <w:spacing w:after="0" w:line="198" w:lineRule="exact"/>
        <w:rPr>
          <w:sz w:val="20"/>
          <w:szCs w:val="20"/>
          <w:color w:val="auto"/>
        </w:rPr>
      </w:pPr>
    </w:p>
    <w:p>
      <w:pPr>
        <w:ind w:left="1200" w:right="80" w:hanging="1552"/>
        <w:spacing w:after="0" w:line="259" w:lineRule="auto"/>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p>
    <w:p>
      <w:pPr>
        <w:spacing w:after="0" w:line="214" w:lineRule="exact"/>
        <w:rPr>
          <w:sz w:val="20"/>
          <w:szCs w:val="20"/>
          <w:color w:val="auto"/>
        </w:rPr>
      </w:pPr>
    </w:p>
    <w:p>
      <w:pPr>
        <w:ind w:left="1200" w:right="60" w:hanging="1552"/>
        <w:spacing w:after="0" w:line="259" w:lineRule="auto"/>
        <w:tabs>
          <w:tab w:leader="none" w:pos="11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PAA’s Current Report on Form 8-K filed October 30, 2006).</w:t>
      </w:r>
    </w:p>
    <w:p>
      <w:pPr>
        <w:spacing w:after="0" w:line="214" w:lineRule="exact"/>
        <w:rPr>
          <w:sz w:val="20"/>
          <w:szCs w:val="20"/>
          <w:color w:val="auto"/>
        </w:rPr>
      </w:pPr>
    </w:p>
    <w:p>
      <w:pPr>
        <w:ind w:left="1200" w:right="60" w:hanging="1552"/>
        <w:spacing w:after="0" w:line="259" w:lineRule="auto"/>
        <w:tabs>
          <w:tab w:leader="none" w:pos="11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p>
    <w:p>
      <w:pPr>
        <w:spacing w:after="0" w:line="214" w:lineRule="exact"/>
        <w:rPr>
          <w:sz w:val="20"/>
          <w:szCs w:val="20"/>
          <w:color w:val="auto"/>
        </w:rPr>
      </w:pPr>
    </w:p>
    <w:p>
      <w:pPr>
        <w:ind w:left="1200" w:right="60" w:hanging="1552"/>
        <w:spacing w:after="0" w:line="279" w:lineRule="auto"/>
        <w:tabs>
          <w:tab w:leader="none" w:pos="11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 Thirteenth Supplemental Indenture (Series A and Series B 6.50% Senior Notes due 2018) dated April 23, 2008 among Plains All American Pipeline, L.P., PAA Finance Corp., the Subsidiary Guarantors named therein and U.S. Bank National Association, as trustee (incorporated by reference to Exhibit 4.1 to PAA’s Current Report on Form 8-K filed April 23, 2008).</w:t>
      </w:r>
    </w:p>
    <w:p>
      <w:pPr>
        <w:spacing w:after="0" w:line="198" w:lineRule="exact"/>
        <w:rPr>
          <w:sz w:val="20"/>
          <w:szCs w:val="20"/>
          <w:color w:val="auto"/>
        </w:rPr>
      </w:pPr>
    </w:p>
    <w:p>
      <w:pPr>
        <w:ind w:left="1200" w:hanging="1552"/>
        <w:spacing w:after="0" w:line="259" w:lineRule="auto"/>
        <w:tabs>
          <w:tab w:leader="none" w:pos="11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Fifteenth Supplemental Indenture (8.75% Senior Notes due 2019) dated April 20, 2009 among Plains All American Pipeline, L.P., PAA Finance Corp., the Subsidiary Guarantors named therein and U.S. Bank National Association, as trustee (incorporated by reference to Exhibit 4.1 to PAA’s Current Report on Form 8-K filed April 20, 2009).</w:t>
      </w:r>
    </w:p>
    <w:p>
      <w:pPr>
        <w:spacing w:after="0" w:line="214" w:lineRule="exact"/>
        <w:rPr>
          <w:sz w:val="20"/>
          <w:szCs w:val="20"/>
          <w:color w:val="auto"/>
        </w:rPr>
      </w:pPr>
    </w:p>
    <w:p>
      <w:pPr>
        <w:jc w:val="both"/>
        <w:ind w:left="1200" w:right="140" w:hanging="1552"/>
        <w:spacing w:after="0" w:line="259" w:lineRule="auto"/>
        <w:tabs>
          <w:tab w:leader="none" w:pos="11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Seventeenth Supplemental Indenture (5.75% Senior Notes due 2020) dated September 4, 2009 among Plains All American Pipeline, L.P., PAA Finance Corp., the Subsidiary Guarantors named therein and U.S. Bank National Association, as trustee (incorporated by reference to Exhibit 4.1 to PAA’s Current Report on Form 8-K filed September 4, 2009).</w:t>
      </w:r>
    </w:p>
    <w:p>
      <w:pPr>
        <w:spacing w:after="0" w:line="214" w:lineRule="exact"/>
        <w:rPr>
          <w:sz w:val="20"/>
          <w:szCs w:val="20"/>
          <w:color w:val="auto"/>
        </w:rPr>
      </w:pPr>
    </w:p>
    <w:p>
      <w:pPr>
        <w:ind w:left="1200" w:right="160" w:hanging="1552"/>
        <w:spacing w:after="0" w:line="259" w:lineRule="auto"/>
        <w:tabs>
          <w:tab w:leader="none" w:pos="11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PAA’s Current Report on Form 8-K filed January 11, 2011).</w:t>
      </w:r>
    </w:p>
    <w:p>
      <w:pPr>
        <w:spacing w:after="0" w:line="214" w:lineRule="exact"/>
        <w:rPr>
          <w:sz w:val="20"/>
          <w:szCs w:val="20"/>
          <w:color w:val="auto"/>
        </w:rPr>
      </w:pPr>
    </w:p>
    <w:p>
      <w:pPr>
        <w:ind w:left="1200" w:right="40" w:hanging="1552"/>
        <w:spacing w:after="0" w:line="286" w:lineRule="auto"/>
        <w:tabs>
          <w:tab w:leader="none" w:pos="11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 Twentieth Supplemental Indenture (3.65% Senior Notes due 2022) dated March 22, 2012 among Plains All American Pipeline, L.P., PAA Finance Corp and U.S. Bank National Association, as trustee (incorporated by reference to Exhibit 4.1 to PAA’s Current Report on Form 8-K filed March 26, 2012).</w:t>
      </w:r>
    </w:p>
    <w:p>
      <w:pPr>
        <w:spacing w:after="0" w:line="193" w:lineRule="exact"/>
        <w:rPr>
          <w:sz w:val="20"/>
          <w:szCs w:val="20"/>
          <w:color w:val="auto"/>
        </w:rPr>
      </w:pPr>
    </w:p>
    <w:p>
      <w:pPr>
        <w:ind w:left="1200" w:right="80" w:hanging="1552"/>
        <w:spacing w:after="0" w:line="286" w:lineRule="auto"/>
        <w:tabs>
          <w:tab w:leader="none" w:pos="11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right="120" w:hanging="1552"/>
        <w:spacing w:after="0" w:line="259" w:lineRule="auto"/>
        <w:tabs>
          <w:tab w:leader="none" w:pos="11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 (incorporated by reference to Exhibit 4.1 to PAA’s Current Report on Form 8-K filed December 12, 2012).</w:t>
      </w:r>
    </w:p>
    <w:p>
      <w:pPr>
        <w:spacing w:after="0" w:line="214" w:lineRule="exact"/>
        <w:rPr>
          <w:sz w:val="20"/>
          <w:szCs w:val="20"/>
          <w:color w:val="auto"/>
        </w:rPr>
      </w:pPr>
    </w:p>
    <w:p>
      <w:pPr>
        <w:ind w:left="1200" w:right="120" w:hanging="1552"/>
        <w:spacing w:after="0" w:line="259" w:lineRule="auto"/>
        <w:tabs>
          <w:tab w:leader="none" w:pos="11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p>
    <w:p>
      <w:pPr>
        <w:spacing w:after="0" w:line="214" w:lineRule="exact"/>
        <w:rPr>
          <w:sz w:val="20"/>
          <w:szCs w:val="20"/>
          <w:color w:val="auto"/>
        </w:rPr>
      </w:pPr>
    </w:p>
    <w:p>
      <w:pPr>
        <w:jc w:val="both"/>
        <w:ind w:left="1200" w:right="40" w:hanging="1552"/>
        <w:spacing w:after="0" w:line="259" w:lineRule="auto"/>
        <w:tabs>
          <w:tab w:leader="none" w:pos="11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Twenty-Fourth Supplemental Indenture (3.85% Senior Notes due 2023) dated August 15, 2013, by and among Plains All American Pipeline, L.P., PAA Finance Corp. and U.S. Bank National Association, as trustee (incorporated by reference to Exhibit 4.1 to PAA’s Current Report on Form 8-K filed August 15, 2013).</w:t>
      </w:r>
    </w:p>
    <w:p>
      <w:pPr>
        <w:spacing w:after="0" w:line="214" w:lineRule="exact"/>
        <w:rPr>
          <w:sz w:val="20"/>
          <w:szCs w:val="20"/>
          <w:color w:val="auto"/>
        </w:rPr>
      </w:pPr>
    </w:p>
    <w:p>
      <w:pPr>
        <w:ind w:left="1200" w:right="100" w:hanging="1552"/>
        <w:spacing w:after="0" w:line="259" w:lineRule="auto"/>
        <w:tabs>
          <w:tab w:leader="none" w:pos="11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214" w:lineRule="exact"/>
        <w:rPr>
          <w:sz w:val="20"/>
          <w:szCs w:val="20"/>
          <w:color w:val="auto"/>
        </w:rPr>
      </w:pPr>
    </w:p>
    <w:p>
      <w:pPr>
        <w:ind w:left="1200" w:hanging="1552"/>
        <w:spacing w:after="0" w:line="259" w:lineRule="auto"/>
        <w:tabs>
          <w:tab w:leader="none" w:pos="11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214" w:lineRule="exact"/>
        <w:rPr>
          <w:sz w:val="20"/>
          <w:szCs w:val="20"/>
          <w:color w:val="auto"/>
        </w:rPr>
      </w:pPr>
    </w:p>
    <w:p>
      <w:pPr>
        <w:ind w:left="1200" w:right="160" w:hanging="1552"/>
        <w:spacing w:after="0" w:line="259" w:lineRule="auto"/>
        <w:tabs>
          <w:tab w:leader="none" w:pos="11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p>
    <w:p>
      <w:pPr>
        <w:spacing w:after="0" w:line="214" w:lineRule="exact"/>
        <w:rPr>
          <w:sz w:val="20"/>
          <w:szCs w:val="20"/>
          <w:color w:val="auto"/>
        </w:rPr>
      </w:pPr>
    </w:p>
    <w:p>
      <w:pPr>
        <w:ind w:left="1200" w:right="260" w:hanging="1552"/>
        <w:spacing w:after="0" w:line="259" w:lineRule="auto"/>
        <w:tabs>
          <w:tab w:leader="none" w:pos="11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214" w:lineRule="exact"/>
        <w:rPr>
          <w:sz w:val="20"/>
          <w:szCs w:val="20"/>
          <w:color w:val="auto"/>
        </w:rPr>
      </w:pPr>
    </w:p>
    <w:p>
      <w:pPr>
        <w:ind w:left="1200" w:right="40" w:hanging="1552"/>
        <w:spacing w:after="0" w:line="259" w:lineRule="auto"/>
        <w:tabs>
          <w:tab w:leader="none" w:pos="11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p>
    <w:p>
      <w:pPr>
        <w:spacing w:after="0" w:line="214" w:lineRule="exact"/>
        <w:rPr>
          <w:sz w:val="20"/>
          <w:szCs w:val="20"/>
          <w:color w:val="auto"/>
        </w:rPr>
      </w:pPr>
    </w:p>
    <w:p>
      <w:pPr>
        <w:ind w:left="1200" w:right="260" w:hanging="1552"/>
        <w:spacing w:after="0" w:line="264" w:lineRule="auto"/>
        <w:tabs>
          <w:tab w:leader="none" w:pos="11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 Shareholder and Registration Rights Agreement dated October 21, 2013 by and among Plains GP Holdings, L.P. and the other parties signatory thereto (incorporated by reference to Exhibit 4.1 to our Current Report on Form 8-K filed October 25, 2013).</w:t>
      </w:r>
    </w:p>
    <w:p>
      <w:pPr>
        <w:spacing w:after="0" w:line="208" w:lineRule="exact"/>
        <w:rPr>
          <w:sz w:val="20"/>
          <w:szCs w:val="20"/>
          <w:color w:val="auto"/>
        </w:rPr>
      </w:pPr>
    </w:p>
    <w:p>
      <w:pPr>
        <w:ind w:left="1200" w:right="60" w:hanging="1552"/>
        <w:spacing w:after="0" w:line="264" w:lineRule="auto"/>
        <w:tabs>
          <w:tab w:leader="none" w:pos="11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 Registration Rights Agreement dated September 3, 2009 by and between Plains All American Pipeline, L.P. and Vulcan Gas Storage LLC (incorporated by reference to Exhibit 4.1 to PAA’s Registration Statement on Form S-3, File No. 333-162477).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ind w:left="32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21"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18"/>
                <w:szCs w:val="18"/>
                <w:color w:val="auto"/>
              </w:rPr>
            </w:pP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w w:val="96"/>
              </w:rPr>
              <w:t>—  364-Day Credit Agreement dated January 16, 2015 among Plains All American Pipeline, L.P., as</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4"/>
              </w:rPr>
              <w:t>Borrower; Bank of America, N.A., as Administrative Agent; Citibank, N.A., JPMorgan Chase Bank</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2"/>
              </w:rPr>
              <w:t>N.A. and Wells Fargo Bank, National Association, as Co-Syndication Agents; DNB Bank ASA, New</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2"/>
              </w:rPr>
              <w:t>York Branch and Mizuho Bank, Ltd., as Co-Documentation Agents; the other Lenders party thereto;</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and Merrill Lynch, Pierce, Fenner &amp; Smith Incorporated, Citigroup Global Markets Inc., DNB</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4"/>
              </w:rPr>
              <w:t>Markets, Inc., J.P. Morgan Securities LLC, Mizuho Bank, Ltd. and Wells Fargo Securities, LLC, as</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1"/>
              </w:rPr>
              <w:t>Joint Lead Arrangers and Joint Bookrunners (incorporated by reference to Exhibit 10.1 to our Current</w:t>
            </w:r>
          </w:p>
        </w:tc>
      </w:tr>
      <w:tr>
        <w:trPr>
          <w:trHeight w:val="230"/>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Report on Form 8-K filed January 20, 2015).</w:t>
            </w:r>
          </w:p>
        </w:tc>
      </w:tr>
      <w:tr>
        <w:trPr>
          <w:trHeight w:val="445"/>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640" w:type="dxa"/>
            <w:vAlign w:val="bottom"/>
          </w:tcPr>
          <w:p>
            <w:pPr>
              <w:spacing w:after="0"/>
              <w:rPr>
                <w:sz w:val="24"/>
                <w:szCs w:val="24"/>
                <w:color w:val="auto"/>
              </w:rPr>
            </w:pP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w w:val="94"/>
              </w:rPr>
              <w:t>—  First Amendment to 364-Day Credit Agreement dated August 14, 2015 among Plains All American</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Pipeline, L.P., as Borrower; Bank of America, N.A., as Administrative Agent; Citibank, N.A.,</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1"/>
              </w:rPr>
              <w:t>JPMorgan Chase Bank N.A. and Wells Fargo Bank, National Association, as Co-Syndication Agents;</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3"/>
              </w:rPr>
              <w:t>DNB Bank ASA, New York Branch and Mizuho Bank, Ltd., as Co-Documentation Agents; the other</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6"/>
              </w:rPr>
              <w:t>Lenders party thereto; and Merrill Lynch, Pierce, Fenner &amp; Smith Incorporated, Citigroup Global</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4"/>
              </w:rPr>
              <w:t>Markets Inc., DNB Markets, Inc., J.P. Morgan Securities LLC, Mizuho Bank, Ltd. and Wells Fargo</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8"/>
              </w:rPr>
              <w:t>Securities, LLC, as Joint Lead Arrangers and Joint Bookrunners (incorporated by reference to</w:t>
            </w:r>
          </w:p>
        </w:tc>
      </w:tr>
      <w:tr>
        <w:trPr>
          <w:trHeight w:val="230"/>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Exhibit 10.1 to PAA’s Current Report on Form 8-K filed August 14, 2015).</w:t>
            </w:r>
          </w:p>
        </w:tc>
      </w:tr>
      <w:tr>
        <w:trPr>
          <w:trHeight w:val="445"/>
        </w:trPr>
        <w:tc>
          <w:tcPr>
            <w:tcW w:w="340" w:type="dxa"/>
            <w:vAlign w:val="bottom"/>
          </w:tcPr>
          <w:p>
            <w:pPr>
              <w:spacing w:after="0"/>
              <w:rPr>
                <w:sz w:val="20"/>
                <w:szCs w:val="20"/>
                <w:color w:val="auto"/>
              </w:rPr>
            </w:pPr>
            <w:r>
              <w:rPr>
                <w:rFonts w:ascii="Arial" w:cs="Arial" w:eastAsia="Arial" w:hAnsi="Arial"/>
                <w:sz w:val="18"/>
                <w:szCs w:val="18"/>
                <w:color w:val="auto"/>
                <w:w w:val="91"/>
              </w:rPr>
              <w:t>10.3</w:t>
            </w:r>
          </w:p>
        </w:tc>
        <w:tc>
          <w:tcPr>
            <w:tcW w:w="640" w:type="dxa"/>
            <w:vAlign w:val="bottom"/>
          </w:tcPr>
          <w:p>
            <w:pPr>
              <w:spacing w:after="0"/>
              <w:rPr>
                <w:sz w:val="24"/>
                <w:szCs w:val="24"/>
                <w:color w:val="auto"/>
              </w:rPr>
            </w:pP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w w:val="93"/>
              </w:rPr>
              <w:t>—  First Amendment to Second Amended and Restated Credit Agreement dated as of August 14, 2015</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1"/>
              </w:rPr>
              <w:t>among Plains AAP, L.P., as Borrower, Citibank, N.A. as Administrative Agent, and the other Lenders</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w w:val="97"/>
              </w:rPr>
              <w:t>party thereto (incorporated by reference to Exhibit 10.1 to our Current Report on Form 8-K filed</w:t>
            </w:r>
          </w:p>
        </w:tc>
      </w:tr>
      <w:tr>
        <w:trPr>
          <w:trHeight w:val="230"/>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August 14, 2015).</w:t>
            </w:r>
          </w:p>
        </w:tc>
      </w:tr>
      <w:tr>
        <w:trPr>
          <w:trHeight w:val="459"/>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Computation of Ratio of Earnings to Fixed Charges</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w w:val="92"/>
              </w:rPr>
              <w:t>—  Certification of Principal Executive Officer pursuant to Exchange Act Rules 13a-14(a) and 15d-14(a).</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w w:val="93"/>
              </w:rPr>
              <w:t>—  Certification of Principal Financial Officer pursuant to Exchange Act Rules 13a-14(a) and 15d-14(a).</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Certification of Principal Executive Officer pursuant to 18 U.S.C. 1350.</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Certification of Principal Financial Officer pursuant to 18 U.S.C. 1350.</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Label Linkbase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222885</wp:posOffset>
            </wp:positionV>
            <wp:extent cx="14408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1" w:hanging="421"/>
        <w:spacing w:after="0"/>
        <w:tabs>
          <w:tab w:leader="none" w:pos="4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41" w:hanging="441"/>
        <w:spacing w:after="0"/>
        <w:tabs>
          <w:tab w:leader="none" w:pos="4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41"/>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61"/>
          </w:cols>
          <w:pgMar w:left="1099" w:top="125"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10"/>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8"/>
                <w:szCs w:val="8"/>
                <w:b w:val="1"/>
                <w:bCs w:val="1"/>
                <w:color w:val="auto"/>
              </w:rPr>
              <w:t>(1)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shd w:val="clear" w:color="auto" w:fill="CCEEFF"/>
          </w:tcPr>
          <w:p>
            <w:pPr>
              <w:ind w:left="200"/>
              <w:spacing w:after="0" w:line="161" w:lineRule="exact"/>
              <w:rPr>
                <w:sz w:val="20"/>
                <w:szCs w:val="20"/>
                <w:color w:val="auto"/>
              </w:rPr>
            </w:pPr>
            <w:r>
              <w:rPr>
                <w:rFonts w:ascii="Arial" w:cs="Arial" w:eastAsia="Arial" w:hAnsi="Arial"/>
                <w:sz w:val="18"/>
                <w:szCs w:val="18"/>
                <w:color w:val="auto"/>
              </w:rPr>
              <w:t>Pre-tax income from continuing operations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before noncontrolling interests and income</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equity investees</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add: Fixed charges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Distributed income of equity investees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add: Amortization of capitalized 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Capitalized interest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Earnings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8"/>
                <w:szCs w:val="8"/>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8"/>
                <w:szCs w:val="8"/>
                <w:color w:val="auto"/>
              </w:rPr>
              <w:t>(2)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Amortization of debt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shd w:val="clear" w:color="auto" w:fill="CCEEFF"/>
          </w:tcPr>
          <w:p>
            <w:pPr>
              <w:ind w:left="200"/>
              <w:spacing w:after="0" w:line="161" w:lineRule="exact"/>
              <w:rPr>
                <w:sz w:val="20"/>
                <w:szCs w:val="20"/>
                <w:color w:val="auto"/>
              </w:rPr>
            </w:pPr>
            <w:r>
              <w:rPr>
                <w:rFonts w:ascii="Arial" w:cs="Arial" w:eastAsia="Arial" w:hAnsi="Arial"/>
                <w:sz w:val="18"/>
                <w:szCs w:val="18"/>
                <w:color w:val="auto"/>
              </w:rPr>
              <w:t>Portion of rent expense related to</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(33.33%)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Charges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7"/>
                <w:szCs w:val="17"/>
                <w:b w:val="1"/>
                <w:bCs w:val="1"/>
                <w:color w:val="auto"/>
              </w:rPr>
              <w:t>RATIO OF EARNINGS TO FIXED CHARGES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340"/>
              <w:spacing w:after="0" w:line="202" w:lineRule="exact"/>
              <w:rPr>
                <w:sz w:val="20"/>
                <w:szCs w:val="20"/>
                <w:color w:val="auto"/>
              </w:rPr>
            </w:pPr>
            <w:r>
              <w:rPr>
                <w:rFonts w:ascii="Arial" w:cs="Arial" w:eastAsia="Arial" w:hAnsi="Arial"/>
                <w:sz w:val="18"/>
                <w:szCs w:val="18"/>
                <w:color w:val="auto"/>
                <w:w w:val="93"/>
              </w:rPr>
              <w:t>2.69 x</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89"/>
              </w:rPr>
              <w:t>4.19 x</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89"/>
              </w:rPr>
              <w:t>4.34 x</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93"/>
              </w:rPr>
              <w:t>3.95 x</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93"/>
              </w:rPr>
              <w:t>4.05 x</w:t>
            </w:r>
          </w:p>
        </w:tc>
        <w:tc>
          <w:tcPr>
            <w:tcW w:w="160" w:type="dxa"/>
            <w:vAlign w:val="bottom"/>
          </w:tcPr>
          <w:p>
            <w:pPr>
              <w:spacing w:after="0"/>
              <w:rPr>
                <w:sz w:val="12"/>
                <w:szCs w:val="12"/>
                <w:color w:val="auto"/>
              </w:rPr>
            </w:pPr>
          </w:p>
        </w:tc>
        <w:tc>
          <w:tcPr>
            <w:tcW w:w="68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93"/>
              </w:rPr>
              <w:t>2.49 x</w:t>
            </w:r>
          </w:p>
        </w:tc>
        <w:tc>
          <w:tcPr>
            <w:tcW w:w="0" w:type="dxa"/>
            <w:vAlign w:val="bottom"/>
          </w:tcPr>
          <w:p>
            <w:pPr>
              <w:spacing w:after="0"/>
              <w:rPr>
                <w:sz w:val="1"/>
                <w:szCs w:val="1"/>
                <w:color w:val="auto"/>
              </w:rPr>
            </w:pPr>
          </w:p>
        </w:tc>
      </w:tr>
      <w:tr>
        <w:trPr>
          <w:trHeight w:val="54"/>
        </w:trPr>
        <w:tc>
          <w:tcPr>
            <w:tcW w:w="3780" w:type="dxa"/>
            <w:vAlign w:val="bottom"/>
            <w:gridSpan w:val="2"/>
            <w:vMerge w:val="restart"/>
          </w:tcPr>
          <w:p>
            <w:pPr>
              <w:jc w:val="right"/>
              <w:ind w:right="3450"/>
              <w:spacing w:after="0"/>
              <w:rPr>
                <w:sz w:val="20"/>
                <w:szCs w:val="20"/>
                <w:color w:val="auto"/>
              </w:rPr>
            </w:pPr>
            <w:r>
              <w:rPr>
                <w:rFonts w:ascii="Arial" w:cs="Arial" w:eastAsia="Arial" w:hAnsi="Arial"/>
                <w:sz w:val="9"/>
                <w:szCs w:val="9"/>
                <w:b w:val="1"/>
                <w:bCs w:val="1"/>
                <w:color w:val="auto"/>
              </w:rPr>
              <w:t>(3)</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3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14408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76" w:lineRule="exact"/>
        <w:rPr>
          <w:sz w:val="20"/>
          <w:szCs w:val="20"/>
          <w:color w:val="auto"/>
        </w:rPr>
      </w:pPr>
    </w:p>
    <w:p>
      <w:pPr>
        <w:ind w:left="440" w:right="260" w:hanging="437"/>
        <w:spacing w:after="0" w:line="216"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and the portion of rental expense on leases deemed to be the equivalent of interest.</w:t>
      </w:r>
    </w:p>
    <w:p>
      <w:pPr>
        <w:spacing w:after="0" w:line="121" w:lineRule="exact"/>
        <w:rPr>
          <w:rFonts w:ascii="Arial" w:cs="Arial" w:eastAsia="Arial" w:hAnsi="Arial"/>
          <w:sz w:val="18"/>
          <w:szCs w:val="18"/>
          <w:color w:val="auto"/>
        </w:rPr>
      </w:pPr>
    </w:p>
    <w:p>
      <w:pPr>
        <w:ind w:left="440" w:right="140" w:hanging="437"/>
        <w:spacing w:after="0" w:line="22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$4 million for the nine months ended September 30, 2015 and $12 million, $30 million, $12 million, $20 million and $17 million for the years ended December 31, 2014, 2013, 2012, 2011 and 2010, respectively.</w:t>
      </w:r>
    </w:p>
    <w:p>
      <w:pPr>
        <w:spacing w:after="0" w:line="122" w:lineRule="exact"/>
        <w:rPr>
          <w:rFonts w:ascii="Arial" w:cs="Arial" w:eastAsia="Arial" w:hAnsi="Arial"/>
          <w:sz w:val="18"/>
          <w:szCs w:val="18"/>
          <w:color w:val="auto"/>
        </w:rPr>
      </w:pPr>
    </w:p>
    <w:p>
      <w:pPr>
        <w:ind w:left="780" w:hanging="77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144" w:lineRule="exact"/>
        <w:rPr>
          <w:sz w:val="20"/>
          <w:szCs w:val="20"/>
          <w:color w:val="auto"/>
        </w:rPr>
      </w:pPr>
    </w:p>
    <w:p>
      <w:pPr>
        <w:ind w:left="880" w:hanging="22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144" w:lineRule="exact"/>
        <w:rPr>
          <w:rFonts w:ascii="Arial" w:cs="Arial" w:eastAsia="Arial" w:hAnsi="Arial"/>
          <w:sz w:val="18"/>
          <w:szCs w:val="18"/>
          <w:color w:val="auto"/>
        </w:rPr>
      </w:pPr>
    </w:p>
    <w:p>
      <w:pPr>
        <w:ind w:right="160" w:firstLine="651"/>
        <w:spacing w:after="0" w:line="224"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651"/>
        <w:spacing w:after="0" w:line="224"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ind w:right="40" w:firstLine="651"/>
        <w:spacing w:after="0" w:line="219"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353"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180" w:firstLine="651"/>
        <w:spacing w:after="0" w:line="224"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20" w:firstLine="651"/>
        <w:spacing w:after="0" w:line="219"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180" w:firstLine="651"/>
        <w:spacing w:after="0" w:line="224"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right="200" w:firstLine="651"/>
        <w:spacing w:after="0" w:line="224" w:lineRule="auto"/>
        <w:tabs>
          <w:tab w:leader="none" w:pos="1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120" w:firstLine="651"/>
        <w:spacing w:after="0" w:line="235"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8816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color w:val="auto"/>
        </w:rPr>
        <w:t>Greg L. Armstrong</w:t>
      </w: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144" w:lineRule="exact"/>
        <w:rPr>
          <w:sz w:val="20"/>
          <w:szCs w:val="20"/>
          <w:color w:val="auto"/>
        </w:rPr>
      </w:pPr>
    </w:p>
    <w:p>
      <w:pPr>
        <w:ind w:left="880" w:hanging="22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144" w:lineRule="exact"/>
        <w:rPr>
          <w:rFonts w:ascii="Arial" w:cs="Arial" w:eastAsia="Arial" w:hAnsi="Arial"/>
          <w:sz w:val="18"/>
          <w:szCs w:val="18"/>
          <w:color w:val="auto"/>
        </w:rPr>
      </w:pPr>
    </w:p>
    <w:p>
      <w:pPr>
        <w:ind w:right="160" w:firstLine="651"/>
        <w:spacing w:after="0" w:line="224"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651"/>
        <w:spacing w:after="0" w:line="224"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8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ind w:right="40" w:firstLine="651"/>
        <w:spacing w:after="0" w:line="219"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353"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180" w:firstLine="651"/>
        <w:spacing w:after="0" w:line="224"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20" w:firstLine="651"/>
        <w:spacing w:after="0" w:line="219"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180" w:firstLine="651"/>
        <w:spacing w:after="0" w:line="224" w:lineRule="auto"/>
        <w:tabs>
          <w:tab w:leader="none" w:pos="8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right="200" w:firstLine="651"/>
        <w:spacing w:after="0" w:line="224" w:lineRule="auto"/>
        <w:tabs>
          <w:tab w:leader="none" w:pos="13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120" w:firstLine="651"/>
        <w:spacing w:after="0" w:line="235"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8727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color w:val="auto"/>
        </w:rPr>
        <w:t>Al Swanson</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6" w:right="14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jc w:val="center"/>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spacing w:after="0" w:line="204" w:lineRule="auto"/>
        <w:rPr>
          <w:sz w:val="20"/>
          <w:szCs w:val="20"/>
          <w:color w:val="auto"/>
        </w:rPr>
      </w:pPr>
      <w:r>
        <w:rPr>
          <w:rFonts w:ascii="Arial" w:cs="Arial" w:eastAsia="Arial" w:hAnsi="Arial"/>
          <w:sz w:val="18"/>
          <w:szCs w:val="18"/>
          <w:b w:val="1"/>
          <w:bCs w:val="1"/>
          <w:color w:val="auto"/>
        </w:rPr>
        <w:t>OF PLAINS ALL AMERICAN PIPELINE, L.P.</w:t>
      </w: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144" w:lineRule="exact"/>
        <w:rPr>
          <w:sz w:val="20"/>
          <w:szCs w:val="20"/>
          <w:color w:val="auto"/>
        </w:rPr>
      </w:pPr>
    </w:p>
    <w:p>
      <w:pPr>
        <w:ind w:right="540" w:firstLine="651"/>
        <w:spacing w:after="0" w:line="238" w:lineRule="auto"/>
        <w:tabs>
          <w:tab w:leader="none" w:pos="135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accompanying report on Form 10-Q for the period ended September 30, 2015 and filed with the Securities and Exchange Commission on the date hereof (the “Report”) by the Company fully complies with the requirements of Section 13(a) or 15(d) of the Securities Exchange Act of 1934, as amended; and</w:t>
      </w:r>
    </w:p>
    <w:p>
      <w:pPr>
        <w:spacing w:after="0" w:line="120" w:lineRule="exact"/>
        <w:rPr>
          <w:rFonts w:ascii="Arial" w:cs="Arial" w:eastAsia="Arial" w:hAnsi="Arial"/>
          <w:sz w:val="17"/>
          <w:szCs w:val="17"/>
          <w:color w:val="auto"/>
        </w:rPr>
      </w:pPr>
    </w:p>
    <w:p>
      <w:pPr>
        <w:ind w:right="60" w:firstLine="651"/>
        <w:spacing w:after="0" w:line="235" w:lineRule="auto"/>
        <w:tabs>
          <w:tab w:leader="none" w:pos="13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-635</wp:posOffset>
            </wp:positionV>
            <wp:extent cx="28898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Name: Greg L. Armstrong</w:t>
      </w:r>
    </w:p>
    <w:p>
      <w:pPr>
        <w:ind w:left="452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jc w:val="center"/>
        <w:spacing w:after="0" w:line="203" w:lineRule="auto"/>
        <w:rPr>
          <w:sz w:val="20"/>
          <w:szCs w:val="20"/>
          <w:color w:val="auto"/>
        </w:rPr>
      </w:pPr>
      <w:r>
        <w:rPr>
          <w:rFonts w:ascii="Arial" w:cs="Arial" w:eastAsia="Arial" w:hAnsi="Arial"/>
          <w:sz w:val="18"/>
          <w:szCs w:val="18"/>
          <w:b w:val="1"/>
          <w:bCs w:val="1"/>
          <w:color w:val="auto"/>
        </w:rPr>
        <w:t>CHIEF FINANCIAL OFFICER</w:t>
      </w:r>
    </w:p>
    <w:p>
      <w:pPr>
        <w:jc w:val="center"/>
        <w:spacing w:after="0" w:line="204" w:lineRule="auto"/>
        <w:rPr>
          <w:sz w:val="20"/>
          <w:szCs w:val="20"/>
          <w:color w:val="auto"/>
        </w:rPr>
      </w:pPr>
      <w:r>
        <w:rPr>
          <w:rFonts w:ascii="Arial" w:cs="Arial" w:eastAsia="Arial" w:hAnsi="Arial"/>
          <w:sz w:val="18"/>
          <w:szCs w:val="18"/>
          <w:b w:val="1"/>
          <w:bCs w:val="1"/>
          <w:color w:val="auto"/>
        </w:rPr>
        <w:t>OF PLAINS ALL AMERICAN PIPELINE, L.P.</w:t>
      </w: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144" w:lineRule="exact"/>
        <w:rPr>
          <w:sz w:val="20"/>
          <w:szCs w:val="20"/>
          <w:color w:val="auto"/>
        </w:rPr>
      </w:pPr>
    </w:p>
    <w:p>
      <w:pPr>
        <w:ind w:right="540" w:firstLine="651"/>
        <w:spacing w:after="0" w:line="238" w:lineRule="auto"/>
        <w:tabs>
          <w:tab w:leader="none" w:pos="13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accompanying report on Form 10-Q for the period ended September 30, 2015 and filed with the Securities and Exchange Commission on the date hereof (the “Report”) by the Company fully complies with the requirements of Section 13(a) or 15(d) of the Securities Exchange Act of 1934, as amended; and</w:t>
      </w:r>
    </w:p>
    <w:p>
      <w:pPr>
        <w:spacing w:after="0" w:line="120" w:lineRule="exact"/>
        <w:rPr>
          <w:rFonts w:ascii="Arial" w:cs="Arial" w:eastAsia="Arial" w:hAnsi="Arial"/>
          <w:sz w:val="17"/>
          <w:szCs w:val="17"/>
          <w:color w:val="auto"/>
        </w:rPr>
      </w:pPr>
    </w:p>
    <w:p>
      <w:pPr>
        <w:ind w:right="60" w:firstLine="651"/>
        <w:spacing w:after="0" w:line="235"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-635</wp:posOffset>
            </wp:positionV>
            <wp:extent cx="28898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Name: Al Swanson</w:t>
      </w:r>
    </w:p>
    <w:p>
      <w:pPr>
        <w:ind w:left="452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lowerRoman"/>
      <w:start w:val="2"/>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lowerRoman"/>
      <w:start w:val="2"/>
    </w:lvl>
  </w:abstractNum>
  <w:abstractNum w:abstractNumId="21">
    <w:nsid w:val="3804823E"/>
    <w:multiLevelType w:val="hybridMultilevel"/>
    <w:lvl w:ilvl="0">
      <w:lvlJc w:val="left"/>
      <w:lvlText w:val="(%1)"/>
      <w:numFmt w:val="lowerRoman"/>
      <w:start w:val="2"/>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4"/>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2"/>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3"/>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2020-01-25T04:10:23Z</dcterms:created>
  <dcterms:modified xsi:type="dcterms:W3CDTF">2020-01-25T04:10:23Z</dcterms:modified>
</cp:coreProperties>
</file>