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SCHEDULE 13G</w:t>
      </w:r>
    </w:p>
    <w:p>
      <w:pPr>
        <w:spacing w:after="0" w:line="256"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(Amendment No.)*</w:t>
      </w:r>
    </w:p>
    <w:p>
      <w:pPr>
        <w:spacing w:after="0" w:line="200" w:lineRule="exact"/>
        <w:rPr>
          <w:sz w:val="24"/>
          <w:szCs w:val="24"/>
          <w:color w:val="auto"/>
        </w:rPr>
      </w:pPr>
    </w:p>
    <w:p>
      <w:pPr>
        <w:spacing w:after="0" w:line="281"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95"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Class A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92" w:lineRule="exact"/>
        <w:rPr>
          <w:sz w:val="24"/>
          <w:szCs w:val="24"/>
          <w:color w:val="auto"/>
        </w:rPr>
      </w:pPr>
    </w:p>
    <w:p>
      <w:pPr>
        <w:jc w:val="center"/>
        <w:ind w:right="-259"/>
        <w:spacing w:after="0"/>
        <w:rPr>
          <w:sz w:val="20"/>
          <w:szCs w:val="20"/>
          <w:color w:val="auto"/>
        </w:rPr>
      </w:pPr>
      <w:r>
        <w:rPr>
          <w:rFonts w:ascii="Arial" w:cs="Arial" w:eastAsia="Arial" w:hAnsi="Arial"/>
          <w:sz w:val="17"/>
          <w:szCs w:val="17"/>
          <w:color w:val="auto"/>
        </w:rPr>
        <w:t>72651A207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95"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9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right="8440" w:firstLine="5"/>
        <w:spacing w:after="0" w:line="499" w:lineRule="auto"/>
        <w:tabs>
          <w:tab w:leader="none" w:pos="1698"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[_] Rule 13d-1(d)</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_________</w:t>
      </w:r>
    </w:p>
    <w:p>
      <w:pPr>
        <w:spacing w:after="0" w:line="9" w:lineRule="exact"/>
        <w:rPr>
          <w:sz w:val="24"/>
          <w:szCs w:val="24"/>
          <w:color w:val="auto"/>
        </w:rPr>
      </w:pPr>
    </w:p>
    <w:p>
      <w:pPr>
        <w:ind w:left="660" w:hanging="652"/>
        <w:spacing w:after="0" w:line="290"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rFonts w:ascii="Arial" w:cs="Arial" w:eastAsia="Arial" w:hAnsi="Arial"/>
          <w:sz w:val="17"/>
          <w:szCs w:val="17"/>
          <w:color w:val="auto"/>
        </w:rPr>
      </w:pPr>
    </w:p>
    <w:p>
      <w:pPr>
        <w:ind w:left="660"/>
        <w:spacing w:after="0" w:line="264" w:lineRule="auto"/>
        <w:rPr>
          <w:rFonts w:ascii="Arial" w:cs="Arial" w:eastAsia="Arial" w:hAnsi="Arial"/>
          <w:sz w:val="17"/>
          <w:szCs w:val="17"/>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544195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160"/>
          </w:cols>
          <w:pgMar w:left="240" w:top="796" w:right="4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7"/>
        </w:trPr>
        <w:tc>
          <w:tcPr>
            <w:tcW w:w="1500" w:type="dxa"/>
            <w:vAlign w:val="bottom"/>
          </w:tcPr>
          <w:p>
            <w:pPr>
              <w:spacing w:after="0"/>
              <w:rPr>
                <w:sz w:val="20"/>
                <w:szCs w:val="20"/>
                <w:color w:val="auto"/>
              </w:rPr>
            </w:pPr>
            <w:r>
              <w:rPr>
                <w:rFonts w:ascii="Arial" w:cs="Arial" w:eastAsia="Arial" w:hAnsi="Arial"/>
                <w:sz w:val="18"/>
                <w:szCs w:val="18"/>
                <w:color w:val="auto"/>
              </w:rPr>
              <w:t>CUSIP No.</w:t>
            </w: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72651A207</w:t>
            </w:r>
          </w:p>
        </w:tc>
      </w:tr>
    </w:tbl>
    <w:p>
      <w:pPr>
        <w:spacing w:after="0" w:line="229" w:lineRule="exact"/>
        <w:rPr>
          <w:sz w:val="20"/>
          <w:szCs w:val="20"/>
          <w:color w:val="auto"/>
        </w:rPr>
      </w:pPr>
    </w:p>
    <w:p>
      <w:pPr>
        <w:ind w:left="980" w:right="7140" w:hanging="972"/>
        <w:spacing w:after="0" w:line="563" w:lineRule="auto"/>
        <w:tabs>
          <w:tab w:leader="none" w:pos="935" w:val="left"/>
        </w:tabs>
        <w:numPr>
          <w:ilvl w:val="0"/>
          <w:numId w:val="3"/>
        </w:numPr>
        <w:rPr>
          <w:rFonts w:ascii="Arial" w:cs="Arial" w:eastAsia="Arial" w:hAnsi="Arial"/>
          <w:sz w:val="16"/>
          <w:szCs w:val="16"/>
          <w:color w:val="auto"/>
        </w:rPr>
      </w:pPr>
      <w:r>
        <w:rPr>
          <w:rFonts w:ascii="Arial" w:cs="Arial" w:eastAsia="Arial" w:hAnsi="Arial"/>
          <w:sz w:val="16"/>
          <w:szCs w:val="16"/>
          <w:color w:val="auto"/>
        </w:rPr>
        <w:t>NAME OF REPORTING PERSONS: Scopia Capital Management LP</w:t>
      </w:r>
    </w:p>
    <w:p>
      <w:pPr>
        <w:spacing w:after="0" w:line="1" w:lineRule="exact"/>
        <w:rPr>
          <w:rFonts w:ascii="Arial" w:cs="Arial" w:eastAsia="Arial" w:hAnsi="Arial"/>
          <w:sz w:val="16"/>
          <w:szCs w:val="16"/>
          <w:color w:val="auto"/>
        </w:rPr>
      </w:pPr>
    </w:p>
    <w:p>
      <w:pPr>
        <w:ind w:left="920" w:hanging="912"/>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 ]</w:t>
      </w:r>
    </w:p>
    <w:p>
      <w:pPr>
        <w:spacing w:after="0" w:line="211" w:lineRule="exact"/>
        <w:rPr>
          <w:sz w:val="20"/>
          <w:szCs w:val="20"/>
          <w:color w:val="auto"/>
        </w:rPr>
      </w:pPr>
    </w:p>
    <w:p>
      <w:pPr>
        <w:ind w:left="920" w:hanging="912"/>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20" w:hanging="912"/>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20" w:right="8020" w:hanging="912"/>
        <w:spacing w:after="0" w:line="501"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VOTING POWER 0</w:t>
      </w:r>
    </w:p>
    <w:p>
      <w:pPr>
        <w:ind w:left="920" w:right="7740" w:hanging="912"/>
        <w:spacing w:after="0" w:line="501"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VOTING POWER 9,282,528</w:t>
      </w:r>
    </w:p>
    <w:p>
      <w:pPr>
        <w:ind w:left="920" w:right="7620" w:hanging="912"/>
        <w:spacing w:after="0" w:line="501"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20" w:right="7340" w:hanging="912"/>
        <w:spacing w:after="0" w:line="501"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DISPOSITIVE POWER 9,282,528</w:t>
      </w:r>
    </w:p>
    <w:p>
      <w:pPr>
        <w:ind w:left="920" w:right="3320" w:hanging="912"/>
        <w:spacing w:after="0" w:line="501"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9,282,528</w:t>
      </w:r>
    </w:p>
    <w:p>
      <w:pPr>
        <w:ind w:left="920" w:hanging="912"/>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[_]</w:t>
      </w:r>
    </w:p>
    <w:p>
      <w:pPr>
        <w:spacing w:after="0" w:line="200" w:lineRule="exact"/>
        <w:rPr>
          <w:sz w:val="20"/>
          <w:szCs w:val="20"/>
          <w:color w:val="auto"/>
        </w:rPr>
      </w:pPr>
    </w:p>
    <w:p>
      <w:pPr>
        <w:spacing w:after="0" w:line="227" w:lineRule="exact"/>
        <w:rPr>
          <w:sz w:val="20"/>
          <w:szCs w:val="20"/>
          <w:color w:val="auto"/>
        </w:rPr>
      </w:pPr>
    </w:p>
    <w:p>
      <w:pPr>
        <w:ind w:left="920" w:right="4820" w:hanging="912"/>
        <w:spacing w:after="0" w:line="501"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5.9%</w:t>
      </w:r>
    </w:p>
    <w:p>
      <w:pPr>
        <w:ind w:left="920" w:right="5540" w:hanging="912"/>
        <w:spacing w:after="0" w:line="528"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 PN,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00"/>
          </w:cols>
          <w:pgMar w:left="240" w:top="719" w:right="8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1500" w:type="dxa"/>
            <w:vAlign w:val="bottom"/>
          </w:tcPr>
          <w:p>
            <w:pPr>
              <w:spacing w:after="0"/>
              <w:rPr>
                <w:sz w:val="20"/>
                <w:szCs w:val="20"/>
                <w:color w:val="auto"/>
              </w:rPr>
            </w:pPr>
            <w:r>
              <w:rPr>
                <w:rFonts w:ascii="Arial" w:cs="Arial" w:eastAsia="Arial" w:hAnsi="Arial"/>
                <w:sz w:val="18"/>
                <w:szCs w:val="18"/>
                <w:color w:val="auto"/>
              </w:rPr>
              <w:t>CUSIP No.</w:t>
            </w: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72651A207</w:t>
            </w:r>
          </w:p>
        </w:tc>
      </w:tr>
    </w:tbl>
    <w:p>
      <w:pPr>
        <w:spacing w:after="0" w:line="229" w:lineRule="exact"/>
        <w:rPr>
          <w:sz w:val="20"/>
          <w:szCs w:val="20"/>
          <w:color w:val="auto"/>
        </w:rPr>
      </w:pPr>
    </w:p>
    <w:p>
      <w:pPr>
        <w:ind w:left="920" w:right="7140" w:hanging="912"/>
        <w:spacing w:after="0" w:line="563" w:lineRule="auto"/>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 OF REPORTING PERSONS: Scopia Management, Inc.</w:t>
      </w:r>
    </w:p>
    <w:p>
      <w:pPr>
        <w:spacing w:after="0" w:line="1" w:lineRule="exact"/>
        <w:rPr>
          <w:rFonts w:ascii="Arial" w:cs="Arial" w:eastAsia="Arial" w:hAnsi="Arial"/>
          <w:sz w:val="16"/>
          <w:szCs w:val="16"/>
          <w:color w:val="auto"/>
        </w:rPr>
      </w:pPr>
    </w:p>
    <w:p>
      <w:pPr>
        <w:ind w:left="920" w:hanging="912"/>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 ]</w:t>
      </w:r>
    </w:p>
    <w:p>
      <w:pPr>
        <w:spacing w:after="0" w:line="211" w:lineRule="exact"/>
        <w:rPr>
          <w:sz w:val="20"/>
          <w:szCs w:val="20"/>
          <w:color w:val="auto"/>
        </w:rPr>
      </w:pPr>
    </w:p>
    <w:p>
      <w:pPr>
        <w:ind w:left="920" w:hanging="912"/>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20" w:hanging="912"/>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20" w:right="8020" w:hanging="912"/>
        <w:spacing w:after="0" w:line="501"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VOTING POWER 0</w:t>
      </w:r>
    </w:p>
    <w:p>
      <w:pPr>
        <w:ind w:left="920" w:right="7740" w:hanging="912"/>
        <w:spacing w:after="0" w:line="501"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VOTING POWER 9,282,528</w:t>
      </w:r>
    </w:p>
    <w:p>
      <w:pPr>
        <w:ind w:left="920" w:right="7620" w:hanging="912"/>
        <w:spacing w:after="0" w:line="501"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20" w:right="7340" w:hanging="912"/>
        <w:spacing w:after="0" w:line="501"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DISPOSITIVE POWER 9,282,528</w:t>
      </w:r>
    </w:p>
    <w:p>
      <w:pPr>
        <w:ind w:left="920" w:right="3320" w:hanging="912"/>
        <w:spacing w:after="0" w:line="501"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9,282,528</w:t>
      </w:r>
    </w:p>
    <w:p>
      <w:pPr>
        <w:ind w:left="920" w:hanging="912"/>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[_]</w:t>
      </w:r>
    </w:p>
    <w:p>
      <w:pPr>
        <w:spacing w:after="0" w:line="200" w:lineRule="exact"/>
        <w:rPr>
          <w:sz w:val="20"/>
          <w:szCs w:val="20"/>
          <w:color w:val="auto"/>
        </w:rPr>
      </w:pPr>
    </w:p>
    <w:p>
      <w:pPr>
        <w:spacing w:after="0" w:line="227" w:lineRule="exact"/>
        <w:rPr>
          <w:sz w:val="20"/>
          <w:szCs w:val="20"/>
          <w:color w:val="auto"/>
        </w:rPr>
      </w:pPr>
    </w:p>
    <w:p>
      <w:pPr>
        <w:ind w:left="920" w:right="4820" w:hanging="912"/>
        <w:spacing w:after="0" w:line="501"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 5.9%</w:t>
      </w:r>
    </w:p>
    <w:p>
      <w:pPr>
        <w:ind w:left="920" w:right="5540" w:hanging="912"/>
        <w:spacing w:after="0" w:line="528"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 CO,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00"/>
          </w:cols>
          <w:pgMar w:left="240" w:top="719" w:right="8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7"/>
        </w:trPr>
        <w:tc>
          <w:tcPr>
            <w:tcW w:w="1500" w:type="dxa"/>
            <w:vAlign w:val="bottom"/>
          </w:tcPr>
          <w:p>
            <w:pPr>
              <w:spacing w:after="0"/>
              <w:rPr>
                <w:sz w:val="20"/>
                <w:szCs w:val="20"/>
                <w:color w:val="auto"/>
              </w:rPr>
            </w:pPr>
            <w:r>
              <w:rPr>
                <w:rFonts w:ascii="Arial" w:cs="Arial" w:eastAsia="Arial" w:hAnsi="Arial"/>
                <w:sz w:val="18"/>
                <w:szCs w:val="18"/>
                <w:color w:val="auto"/>
              </w:rPr>
              <w:t>CUSIP No.</w:t>
            </w: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72651A207</w:t>
            </w:r>
          </w:p>
        </w:tc>
      </w:tr>
    </w:tbl>
    <w:p>
      <w:pPr>
        <w:spacing w:after="0" w:line="229" w:lineRule="exact"/>
        <w:rPr>
          <w:sz w:val="20"/>
          <w:szCs w:val="20"/>
          <w:color w:val="auto"/>
        </w:rPr>
      </w:pPr>
    </w:p>
    <w:p>
      <w:pPr>
        <w:ind w:left="980" w:right="7140" w:hanging="972"/>
        <w:spacing w:after="0" w:line="501" w:lineRule="auto"/>
        <w:tabs>
          <w:tab w:leader="none" w:pos="9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REPORTING PERSONS: Matthew Sirovich</w:t>
      </w:r>
    </w:p>
    <w:p>
      <w:pPr>
        <w:ind w:left="920" w:hanging="912"/>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 ]</w:t>
      </w:r>
    </w:p>
    <w:p>
      <w:pPr>
        <w:spacing w:after="0" w:line="211" w:lineRule="exact"/>
        <w:rPr>
          <w:sz w:val="20"/>
          <w:szCs w:val="20"/>
          <w:color w:val="auto"/>
        </w:rPr>
      </w:pPr>
    </w:p>
    <w:p>
      <w:pPr>
        <w:ind w:left="920" w:hanging="912"/>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20" w:hanging="912"/>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20" w:right="8020" w:hanging="912"/>
        <w:spacing w:after="0" w:line="501"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 VOTING POWER 0</w:t>
      </w:r>
    </w:p>
    <w:p>
      <w:pPr>
        <w:ind w:left="920" w:right="7740" w:hanging="912"/>
        <w:spacing w:after="0" w:line="501"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SHARED VOTING POWER 9,282,528</w:t>
      </w:r>
    </w:p>
    <w:p>
      <w:pPr>
        <w:ind w:left="920" w:right="7620" w:hanging="912"/>
        <w:spacing w:after="0" w:line="501"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20" w:right="7340" w:hanging="912"/>
        <w:spacing w:after="0" w:line="501"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SHARED DISPOSITIVE POWER 9,282,528</w:t>
      </w:r>
    </w:p>
    <w:p>
      <w:pPr>
        <w:ind w:left="920" w:right="3320" w:hanging="912"/>
        <w:spacing w:after="0" w:line="501"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9,282,528</w:t>
      </w:r>
    </w:p>
    <w:p>
      <w:pPr>
        <w:ind w:left="920" w:hanging="912"/>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[_]</w:t>
      </w:r>
    </w:p>
    <w:p>
      <w:pPr>
        <w:spacing w:after="0" w:line="200" w:lineRule="exact"/>
        <w:rPr>
          <w:sz w:val="20"/>
          <w:szCs w:val="20"/>
          <w:color w:val="auto"/>
        </w:rPr>
      </w:pPr>
    </w:p>
    <w:p>
      <w:pPr>
        <w:spacing w:after="0" w:line="227" w:lineRule="exact"/>
        <w:rPr>
          <w:sz w:val="20"/>
          <w:szCs w:val="20"/>
          <w:color w:val="auto"/>
        </w:rPr>
      </w:pPr>
    </w:p>
    <w:p>
      <w:pPr>
        <w:ind w:left="920" w:right="4820" w:hanging="912"/>
        <w:spacing w:after="0" w:line="501"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 5.9%</w:t>
      </w:r>
    </w:p>
    <w:p>
      <w:pPr>
        <w:ind w:left="920" w:right="5540" w:hanging="912"/>
        <w:spacing w:after="0" w:line="528"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00"/>
          </w:cols>
          <w:pgMar w:left="240" w:top="719" w:right="8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7"/>
        </w:trPr>
        <w:tc>
          <w:tcPr>
            <w:tcW w:w="1500" w:type="dxa"/>
            <w:vAlign w:val="bottom"/>
          </w:tcPr>
          <w:p>
            <w:pPr>
              <w:spacing w:after="0"/>
              <w:rPr>
                <w:sz w:val="20"/>
                <w:szCs w:val="20"/>
                <w:color w:val="auto"/>
              </w:rPr>
            </w:pPr>
            <w:r>
              <w:rPr>
                <w:rFonts w:ascii="Arial" w:cs="Arial" w:eastAsia="Arial" w:hAnsi="Arial"/>
                <w:sz w:val="18"/>
                <w:szCs w:val="18"/>
                <w:color w:val="auto"/>
              </w:rPr>
              <w:t>CUSIP No.</w:t>
            </w: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72651A207</w:t>
            </w:r>
          </w:p>
        </w:tc>
      </w:tr>
    </w:tbl>
    <w:p>
      <w:pPr>
        <w:spacing w:after="0" w:line="229" w:lineRule="exact"/>
        <w:rPr>
          <w:sz w:val="20"/>
          <w:szCs w:val="20"/>
          <w:color w:val="auto"/>
        </w:rPr>
      </w:pPr>
    </w:p>
    <w:p>
      <w:pPr>
        <w:ind w:left="980" w:right="7140" w:hanging="972"/>
        <w:spacing w:after="0" w:line="501" w:lineRule="auto"/>
        <w:tabs>
          <w:tab w:leader="none" w:pos="9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 OF REPORTING PERSONS: Jeremy Mindich</w:t>
      </w:r>
    </w:p>
    <w:p>
      <w:pPr>
        <w:ind w:left="920" w:hanging="912"/>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 ]</w:t>
      </w:r>
    </w:p>
    <w:p>
      <w:pPr>
        <w:spacing w:after="0" w:line="211" w:lineRule="exact"/>
        <w:rPr>
          <w:sz w:val="20"/>
          <w:szCs w:val="20"/>
          <w:color w:val="auto"/>
        </w:rPr>
      </w:pPr>
    </w:p>
    <w:p>
      <w:pPr>
        <w:ind w:left="920" w:hanging="912"/>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20" w:hanging="912"/>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20" w:right="8020" w:hanging="912"/>
        <w:spacing w:after="0" w:line="501"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 VOTING POWER 0</w:t>
      </w:r>
    </w:p>
    <w:p>
      <w:pPr>
        <w:ind w:left="920" w:right="7740" w:hanging="912"/>
        <w:spacing w:after="0" w:line="501"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SHARED VOTING POWER 9,282,528</w:t>
      </w:r>
    </w:p>
    <w:p>
      <w:pPr>
        <w:ind w:left="920" w:right="7620" w:hanging="912"/>
        <w:spacing w:after="0" w:line="501"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20" w:right="7340" w:hanging="912"/>
        <w:spacing w:after="0" w:line="501"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SHARED DISPOSITIVE POWER 9,282,528</w:t>
      </w:r>
    </w:p>
    <w:p>
      <w:pPr>
        <w:ind w:left="920" w:right="3320" w:hanging="912"/>
        <w:spacing w:after="0" w:line="501"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9,282,528</w:t>
      </w:r>
    </w:p>
    <w:p>
      <w:pPr>
        <w:ind w:left="920" w:hanging="912"/>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[_]</w:t>
      </w:r>
    </w:p>
    <w:p>
      <w:pPr>
        <w:spacing w:after="0" w:line="200" w:lineRule="exact"/>
        <w:rPr>
          <w:sz w:val="20"/>
          <w:szCs w:val="20"/>
          <w:color w:val="auto"/>
        </w:rPr>
      </w:pPr>
    </w:p>
    <w:p>
      <w:pPr>
        <w:spacing w:after="0" w:line="227" w:lineRule="exact"/>
        <w:rPr>
          <w:sz w:val="20"/>
          <w:szCs w:val="20"/>
          <w:color w:val="auto"/>
        </w:rPr>
      </w:pPr>
    </w:p>
    <w:p>
      <w:pPr>
        <w:ind w:left="920" w:right="4820" w:hanging="912"/>
        <w:spacing w:after="0" w:line="501" w:lineRule="auto"/>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 OF CLASS REPRESENTED BY AMOUNT IN ROW (9) 5.9%</w:t>
      </w:r>
    </w:p>
    <w:p>
      <w:pPr>
        <w:ind w:left="920" w:right="5540" w:hanging="912"/>
        <w:spacing w:after="0" w:line="528" w:lineRule="auto"/>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00"/>
          </w:cols>
          <w:pgMar w:left="240" w:top="719" w:right="8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7"/>
        </w:trPr>
        <w:tc>
          <w:tcPr>
            <w:tcW w:w="1000" w:type="dxa"/>
            <w:vAlign w:val="bottom"/>
          </w:tcPr>
          <w:p>
            <w:pPr>
              <w:spacing w:after="0"/>
              <w:rPr>
                <w:sz w:val="20"/>
                <w:szCs w:val="20"/>
                <w:color w:val="auto"/>
              </w:rPr>
            </w:pPr>
            <w:r>
              <w:rPr>
                <w:rFonts w:ascii="Arial" w:cs="Arial" w:eastAsia="Arial" w:hAnsi="Arial"/>
                <w:sz w:val="18"/>
                <w:szCs w:val="18"/>
                <w:color w:val="auto"/>
              </w:rPr>
              <w:t>CUSIP No.</w:t>
            </w:r>
          </w:p>
        </w:tc>
        <w:tc>
          <w:tcPr>
            <w:tcW w:w="620" w:type="dxa"/>
            <w:vAlign w:val="bottom"/>
          </w:tcPr>
          <w:p>
            <w:pPr>
              <w:spacing w:after="0"/>
              <w:rPr>
                <w:sz w:val="20"/>
                <w:szCs w:val="20"/>
                <w:color w:val="auto"/>
              </w:rPr>
            </w:pPr>
          </w:p>
        </w:tc>
        <w:tc>
          <w:tcPr>
            <w:tcW w:w="2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72651A207</w:t>
            </w:r>
          </w:p>
        </w:tc>
        <w:tc>
          <w:tcPr>
            <w:tcW w:w="61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620" w:type="dxa"/>
            <w:vAlign w:val="bottom"/>
          </w:tcPr>
          <w:p>
            <w:pPr>
              <w:ind w:left="160"/>
              <w:spacing w:after="0"/>
              <w:rPr>
                <w:sz w:val="20"/>
                <w:szCs w:val="20"/>
                <w:color w:val="auto"/>
              </w:rPr>
            </w:pPr>
            <w:r>
              <w:rPr>
                <w:rFonts w:ascii="Arial" w:cs="Arial" w:eastAsia="Arial" w:hAnsi="Arial"/>
                <w:sz w:val="18"/>
                <w:szCs w:val="18"/>
                <w:color w:val="auto"/>
              </w:rPr>
              <w:t>(a).</w:t>
            </w:r>
          </w:p>
        </w:tc>
        <w:tc>
          <w:tcPr>
            <w:tcW w:w="34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20" w:type="dxa"/>
            <w:vAlign w:val="bottom"/>
          </w:tcPr>
          <w:p>
            <w:pPr>
              <w:spacing w:after="0"/>
              <w:rPr>
                <w:sz w:val="24"/>
                <w:szCs w:val="24"/>
                <w:color w:val="auto"/>
              </w:rPr>
            </w:pPr>
          </w:p>
        </w:tc>
      </w:tr>
      <w:tr>
        <w:trPr>
          <w:trHeight w:val="439"/>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Plains GP Holdings, L.P. (the “Issuer”)</w:t>
            </w:r>
          </w:p>
        </w:tc>
        <w:tc>
          <w:tcPr>
            <w:tcW w:w="120" w:type="dxa"/>
            <w:vAlign w:val="bottom"/>
          </w:tcPr>
          <w:p>
            <w:pPr>
              <w:spacing w:after="0"/>
              <w:rPr>
                <w:sz w:val="24"/>
                <w:szCs w:val="24"/>
                <w:color w:val="auto"/>
              </w:rPr>
            </w:pPr>
          </w:p>
        </w:tc>
      </w:tr>
      <w:tr>
        <w:trPr>
          <w:trHeight w:val="459"/>
        </w:trPr>
        <w:tc>
          <w:tcPr>
            <w:tcW w:w="100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(b).</w:t>
            </w:r>
          </w:p>
        </w:tc>
        <w:tc>
          <w:tcPr>
            <w:tcW w:w="34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Address of Issuer's Principal Executive Offices:</w:t>
            </w:r>
          </w:p>
        </w:tc>
        <w:tc>
          <w:tcPr>
            <w:tcW w:w="120" w:type="dxa"/>
            <w:vAlign w:val="bottom"/>
          </w:tcPr>
          <w:p>
            <w:pPr>
              <w:spacing w:after="0"/>
              <w:rPr>
                <w:sz w:val="24"/>
                <w:szCs w:val="24"/>
                <w:color w:val="auto"/>
              </w:rPr>
            </w:pPr>
          </w:p>
        </w:tc>
      </w:tr>
      <w:tr>
        <w:trPr>
          <w:trHeight w:val="418"/>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333 Clay Street, Suite 1600</w:t>
            </w:r>
          </w:p>
        </w:tc>
        <w:tc>
          <w:tcPr>
            <w:tcW w:w="120" w:type="dxa"/>
            <w:vAlign w:val="bottom"/>
          </w:tcPr>
          <w:p>
            <w:pPr>
              <w:spacing w:after="0"/>
              <w:rPr>
                <w:sz w:val="24"/>
                <w:szCs w:val="24"/>
                <w:color w:val="auto"/>
              </w:rPr>
            </w:pPr>
          </w:p>
        </w:tc>
      </w:tr>
      <w:tr>
        <w:trPr>
          <w:trHeight w:val="237"/>
        </w:trPr>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Houston, Texas 77002</w:t>
            </w:r>
          </w:p>
        </w:tc>
        <w:tc>
          <w:tcPr>
            <w:tcW w:w="120" w:type="dxa"/>
            <w:vAlign w:val="bottom"/>
          </w:tcPr>
          <w:p>
            <w:pPr>
              <w:spacing w:after="0"/>
              <w:rPr>
                <w:sz w:val="20"/>
                <w:szCs w:val="20"/>
                <w:color w:val="auto"/>
              </w:rPr>
            </w:pP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620" w:type="dxa"/>
            <w:vAlign w:val="bottom"/>
          </w:tcPr>
          <w:p>
            <w:pPr>
              <w:ind w:left="160"/>
              <w:spacing w:after="0"/>
              <w:rPr>
                <w:sz w:val="20"/>
                <w:szCs w:val="20"/>
                <w:color w:val="auto"/>
              </w:rPr>
            </w:pPr>
            <w:r>
              <w:rPr>
                <w:rFonts w:ascii="Arial" w:cs="Arial" w:eastAsia="Arial" w:hAnsi="Arial"/>
                <w:sz w:val="18"/>
                <w:szCs w:val="18"/>
                <w:color w:val="auto"/>
              </w:rPr>
              <w:t>(a).</w:t>
            </w:r>
          </w:p>
        </w:tc>
        <w:tc>
          <w:tcPr>
            <w:tcW w:w="34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Name of Person Filing:</w:t>
            </w:r>
          </w:p>
        </w:tc>
        <w:tc>
          <w:tcPr>
            <w:tcW w:w="120" w:type="dxa"/>
            <w:vAlign w:val="bottom"/>
          </w:tcPr>
          <w:p>
            <w:pPr>
              <w:spacing w:after="0"/>
              <w:rPr>
                <w:sz w:val="24"/>
                <w:szCs w:val="24"/>
                <w:color w:val="auto"/>
              </w:rPr>
            </w:pPr>
          </w:p>
        </w:tc>
      </w:tr>
      <w:tr>
        <w:trPr>
          <w:trHeight w:val="418"/>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Scopia Capital Management LP</w:t>
            </w:r>
          </w:p>
        </w:tc>
        <w:tc>
          <w:tcPr>
            <w:tcW w:w="12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Scopia Management, Inc.</w:t>
            </w:r>
          </w:p>
        </w:tc>
        <w:tc>
          <w:tcPr>
            <w:tcW w:w="1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Matthew Sirovich</w:t>
            </w:r>
          </w:p>
        </w:tc>
        <w:tc>
          <w:tcPr>
            <w:tcW w:w="120" w:type="dxa"/>
            <w:vAlign w:val="bottom"/>
          </w:tcPr>
          <w:p>
            <w:pPr>
              <w:spacing w:after="0"/>
              <w:rPr>
                <w:sz w:val="18"/>
                <w:szCs w:val="18"/>
                <w:color w:val="auto"/>
              </w:rPr>
            </w:pPr>
          </w:p>
        </w:tc>
      </w:tr>
      <w:tr>
        <w:trPr>
          <w:trHeight w:val="230"/>
        </w:trPr>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Jeremy Mindich</w:t>
            </w:r>
          </w:p>
        </w:tc>
        <w:tc>
          <w:tcPr>
            <w:tcW w:w="120" w:type="dxa"/>
            <w:vAlign w:val="bottom"/>
          </w:tcPr>
          <w:p>
            <w:pPr>
              <w:spacing w:after="0"/>
              <w:rPr>
                <w:sz w:val="20"/>
                <w:szCs w:val="20"/>
                <w:color w:val="auto"/>
              </w:rPr>
            </w:pPr>
          </w:p>
        </w:tc>
      </w:tr>
      <w:tr>
        <w:trPr>
          <w:trHeight w:val="459"/>
        </w:trPr>
        <w:tc>
          <w:tcPr>
            <w:tcW w:w="100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(b).</w:t>
            </w:r>
          </w:p>
        </w:tc>
        <w:tc>
          <w:tcPr>
            <w:tcW w:w="34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Address or Principal Business Office or, if None, Residence:</w:t>
            </w:r>
          </w:p>
        </w:tc>
        <w:tc>
          <w:tcPr>
            <w:tcW w:w="120" w:type="dxa"/>
            <w:vAlign w:val="bottom"/>
          </w:tcPr>
          <w:p>
            <w:pPr>
              <w:spacing w:after="0"/>
              <w:rPr>
                <w:sz w:val="24"/>
                <w:szCs w:val="24"/>
                <w:color w:val="auto"/>
              </w:rPr>
            </w:pPr>
          </w:p>
        </w:tc>
      </w:tr>
      <w:tr>
        <w:trPr>
          <w:trHeight w:val="418"/>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Scopia Capital Management LP</w:t>
            </w:r>
          </w:p>
        </w:tc>
        <w:tc>
          <w:tcPr>
            <w:tcW w:w="12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152 West 57</w:t>
            </w:r>
            <w:r>
              <w:rPr>
                <w:rFonts w:ascii="Arial" w:cs="Arial" w:eastAsia="Arial" w:hAnsi="Arial"/>
                <w:sz w:val="15"/>
                <w:szCs w:val="15"/>
                <w:color w:val="auto"/>
              </w:rPr>
              <w:t>th</w:t>
            </w:r>
            <w:r>
              <w:rPr>
                <w:rFonts w:ascii="Arial" w:cs="Arial" w:eastAsia="Arial" w:hAnsi="Arial"/>
                <w:sz w:val="18"/>
                <w:szCs w:val="18"/>
                <w:color w:val="auto"/>
              </w:rPr>
              <w:t xml:space="preserve"> Street, 33</w:t>
            </w:r>
            <w:r>
              <w:rPr>
                <w:rFonts w:ascii="Arial" w:cs="Arial" w:eastAsia="Arial" w:hAnsi="Arial"/>
                <w:sz w:val="15"/>
                <w:szCs w:val="15"/>
                <w:color w:val="auto"/>
              </w:rPr>
              <w:t>rd</w:t>
            </w:r>
            <w:r>
              <w:rPr>
                <w:rFonts w:ascii="Arial" w:cs="Arial" w:eastAsia="Arial" w:hAnsi="Arial"/>
                <w:sz w:val="18"/>
                <w:szCs w:val="18"/>
                <w:color w:val="auto"/>
              </w:rPr>
              <w:t xml:space="preserve"> Floor</w:t>
            </w:r>
          </w:p>
        </w:tc>
        <w:tc>
          <w:tcPr>
            <w:tcW w:w="120" w:type="dxa"/>
            <w:vAlign w:val="bottom"/>
          </w:tcPr>
          <w:p>
            <w:pPr>
              <w:spacing w:after="0"/>
              <w:rPr>
                <w:sz w:val="18"/>
                <w:szCs w:val="18"/>
                <w:color w:val="auto"/>
              </w:rPr>
            </w:pPr>
          </w:p>
        </w:tc>
      </w:tr>
      <w:tr>
        <w:trPr>
          <w:trHeight w:val="230"/>
        </w:trPr>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New York, NY 10019</w:t>
            </w:r>
          </w:p>
        </w:tc>
        <w:tc>
          <w:tcPr>
            <w:tcW w:w="120" w:type="dxa"/>
            <w:vAlign w:val="bottom"/>
          </w:tcPr>
          <w:p>
            <w:pPr>
              <w:spacing w:after="0"/>
              <w:rPr>
                <w:sz w:val="20"/>
                <w:szCs w:val="20"/>
                <w:color w:val="auto"/>
              </w:rPr>
            </w:pPr>
          </w:p>
        </w:tc>
      </w:tr>
      <w:tr>
        <w:trPr>
          <w:trHeight w:val="418"/>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Scopia Management, Inc.</w:t>
            </w:r>
          </w:p>
        </w:tc>
        <w:tc>
          <w:tcPr>
            <w:tcW w:w="12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Matthew Sirovich</w:t>
            </w:r>
          </w:p>
        </w:tc>
        <w:tc>
          <w:tcPr>
            <w:tcW w:w="1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Jeremy Mindich</w:t>
            </w:r>
          </w:p>
        </w:tc>
        <w:tc>
          <w:tcPr>
            <w:tcW w:w="1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c/o Scopia Capital Management LP</w:t>
            </w:r>
          </w:p>
        </w:tc>
        <w:tc>
          <w:tcPr>
            <w:tcW w:w="1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152 West 57</w:t>
            </w:r>
            <w:r>
              <w:rPr>
                <w:rFonts w:ascii="Arial" w:cs="Arial" w:eastAsia="Arial" w:hAnsi="Arial"/>
                <w:sz w:val="15"/>
                <w:szCs w:val="15"/>
                <w:color w:val="auto"/>
              </w:rPr>
              <w:t>th</w:t>
            </w:r>
            <w:r>
              <w:rPr>
                <w:rFonts w:ascii="Arial" w:cs="Arial" w:eastAsia="Arial" w:hAnsi="Arial"/>
                <w:sz w:val="18"/>
                <w:szCs w:val="18"/>
                <w:color w:val="auto"/>
              </w:rPr>
              <w:t xml:space="preserve"> Street, 33</w:t>
            </w:r>
            <w:r>
              <w:rPr>
                <w:rFonts w:ascii="Arial" w:cs="Arial" w:eastAsia="Arial" w:hAnsi="Arial"/>
                <w:sz w:val="15"/>
                <w:szCs w:val="15"/>
                <w:color w:val="auto"/>
              </w:rPr>
              <w:t>rd</w:t>
            </w:r>
            <w:r>
              <w:rPr>
                <w:rFonts w:ascii="Arial" w:cs="Arial" w:eastAsia="Arial" w:hAnsi="Arial"/>
                <w:sz w:val="18"/>
                <w:szCs w:val="18"/>
                <w:color w:val="auto"/>
              </w:rPr>
              <w:t xml:space="preserve"> Floor</w:t>
            </w:r>
          </w:p>
        </w:tc>
        <w:tc>
          <w:tcPr>
            <w:tcW w:w="120" w:type="dxa"/>
            <w:vAlign w:val="bottom"/>
          </w:tcPr>
          <w:p>
            <w:pPr>
              <w:spacing w:after="0"/>
              <w:rPr>
                <w:sz w:val="18"/>
                <w:szCs w:val="18"/>
                <w:color w:val="auto"/>
              </w:rPr>
            </w:pPr>
          </w:p>
        </w:tc>
      </w:tr>
      <w:tr>
        <w:trPr>
          <w:trHeight w:val="237"/>
        </w:trPr>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New York, NY 10019</w:t>
            </w:r>
          </w:p>
        </w:tc>
        <w:tc>
          <w:tcPr>
            <w:tcW w:w="120" w:type="dxa"/>
            <w:vAlign w:val="bottom"/>
            <w:tcBorders>
              <w:bottom w:val="single" w:sz="8" w:color="auto"/>
            </w:tcBorders>
          </w:tcPr>
          <w:p>
            <w:pPr>
              <w:spacing w:after="0"/>
              <w:rPr>
                <w:sz w:val="20"/>
                <w:szCs w:val="20"/>
                <w:color w:val="auto"/>
              </w:rPr>
            </w:pPr>
          </w:p>
        </w:tc>
      </w:tr>
      <w:tr>
        <w:trPr>
          <w:trHeight w:val="459"/>
        </w:trPr>
        <w:tc>
          <w:tcPr>
            <w:tcW w:w="100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(c).</w:t>
            </w:r>
          </w:p>
        </w:tc>
        <w:tc>
          <w:tcPr>
            <w:tcW w:w="34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Citizenship:</w:t>
            </w:r>
          </w:p>
        </w:tc>
        <w:tc>
          <w:tcPr>
            <w:tcW w:w="120" w:type="dxa"/>
            <w:vAlign w:val="bottom"/>
          </w:tcPr>
          <w:p>
            <w:pPr>
              <w:spacing w:after="0"/>
              <w:rPr>
                <w:sz w:val="24"/>
                <w:szCs w:val="24"/>
                <w:color w:val="auto"/>
              </w:rPr>
            </w:pPr>
          </w:p>
        </w:tc>
      </w:tr>
      <w:tr>
        <w:trPr>
          <w:trHeight w:val="418"/>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Scopia Capital Management LP is a Delaware limited partnership</w:t>
            </w:r>
          </w:p>
        </w:tc>
        <w:tc>
          <w:tcPr>
            <w:tcW w:w="12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Scopia Management, Inc. is a New York corporation</w:t>
            </w:r>
          </w:p>
        </w:tc>
        <w:tc>
          <w:tcPr>
            <w:tcW w:w="12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Matthew Sirovich is a United States citizen</w:t>
            </w:r>
          </w:p>
        </w:tc>
        <w:tc>
          <w:tcPr>
            <w:tcW w:w="120" w:type="dxa"/>
            <w:vAlign w:val="bottom"/>
          </w:tcPr>
          <w:p>
            <w:pPr>
              <w:spacing w:after="0"/>
              <w:rPr>
                <w:sz w:val="18"/>
                <w:szCs w:val="18"/>
                <w:color w:val="auto"/>
              </w:rPr>
            </w:pPr>
          </w:p>
        </w:tc>
      </w:tr>
      <w:tr>
        <w:trPr>
          <w:trHeight w:val="237"/>
        </w:trPr>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Jeremy Mindich is a United States citizen</w:t>
            </w:r>
          </w:p>
        </w:tc>
        <w:tc>
          <w:tcPr>
            <w:tcW w:w="120" w:type="dxa"/>
            <w:vAlign w:val="bottom"/>
            <w:tcBorders>
              <w:bottom w:val="single" w:sz="8" w:color="auto"/>
            </w:tcBorders>
          </w:tcPr>
          <w:p>
            <w:pPr>
              <w:spacing w:after="0"/>
              <w:rPr>
                <w:sz w:val="20"/>
                <w:szCs w:val="20"/>
                <w:color w:val="auto"/>
              </w:rPr>
            </w:pPr>
          </w:p>
        </w:tc>
      </w:tr>
      <w:tr>
        <w:trPr>
          <w:trHeight w:val="459"/>
        </w:trPr>
        <w:tc>
          <w:tcPr>
            <w:tcW w:w="100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(d).</w:t>
            </w:r>
          </w:p>
        </w:tc>
        <w:tc>
          <w:tcPr>
            <w:tcW w:w="34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Title of Class of Securities:</w:t>
            </w:r>
          </w:p>
        </w:tc>
        <w:tc>
          <w:tcPr>
            <w:tcW w:w="120" w:type="dxa"/>
            <w:vAlign w:val="bottom"/>
          </w:tcPr>
          <w:p>
            <w:pPr>
              <w:spacing w:after="0"/>
              <w:rPr>
                <w:sz w:val="24"/>
                <w:szCs w:val="24"/>
                <w:color w:val="auto"/>
              </w:rPr>
            </w:pPr>
          </w:p>
        </w:tc>
      </w:tr>
      <w:tr>
        <w:trPr>
          <w:trHeight w:val="439"/>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Class A Shares</w:t>
            </w:r>
          </w:p>
        </w:tc>
        <w:tc>
          <w:tcPr>
            <w:tcW w:w="120" w:type="dxa"/>
            <w:vAlign w:val="bottom"/>
            <w:tcBorders>
              <w:bottom w:val="single" w:sz="8" w:color="auto"/>
            </w:tcBorders>
          </w:tcPr>
          <w:p>
            <w:pPr>
              <w:spacing w:after="0"/>
              <w:rPr>
                <w:sz w:val="24"/>
                <w:szCs w:val="24"/>
                <w:color w:val="auto"/>
              </w:rPr>
            </w:pPr>
          </w:p>
        </w:tc>
      </w:tr>
      <w:tr>
        <w:trPr>
          <w:trHeight w:val="459"/>
        </w:trPr>
        <w:tc>
          <w:tcPr>
            <w:tcW w:w="100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(e).</w:t>
            </w:r>
          </w:p>
        </w:tc>
        <w:tc>
          <w:tcPr>
            <w:tcW w:w="34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CUSIP Number:</w:t>
            </w:r>
          </w:p>
        </w:tc>
        <w:tc>
          <w:tcPr>
            <w:tcW w:w="120" w:type="dxa"/>
            <w:vAlign w:val="bottom"/>
          </w:tcPr>
          <w:p>
            <w:pPr>
              <w:spacing w:after="0"/>
              <w:rPr>
                <w:sz w:val="24"/>
                <w:szCs w:val="24"/>
                <w:color w:val="auto"/>
              </w:rPr>
            </w:pPr>
          </w:p>
        </w:tc>
      </w:tr>
      <w:tr>
        <w:trPr>
          <w:trHeight w:val="439"/>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72651A207</w:t>
            </w:r>
          </w:p>
        </w:tc>
        <w:tc>
          <w:tcPr>
            <w:tcW w:w="120" w:type="dxa"/>
            <w:vAlign w:val="bottom"/>
            <w:tcBorders>
              <w:bottom w:val="single" w:sz="8" w:color="auto"/>
            </w:tcBorders>
          </w:tcPr>
          <w:p>
            <w:pPr>
              <w:spacing w:after="0"/>
              <w:rPr>
                <w:sz w:val="24"/>
                <w:szCs w:val="24"/>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10580" w:type="dxa"/>
            <w:vAlign w:val="bottom"/>
            <w:gridSpan w:val="3"/>
          </w:tcPr>
          <w:p>
            <w:pPr>
              <w:ind w:left="320"/>
              <w:spacing w:after="0"/>
              <w:rPr>
                <w:sz w:val="20"/>
                <w:szCs w:val="20"/>
                <w:color w:val="auto"/>
              </w:rPr>
            </w:pPr>
            <w:r>
              <w:rPr>
                <w:rFonts w:ascii="Arial" w:cs="Arial" w:eastAsia="Arial" w:hAnsi="Arial"/>
                <w:sz w:val="18"/>
                <w:szCs w:val="18"/>
                <w:color w:val="auto"/>
              </w:rPr>
              <w:t>If this statement is filed pursuant to §§.240.13d-1(b) or 240.13d-2(b), or (c), check whether the person filing is a:</w:t>
            </w:r>
          </w:p>
        </w:tc>
      </w:tr>
      <w:tr>
        <w:trPr>
          <w:trHeight w:val="459"/>
        </w:trPr>
        <w:tc>
          <w:tcPr>
            <w:tcW w:w="840" w:type="dxa"/>
            <w:vAlign w:val="bottom"/>
          </w:tcPr>
          <w:p>
            <w:pPr>
              <w:spacing w:after="0"/>
              <w:rPr>
                <w:sz w:val="24"/>
                <w:szCs w:val="24"/>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rPr>
              <w:t>(a)</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[_]</w:t>
            </w:r>
          </w:p>
        </w:tc>
        <w:tc>
          <w:tcPr>
            <w:tcW w:w="9420" w:type="dxa"/>
            <w:vAlign w:val="bottom"/>
          </w:tcPr>
          <w:p>
            <w:pPr>
              <w:ind w:left="180"/>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432"/>
        </w:trPr>
        <w:tc>
          <w:tcPr>
            <w:tcW w:w="840" w:type="dxa"/>
            <w:vAlign w:val="bottom"/>
          </w:tcPr>
          <w:p>
            <w:pPr>
              <w:spacing w:after="0"/>
              <w:rPr>
                <w:sz w:val="24"/>
                <w:szCs w:val="24"/>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rPr>
              <w:t>(b)</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[_]</w:t>
            </w:r>
          </w:p>
        </w:tc>
        <w:tc>
          <w:tcPr>
            <w:tcW w:w="9420" w:type="dxa"/>
            <w:vAlign w:val="bottom"/>
          </w:tcPr>
          <w:p>
            <w:pPr>
              <w:ind w:left="180"/>
              <w:spacing w:after="0"/>
              <w:rPr>
                <w:sz w:val="20"/>
                <w:szCs w:val="20"/>
                <w:color w:val="auto"/>
              </w:rPr>
            </w:pPr>
            <w:r>
              <w:rPr>
                <w:rFonts w:ascii="Arial" w:cs="Arial" w:eastAsia="Arial" w:hAnsi="Arial"/>
                <w:sz w:val="18"/>
                <w:szCs w:val="18"/>
                <w:color w:val="auto"/>
              </w:rPr>
              <w:t>Bank as defined in section 3(a)(6) of the Act (15 U.S.C. 78c).</w:t>
            </w:r>
          </w:p>
        </w:tc>
      </w:tr>
      <w:tr>
        <w:trPr>
          <w:trHeight w:val="277"/>
        </w:trPr>
        <w:tc>
          <w:tcPr>
            <w:tcW w:w="8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19" w:right="239" w:bottom="1440" w:gutter="0" w:footer="0" w:header="0"/>
        </w:sectPr>
      </w:pPr>
    </w:p>
    <w:bookmarkStart w:id="6" w:name="page7"/>
    <w:bookmarkEnd w:id="6"/>
    <w:p>
      <w:pPr>
        <w:ind w:left="1620" w:hanging="464"/>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620" w:hanging="464"/>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620" w:hanging="464"/>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[X]    An investment adviser in accordance with § 240.13d-1(b)(1)(ii)(E);</w:t>
      </w:r>
    </w:p>
    <w:p>
      <w:pPr>
        <w:spacing w:after="0" w:line="225" w:lineRule="exact"/>
        <w:rPr>
          <w:rFonts w:ascii="Arial" w:cs="Arial" w:eastAsia="Arial" w:hAnsi="Arial"/>
          <w:sz w:val="18"/>
          <w:szCs w:val="18"/>
          <w:color w:val="auto"/>
        </w:rPr>
      </w:pPr>
    </w:p>
    <w:p>
      <w:pPr>
        <w:ind w:left="1620" w:hanging="464"/>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employee benefit plan or endowment fund in accordance with § 240.13d-1(b)(1)(ii)(F);</w:t>
      </w:r>
    </w:p>
    <w:p>
      <w:pPr>
        <w:spacing w:after="0" w:line="225" w:lineRule="exact"/>
        <w:rPr>
          <w:rFonts w:ascii="Arial" w:cs="Arial" w:eastAsia="Arial" w:hAnsi="Arial"/>
          <w:sz w:val="18"/>
          <w:szCs w:val="18"/>
          <w:color w:val="auto"/>
        </w:rPr>
      </w:pPr>
    </w:p>
    <w:p>
      <w:pPr>
        <w:ind w:left="1620" w:hanging="464"/>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[X]    A parent holding company or control person in accordance with §240.13d-1(b)(1)(ii)(G);</w:t>
      </w:r>
    </w:p>
    <w:p>
      <w:pPr>
        <w:spacing w:after="0" w:line="225" w:lineRule="exact"/>
        <w:rPr>
          <w:rFonts w:ascii="Arial" w:cs="Arial" w:eastAsia="Arial" w:hAnsi="Arial"/>
          <w:sz w:val="18"/>
          <w:szCs w:val="18"/>
          <w:color w:val="auto"/>
        </w:rPr>
      </w:pPr>
    </w:p>
    <w:p>
      <w:pPr>
        <w:ind w:left="1620" w:hanging="464"/>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savings association as defined in Section 3(b) of the Federal Deposit Insurance Act (12 U.S.C.1813);</w:t>
      </w:r>
    </w:p>
    <w:p>
      <w:pPr>
        <w:spacing w:after="0" w:line="225" w:lineRule="exact"/>
        <w:rPr>
          <w:rFonts w:ascii="Arial" w:cs="Arial" w:eastAsia="Arial" w:hAnsi="Arial"/>
          <w:sz w:val="18"/>
          <w:szCs w:val="18"/>
          <w:color w:val="auto"/>
        </w:rPr>
      </w:pPr>
    </w:p>
    <w:p>
      <w:pPr>
        <w:ind w:left="2180" w:right="740" w:hanging="1024"/>
        <w:spacing w:after="0" w:line="277" w:lineRule="auto"/>
        <w:tabs>
          <w:tab w:leader="none" w:pos="1613" w:val="left"/>
        </w:tabs>
        <w:numPr>
          <w:ilvl w:val="0"/>
          <w:numId w:val="19"/>
        </w:numPr>
        <w:rPr>
          <w:rFonts w:ascii="Arial" w:cs="Arial" w:eastAsia="Arial" w:hAnsi="Arial"/>
          <w:sz w:val="18"/>
          <w:szCs w:val="18"/>
          <w:color w:val="auto"/>
        </w:rPr>
      </w:pPr>
      <w:r>
        <w:rPr>
          <w:rFonts w:ascii="Arial" w:cs="Arial" w:eastAsia="Arial" w:hAnsi="Arial"/>
          <w:sz w:val="18"/>
          <w:szCs w:val="18"/>
          <w:color w:val="auto"/>
        </w:rPr>
        <w:t>[_]A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620" w:hanging="464"/>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non-U.S. institution in accordance with §240.13d-1(b)(1)(ii)(J);</w:t>
      </w:r>
    </w:p>
    <w:p>
      <w:pPr>
        <w:spacing w:after="0" w:line="225" w:lineRule="exact"/>
        <w:rPr>
          <w:rFonts w:ascii="Arial" w:cs="Arial" w:eastAsia="Arial" w:hAnsi="Arial"/>
          <w:sz w:val="18"/>
          <w:szCs w:val="18"/>
          <w:color w:val="auto"/>
        </w:rPr>
      </w:pPr>
    </w:p>
    <w:p>
      <w:pPr>
        <w:ind w:left="2180" w:right="180" w:hanging="1024"/>
        <w:spacing w:after="0" w:line="277" w:lineRule="auto"/>
        <w:tabs>
          <w:tab w:leader="none" w:pos="1613" w:val="left"/>
        </w:tabs>
        <w:numPr>
          <w:ilvl w:val="0"/>
          <w:numId w:val="19"/>
        </w:numPr>
        <w:rPr>
          <w:rFonts w:ascii="Arial" w:cs="Arial" w:eastAsia="Arial" w:hAnsi="Arial"/>
          <w:sz w:val="18"/>
          <w:szCs w:val="18"/>
          <w:color w:val="auto"/>
        </w:rPr>
      </w:pPr>
      <w:r>
        <w:rPr>
          <w:rFonts w:ascii="Arial" w:cs="Arial" w:eastAsia="Arial" w:hAnsi="Arial"/>
          <w:sz w:val="18"/>
          <w:szCs w:val="18"/>
          <w:color w:val="auto"/>
        </w:rPr>
        <w:t>[_]Group, in accordance with §240.13d-1(b)(1)(ii)(K). If filing as a non-U.S. institution in accordance with §240.13d-1(b)(1)(ii) (J), please specify the type of institution:</w:t>
      </w:r>
    </w:p>
    <w:p>
      <w:pPr>
        <w:spacing w:after="0" w:line="19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1160" w:right="160"/>
        <w:spacing w:after="0" w:line="516"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 Scopia Capital Management LP</w:t>
      </w:r>
    </w:p>
    <w:p>
      <w:pPr>
        <w:spacing w:after="0" w:line="1" w:lineRule="exact"/>
        <w:rPr>
          <w:sz w:val="20"/>
          <w:szCs w:val="20"/>
          <w:color w:val="auto"/>
        </w:rPr>
      </w:pPr>
    </w:p>
    <w:p>
      <w:pPr>
        <w:ind w:left="1960" w:right="7400" w:hanging="804"/>
        <w:spacing w:after="0" w:line="528" w:lineRule="auto"/>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 beneficially owned: 9,282,528</w:t>
      </w:r>
    </w:p>
    <w:p>
      <w:pPr>
        <w:spacing w:after="0" w:line="7" w:lineRule="exact"/>
        <w:rPr>
          <w:rFonts w:ascii="Arial" w:cs="Arial" w:eastAsia="Arial" w:hAnsi="Arial"/>
          <w:sz w:val="18"/>
          <w:szCs w:val="18"/>
          <w:color w:val="auto"/>
        </w:rPr>
      </w:pPr>
    </w:p>
    <w:p>
      <w:pPr>
        <w:ind w:left="1960" w:hanging="804"/>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5.9%</w:t>
      </w:r>
    </w:p>
    <w:p>
      <w:pPr>
        <w:spacing w:after="0" w:line="279" w:lineRule="exact"/>
        <w:rPr>
          <w:rFonts w:ascii="Arial" w:cs="Arial" w:eastAsia="Arial" w:hAnsi="Arial"/>
          <w:sz w:val="18"/>
          <w:szCs w:val="18"/>
          <w:color w:val="auto"/>
        </w:rPr>
      </w:pPr>
    </w:p>
    <w:p>
      <w:pPr>
        <w:ind w:left="1960" w:hanging="804"/>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-876300</wp:posOffset>
            </wp:positionV>
            <wp:extent cx="60115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11545" cy="1714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-293370</wp:posOffset>
            </wp:positionV>
            <wp:extent cx="60115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11545" cy="17145"/>
                    </a:xfrm>
                    <a:prstGeom prst="rect">
                      <a:avLst/>
                    </a:prstGeom>
                    <a:noFill/>
                  </pic:spPr>
                </pic:pic>
              </a:graphicData>
            </a:graphic>
          </wp:anchor>
        </w:drawing>
      </w:r>
    </w:p>
    <w:p>
      <w:pPr>
        <w:spacing w:after="0" w:line="232" w:lineRule="exact"/>
        <w:rPr>
          <w:sz w:val="20"/>
          <w:szCs w:val="20"/>
          <w:color w:val="auto"/>
        </w:rPr>
      </w:pPr>
    </w:p>
    <w:tbl>
      <w:tblPr>
        <w:tblLayout w:type="fixed"/>
        <w:tblInd w:w="196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(i)</w:t>
            </w:r>
          </w:p>
        </w:tc>
        <w:tc>
          <w:tcPr>
            <w:tcW w:w="6580" w:type="dxa"/>
            <w:vAlign w:val="bottom"/>
          </w:tcPr>
          <w:p>
            <w:pPr>
              <w:ind w:left="200"/>
              <w:spacing w:after="0"/>
              <w:rPr>
                <w:sz w:val="20"/>
                <w:szCs w:val="20"/>
                <w:color w:val="auto"/>
              </w:rPr>
            </w:pPr>
            <w:r>
              <w:rPr>
                <w:rFonts w:ascii="Arial" w:cs="Arial" w:eastAsia="Arial" w:hAnsi="Arial"/>
                <w:sz w:val="18"/>
                <w:szCs w:val="18"/>
                <w:color w:val="auto"/>
              </w:rPr>
              <w:t>Sole power to vote or to direct the vote</w:t>
            </w:r>
          </w:p>
        </w:tc>
        <w:tc>
          <w:tcPr>
            <w:tcW w:w="240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r>
      <w:tr>
        <w:trPr>
          <w:trHeight w:val="27"/>
        </w:trPr>
        <w:tc>
          <w:tcPr>
            <w:tcW w:w="4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662"/>
        </w:trPr>
        <w:tc>
          <w:tcPr>
            <w:tcW w:w="480" w:type="dxa"/>
            <w:vAlign w:val="bottom"/>
          </w:tcPr>
          <w:p>
            <w:pPr>
              <w:spacing w:after="0"/>
              <w:rPr>
                <w:sz w:val="20"/>
                <w:szCs w:val="20"/>
                <w:color w:val="auto"/>
              </w:rPr>
            </w:pPr>
            <w:r>
              <w:rPr>
                <w:rFonts w:ascii="Arial" w:cs="Arial" w:eastAsia="Arial" w:hAnsi="Arial"/>
                <w:sz w:val="18"/>
                <w:szCs w:val="18"/>
                <w:color w:val="auto"/>
              </w:rPr>
              <w:t>(ii)</w:t>
            </w:r>
          </w:p>
        </w:tc>
        <w:tc>
          <w:tcPr>
            <w:tcW w:w="6580" w:type="dxa"/>
            <w:vAlign w:val="bottom"/>
          </w:tcPr>
          <w:p>
            <w:pPr>
              <w:ind w:left="200"/>
              <w:spacing w:after="0"/>
              <w:rPr>
                <w:sz w:val="20"/>
                <w:szCs w:val="20"/>
                <w:color w:val="auto"/>
              </w:rPr>
            </w:pPr>
            <w:r>
              <w:rPr>
                <w:rFonts w:ascii="Arial" w:cs="Arial" w:eastAsia="Arial" w:hAnsi="Arial"/>
                <w:sz w:val="18"/>
                <w:szCs w:val="18"/>
                <w:color w:val="auto"/>
              </w:rPr>
              <w:t>Shared power to vote or to direct the vote</w:t>
            </w:r>
          </w:p>
        </w:tc>
        <w:tc>
          <w:tcPr>
            <w:tcW w:w="2400" w:type="dxa"/>
            <w:vAlign w:val="bottom"/>
            <w:gridSpan w:val="2"/>
          </w:tcPr>
          <w:p>
            <w:pPr>
              <w:jc w:val="right"/>
              <w:ind w:right="300"/>
              <w:spacing w:after="0"/>
              <w:rPr>
                <w:sz w:val="20"/>
                <w:szCs w:val="20"/>
                <w:color w:val="auto"/>
              </w:rPr>
            </w:pPr>
            <w:r>
              <w:rPr>
                <w:rFonts w:ascii="Arial" w:cs="Arial" w:eastAsia="Arial" w:hAnsi="Arial"/>
                <w:sz w:val="18"/>
                <w:szCs w:val="18"/>
                <w:color w:val="auto"/>
              </w:rPr>
              <w:t>9,282,528,</w:t>
            </w:r>
          </w:p>
        </w:tc>
      </w:tr>
      <w:tr>
        <w:trPr>
          <w:trHeight w:val="27"/>
        </w:trPr>
        <w:tc>
          <w:tcPr>
            <w:tcW w:w="4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669"/>
        </w:trPr>
        <w:tc>
          <w:tcPr>
            <w:tcW w:w="480" w:type="dxa"/>
            <w:vAlign w:val="bottom"/>
          </w:tcPr>
          <w:p>
            <w:pPr>
              <w:spacing w:after="0"/>
              <w:rPr>
                <w:sz w:val="20"/>
                <w:szCs w:val="20"/>
                <w:color w:val="auto"/>
              </w:rPr>
            </w:pPr>
            <w:r>
              <w:rPr>
                <w:rFonts w:ascii="Arial" w:cs="Arial" w:eastAsia="Arial" w:hAnsi="Arial"/>
                <w:sz w:val="18"/>
                <w:szCs w:val="18"/>
                <w:color w:val="auto"/>
              </w:rPr>
              <w:t>(iii)</w:t>
            </w:r>
          </w:p>
        </w:tc>
        <w:tc>
          <w:tcPr>
            <w:tcW w:w="6580" w:type="dxa"/>
            <w:vAlign w:val="bottom"/>
          </w:tcPr>
          <w:p>
            <w:pPr>
              <w:ind w:left="200"/>
              <w:spacing w:after="0"/>
              <w:rPr>
                <w:sz w:val="20"/>
                <w:szCs w:val="20"/>
                <w:color w:val="auto"/>
              </w:rPr>
            </w:pPr>
            <w:r>
              <w:rPr>
                <w:rFonts w:ascii="Arial" w:cs="Arial" w:eastAsia="Arial" w:hAnsi="Arial"/>
                <w:sz w:val="18"/>
                <w:szCs w:val="18"/>
                <w:color w:val="auto"/>
              </w:rPr>
              <w:t>Sole power to dispose or to direct the disposition of</w:t>
            </w:r>
          </w:p>
        </w:tc>
        <w:tc>
          <w:tcPr>
            <w:tcW w:w="24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0,</w:t>
            </w:r>
          </w:p>
        </w:tc>
      </w:tr>
      <w:tr>
        <w:trPr>
          <w:trHeight w:val="675"/>
        </w:trPr>
        <w:tc>
          <w:tcPr>
            <w:tcW w:w="480" w:type="dxa"/>
            <w:vAlign w:val="bottom"/>
          </w:tcPr>
          <w:p>
            <w:pPr>
              <w:spacing w:after="0"/>
              <w:rPr>
                <w:sz w:val="20"/>
                <w:szCs w:val="20"/>
                <w:color w:val="auto"/>
              </w:rPr>
            </w:pPr>
            <w:r>
              <w:rPr>
                <w:rFonts w:ascii="Arial" w:cs="Arial" w:eastAsia="Arial" w:hAnsi="Arial"/>
                <w:sz w:val="18"/>
                <w:szCs w:val="18"/>
                <w:color w:val="auto"/>
              </w:rPr>
              <w:t>(iv)</w:t>
            </w:r>
          </w:p>
        </w:tc>
        <w:tc>
          <w:tcPr>
            <w:tcW w:w="6580" w:type="dxa"/>
            <w:vAlign w:val="bottom"/>
          </w:tcPr>
          <w:p>
            <w:pPr>
              <w:ind w:left="200"/>
              <w:spacing w:after="0"/>
              <w:rPr>
                <w:sz w:val="20"/>
                <w:szCs w:val="20"/>
                <w:color w:val="auto"/>
              </w:rPr>
            </w:pPr>
            <w:r>
              <w:rPr>
                <w:rFonts w:ascii="Arial" w:cs="Arial" w:eastAsia="Arial" w:hAnsi="Arial"/>
                <w:sz w:val="18"/>
                <w:szCs w:val="18"/>
                <w:color w:val="auto"/>
              </w:rPr>
              <w:t>Shared power to dispose or to direct the disposition of</w:t>
            </w:r>
          </w:p>
        </w:tc>
        <w:tc>
          <w:tcPr>
            <w:tcW w:w="2400" w:type="dxa"/>
            <w:vAlign w:val="bottom"/>
            <w:gridSpan w:val="2"/>
          </w:tcPr>
          <w:p>
            <w:pPr>
              <w:jc w:val="right"/>
              <w:ind w:right="300"/>
              <w:spacing w:after="0"/>
              <w:rPr>
                <w:sz w:val="20"/>
                <w:szCs w:val="20"/>
                <w:color w:val="auto"/>
              </w:rPr>
            </w:pPr>
            <w:r>
              <w:rPr>
                <w:rFonts w:ascii="Arial" w:cs="Arial" w:eastAsia="Arial" w:hAnsi="Arial"/>
                <w:sz w:val="18"/>
                <w:szCs w:val="18"/>
                <w:color w:val="auto"/>
              </w:rPr>
              <w:t>9,282,528.</w:t>
            </w:r>
          </w:p>
        </w:tc>
      </w:tr>
      <w:tr>
        <w:trPr>
          <w:trHeight w:val="27"/>
        </w:trPr>
        <w:tc>
          <w:tcPr>
            <w:tcW w:w="4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bl>
    <w:p>
      <w:pPr>
        <w:spacing w:after="0" w:line="18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Scopia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ind w:left="804" w:right="7400" w:hanging="804"/>
        <w:spacing w:after="0" w:line="528" w:lineRule="auto"/>
        <w:tabs>
          <w:tab w:leader="none" w:pos="8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beneficially owned: 9,282,528</w:t>
      </w:r>
    </w:p>
    <w:p>
      <w:pPr>
        <w:spacing w:after="0" w:line="7" w:lineRule="exact"/>
        <w:rPr>
          <w:rFonts w:ascii="Arial" w:cs="Arial" w:eastAsia="Arial" w:hAnsi="Arial"/>
          <w:sz w:val="18"/>
          <w:szCs w:val="18"/>
          <w:color w:val="auto"/>
        </w:rPr>
      </w:pPr>
    </w:p>
    <w:p>
      <w:pPr>
        <w:ind w:left="804" w:hanging="804"/>
        <w:spacing w:after="0"/>
        <w:tabs>
          <w:tab w:leader="none" w:pos="8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804"/>
        <w:spacing w:after="0"/>
        <w:rPr>
          <w:rFonts w:ascii="Arial" w:cs="Arial" w:eastAsia="Arial" w:hAnsi="Arial"/>
          <w:sz w:val="18"/>
          <w:szCs w:val="18"/>
          <w:color w:val="auto"/>
        </w:rPr>
      </w:pPr>
      <w:r>
        <w:rPr>
          <w:rFonts w:ascii="Arial" w:cs="Arial" w:eastAsia="Arial" w:hAnsi="Arial"/>
          <w:sz w:val="18"/>
          <w:szCs w:val="18"/>
          <w:color w:val="auto"/>
        </w:rPr>
        <w:t>5.9%</w:t>
      </w:r>
    </w:p>
    <w:p>
      <w:pPr>
        <w:spacing w:after="0" w:line="279" w:lineRule="exact"/>
        <w:rPr>
          <w:rFonts w:ascii="Arial" w:cs="Arial" w:eastAsia="Arial" w:hAnsi="Arial"/>
          <w:sz w:val="18"/>
          <w:szCs w:val="18"/>
          <w:color w:val="auto"/>
        </w:rPr>
      </w:pPr>
    </w:p>
    <w:p>
      <w:pPr>
        <w:ind w:left="804" w:hanging="804"/>
        <w:spacing w:after="0"/>
        <w:tabs>
          <w:tab w:leader="none" w:pos="8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-876300</wp:posOffset>
            </wp:positionV>
            <wp:extent cx="601154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11545" cy="1714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-293370</wp:posOffset>
            </wp:positionV>
            <wp:extent cx="60115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11545" cy="17145"/>
                    </a:xfrm>
                    <a:prstGeom prst="rect">
                      <a:avLst/>
                    </a:prstGeom>
                    <a:noFill/>
                  </pic:spPr>
                </pic:pic>
              </a:graphicData>
            </a:graphic>
          </wp:anchor>
        </w:drawing>
      </w:r>
    </w:p>
    <w:p>
      <w:pPr>
        <w:spacing w:after="0" w:line="232" w:lineRule="exact"/>
        <w:rPr>
          <w:sz w:val="20"/>
          <w:szCs w:val="20"/>
          <w:color w:val="auto"/>
        </w:rPr>
      </w:pPr>
    </w:p>
    <w:tbl>
      <w:tblPr>
        <w:tblLayout w:type="fixed"/>
        <w:tblInd w:w="804"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(i)</w:t>
            </w:r>
          </w:p>
        </w:tc>
        <w:tc>
          <w:tcPr>
            <w:tcW w:w="6580" w:type="dxa"/>
            <w:vAlign w:val="bottom"/>
          </w:tcPr>
          <w:p>
            <w:pPr>
              <w:ind w:left="200"/>
              <w:spacing w:after="0"/>
              <w:rPr>
                <w:sz w:val="20"/>
                <w:szCs w:val="20"/>
                <w:color w:val="auto"/>
              </w:rPr>
            </w:pPr>
            <w:r>
              <w:rPr>
                <w:rFonts w:ascii="Arial" w:cs="Arial" w:eastAsia="Arial" w:hAnsi="Arial"/>
                <w:sz w:val="18"/>
                <w:szCs w:val="18"/>
                <w:color w:val="auto"/>
              </w:rPr>
              <w:t>Sole power to vote or to direct the vote</w:t>
            </w:r>
          </w:p>
        </w:tc>
        <w:tc>
          <w:tcPr>
            <w:tcW w:w="240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r>
      <w:tr>
        <w:trPr>
          <w:trHeight w:val="27"/>
        </w:trPr>
        <w:tc>
          <w:tcPr>
            <w:tcW w:w="4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662"/>
        </w:trPr>
        <w:tc>
          <w:tcPr>
            <w:tcW w:w="480" w:type="dxa"/>
            <w:vAlign w:val="bottom"/>
          </w:tcPr>
          <w:p>
            <w:pPr>
              <w:spacing w:after="0"/>
              <w:rPr>
                <w:sz w:val="20"/>
                <w:szCs w:val="20"/>
                <w:color w:val="auto"/>
              </w:rPr>
            </w:pPr>
            <w:r>
              <w:rPr>
                <w:rFonts w:ascii="Arial" w:cs="Arial" w:eastAsia="Arial" w:hAnsi="Arial"/>
                <w:sz w:val="18"/>
                <w:szCs w:val="18"/>
                <w:color w:val="auto"/>
              </w:rPr>
              <w:t>(ii)</w:t>
            </w:r>
          </w:p>
        </w:tc>
        <w:tc>
          <w:tcPr>
            <w:tcW w:w="6580" w:type="dxa"/>
            <w:vAlign w:val="bottom"/>
          </w:tcPr>
          <w:p>
            <w:pPr>
              <w:ind w:left="200"/>
              <w:spacing w:after="0"/>
              <w:rPr>
                <w:sz w:val="20"/>
                <w:szCs w:val="20"/>
                <w:color w:val="auto"/>
              </w:rPr>
            </w:pPr>
            <w:r>
              <w:rPr>
                <w:rFonts w:ascii="Arial" w:cs="Arial" w:eastAsia="Arial" w:hAnsi="Arial"/>
                <w:sz w:val="18"/>
                <w:szCs w:val="18"/>
                <w:color w:val="auto"/>
              </w:rPr>
              <w:t>Shared power to vote or to direct the vote</w:t>
            </w:r>
          </w:p>
        </w:tc>
        <w:tc>
          <w:tcPr>
            <w:tcW w:w="2400" w:type="dxa"/>
            <w:vAlign w:val="bottom"/>
            <w:gridSpan w:val="2"/>
          </w:tcPr>
          <w:p>
            <w:pPr>
              <w:jc w:val="right"/>
              <w:ind w:right="300"/>
              <w:spacing w:after="0"/>
              <w:rPr>
                <w:sz w:val="20"/>
                <w:szCs w:val="20"/>
                <w:color w:val="auto"/>
              </w:rPr>
            </w:pPr>
            <w:r>
              <w:rPr>
                <w:rFonts w:ascii="Arial" w:cs="Arial" w:eastAsia="Arial" w:hAnsi="Arial"/>
                <w:sz w:val="18"/>
                <w:szCs w:val="18"/>
                <w:color w:val="auto"/>
              </w:rPr>
              <w:t>9,282,528,</w:t>
            </w:r>
          </w:p>
        </w:tc>
      </w:tr>
      <w:tr>
        <w:trPr>
          <w:trHeight w:val="27"/>
        </w:trPr>
        <w:tc>
          <w:tcPr>
            <w:tcW w:w="4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669"/>
        </w:trPr>
        <w:tc>
          <w:tcPr>
            <w:tcW w:w="480" w:type="dxa"/>
            <w:vAlign w:val="bottom"/>
          </w:tcPr>
          <w:p>
            <w:pPr>
              <w:spacing w:after="0"/>
              <w:rPr>
                <w:sz w:val="20"/>
                <w:szCs w:val="20"/>
                <w:color w:val="auto"/>
              </w:rPr>
            </w:pPr>
            <w:r>
              <w:rPr>
                <w:rFonts w:ascii="Arial" w:cs="Arial" w:eastAsia="Arial" w:hAnsi="Arial"/>
                <w:sz w:val="18"/>
                <w:szCs w:val="18"/>
                <w:color w:val="auto"/>
              </w:rPr>
              <w:t>(iii)</w:t>
            </w:r>
          </w:p>
        </w:tc>
        <w:tc>
          <w:tcPr>
            <w:tcW w:w="6580" w:type="dxa"/>
            <w:vAlign w:val="bottom"/>
          </w:tcPr>
          <w:p>
            <w:pPr>
              <w:ind w:left="200"/>
              <w:spacing w:after="0"/>
              <w:rPr>
                <w:sz w:val="20"/>
                <w:szCs w:val="20"/>
                <w:color w:val="auto"/>
              </w:rPr>
            </w:pPr>
            <w:r>
              <w:rPr>
                <w:rFonts w:ascii="Arial" w:cs="Arial" w:eastAsia="Arial" w:hAnsi="Arial"/>
                <w:sz w:val="18"/>
                <w:szCs w:val="18"/>
                <w:color w:val="auto"/>
              </w:rPr>
              <w:t>Sole power to dispose or to direct the disposition of</w:t>
            </w:r>
          </w:p>
        </w:tc>
        <w:tc>
          <w:tcPr>
            <w:tcW w:w="24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0,</w:t>
            </w:r>
          </w:p>
        </w:tc>
      </w:tr>
      <w:tr>
        <w:trPr>
          <w:trHeight w:val="675"/>
        </w:trPr>
        <w:tc>
          <w:tcPr>
            <w:tcW w:w="480" w:type="dxa"/>
            <w:vAlign w:val="bottom"/>
          </w:tcPr>
          <w:p>
            <w:pPr>
              <w:spacing w:after="0"/>
              <w:rPr>
                <w:sz w:val="20"/>
                <w:szCs w:val="20"/>
                <w:color w:val="auto"/>
              </w:rPr>
            </w:pPr>
            <w:r>
              <w:rPr>
                <w:rFonts w:ascii="Arial" w:cs="Arial" w:eastAsia="Arial" w:hAnsi="Arial"/>
                <w:sz w:val="18"/>
                <w:szCs w:val="18"/>
                <w:color w:val="auto"/>
              </w:rPr>
              <w:t>(iv)</w:t>
            </w:r>
          </w:p>
        </w:tc>
        <w:tc>
          <w:tcPr>
            <w:tcW w:w="6580" w:type="dxa"/>
            <w:vAlign w:val="bottom"/>
          </w:tcPr>
          <w:p>
            <w:pPr>
              <w:ind w:left="200"/>
              <w:spacing w:after="0"/>
              <w:rPr>
                <w:sz w:val="20"/>
                <w:szCs w:val="20"/>
                <w:color w:val="auto"/>
              </w:rPr>
            </w:pPr>
            <w:r>
              <w:rPr>
                <w:rFonts w:ascii="Arial" w:cs="Arial" w:eastAsia="Arial" w:hAnsi="Arial"/>
                <w:sz w:val="18"/>
                <w:szCs w:val="18"/>
                <w:color w:val="auto"/>
              </w:rPr>
              <w:t>Shared power to dispose or to direct the disposition of</w:t>
            </w:r>
          </w:p>
        </w:tc>
        <w:tc>
          <w:tcPr>
            <w:tcW w:w="2400" w:type="dxa"/>
            <w:vAlign w:val="bottom"/>
            <w:gridSpan w:val="2"/>
          </w:tcPr>
          <w:p>
            <w:pPr>
              <w:jc w:val="right"/>
              <w:ind w:right="300"/>
              <w:spacing w:after="0"/>
              <w:rPr>
                <w:sz w:val="20"/>
                <w:szCs w:val="20"/>
                <w:color w:val="auto"/>
              </w:rPr>
            </w:pPr>
            <w:r>
              <w:rPr>
                <w:rFonts w:ascii="Arial" w:cs="Arial" w:eastAsia="Arial" w:hAnsi="Arial"/>
                <w:sz w:val="18"/>
                <w:szCs w:val="18"/>
                <w:color w:val="auto"/>
              </w:rPr>
              <w:t>9,282,528.</w:t>
            </w:r>
          </w:p>
        </w:tc>
      </w:tr>
      <w:tr>
        <w:trPr>
          <w:trHeight w:val="27"/>
        </w:trPr>
        <w:tc>
          <w:tcPr>
            <w:tcW w:w="4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ind w:left="4"/>
        <w:spacing w:after="0"/>
        <w:rPr>
          <w:sz w:val="20"/>
          <w:szCs w:val="20"/>
          <w:color w:val="auto"/>
        </w:rPr>
      </w:pPr>
      <w:r>
        <w:rPr>
          <w:rFonts w:ascii="Arial" w:cs="Arial" w:eastAsia="Arial" w:hAnsi="Arial"/>
          <w:sz w:val="18"/>
          <w:szCs w:val="18"/>
          <w:color w:val="auto"/>
        </w:rPr>
        <w:t>Matthew Sirovich</w:t>
      </w:r>
    </w:p>
    <w:p>
      <w:pPr>
        <w:spacing w:after="0" w:line="252" w:lineRule="exact"/>
        <w:rPr>
          <w:sz w:val="20"/>
          <w:szCs w:val="20"/>
          <w:color w:val="auto"/>
        </w:rPr>
      </w:pPr>
    </w:p>
    <w:p>
      <w:pPr>
        <w:ind w:left="804" w:right="7400" w:hanging="804"/>
        <w:spacing w:after="0" w:line="528" w:lineRule="auto"/>
        <w:tabs>
          <w:tab w:leader="none" w:pos="8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beneficially owned: 9,282,528</w:t>
      </w:r>
    </w:p>
    <w:p>
      <w:pPr>
        <w:spacing w:after="0" w:line="7" w:lineRule="exact"/>
        <w:rPr>
          <w:rFonts w:ascii="Arial" w:cs="Arial" w:eastAsia="Arial" w:hAnsi="Arial"/>
          <w:sz w:val="18"/>
          <w:szCs w:val="18"/>
          <w:color w:val="auto"/>
        </w:rPr>
      </w:pPr>
    </w:p>
    <w:p>
      <w:pPr>
        <w:ind w:left="804" w:hanging="804"/>
        <w:spacing w:after="0"/>
        <w:tabs>
          <w:tab w:leader="none" w:pos="8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804"/>
        <w:spacing w:after="0"/>
        <w:rPr>
          <w:rFonts w:ascii="Arial" w:cs="Arial" w:eastAsia="Arial" w:hAnsi="Arial"/>
          <w:sz w:val="18"/>
          <w:szCs w:val="18"/>
          <w:color w:val="auto"/>
        </w:rPr>
      </w:pPr>
      <w:r>
        <w:rPr>
          <w:rFonts w:ascii="Arial" w:cs="Arial" w:eastAsia="Arial" w:hAnsi="Arial"/>
          <w:sz w:val="18"/>
          <w:szCs w:val="18"/>
          <w:color w:val="auto"/>
        </w:rPr>
        <w:t>5.9%</w:t>
      </w:r>
    </w:p>
    <w:p>
      <w:pPr>
        <w:spacing w:after="0" w:line="279" w:lineRule="exact"/>
        <w:rPr>
          <w:rFonts w:ascii="Arial" w:cs="Arial" w:eastAsia="Arial" w:hAnsi="Arial"/>
          <w:sz w:val="18"/>
          <w:szCs w:val="18"/>
          <w:color w:val="auto"/>
        </w:rPr>
      </w:pPr>
    </w:p>
    <w:p>
      <w:pPr>
        <w:ind w:left="804" w:hanging="804"/>
        <w:spacing w:after="0"/>
        <w:tabs>
          <w:tab w:leader="none" w:pos="8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-876300</wp:posOffset>
            </wp:positionV>
            <wp:extent cx="60115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11545" cy="17145"/>
                    </a:xfrm>
                    <a:prstGeom prst="rect">
                      <a:avLst/>
                    </a:prstGeom>
                    <a:noFill/>
                  </pic:spPr>
                </pic:pic>
              </a:graphicData>
            </a:graphic>
          </wp:anchor>
        </w:drawing>
        <w:drawing>
          <wp:anchor simplePos="0" relativeHeight="251657728" behindDoc="1" locked="0" layoutInCell="0" allowOverlap="1">
            <wp:simplePos x="0" y="0"/>
            <wp:positionH relativeFrom="column">
              <wp:posOffset>506095</wp:posOffset>
            </wp:positionH>
            <wp:positionV relativeFrom="paragraph">
              <wp:posOffset>-293370</wp:posOffset>
            </wp:positionV>
            <wp:extent cx="601154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11545" cy="17145"/>
                    </a:xfrm>
                    <a:prstGeom prst="rect">
                      <a:avLst/>
                    </a:prstGeom>
                    <a:noFill/>
                  </pic:spPr>
                </pic:pic>
              </a:graphicData>
            </a:graphic>
          </wp:anchor>
        </w:drawing>
      </w:r>
    </w:p>
    <w:p>
      <w:pPr>
        <w:spacing w:after="0" w:line="232" w:lineRule="exact"/>
        <w:rPr>
          <w:sz w:val="20"/>
          <w:szCs w:val="20"/>
          <w:color w:val="auto"/>
        </w:rPr>
      </w:pPr>
    </w:p>
    <w:tbl>
      <w:tblPr>
        <w:tblLayout w:type="fixed"/>
        <w:tblInd w:w="804"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(i)</w:t>
            </w:r>
          </w:p>
        </w:tc>
        <w:tc>
          <w:tcPr>
            <w:tcW w:w="6580" w:type="dxa"/>
            <w:vAlign w:val="bottom"/>
          </w:tcPr>
          <w:p>
            <w:pPr>
              <w:ind w:left="200"/>
              <w:spacing w:after="0"/>
              <w:rPr>
                <w:sz w:val="20"/>
                <w:szCs w:val="20"/>
                <w:color w:val="auto"/>
              </w:rPr>
            </w:pPr>
            <w:r>
              <w:rPr>
                <w:rFonts w:ascii="Arial" w:cs="Arial" w:eastAsia="Arial" w:hAnsi="Arial"/>
                <w:sz w:val="18"/>
                <w:szCs w:val="18"/>
                <w:color w:val="auto"/>
              </w:rPr>
              <w:t>Sole power to vote or to direct the vote</w:t>
            </w:r>
          </w:p>
        </w:tc>
        <w:tc>
          <w:tcPr>
            <w:tcW w:w="240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r>
      <w:tr>
        <w:trPr>
          <w:trHeight w:val="27"/>
        </w:trPr>
        <w:tc>
          <w:tcPr>
            <w:tcW w:w="4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662"/>
        </w:trPr>
        <w:tc>
          <w:tcPr>
            <w:tcW w:w="480" w:type="dxa"/>
            <w:vAlign w:val="bottom"/>
          </w:tcPr>
          <w:p>
            <w:pPr>
              <w:spacing w:after="0"/>
              <w:rPr>
                <w:sz w:val="20"/>
                <w:szCs w:val="20"/>
                <w:color w:val="auto"/>
              </w:rPr>
            </w:pPr>
            <w:r>
              <w:rPr>
                <w:rFonts w:ascii="Arial" w:cs="Arial" w:eastAsia="Arial" w:hAnsi="Arial"/>
                <w:sz w:val="18"/>
                <w:szCs w:val="18"/>
                <w:color w:val="auto"/>
              </w:rPr>
              <w:t>(ii)</w:t>
            </w:r>
          </w:p>
        </w:tc>
        <w:tc>
          <w:tcPr>
            <w:tcW w:w="6580" w:type="dxa"/>
            <w:vAlign w:val="bottom"/>
          </w:tcPr>
          <w:p>
            <w:pPr>
              <w:ind w:left="200"/>
              <w:spacing w:after="0"/>
              <w:rPr>
                <w:sz w:val="20"/>
                <w:szCs w:val="20"/>
                <w:color w:val="auto"/>
              </w:rPr>
            </w:pPr>
            <w:r>
              <w:rPr>
                <w:rFonts w:ascii="Arial" w:cs="Arial" w:eastAsia="Arial" w:hAnsi="Arial"/>
                <w:sz w:val="18"/>
                <w:szCs w:val="18"/>
                <w:color w:val="auto"/>
              </w:rPr>
              <w:t>Shared power to vote or to direct the vote</w:t>
            </w:r>
          </w:p>
        </w:tc>
        <w:tc>
          <w:tcPr>
            <w:tcW w:w="2400" w:type="dxa"/>
            <w:vAlign w:val="bottom"/>
            <w:gridSpan w:val="2"/>
          </w:tcPr>
          <w:p>
            <w:pPr>
              <w:jc w:val="right"/>
              <w:ind w:right="300"/>
              <w:spacing w:after="0"/>
              <w:rPr>
                <w:sz w:val="20"/>
                <w:szCs w:val="20"/>
                <w:color w:val="auto"/>
              </w:rPr>
            </w:pPr>
            <w:r>
              <w:rPr>
                <w:rFonts w:ascii="Arial" w:cs="Arial" w:eastAsia="Arial" w:hAnsi="Arial"/>
                <w:sz w:val="18"/>
                <w:szCs w:val="18"/>
                <w:color w:val="auto"/>
              </w:rPr>
              <w:t>9,282,528,</w:t>
            </w:r>
          </w:p>
        </w:tc>
      </w:tr>
      <w:tr>
        <w:trPr>
          <w:trHeight w:val="27"/>
        </w:trPr>
        <w:tc>
          <w:tcPr>
            <w:tcW w:w="4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669"/>
        </w:trPr>
        <w:tc>
          <w:tcPr>
            <w:tcW w:w="480" w:type="dxa"/>
            <w:vAlign w:val="bottom"/>
          </w:tcPr>
          <w:p>
            <w:pPr>
              <w:spacing w:after="0"/>
              <w:rPr>
                <w:sz w:val="20"/>
                <w:szCs w:val="20"/>
                <w:color w:val="auto"/>
              </w:rPr>
            </w:pPr>
            <w:r>
              <w:rPr>
                <w:rFonts w:ascii="Arial" w:cs="Arial" w:eastAsia="Arial" w:hAnsi="Arial"/>
                <w:sz w:val="18"/>
                <w:szCs w:val="18"/>
                <w:color w:val="auto"/>
              </w:rPr>
              <w:t>(iii)</w:t>
            </w:r>
          </w:p>
        </w:tc>
        <w:tc>
          <w:tcPr>
            <w:tcW w:w="6580" w:type="dxa"/>
            <w:vAlign w:val="bottom"/>
          </w:tcPr>
          <w:p>
            <w:pPr>
              <w:ind w:left="200"/>
              <w:spacing w:after="0"/>
              <w:rPr>
                <w:sz w:val="20"/>
                <w:szCs w:val="20"/>
                <w:color w:val="auto"/>
              </w:rPr>
            </w:pPr>
            <w:r>
              <w:rPr>
                <w:rFonts w:ascii="Arial" w:cs="Arial" w:eastAsia="Arial" w:hAnsi="Arial"/>
                <w:sz w:val="18"/>
                <w:szCs w:val="18"/>
                <w:color w:val="auto"/>
              </w:rPr>
              <w:t>Sole power to dispose or to direct the disposition of</w:t>
            </w:r>
          </w:p>
        </w:tc>
        <w:tc>
          <w:tcPr>
            <w:tcW w:w="24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0,</w:t>
            </w:r>
          </w:p>
        </w:tc>
      </w:tr>
      <w:tr>
        <w:trPr>
          <w:trHeight w:val="675"/>
        </w:trPr>
        <w:tc>
          <w:tcPr>
            <w:tcW w:w="480" w:type="dxa"/>
            <w:vAlign w:val="bottom"/>
          </w:tcPr>
          <w:p>
            <w:pPr>
              <w:spacing w:after="0"/>
              <w:rPr>
                <w:sz w:val="20"/>
                <w:szCs w:val="20"/>
                <w:color w:val="auto"/>
              </w:rPr>
            </w:pPr>
            <w:r>
              <w:rPr>
                <w:rFonts w:ascii="Arial" w:cs="Arial" w:eastAsia="Arial" w:hAnsi="Arial"/>
                <w:sz w:val="18"/>
                <w:szCs w:val="18"/>
                <w:color w:val="auto"/>
              </w:rPr>
              <w:t>(iv)</w:t>
            </w:r>
          </w:p>
        </w:tc>
        <w:tc>
          <w:tcPr>
            <w:tcW w:w="6580" w:type="dxa"/>
            <w:vAlign w:val="bottom"/>
          </w:tcPr>
          <w:p>
            <w:pPr>
              <w:ind w:left="200"/>
              <w:spacing w:after="0"/>
              <w:rPr>
                <w:sz w:val="20"/>
                <w:szCs w:val="20"/>
                <w:color w:val="auto"/>
              </w:rPr>
            </w:pPr>
            <w:r>
              <w:rPr>
                <w:rFonts w:ascii="Arial" w:cs="Arial" w:eastAsia="Arial" w:hAnsi="Arial"/>
                <w:sz w:val="18"/>
                <w:szCs w:val="18"/>
                <w:color w:val="auto"/>
              </w:rPr>
              <w:t>Shared power to dispose or to direct the disposition of</w:t>
            </w:r>
          </w:p>
        </w:tc>
        <w:tc>
          <w:tcPr>
            <w:tcW w:w="2400" w:type="dxa"/>
            <w:vAlign w:val="bottom"/>
            <w:gridSpan w:val="2"/>
          </w:tcPr>
          <w:p>
            <w:pPr>
              <w:jc w:val="right"/>
              <w:ind w:right="300"/>
              <w:spacing w:after="0"/>
              <w:rPr>
                <w:sz w:val="20"/>
                <w:szCs w:val="20"/>
                <w:color w:val="auto"/>
              </w:rPr>
            </w:pPr>
            <w:r>
              <w:rPr>
                <w:rFonts w:ascii="Arial" w:cs="Arial" w:eastAsia="Arial" w:hAnsi="Arial"/>
                <w:sz w:val="18"/>
                <w:szCs w:val="18"/>
                <w:color w:val="auto"/>
              </w:rPr>
              <w:t>9,282,528.</w:t>
            </w:r>
          </w:p>
        </w:tc>
      </w:tr>
      <w:tr>
        <w:trPr>
          <w:trHeight w:val="27"/>
        </w:trPr>
        <w:tc>
          <w:tcPr>
            <w:tcW w:w="4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04" w:right="7400" w:hanging="804"/>
        <w:spacing w:after="0" w:line="528" w:lineRule="auto"/>
        <w:tabs>
          <w:tab w:leader="none" w:pos="8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 beneficially owned: 9,282,528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-156845</wp:posOffset>
            </wp:positionV>
            <wp:extent cx="601154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11545" cy="1714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168275</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64"/>
          </w:cols>
          <w:pgMar w:left="1396" w:top="719" w:right="239" w:bottom="1440" w:gutter="0" w:footer="0" w:header="0"/>
        </w:sectPr>
      </w:pPr>
    </w:p>
    <w:bookmarkStart w:id="8" w:name="page9"/>
    <w:bookmarkEnd w:id="8"/>
    <w:p>
      <w:pPr>
        <w:ind w:left="1960" w:hanging="804"/>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5.9%</w:t>
      </w:r>
    </w:p>
    <w:p>
      <w:pPr>
        <w:spacing w:after="0" w:line="279" w:lineRule="exact"/>
        <w:rPr>
          <w:rFonts w:ascii="Arial" w:cs="Arial" w:eastAsia="Arial" w:hAnsi="Arial"/>
          <w:sz w:val="18"/>
          <w:szCs w:val="18"/>
          <w:color w:val="auto"/>
        </w:rPr>
      </w:pPr>
    </w:p>
    <w:p>
      <w:pPr>
        <w:ind w:left="1960" w:hanging="804"/>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-293370</wp:posOffset>
            </wp:positionV>
            <wp:extent cx="60115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11545" cy="17145"/>
                    </a:xfrm>
                    <a:prstGeom prst="rect">
                      <a:avLst/>
                    </a:prstGeom>
                    <a:noFill/>
                  </pic:spPr>
                </pic:pic>
              </a:graphicData>
            </a:graphic>
          </wp:anchor>
        </w:drawing>
      </w:r>
    </w:p>
    <w:p>
      <w:pPr>
        <w:spacing w:after="0" w:line="232" w:lineRule="exact"/>
        <w:rPr>
          <w:sz w:val="20"/>
          <w:szCs w:val="20"/>
          <w:color w:val="auto"/>
        </w:rPr>
      </w:pPr>
    </w:p>
    <w:tbl>
      <w:tblPr>
        <w:tblLayout w:type="fixed"/>
        <w:tblInd w:w="196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(i)</w:t>
            </w:r>
          </w:p>
        </w:tc>
        <w:tc>
          <w:tcPr>
            <w:tcW w:w="6580" w:type="dxa"/>
            <w:vAlign w:val="bottom"/>
          </w:tcPr>
          <w:p>
            <w:pPr>
              <w:ind w:left="200"/>
              <w:spacing w:after="0"/>
              <w:rPr>
                <w:sz w:val="20"/>
                <w:szCs w:val="20"/>
                <w:color w:val="auto"/>
              </w:rPr>
            </w:pPr>
            <w:r>
              <w:rPr>
                <w:rFonts w:ascii="Arial" w:cs="Arial" w:eastAsia="Arial" w:hAnsi="Arial"/>
                <w:sz w:val="18"/>
                <w:szCs w:val="18"/>
                <w:color w:val="auto"/>
              </w:rPr>
              <w:t>Sole power to vote or to direct the vote</w:t>
            </w:r>
          </w:p>
        </w:tc>
        <w:tc>
          <w:tcPr>
            <w:tcW w:w="240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r>
      <w:tr>
        <w:trPr>
          <w:trHeight w:val="27"/>
        </w:trPr>
        <w:tc>
          <w:tcPr>
            <w:tcW w:w="4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662"/>
        </w:trPr>
        <w:tc>
          <w:tcPr>
            <w:tcW w:w="480" w:type="dxa"/>
            <w:vAlign w:val="bottom"/>
          </w:tcPr>
          <w:p>
            <w:pPr>
              <w:spacing w:after="0"/>
              <w:rPr>
                <w:sz w:val="20"/>
                <w:szCs w:val="20"/>
                <w:color w:val="auto"/>
              </w:rPr>
            </w:pPr>
            <w:r>
              <w:rPr>
                <w:rFonts w:ascii="Arial" w:cs="Arial" w:eastAsia="Arial" w:hAnsi="Arial"/>
                <w:sz w:val="18"/>
                <w:szCs w:val="18"/>
                <w:color w:val="auto"/>
              </w:rPr>
              <w:t>(ii)</w:t>
            </w:r>
          </w:p>
        </w:tc>
        <w:tc>
          <w:tcPr>
            <w:tcW w:w="6580" w:type="dxa"/>
            <w:vAlign w:val="bottom"/>
          </w:tcPr>
          <w:p>
            <w:pPr>
              <w:ind w:left="200"/>
              <w:spacing w:after="0"/>
              <w:rPr>
                <w:sz w:val="20"/>
                <w:szCs w:val="20"/>
                <w:color w:val="auto"/>
              </w:rPr>
            </w:pPr>
            <w:r>
              <w:rPr>
                <w:rFonts w:ascii="Arial" w:cs="Arial" w:eastAsia="Arial" w:hAnsi="Arial"/>
                <w:sz w:val="18"/>
                <w:szCs w:val="18"/>
                <w:color w:val="auto"/>
              </w:rPr>
              <w:t>Shared power to vote or to direct the vote</w:t>
            </w:r>
          </w:p>
        </w:tc>
        <w:tc>
          <w:tcPr>
            <w:tcW w:w="2400" w:type="dxa"/>
            <w:vAlign w:val="bottom"/>
            <w:gridSpan w:val="2"/>
          </w:tcPr>
          <w:p>
            <w:pPr>
              <w:jc w:val="right"/>
              <w:ind w:right="300"/>
              <w:spacing w:after="0"/>
              <w:rPr>
                <w:sz w:val="20"/>
                <w:szCs w:val="20"/>
                <w:color w:val="auto"/>
              </w:rPr>
            </w:pPr>
            <w:r>
              <w:rPr>
                <w:rFonts w:ascii="Arial" w:cs="Arial" w:eastAsia="Arial" w:hAnsi="Arial"/>
                <w:sz w:val="18"/>
                <w:szCs w:val="18"/>
                <w:color w:val="auto"/>
              </w:rPr>
              <w:t>9,282,528,</w:t>
            </w:r>
          </w:p>
        </w:tc>
      </w:tr>
      <w:tr>
        <w:trPr>
          <w:trHeight w:val="27"/>
        </w:trPr>
        <w:tc>
          <w:tcPr>
            <w:tcW w:w="4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669"/>
        </w:trPr>
        <w:tc>
          <w:tcPr>
            <w:tcW w:w="480" w:type="dxa"/>
            <w:vAlign w:val="bottom"/>
          </w:tcPr>
          <w:p>
            <w:pPr>
              <w:spacing w:after="0"/>
              <w:rPr>
                <w:sz w:val="20"/>
                <w:szCs w:val="20"/>
                <w:color w:val="auto"/>
              </w:rPr>
            </w:pPr>
            <w:r>
              <w:rPr>
                <w:rFonts w:ascii="Arial" w:cs="Arial" w:eastAsia="Arial" w:hAnsi="Arial"/>
                <w:sz w:val="18"/>
                <w:szCs w:val="18"/>
                <w:color w:val="auto"/>
              </w:rPr>
              <w:t>(iii)</w:t>
            </w:r>
          </w:p>
        </w:tc>
        <w:tc>
          <w:tcPr>
            <w:tcW w:w="6580" w:type="dxa"/>
            <w:vAlign w:val="bottom"/>
          </w:tcPr>
          <w:p>
            <w:pPr>
              <w:ind w:left="200"/>
              <w:spacing w:after="0"/>
              <w:rPr>
                <w:sz w:val="20"/>
                <w:szCs w:val="20"/>
                <w:color w:val="auto"/>
              </w:rPr>
            </w:pPr>
            <w:r>
              <w:rPr>
                <w:rFonts w:ascii="Arial" w:cs="Arial" w:eastAsia="Arial" w:hAnsi="Arial"/>
                <w:sz w:val="18"/>
                <w:szCs w:val="18"/>
                <w:color w:val="auto"/>
              </w:rPr>
              <w:t>Sole power to dispose or to direct the disposition of</w:t>
            </w:r>
          </w:p>
        </w:tc>
        <w:tc>
          <w:tcPr>
            <w:tcW w:w="24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0,</w:t>
            </w:r>
          </w:p>
        </w:tc>
      </w:tr>
      <w:tr>
        <w:trPr>
          <w:trHeight w:val="675"/>
        </w:trPr>
        <w:tc>
          <w:tcPr>
            <w:tcW w:w="480" w:type="dxa"/>
            <w:vAlign w:val="bottom"/>
          </w:tcPr>
          <w:p>
            <w:pPr>
              <w:spacing w:after="0"/>
              <w:rPr>
                <w:sz w:val="20"/>
                <w:szCs w:val="20"/>
                <w:color w:val="auto"/>
              </w:rPr>
            </w:pPr>
            <w:r>
              <w:rPr>
                <w:rFonts w:ascii="Arial" w:cs="Arial" w:eastAsia="Arial" w:hAnsi="Arial"/>
                <w:sz w:val="18"/>
                <w:szCs w:val="18"/>
                <w:color w:val="auto"/>
              </w:rPr>
              <w:t>(iv)</w:t>
            </w:r>
          </w:p>
        </w:tc>
        <w:tc>
          <w:tcPr>
            <w:tcW w:w="6580" w:type="dxa"/>
            <w:vAlign w:val="bottom"/>
          </w:tcPr>
          <w:p>
            <w:pPr>
              <w:ind w:left="200"/>
              <w:spacing w:after="0"/>
              <w:rPr>
                <w:sz w:val="20"/>
                <w:szCs w:val="20"/>
                <w:color w:val="auto"/>
              </w:rPr>
            </w:pPr>
            <w:r>
              <w:rPr>
                <w:rFonts w:ascii="Arial" w:cs="Arial" w:eastAsia="Arial" w:hAnsi="Arial"/>
                <w:sz w:val="18"/>
                <w:szCs w:val="18"/>
                <w:color w:val="auto"/>
              </w:rPr>
              <w:t>Shared power to dispose or to direct the disposition of</w:t>
            </w:r>
          </w:p>
        </w:tc>
        <w:tc>
          <w:tcPr>
            <w:tcW w:w="2400" w:type="dxa"/>
            <w:vAlign w:val="bottom"/>
            <w:gridSpan w:val="2"/>
          </w:tcPr>
          <w:p>
            <w:pPr>
              <w:jc w:val="right"/>
              <w:ind w:right="300"/>
              <w:spacing w:after="0"/>
              <w:rPr>
                <w:sz w:val="20"/>
                <w:szCs w:val="20"/>
                <w:color w:val="auto"/>
              </w:rPr>
            </w:pPr>
            <w:r>
              <w:rPr>
                <w:rFonts w:ascii="Arial" w:cs="Arial" w:eastAsia="Arial" w:hAnsi="Arial"/>
                <w:sz w:val="18"/>
                <w:szCs w:val="18"/>
                <w:color w:val="auto"/>
              </w:rPr>
              <w:t>9,282,528.</w:t>
            </w:r>
          </w:p>
        </w:tc>
      </w:tr>
      <w:tr>
        <w:trPr>
          <w:trHeight w:val="27"/>
        </w:trPr>
        <w:tc>
          <w:tcPr>
            <w:tcW w:w="4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bl>
    <w:p>
      <w:pPr>
        <w:spacing w:after="0" w:line="2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52" w:lineRule="exact"/>
        <w:rPr>
          <w:sz w:val="20"/>
          <w:szCs w:val="20"/>
          <w:color w:val="auto"/>
        </w:rPr>
      </w:pPr>
    </w:p>
    <w:p>
      <w:pPr>
        <w:ind w:left="1160" w:right="24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[__].</w:t>
      </w:r>
    </w:p>
    <w:p>
      <w:pPr>
        <w:spacing w:after="0" w:line="170"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65176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7640" cy="17145"/>
                    </a:xfrm>
                    <a:prstGeom prst="rect">
                      <a:avLst/>
                    </a:prstGeom>
                    <a:noFill/>
                  </pic:spPr>
                </pic:pic>
              </a:graphicData>
            </a:graphic>
          </wp:anchor>
        </w:drawing>
      </w:r>
    </w:p>
    <w:p>
      <w:pPr>
        <w:spacing w:after="0" w:line="21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66" w:lineRule="exact"/>
        <w:rPr>
          <w:sz w:val="20"/>
          <w:szCs w:val="20"/>
          <w:color w:val="auto"/>
        </w:rPr>
      </w:pPr>
    </w:p>
    <w:p>
      <w:pPr>
        <w:jc w:val="both"/>
        <w:ind w:left="1160"/>
        <w:spacing w:after="0" w:line="279" w:lineRule="auto"/>
        <w:rPr>
          <w:sz w:val="20"/>
          <w:szCs w:val="20"/>
          <w:color w:val="auto"/>
        </w:rPr>
      </w:pPr>
      <w:r>
        <w:rPr>
          <w:rFonts w:ascii="Arial" w:cs="Arial" w:eastAsia="Arial" w:hAnsi="Arial"/>
          <w:sz w:val="17"/>
          <w:szCs w:val="17"/>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71" w:lineRule="exact"/>
        <w:rPr>
          <w:sz w:val="20"/>
          <w:szCs w:val="20"/>
          <w:color w:val="auto"/>
        </w:rPr>
      </w:pPr>
    </w:p>
    <w:p>
      <w:pPr>
        <w:jc w:val="both"/>
        <w:ind w:left="1160"/>
        <w:spacing w:after="0" w:line="277" w:lineRule="auto"/>
        <w:rPr>
          <w:sz w:val="20"/>
          <w:szCs w:val="20"/>
          <w:color w:val="auto"/>
        </w:rPr>
      </w:pPr>
      <w:r>
        <w:rPr>
          <w:rFonts w:ascii="Arial" w:cs="Arial" w:eastAsia="Arial" w:hAnsi="Arial"/>
          <w:sz w:val="18"/>
          <w:szCs w:val="18"/>
          <w:color w:val="auto"/>
        </w:rPr>
        <w:t>All securities reported in this Schedule 13G are directly held by advisory clients of Scopia Capital Management LP. None of such advisory clients individually holds more than 5% of the Issuer's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-19050</wp:posOffset>
            </wp:positionV>
            <wp:extent cx="65176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17640" cy="17145"/>
                    </a:xfrm>
                    <a:prstGeom prst="rect">
                      <a:avLst/>
                    </a:prstGeom>
                    <a:noFill/>
                  </pic:spPr>
                </pic:pic>
              </a:graphicData>
            </a:graphic>
          </wp:anchor>
        </w:drawing>
      </w:r>
    </w:p>
    <w:p>
      <w:pPr>
        <w:spacing w:after="0" w:line="177" w:lineRule="exact"/>
        <w:rPr>
          <w:sz w:val="20"/>
          <w:szCs w:val="20"/>
          <w:color w:val="auto"/>
        </w:rPr>
      </w:pPr>
    </w:p>
    <w:p>
      <w:pPr>
        <w:ind w:left="1160" w:right="560" w:hanging="1147"/>
        <w:spacing w:after="0" w:line="277" w:lineRule="auto"/>
        <w:tabs>
          <w:tab w:leader="none" w:pos="114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jc w:val="both"/>
        <w:ind w:left="1160" w:right="20"/>
        <w:spacing w:after="0" w:line="277" w:lineRule="auto"/>
        <w:rPr>
          <w:sz w:val="20"/>
          <w:szCs w:val="20"/>
          <w:color w:val="auto"/>
        </w:rPr>
      </w:pPr>
      <w:r>
        <w:rPr>
          <w:rFonts w:ascii="Arial" w:cs="Arial" w:eastAsia="Arial" w:hAnsi="Arial"/>
          <w:sz w:val="18"/>
          <w:szCs w:val="18"/>
          <w:color w:val="auto"/>
        </w:rPr>
        <w:t>If a parent holding company or Control person has filed this schedule, pursuant to Rule 13d-1(b) (1) (ii)(G), so indicate under Item 3(g) and attach an exhibit stating the identity and the Item 3 classification of the relevant subsidiary.</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651764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1764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52" w:lineRule="exact"/>
        <w:rPr>
          <w:sz w:val="20"/>
          <w:szCs w:val="20"/>
          <w:color w:val="auto"/>
        </w:rPr>
      </w:pPr>
    </w:p>
    <w:p>
      <w:pPr>
        <w:jc w:val="both"/>
        <w:ind w:left="1160"/>
        <w:spacing w:after="0" w:line="264" w:lineRule="auto"/>
        <w:rPr>
          <w:sz w:val="20"/>
          <w:szCs w:val="20"/>
          <w:color w:val="auto"/>
        </w:rPr>
      </w:pPr>
      <w:r>
        <w:rPr>
          <w:rFonts w:ascii="Arial" w:cs="Arial" w:eastAsia="Arial" w:hAnsi="Arial"/>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 240.13d-1(c) or §§ 240.13d-1(d), attach an exhibit stating the identity of each member of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9" w:name="page10"/>
    <w:bookmarkEnd w:id="9"/>
    <w:p>
      <w:pPr>
        <w:ind w:left="11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65176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1764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jc w:val="both"/>
        <w:ind w:left="1160"/>
        <w:spacing w:after="0" w:line="308" w:lineRule="auto"/>
        <w:rPr>
          <w:sz w:val="20"/>
          <w:szCs w:val="20"/>
          <w:color w:val="auto"/>
        </w:rPr>
      </w:pPr>
      <w:r>
        <w:rPr>
          <w:rFonts w:ascii="Arial" w:cs="Arial" w:eastAsia="Arial" w:hAnsi="Arial"/>
          <w:sz w:val="17"/>
          <w:szCs w:val="17"/>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7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65176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1764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52" w:lineRule="exact"/>
        <w:rPr>
          <w:sz w:val="20"/>
          <w:szCs w:val="20"/>
          <w:color w:val="auto"/>
        </w:rPr>
      </w:pPr>
    </w:p>
    <w:p>
      <w:pPr>
        <w:jc w:val="both"/>
        <w:ind w:left="11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993775</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jc w:val="center"/>
        <w:ind w:right="-199"/>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February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SCOPIA CAPITAL MANAGEMENT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Samantha Nasello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Samantha Nasello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CCO</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SCOPIA MANAGEMENT,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Aaron Morse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Aaron Morse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Matthew Sirovich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Matthew Sirovich</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Jeremy Mindich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Jeremy Mindich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Rule 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1266825</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20"/>
          </w:cols>
          <w:pgMar w:left="240" w:top="476" w:right="439" w:bottom="1440" w:gutter="0" w:footer="0" w:header="0"/>
        </w:sectPr>
      </w:pPr>
    </w:p>
    <w:bookmarkStart w:id="11" w:name="page12"/>
    <w:bookmarkEnd w:id="11"/>
    <w:p>
      <w:pPr>
        <w:ind w:left="5060"/>
        <w:spacing w:after="0"/>
        <w:rPr>
          <w:sz w:val="20"/>
          <w:szCs w:val="20"/>
          <w:color w:val="auto"/>
        </w:rPr>
      </w:pPr>
      <w:r>
        <w:rPr>
          <w:rFonts w:ascii="Arial" w:cs="Arial" w:eastAsia="Arial" w:hAnsi="Arial"/>
          <w:sz w:val="18"/>
          <w:szCs w:val="18"/>
          <w:color w:val="auto"/>
        </w:rPr>
        <w:t>EXHIBIT INDEX</w:t>
      </w:r>
    </w:p>
    <w:p>
      <w:pPr>
        <w:spacing w:after="0" w:line="33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Joint Filing Agreement, dated as of February 14, 2018, by and among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476" w:right="1440"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u w:val="single" w:color="auto"/>
          <w:color w:val="auto"/>
        </w:rPr>
        <w:t>Exhibit 99.1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 accordance with Rule 13d-1(k)(1) under the Securities Exchange Act of 1934, as amended, the persons named below agree to the joint filing on behalf of each of them to Schedule 13G (including additional amendments thereto) with respect to the Class A Shares of Plains GP Holdings, L.P. This Joint Filing Agreement shall be filed as an Exhibit to such Statement. The undersigned acknowledge that each shall be responsible for the timely filing of any amendments to such joint filing and for the completeness and accuracy of the information concerning him or it contained herein and therein, but shall not be responsible for the completeness and accuracy of the information concerning the others.</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 February 14, 2018</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SCOPIA CAPITAL MANAGEMENT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Samantha Nasello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Samantha Nasello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CCO</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SCOPIA MANAGEMENT,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Aaron Morse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Aaron Morse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Matthew Sirovich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Matthew Sirovich</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Jeremy Mindich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Jeremy Mindich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upperLetter"/>
      <w:start w:val="24"/>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3"/>
    </w:lvl>
  </w:abstractNum>
  <w:abstractNum w:abstractNumId="4">
    <w:nsid w:val="7FDCC233"/>
    <w:multiLevelType w:val="hybridMultilevel"/>
    <w:lvl w:ilvl="0">
      <w:lvlJc w:val="left"/>
      <w:lvlText w:val="%1."/>
      <w:numFmt w:val="decimal"/>
      <w:start w:val="5"/>
    </w:lvl>
  </w:abstractNum>
  <w:abstractNum w:abstractNumId="5">
    <w:nsid w:val="1BEFD79F"/>
    <w:multiLevelType w:val="hybridMultilevel"/>
    <w:lvl w:ilvl="0">
      <w:lvlJc w:val="left"/>
      <w:lvlText w:val="%1."/>
      <w:numFmt w:val="decimal"/>
      <w:start w:val="1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3"/>
    </w:lvl>
  </w:abstractNum>
  <w:abstractNum w:abstractNumId="8">
    <w:nsid w:val="4E6AFB66"/>
    <w:multiLevelType w:val="hybridMultilevel"/>
    <w:lvl w:ilvl="0">
      <w:lvlJc w:val="left"/>
      <w:lvlText w:val="%1."/>
      <w:numFmt w:val="decimal"/>
      <w:start w:val="5"/>
    </w:lvl>
  </w:abstractNum>
  <w:abstractNum w:abstractNumId="9">
    <w:nsid w:val="25E45D32"/>
    <w:multiLevelType w:val="hybridMultilevel"/>
    <w:lvl w:ilvl="0">
      <w:lvlJc w:val="left"/>
      <w:lvlText w:val="%1."/>
      <w:numFmt w:val="decimal"/>
      <w:start w:val="1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3"/>
    </w:lvl>
  </w:abstractNum>
  <w:abstractNum w:abstractNumId="12">
    <w:nsid w:val="3F2DBA31"/>
    <w:multiLevelType w:val="hybridMultilevel"/>
    <w:lvl w:ilvl="0">
      <w:lvlJc w:val="left"/>
      <w:lvlText w:val="%1."/>
      <w:numFmt w:val="decimal"/>
      <w:start w:val="5"/>
    </w:lvl>
  </w:abstractNum>
  <w:abstractNum w:abstractNumId="13">
    <w:nsid w:val="7C83E458"/>
    <w:multiLevelType w:val="hybridMultilevel"/>
    <w:lvl w:ilvl="0">
      <w:lvlJc w:val="left"/>
      <w:lvlText w:val="%1."/>
      <w:numFmt w:val="decimal"/>
      <w:start w:val="1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3"/>
    </w:lvl>
  </w:abstractNum>
  <w:abstractNum w:abstractNumId="16">
    <w:nsid w:val="436C6125"/>
    <w:multiLevelType w:val="hybridMultilevel"/>
    <w:lvl w:ilvl="0">
      <w:lvlJc w:val="left"/>
      <w:lvlText w:val="%1."/>
      <w:numFmt w:val="decimal"/>
      <w:start w:val="5"/>
    </w:lvl>
  </w:abstractNum>
  <w:abstractNum w:abstractNumId="17">
    <w:nsid w:val="628C895D"/>
    <w:multiLevelType w:val="hybridMultilevel"/>
    <w:lvl w:ilvl="0">
      <w:lvlJc w:val="left"/>
      <w:lvlText w:val="%1."/>
      <w:numFmt w:val="decimal"/>
      <w:start w:val="11"/>
    </w:lvl>
  </w:abstractNum>
  <w:abstractNum w:abstractNumId="18">
    <w:nsid w:val="333AB105"/>
    <w:multiLevelType w:val="hybridMultilevel"/>
    <w:lvl w:ilvl="0">
      <w:lvlJc w:val="left"/>
      <w:lvlText w:val="(%1)"/>
      <w:numFmt w:val="lowerLetter"/>
      <w:start w:val="3"/>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2020-01-14T08:38:15Z</dcterms:created>
  <dcterms:modified xsi:type="dcterms:W3CDTF">2020-01-14T08:38:15Z</dcterms:modified>
</cp:coreProperties>
</file>