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800735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723265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5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6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6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February 8, 2023</w:t>
      </w:r>
    </w:p>
    <w:p>
      <w:pPr>
        <w:spacing w:after="0" w:line="24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Plains All American Pipeline, L.P.</w:t>
      </w:r>
    </w:p>
    <w:p>
      <w:pPr>
        <w:spacing w:after="0" w:line="5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20"/>
          </w:cols>
          <w:pgMar w:left="320" w:top="1421" w:right="359" w:bottom="1440" w:gutter="0" w:footer="0" w:header="0"/>
        </w:sectPr>
      </w:pPr>
    </w:p>
    <w:p>
      <w:pPr>
        <w:spacing w:after="0" w:line="30" w:lineRule="exact"/>
        <w:rPr>
          <w:sz w:val="24"/>
          <w:szCs w:val="24"/>
          <w:color w:val="auto"/>
        </w:rPr>
      </w:pPr>
    </w:p>
    <w:p>
      <w:pPr>
        <w:jc w:val="center"/>
        <w:ind w:left="3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left="36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88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880"/>
        <w:spacing w:after="0"/>
        <w:rPr>
          <w:sz w:val="20"/>
          <w:szCs w:val="20"/>
          <w:color w:val="auto"/>
        </w:rPr>
      </w:pPr>
      <w:r>
        <w:rPr>
          <w:rFonts w:ascii="Arial" w:cs="Arial" w:eastAsia="Arial" w:hAnsi="Arial"/>
          <w:sz w:val="17"/>
          <w:szCs w:val="17"/>
          <w:color w:val="auto"/>
        </w:rPr>
        <w:t>(IRS Employer Identification No.)</w:t>
      </w:r>
    </w:p>
    <w:p>
      <w:pPr>
        <w:spacing w:after="0" w:line="3" w:lineRule="exact"/>
        <w:rPr>
          <w:sz w:val="24"/>
          <w:szCs w:val="24"/>
          <w:color w:val="auto"/>
        </w:rPr>
      </w:pPr>
    </w:p>
    <w:p>
      <w:pPr>
        <w:sectPr>
          <w:pgSz w:w="11900" w:h="16838" w:orient="portrait"/>
          <w:cols w:equalWidth="0" w:num="3">
            <w:col w:w="3900" w:space="720"/>
            <w:col w:w="2520" w:space="720"/>
            <w:col w:w="3360"/>
          </w:cols>
          <w:pgMar w:left="320" w:top="1421" w:right="359" w:bottom="1440" w:gutter="0" w:footer="0" w:header="0"/>
          <w:type w:val="continuous"/>
        </w:sectPr>
      </w:pPr>
    </w:p>
    <w:p>
      <w:pPr>
        <w:ind w:left="1620"/>
        <w:spacing w:after="0"/>
        <w:rPr>
          <w:sz w:val="20"/>
          <w:szCs w:val="20"/>
          <w:color w:val="auto"/>
        </w:rPr>
      </w:pPr>
      <w:r>
        <w:rPr>
          <w:rFonts w:ascii="Arial" w:cs="Arial" w:eastAsia="Arial" w:hAnsi="Arial"/>
          <w:sz w:val="18"/>
          <w:szCs w:val="18"/>
          <w:color w:val="auto"/>
        </w:rPr>
        <w:t>incorporation)</w:t>
      </w:r>
    </w:p>
    <w:p>
      <w:pPr>
        <w:spacing w:after="0" w:line="319" w:lineRule="exact"/>
        <w:rPr>
          <w:sz w:val="24"/>
          <w:szCs w:val="24"/>
          <w:color w:val="auto"/>
        </w:rPr>
      </w:pPr>
    </w:p>
    <w:p>
      <w:pPr>
        <w:ind w:left="372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780"/>
        <w:spacing w:after="0"/>
        <w:rPr>
          <w:sz w:val="20"/>
          <w:szCs w:val="20"/>
          <w:color w:val="auto"/>
        </w:rPr>
      </w:pPr>
      <w:r>
        <w:rPr>
          <w:rFonts w:ascii="Arial" w:cs="Arial" w:eastAsia="Arial" w:hAnsi="Arial"/>
          <w:sz w:val="16"/>
          <w:szCs w:val="16"/>
          <w:color w:val="auto"/>
        </w:rPr>
        <w:t>(Address of principal executive offices) (Zip Code)</w:t>
      </w:r>
    </w:p>
    <w:p>
      <w:pPr>
        <w:sectPr>
          <w:pgSz w:w="11900" w:h="16838" w:orient="portrait"/>
          <w:cols w:equalWidth="0" w:num="1">
            <w:col w:w="11220"/>
          </w:cols>
          <w:pgMar w:left="320" w:top="1421" w:right="359" w:bottom="1440" w:gutter="0" w:footer="0" w:header="0"/>
          <w:type w:val="continuous"/>
        </w:sectPr>
      </w:pPr>
    </w:p>
    <w:p>
      <w:pPr>
        <w:spacing w:after="0" w:line="25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ind w:right="6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960" w:firstLine="8"/>
        <w:spacing w:after="0" w:line="553" w:lineRule="auto"/>
        <w:tabs>
          <w:tab w:leader="none" w:pos="21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3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Title of each class</w:t>
            </w:r>
          </w:p>
        </w:tc>
        <w:tc>
          <w:tcPr>
            <w:tcW w:w="35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Trading Symbol(s)</w:t>
            </w:r>
          </w:p>
        </w:tc>
        <w:tc>
          <w:tcPr>
            <w:tcW w:w="42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Common Units</w:t>
            </w:r>
          </w:p>
        </w:tc>
        <w:tc>
          <w:tcPr>
            <w:tcW w:w="120" w:type="dxa"/>
            <w:vAlign w:val="bottom"/>
          </w:tcPr>
          <w:p>
            <w:pPr>
              <w:spacing w:after="0"/>
              <w:rPr>
                <w:sz w:val="19"/>
                <w:szCs w:val="19"/>
                <w:color w:val="auto"/>
              </w:rPr>
            </w:pPr>
          </w:p>
        </w:tc>
        <w:tc>
          <w:tcPr>
            <w:tcW w:w="3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PAA</w:t>
            </w:r>
          </w:p>
        </w:tc>
        <w:tc>
          <w:tcPr>
            <w:tcW w:w="120" w:type="dxa"/>
            <w:vAlign w:val="bottom"/>
          </w:tcPr>
          <w:p>
            <w:pPr>
              <w:spacing w:after="0"/>
              <w:rPr>
                <w:sz w:val="19"/>
                <w:szCs w:val="19"/>
                <w:color w:val="auto"/>
              </w:rPr>
            </w:pPr>
          </w:p>
        </w:tc>
        <w:tc>
          <w:tcPr>
            <w:tcW w:w="42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Nasdaq</w:t>
            </w:r>
          </w:p>
        </w:tc>
      </w:tr>
    </w:tbl>
    <w:p>
      <w:pPr>
        <w:spacing w:after="0" w:line="322"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91" w:lineRule="exact"/>
        <w:rPr>
          <w:sz w:val="24"/>
          <w:szCs w:val="24"/>
          <w:color w:val="auto"/>
        </w:rPr>
      </w:pPr>
    </w:p>
    <w:p>
      <w:pPr>
        <w:ind w:right="220"/>
        <w:spacing w:after="0" w:line="224"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840740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64770</wp:posOffset>
            </wp:positionV>
            <wp:extent cx="70891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171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4445</wp:posOffset>
            </wp:positionV>
            <wp:extent cx="7089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and Item 7.01. Results of Operations and Financial Condition; Regulation FD Disclosure.</w:t>
      </w:r>
    </w:p>
    <w:p>
      <w:pPr>
        <w:spacing w:after="0" w:line="256" w:lineRule="exact"/>
        <w:rPr>
          <w:sz w:val="20"/>
          <w:szCs w:val="20"/>
          <w:color w:val="auto"/>
        </w:rPr>
      </w:pPr>
    </w:p>
    <w:p>
      <w:pPr>
        <w:ind w:firstLine="180"/>
        <w:spacing w:after="0" w:line="257" w:lineRule="auto"/>
        <w:rPr>
          <w:sz w:val="20"/>
          <w:szCs w:val="20"/>
          <w:color w:val="auto"/>
        </w:rPr>
      </w:pPr>
      <w:r>
        <w:rPr>
          <w:rFonts w:ascii="Arial" w:cs="Arial" w:eastAsia="Arial" w:hAnsi="Arial"/>
          <w:sz w:val="18"/>
          <w:szCs w:val="18"/>
          <w:color w:val="auto"/>
        </w:rPr>
        <w:t>On February 8, 2023, the Registrant issued a press release reporting its fourth-quarter 2022 results. A copy of the press release is furnished as Exhibit 99.1 hereto. In accordance with General Instruction B.2 of Form 8-K, the information presented herein under Item 2.02 and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 Exhibits.</w:t>
      </w:r>
    </w:p>
    <w:p>
      <w:pPr>
        <w:spacing w:after="0" w:line="28" w:lineRule="exact"/>
        <w:rPr>
          <w:sz w:val="20"/>
          <w:szCs w:val="20"/>
          <w:color w:val="auto"/>
        </w:rPr>
      </w:pPr>
    </w:p>
    <w:tbl>
      <w:tblPr>
        <w:tblLayout w:type="fixed"/>
        <w:tblInd w:w="660" w:type="dxa"/>
        <w:tblCellMar>
          <w:top w:w="0" w:type="dxa"/>
          <w:left w:w="0" w:type="dxa"/>
          <w:bottom w:w="0" w:type="dxa"/>
          <w:right w:w="0" w:type="dxa"/>
        </w:tblCellMar>
      </w:tblPr>
      <w:tr>
        <w:trPr>
          <w:trHeight w:val="184"/>
        </w:trPr>
        <w:tc>
          <w:tcPr>
            <w:tcW w:w="11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Exhibit</w:t>
            </w:r>
          </w:p>
        </w:tc>
        <w:tc>
          <w:tcPr>
            <w:tcW w:w="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4720" w:type="dxa"/>
            <w:vAlign w:val="bottom"/>
            <w:vMerge w:val="restart"/>
          </w:tcPr>
          <w:p>
            <w:pPr>
              <w:ind w:left="60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213"/>
        </w:trPr>
        <w:tc>
          <w:tcPr>
            <w:tcW w:w="11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5"/>
              </w:rPr>
              <w:t>Number</w:t>
            </w:r>
          </w:p>
        </w:tc>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1080" w:type="dxa"/>
            <w:vAlign w:val="bottom"/>
            <w:tcBorders>
              <w:top w:val="single" w:sz="8" w:color="auto"/>
            </w:tcBorders>
          </w:tcPr>
          <w:p>
            <w:pPr>
              <w:jc w:val="center"/>
              <w:spacing w:after="0" w:line="185" w:lineRule="exact"/>
              <w:rPr>
                <w:sz w:val="20"/>
                <w:szCs w:val="20"/>
                <w:color w:val="auto"/>
              </w:rPr>
            </w:pPr>
            <w:r>
              <w:rPr>
                <w:rFonts w:ascii="Arial" w:cs="Arial" w:eastAsia="Arial" w:hAnsi="Arial"/>
                <w:sz w:val="18"/>
                <w:szCs w:val="18"/>
                <w:color w:val="auto"/>
                <w:w w:val="91"/>
              </w:rPr>
              <w:t>99.1</w:t>
            </w: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7420" w:type="dxa"/>
            <w:vAlign w:val="bottom"/>
            <w:tcBorders>
              <w:top w:val="single" w:sz="8" w:color="auto"/>
            </w:tcBorders>
            <w:gridSpan w:val="2"/>
          </w:tcPr>
          <w:p>
            <w:pPr>
              <w:spacing w:after="0" w:line="185" w:lineRule="exact"/>
              <w:rPr>
                <w:sz w:val="20"/>
                <w:szCs w:val="20"/>
                <w:color w:val="auto"/>
              </w:rPr>
            </w:pPr>
            <w:r>
              <w:rPr>
                <w:rFonts w:ascii="Arial" w:cs="Arial" w:eastAsia="Arial" w:hAnsi="Arial"/>
                <w:sz w:val="18"/>
                <w:szCs w:val="18"/>
                <w:color w:val="0000FF"/>
              </w:rPr>
              <w:t>Press Release dated February 8, 2023</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1860" w:hanging="792"/>
        <w:spacing w:after="0"/>
        <w:tabs>
          <w:tab w:leader="none" w:pos="1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0"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891" w:right="4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ind w:right="700" w:firstLine="180"/>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100" w:type="dxa"/>
            <w:vAlign w:val="bottom"/>
          </w:tcPr>
          <w:p>
            <w:pPr>
              <w:spacing w:after="0"/>
              <w:rPr>
                <w:sz w:val="20"/>
                <w:szCs w:val="20"/>
                <w:color w:val="auto"/>
              </w:rPr>
            </w:pPr>
          </w:p>
        </w:tc>
        <w:tc>
          <w:tcPr>
            <w:tcW w:w="8100" w:type="dxa"/>
            <w:vAlign w:val="bottom"/>
            <w:gridSpan w:val="3"/>
          </w:tcPr>
          <w:p>
            <w:pPr>
              <w:ind w:left="1420"/>
              <w:spacing w:after="0"/>
              <w:rPr>
                <w:sz w:val="20"/>
                <w:szCs w:val="20"/>
                <w:color w:val="auto"/>
              </w:rPr>
            </w:pPr>
            <w:r>
              <w:rPr>
                <w:rFonts w:ascii="Arial" w:cs="Arial" w:eastAsia="Arial" w:hAnsi="Arial"/>
                <w:sz w:val="18"/>
                <w:szCs w:val="18"/>
                <w:color w:val="auto"/>
              </w:rPr>
              <w:t>PLAINS ALL AMERICAN PIPELINE, L.P.</w:t>
            </w:r>
          </w:p>
        </w:tc>
      </w:tr>
      <w:tr>
        <w:trPr>
          <w:trHeight w:val="499"/>
        </w:trPr>
        <w:tc>
          <w:tcPr>
            <w:tcW w:w="3100" w:type="dxa"/>
            <w:vAlign w:val="bottom"/>
          </w:tcPr>
          <w:p>
            <w:pPr>
              <w:spacing w:after="0"/>
              <w:rPr>
                <w:sz w:val="24"/>
                <w:szCs w:val="24"/>
                <w:color w:val="auto"/>
              </w:rPr>
            </w:pPr>
          </w:p>
        </w:tc>
        <w:tc>
          <w:tcPr>
            <w:tcW w:w="8100" w:type="dxa"/>
            <w:vAlign w:val="bottom"/>
            <w:gridSpan w:val="3"/>
          </w:tcPr>
          <w:p>
            <w:pPr>
              <w:ind w:left="1420"/>
              <w:spacing w:after="0"/>
              <w:rPr>
                <w:sz w:val="20"/>
                <w:szCs w:val="20"/>
                <w:color w:val="auto"/>
              </w:rPr>
            </w:pPr>
            <w:r>
              <w:rPr>
                <w:rFonts w:ascii="Arial" w:cs="Arial" w:eastAsia="Arial" w:hAnsi="Arial"/>
                <w:sz w:val="18"/>
                <w:szCs w:val="18"/>
                <w:color w:val="auto"/>
              </w:rPr>
              <w:t>By:  PAA GP LLC, its general partner</w:t>
            </w:r>
          </w:p>
        </w:tc>
      </w:tr>
      <w:tr>
        <w:trPr>
          <w:trHeight w:val="500"/>
        </w:trPr>
        <w:tc>
          <w:tcPr>
            <w:tcW w:w="3100" w:type="dxa"/>
            <w:vAlign w:val="bottom"/>
          </w:tcPr>
          <w:p>
            <w:pPr>
              <w:spacing w:after="0"/>
              <w:rPr>
                <w:sz w:val="24"/>
                <w:szCs w:val="24"/>
                <w:color w:val="auto"/>
              </w:rPr>
            </w:pPr>
          </w:p>
        </w:tc>
        <w:tc>
          <w:tcPr>
            <w:tcW w:w="8100" w:type="dxa"/>
            <w:vAlign w:val="bottom"/>
            <w:gridSpan w:val="3"/>
          </w:tcPr>
          <w:p>
            <w:pPr>
              <w:ind w:left="1420"/>
              <w:spacing w:after="0"/>
              <w:rPr>
                <w:sz w:val="20"/>
                <w:szCs w:val="20"/>
                <w:color w:val="auto"/>
              </w:rPr>
            </w:pPr>
            <w:r>
              <w:rPr>
                <w:rFonts w:ascii="Arial" w:cs="Arial" w:eastAsia="Arial" w:hAnsi="Arial"/>
                <w:sz w:val="18"/>
                <w:szCs w:val="18"/>
                <w:color w:val="auto"/>
              </w:rPr>
              <w:t>By:  Plains AAP, L.P., its sole member</w:t>
            </w:r>
          </w:p>
        </w:tc>
      </w:tr>
      <w:tr>
        <w:trPr>
          <w:trHeight w:val="499"/>
        </w:trPr>
        <w:tc>
          <w:tcPr>
            <w:tcW w:w="3100" w:type="dxa"/>
            <w:vAlign w:val="bottom"/>
          </w:tcPr>
          <w:p>
            <w:pPr>
              <w:spacing w:after="0"/>
              <w:rPr>
                <w:sz w:val="24"/>
                <w:szCs w:val="24"/>
                <w:color w:val="auto"/>
              </w:rPr>
            </w:pPr>
          </w:p>
        </w:tc>
        <w:tc>
          <w:tcPr>
            <w:tcW w:w="8100" w:type="dxa"/>
            <w:vAlign w:val="bottom"/>
            <w:gridSpan w:val="3"/>
          </w:tcPr>
          <w:p>
            <w:pPr>
              <w:ind w:left="1420"/>
              <w:spacing w:after="0"/>
              <w:rPr>
                <w:sz w:val="20"/>
                <w:szCs w:val="20"/>
                <w:color w:val="auto"/>
              </w:rPr>
            </w:pPr>
            <w:r>
              <w:rPr>
                <w:rFonts w:ascii="Arial" w:cs="Arial" w:eastAsia="Arial" w:hAnsi="Arial"/>
                <w:sz w:val="18"/>
                <w:szCs w:val="18"/>
                <w:color w:val="auto"/>
              </w:rPr>
              <w:t>By:  Plains All American GP LLC, its general partner</w:t>
            </w:r>
          </w:p>
        </w:tc>
      </w:tr>
      <w:tr>
        <w:trPr>
          <w:trHeight w:val="499"/>
        </w:trPr>
        <w:tc>
          <w:tcPr>
            <w:tcW w:w="3100" w:type="dxa"/>
            <w:vAlign w:val="bottom"/>
          </w:tcPr>
          <w:p>
            <w:pPr>
              <w:spacing w:after="0"/>
              <w:rPr>
                <w:sz w:val="20"/>
                <w:szCs w:val="20"/>
                <w:color w:val="auto"/>
              </w:rPr>
            </w:pPr>
            <w:r>
              <w:rPr>
                <w:rFonts w:ascii="Arial" w:cs="Arial" w:eastAsia="Arial" w:hAnsi="Arial"/>
                <w:sz w:val="18"/>
                <w:szCs w:val="18"/>
                <w:color w:val="auto"/>
              </w:rPr>
              <w:t>Date: February 8, 2023</w:t>
            </w:r>
          </w:p>
        </w:tc>
        <w:tc>
          <w:tcPr>
            <w:tcW w:w="8100" w:type="dxa"/>
            <w:vAlign w:val="bottom"/>
            <w:gridSpan w:val="3"/>
          </w:tcPr>
          <w:p>
            <w:pPr>
              <w:ind w:left="1420"/>
              <w:spacing w:after="0"/>
              <w:rPr>
                <w:sz w:val="20"/>
                <w:szCs w:val="20"/>
                <w:color w:val="auto"/>
              </w:rPr>
            </w:pPr>
            <w:r>
              <w:rPr>
                <w:rFonts w:ascii="Arial" w:cs="Arial" w:eastAsia="Arial" w:hAnsi="Arial"/>
                <w:sz w:val="18"/>
                <w:szCs w:val="18"/>
                <w:color w:val="auto"/>
              </w:rPr>
              <w:t>By:  /s/ Sharon Spurlin</w:t>
            </w:r>
          </w:p>
        </w:tc>
      </w:tr>
      <w:tr>
        <w:trPr>
          <w:trHeight w:val="222"/>
        </w:trPr>
        <w:tc>
          <w:tcPr>
            <w:tcW w:w="3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6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558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Sharon Spurlin</w:t>
            </w:r>
          </w:p>
        </w:tc>
      </w:tr>
      <w:tr>
        <w:trPr>
          <w:trHeight w:val="230"/>
        </w:trPr>
        <w:tc>
          <w:tcPr>
            <w:tcW w:w="31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Title:</w:t>
            </w:r>
          </w:p>
        </w:tc>
        <w:tc>
          <w:tcPr>
            <w:tcW w:w="5580" w:type="dxa"/>
            <w:vAlign w:val="bottom"/>
          </w:tcPr>
          <w:p>
            <w:pPr>
              <w:ind w:left="160"/>
              <w:spacing w:after="0"/>
              <w:rPr>
                <w:sz w:val="20"/>
                <w:szCs w:val="20"/>
                <w:color w:val="auto"/>
              </w:rPr>
            </w:pPr>
            <w:r>
              <w:rPr>
                <w:rFonts w:ascii="Arial" w:cs="Arial" w:eastAsia="Arial" w:hAnsi="Arial"/>
                <w:sz w:val="18"/>
                <w:szCs w:val="18"/>
                <w:i w:val="1"/>
                <w:iCs w:val="1"/>
                <w:color w:val="auto"/>
              </w:rPr>
              <w:t>Senior Vice President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985"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445770</wp:posOffset>
            </wp:positionV>
            <wp:extent cx="4946015" cy="7797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46015"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Plains All American Reports Fourth-Quarter and Full-Year 2022 Results;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Announces 2023 Guidance</w:t>
      </w:r>
    </w:p>
    <w:p>
      <w:pPr>
        <w:spacing w:after="0" w:line="243" w:lineRule="exact"/>
        <w:rPr>
          <w:sz w:val="20"/>
          <w:szCs w:val="20"/>
          <w:color w:val="auto"/>
        </w:rPr>
      </w:pPr>
    </w:p>
    <w:p>
      <w:pPr>
        <w:ind w:firstLine="180"/>
        <w:spacing w:after="0" w:line="277" w:lineRule="auto"/>
        <w:rPr>
          <w:sz w:val="20"/>
          <w:szCs w:val="20"/>
          <w:color w:val="auto"/>
        </w:rPr>
      </w:pPr>
      <w:r>
        <w:rPr>
          <w:rFonts w:ascii="Arial" w:cs="Arial" w:eastAsia="Arial" w:hAnsi="Arial"/>
          <w:sz w:val="18"/>
          <w:szCs w:val="18"/>
          <w:color w:val="auto"/>
        </w:rPr>
        <w:t>(Houston — February 8, 2023) Plains All American Pipeline, L.P. (Nasdaq: PAA) and Plains GP Holdings (Nasdaq: PAGP) today reported fourth-quarter and full-year 2022 results, announced 2023 guidance and provided the following highlights: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Highlights</w:t>
      </w:r>
    </w:p>
    <w:p>
      <w:pPr>
        <w:spacing w:after="0" w:line="256" w:lineRule="exact"/>
        <w:rPr>
          <w:sz w:val="20"/>
          <w:szCs w:val="20"/>
          <w:color w:val="auto"/>
        </w:rPr>
      </w:pPr>
    </w:p>
    <w:p>
      <w:pPr>
        <w:ind w:left="660" w:right="14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Fourth-quarter and full-year 2022 Net income attributable to PAA of $263 million and $1.04 billion, respectively, and 2022 Net cash provided by operating activities of $335 million and $2.41 billion, respectively</w:t>
      </w:r>
    </w:p>
    <w:p>
      <w:pPr>
        <w:spacing w:after="0" w:line="197" w:lineRule="exact"/>
        <w:rPr>
          <w:rFonts w:ascii="Arial" w:cs="Arial" w:eastAsia="Arial" w:hAnsi="Arial"/>
          <w:sz w:val="18"/>
          <w:szCs w:val="18"/>
          <w:color w:val="auto"/>
        </w:rPr>
      </w:pPr>
    </w:p>
    <w:p>
      <w:pPr>
        <w:ind w:left="660" w:right="64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Delivered better than expected fourth-quarter and full-year 2022 Adjusted EBITDA attributable to PAA of $659 million and $2.51 billion, respectively</w:t>
      </w:r>
    </w:p>
    <w:p>
      <w:pPr>
        <w:spacing w:after="0" w:line="197" w:lineRule="exact"/>
        <w:rPr>
          <w:rFonts w:ascii="Arial" w:cs="Arial" w:eastAsia="Arial" w:hAnsi="Arial"/>
          <w:sz w:val="18"/>
          <w:szCs w:val="18"/>
          <w:color w:val="auto"/>
        </w:rPr>
      </w:pPr>
    </w:p>
    <w:p>
      <w:pPr>
        <w:ind w:left="660" w:right="60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Generated full-year 2022 Free Cash Flow of $1.61 billion, repurchased $74 million of common units, repaid $774 million of total debt and achieved year-end leverage of 3.7x</w:t>
      </w:r>
    </w:p>
    <w:p>
      <w:pPr>
        <w:spacing w:after="0" w:line="197"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Announced multi-year capital allocation framework prioritizing Free Cash Flow generation, further improving financial flexibility and increasing returns of capital to equity holders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 Outlook</w:t>
      </w:r>
    </w:p>
    <w:p>
      <w:pPr>
        <w:spacing w:after="0" w:line="256"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 full-year 2023 Adjusted EBITDA attributable to PAA of $2.45 - $2.55 billion and year-end 2023 leverage of +/- 3.5x</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the annualized common distribution by $0.20 to $1.07 per unit in January 2023 (to be paid in February)</w:t>
      </w:r>
    </w:p>
    <w:p>
      <w:pPr>
        <w:spacing w:after="0" w:line="252" w:lineRule="exact"/>
        <w:rPr>
          <w:rFonts w:ascii="Arial" w:cs="Arial" w:eastAsia="Arial" w:hAnsi="Arial"/>
          <w:sz w:val="18"/>
          <w:szCs w:val="18"/>
          <w:color w:val="auto"/>
        </w:rPr>
      </w:pPr>
    </w:p>
    <w:p>
      <w:pPr>
        <w:ind w:left="660" w:right="64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 to generate approximately $1.60 billion of Free Cash Flow in 2023, underpinning multi-year return of capital to equity holders and absolute debt reduction</w:t>
      </w:r>
    </w:p>
    <w:p>
      <w:pPr>
        <w:spacing w:after="0" w:line="197" w:lineRule="exact"/>
        <w:rPr>
          <w:rFonts w:ascii="Arial" w:cs="Arial" w:eastAsia="Arial" w:hAnsi="Arial"/>
          <w:sz w:val="18"/>
          <w:szCs w:val="18"/>
          <w:color w:val="auto"/>
        </w:rPr>
      </w:pPr>
    </w:p>
    <w:p>
      <w:pPr>
        <w:ind w:left="660" w:right="3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Remain focused on disciplined capital investments, anticipating full-year 2023 Investment and Maintenance Capital of $325 million and $195 million, net to PAA</w:t>
      </w:r>
    </w:p>
    <w:p>
      <w:pPr>
        <w:spacing w:after="0" w:line="200" w:lineRule="exact"/>
        <w:rPr>
          <w:sz w:val="20"/>
          <w:szCs w:val="20"/>
          <w:color w:val="auto"/>
        </w:rPr>
      </w:pPr>
    </w:p>
    <w:p>
      <w:pPr>
        <w:spacing w:after="0" w:line="240" w:lineRule="exact"/>
        <w:rPr>
          <w:sz w:val="20"/>
          <w:szCs w:val="20"/>
          <w:color w:val="auto"/>
        </w:rPr>
      </w:pPr>
    </w:p>
    <w:p>
      <w:pPr>
        <w:ind w:right="40" w:firstLine="648"/>
        <w:spacing w:after="0" w:line="284" w:lineRule="auto"/>
        <w:rPr>
          <w:sz w:val="20"/>
          <w:szCs w:val="20"/>
          <w:color w:val="auto"/>
        </w:rPr>
      </w:pPr>
      <w:r>
        <w:rPr>
          <w:rFonts w:ascii="Arial" w:cs="Arial" w:eastAsia="Arial" w:hAnsi="Arial"/>
          <w:sz w:val="16"/>
          <w:szCs w:val="16"/>
          <w:color w:val="auto"/>
        </w:rPr>
        <w:t>“2022 represented a positive inflection point for Plains, evidenced by strong execution of our goals and initiatives. This included reaching the lower-end of our leverage target range and increasing returns of capital to equity holders through a combination of increased distributions and share repurchases. Additionally, we achieved record health, safety, and environmental performance by achieving or exceeding 20% reduction targets in our key metrics,” stated Willie Chiang, Chairman and CEO of Plains. “Looking to 2023, our Permian Basin assets are well positioned to benefit from continued production growth. In our NGL segment, we continue to evaluate capital efficient debottlenecking opportunities which we expect to improve our long-term fee-based earnings. We remain focused on continuing to generate significant Free Cash Flow, which provides visibility for improving shareholder returns</w:t>
      </w:r>
    </w:p>
    <w:p>
      <w:pPr>
        <w:spacing w:after="0" w:line="4" w:lineRule="exact"/>
        <w:rPr>
          <w:sz w:val="20"/>
          <w:szCs w:val="20"/>
          <w:color w:val="auto"/>
        </w:rPr>
      </w:pPr>
    </w:p>
    <w:p>
      <w:pPr>
        <w:ind w:left="5340" w:right="2140" w:hanging="5325"/>
        <w:spacing w:after="0" w:line="226" w:lineRule="auto"/>
        <w:rPr>
          <w:sz w:val="20"/>
          <w:szCs w:val="20"/>
          <w:color w:val="auto"/>
        </w:rPr>
      </w:pPr>
      <w:r>
        <w:rPr>
          <w:rFonts w:ascii="Arial" w:cs="Arial" w:eastAsia="Arial" w:hAnsi="Arial"/>
          <w:sz w:val="18"/>
          <w:szCs w:val="18"/>
          <w:color w:val="auto"/>
        </w:rPr>
        <w:t>primarily through distribution increases and disciplined accretive investments, all while maintaining balance sheet flexibility.” -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86995</wp:posOffset>
            </wp:positionV>
            <wp:extent cx="71151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33"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Financial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92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Twelve Months Ended</w:t>
            </w:r>
          </w:p>
        </w:tc>
        <w:tc>
          <w:tcPr>
            <w:tcW w:w="92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8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5"/>
          </w:tcPr>
          <w:p>
            <w:pPr>
              <w:ind w:left="340"/>
              <w:spacing w:after="0"/>
              <w:rPr>
                <w:sz w:val="20"/>
                <w:szCs w:val="20"/>
                <w:color w:val="auto"/>
              </w:rPr>
            </w:pPr>
            <w:r>
              <w:rPr>
                <w:rFonts w:ascii="Arial" w:cs="Arial" w:eastAsia="Arial" w:hAnsi="Arial"/>
                <w:sz w:val="14"/>
                <w:szCs w:val="14"/>
                <w:b w:val="1"/>
                <w:bCs w:val="1"/>
                <w:color w:val="auto"/>
              </w:rPr>
              <w:t>December 31,</w:t>
            </w: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4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GAAP Results</w:t>
            </w: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ind w:left="100"/>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920" w:type="dxa"/>
            <w:vAlign w:val="bottom"/>
          </w:tcPr>
          <w:p>
            <w:pPr>
              <w:jc w:val="right"/>
              <w:ind w:right="13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9"/>
        </w:trPr>
        <w:tc>
          <w:tcPr>
            <w:tcW w:w="5020" w:type="dxa"/>
            <w:vAlign w:val="bottom"/>
            <w:tcBorders>
              <w:top w:val="single" w:sz="8" w:color="auto"/>
            </w:tcBorders>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Net income attributable to PAA </w:t>
            </w:r>
            <w:r>
              <w:rPr>
                <w:rFonts w:ascii="Arial" w:cs="Arial" w:eastAsia="Arial" w:hAnsi="Arial"/>
                <w:sz w:val="23"/>
                <w:szCs w:val="23"/>
                <w:color w:val="auto"/>
                <w:vertAlign w:val="superscript"/>
              </w:rPr>
              <w:t>(1)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0" w:type="dxa"/>
            <w:vAlign w:val="bottom"/>
          </w:tcPr>
          <w:p>
            <w:pPr>
              <w:spacing w:after="0"/>
              <w:rPr>
                <w:sz w:val="1"/>
                <w:szCs w:val="1"/>
                <w:color w:val="auto"/>
              </w:rPr>
            </w:pPr>
          </w:p>
        </w:tc>
      </w:tr>
      <w:tr>
        <w:trPr>
          <w:trHeight w:val="230"/>
        </w:trPr>
        <w:tc>
          <w:tcPr>
            <w:tcW w:w="5140" w:type="dxa"/>
            <w:vAlign w:val="bottom"/>
            <w:gridSpan w:val="3"/>
          </w:tcPr>
          <w:p>
            <w:pPr>
              <w:ind w:left="20"/>
              <w:spacing w:after="0"/>
              <w:rPr>
                <w:sz w:val="20"/>
                <w:szCs w:val="20"/>
                <w:color w:val="auto"/>
              </w:rPr>
            </w:pPr>
            <w:r>
              <w:rPr>
                <w:rFonts w:ascii="Arial" w:cs="Arial" w:eastAsia="Arial" w:hAnsi="Arial"/>
                <w:sz w:val="18"/>
                <w:szCs w:val="18"/>
                <w:color w:val="auto"/>
              </w:rPr>
              <w:t>Diluted net income per common unit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0.30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0.56</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right w:val="single" w:sz="8" w:color="auto"/>
            </w:tcBorders>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0.55</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116 %</w:t>
            </w:r>
          </w:p>
        </w:tc>
        <w:tc>
          <w:tcPr>
            <w:tcW w:w="0" w:type="dxa"/>
            <w:vAlign w:val="bottom"/>
          </w:tcPr>
          <w:p>
            <w:pPr>
              <w:spacing w:after="0"/>
              <w:rPr>
                <w:sz w:val="1"/>
                <w:szCs w:val="1"/>
                <w:color w:val="auto"/>
              </w:rPr>
            </w:pPr>
          </w:p>
        </w:tc>
      </w:tr>
      <w:tr>
        <w:trPr>
          <w:trHeight w:val="229"/>
        </w:trPr>
        <w:tc>
          <w:tcPr>
            <w:tcW w:w="5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Diluted weighted average common units outstanding</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5140" w:type="dxa"/>
            <w:vAlign w:val="bottom"/>
            <w:gridSpan w:val="3"/>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right w:val="single" w:sz="8" w:color="auto"/>
            </w:tcBorders>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2,408</w:t>
            </w:r>
          </w:p>
        </w:tc>
        <w:tc>
          <w:tcPr>
            <w:tcW w:w="100" w:type="dxa"/>
            <w:vAlign w:val="bottom"/>
          </w:tcPr>
          <w:p>
            <w:pPr>
              <w:spacing w:after="0"/>
              <w:rPr>
                <w:sz w:val="19"/>
                <w:szCs w:val="19"/>
                <w:color w:val="auto"/>
              </w:rPr>
            </w:pPr>
          </w:p>
        </w:tc>
        <w:tc>
          <w:tcPr>
            <w:tcW w:w="220" w:type="dxa"/>
            <w:vAlign w:val="bottom"/>
          </w:tcPr>
          <w:p>
            <w:pPr>
              <w:jc w:val="right"/>
              <w:ind w:right="11"/>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1,996</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30"/>
        </w:trPr>
        <w:tc>
          <w:tcPr>
            <w:tcW w:w="5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Distribution per common unit declared for the period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0.2675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0.1800</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120" w:type="dxa"/>
            <w:vAlign w:val="bottom"/>
            <w:tcBorders>
              <w:right w:val="single" w:sz="8" w:color="auto"/>
            </w:tcBorders>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0.9200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0.7200</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175"/>
        </w:trPr>
        <w:tc>
          <w:tcPr>
            <w:tcW w:w="3880" w:type="dxa"/>
            <w:vAlign w:val="bottom"/>
            <w:tcBorders>
              <w:bottom w:val="single" w:sz="8" w:color="auto"/>
            </w:tcBorders>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340" w:right="100" w:hanging="332"/>
        <w:spacing w:after="0" w:line="273" w:lineRule="auto"/>
        <w:tabs>
          <w:tab w:leader="none" w:pos="328"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Reported results for the three and twelve months ended December 31, 2022 include a non-cash asset impairment of $330 million related to our California assets and a non-cash gain on investments in unconsolidated entities of approximately $370 million related to our purchase of an additional interest in the Cactus II pipeline. Reported results for the twelve months ended December 31, 2021 include aggregate non-cash asset impairments of approximately $695 million related to the sale of our gas storage assets and the write-down of certain crude oil terminal assets.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Three Months Ended</w:t>
            </w:r>
          </w:p>
        </w:tc>
        <w:tc>
          <w:tcPr>
            <w:tcW w:w="92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Twelve Months Ended</w:t>
            </w:r>
          </w:p>
        </w:tc>
        <w:tc>
          <w:tcPr>
            <w:tcW w:w="92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8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0"/>
              </w:rPr>
              <w:t>December 31,</w:t>
            </w: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6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 xml:space="preserve">Non-GAAP Results </w:t>
            </w:r>
            <w:r>
              <w:rPr>
                <w:rFonts w:ascii="Arial" w:cs="Arial" w:eastAsia="Arial" w:hAnsi="Arial"/>
                <w:sz w:val="9"/>
                <w:szCs w:val="9"/>
                <w:b w:val="1"/>
                <w:bCs w:val="1"/>
                <w:i w:val="1"/>
                <w:iCs w:val="1"/>
                <w:color w:val="auto"/>
              </w:rPr>
              <w:t>(1)</w:t>
            </w: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920" w:type="dxa"/>
            <w:vAlign w:val="bottom"/>
          </w:tcPr>
          <w:p>
            <w:pPr>
              <w:jc w:val="right"/>
              <w:ind w:right="13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30"/>
        </w:trPr>
        <w:tc>
          <w:tcPr>
            <w:tcW w:w="50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Adjusted net income attributable to PAA</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29"/>
        </w:trPr>
        <w:tc>
          <w:tcPr>
            <w:tcW w:w="5160" w:type="dxa"/>
            <w:vAlign w:val="bottom"/>
            <w:gridSpan w:val="3"/>
          </w:tcPr>
          <w:p>
            <w:pPr>
              <w:ind w:left="20"/>
              <w:spacing w:after="0"/>
              <w:rPr>
                <w:sz w:val="20"/>
                <w:szCs w:val="20"/>
                <w:color w:val="auto"/>
              </w:rPr>
            </w:pPr>
            <w:r>
              <w:rPr>
                <w:rFonts w:ascii="Arial" w:cs="Arial" w:eastAsia="Arial" w:hAnsi="Arial"/>
                <w:sz w:val="18"/>
                <w:szCs w:val="18"/>
                <w:color w:val="auto"/>
              </w:rPr>
              <w:t>Diluted adjusted net income per common unit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32 %</w:t>
            </w:r>
          </w:p>
        </w:tc>
        <w:tc>
          <w:tcPr>
            <w:tcW w:w="120" w:type="dxa"/>
            <w:vAlign w:val="bottom"/>
            <w:tcBorders>
              <w:right w:val="single" w:sz="8" w:color="auto"/>
            </w:tcBorders>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0.95</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30"/>
        </w:trPr>
        <w:tc>
          <w:tcPr>
            <w:tcW w:w="51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20" w:type="dxa"/>
            <w:vAlign w:val="bottom"/>
            <w:tcBorders>
              <w:right w:val="single" w:sz="8" w:color="auto"/>
            </w:tcBorders>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30"/>
        </w:trPr>
        <w:tc>
          <w:tcPr>
            <w:tcW w:w="5160" w:type="dxa"/>
            <w:vAlign w:val="bottom"/>
            <w:gridSpan w:val="3"/>
          </w:tcPr>
          <w:p>
            <w:pPr>
              <w:ind w:left="20"/>
              <w:spacing w:after="0" w:line="230" w:lineRule="exact"/>
              <w:rPr>
                <w:sz w:val="20"/>
                <w:szCs w:val="20"/>
                <w:color w:val="auto"/>
              </w:rPr>
            </w:pPr>
            <w:r>
              <w:rPr>
                <w:rFonts w:ascii="Arial" w:cs="Arial" w:eastAsia="Arial" w:hAnsi="Arial"/>
                <w:sz w:val="18"/>
                <w:szCs w:val="18"/>
                <w:color w:val="auto"/>
              </w:rPr>
              <w:t xml:space="preserve">Adjusted EBITDA attributable to PAA </w:t>
            </w:r>
            <w:r>
              <w:rPr>
                <w:rFonts w:ascii="Arial" w:cs="Arial" w:eastAsia="Arial" w:hAnsi="Arial"/>
                <w:sz w:val="23"/>
                <w:szCs w:val="23"/>
                <w:color w:val="auto"/>
                <w:vertAlign w:val="superscript"/>
              </w:rPr>
              <w:t>(2)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17 %</w:t>
            </w:r>
          </w:p>
        </w:tc>
        <w:tc>
          <w:tcPr>
            <w:tcW w:w="120" w:type="dxa"/>
            <w:vAlign w:val="bottom"/>
            <w:tcBorders>
              <w:right w:val="single" w:sz="8" w:color="auto"/>
            </w:tcBorders>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2,510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2,196</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29"/>
        </w:trPr>
        <w:tc>
          <w:tcPr>
            <w:tcW w:w="51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Implied DCF per common unit and common unit equivalent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20" w:type="dxa"/>
            <w:vAlign w:val="bottom"/>
            <w:tcBorders>
              <w:right w:val="single" w:sz="8" w:color="auto"/>
            </w:tcBorders>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30"/>
        </w:trPr>
        <w:tc>
          <w:tcPr>
            <w:tcW w:w="5160" w:type="dxa"/>
            <w:vAlign w:val="bottom"/>
            <w:gridSpan w:val="3"/>
          </w:tcPr>
          <w:p>
            <w:pPr>
              <w:ind w:left="20"/>
              <w:spacing w:after="0" w:line="230" w:lineRule="exact"/>
              <w:rPr>
                <w:sz w:val="20"/>
                <w:szCs w:val="20"/>
                <w:color w:val="auto"/>
              </w:rPr>
            </w:pPr>
            <w:r>
              <w:rPr>
                <w:rFonts w:ascii="Arial" w:cs="Arial" w:eastAsia="Arial" w:hAnsi="Arial"/>
                <w:sz w:val="18"/>
                <w:szCs w:val="18"/>
                <w:color w:val="auto"/>
              </w:rPr>
              <w:t xml:space="preserve">Free Cash Flow </w:t>
            </w:r>
            <w:r>
              <w:rPr>
                <w:rFonts w:ascii="Arial" w:cs="Arial" w:eastAsia="Arial" w:hAnsi="Arial"/>
                <w:sz w:val="23"/>
                <w:szCs w:val="23"/>
                <w:color w:val="auto"/>
                <w:vertAlign w:val="superscript"/>
              </w:rPr>
              <w:t>(3)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Borders>
              <w:right w:val="single" w:sz="8" w:color="auto"/>
            </w:tcBorders>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1,610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2,369</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51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Free Cash Flow after Distributions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Borders>
              <w:right w:val="single" w:sz="8" w:color="auto"/>
            </w:tcBorders>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75"/>
        </w:trPr>
        <w:tc>
          <w:tcPr>
            <w:tcW w:w="3880" w:type="dxa"/>
            <w:vAlign w:val="bottom"/>
            <w:tcBorders>
              <w:bottom w:val="single" w:sz="8" w:color="auto"/>
            </w:tcBorders>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both"/>
        <w:ind w:left="340" w:right="260" w:hanging="332"/>
        <w:spacing w:after="0" w:line="269" w:lineRule="auto"/>
        <w:tabs>
          <w:tab w:leader="none" w:pos="328"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See the section of this release entitled “Non-GAAP Financial Measures and Selected Items Impacting Comparability” and the tables attached hereto for information regarding our Non-GAAP financial measures, including their reconciliation to the most directly comparable measures as reported in accordance with GAAP, and certain selected items that PAA believes impact comparability of financial results between reporting periods.</w:t>
      </w:r>
    </w:p>
    <w:p>
      <w:pPr>
        <w:spacing w:after="0" w:line="72" w:lineRule="exact"/>
        <w:rPr>
          <w:rFonts w:ascii="Arial" w:cs="Arial" w:eastAsia="Arial" w:hAnsi="Arial"/>
          <w:sz w:val="21"/>
          <w:szCs w:val="21"/>
          <w:color w:val="auto"/>
          <w:vertAlign w:val="superscript"/>
        </w:rPr>
      </w:pPr>
    </w:p>
    <w:p>
      <w:pPr>
        <w:ind w:left="340" w:right="160" w:hanging="332"/>
        <w:spacing w:after="0" w:line="227" w:lineRule="auto"/>
        <w:tabs>
          <w:tab w:leader="none" w:pos="328"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Excludes amounts attributable to noncontrolling interests in the Plains Oryx Permian Basin LLC joint venture, Cactus II Pipeline LLC and Red River Pipeline LLC.</w:t>
      </w:r>
    </w:p>
    <w:p>
      <w:pPr>
        <w:spacing w:after="0" w:line="94" w:lineRule="exact"/>
        <w:rPr>
          <w:rFonts w:ascii="Arial" w:cs="Arial" w:eastAsia="Arial" w:hAnsi="Arial"/>
          <w:sz w:val="23"/>
          <w:szCs w:val="23"/>
          <w:color w:val="auto"/>
          <w:vertAlign w:val="superscript"/>
        </w:rPr>
      </w:pPr>
    </w:p>
    <w:p>
      <w:pPr>
        <w:ind w:left="340" w:right="640" w:hanging="332"/>
        <w:spacing w:after="0" w:line="227" w:lineRule="auto"/>
        <w:tabs>
          <w:tab w:leader="none" w:pos="328"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Fourth-quarter 2022 Free Cash Flow is impacted by a $230 million payment related to the settlement of a Line 901 class action lawsuit and the purchase of an additional interest in the Cactus II pipeline for approximately $85 million.</w:t>
      </w:r>
    </w:p>
    <w:p>
      <w:pPr>
        <w:spacing w:after="0" w:line="53" w:lineRule="exact"/>
        <w:rPr>
          <w:rFonts w:ascii="Arial" w:cs="Arial" w:eastAsia="Arial" w:hAnsi="Arial"/>
          <w:sz w:val="23"/>
          <w:szCs w:val="23"/>
          <w:color w:val="auto"/>
          <w:vertAlign w:val="superscript"/>
        </w:rPr>
      </w:pPr>
    </w:p>
    <w:p>
      <w:pPr>
        <w:ind w:left="5440" w:hanging="106"/>
        <w:spacing w:after="0"/>
        <w:tabs>
          <w:tab w:leader="none" w:pos="5440" w:val="left"/>
        </w:tabs>
        <w:numPr>
          <w:ilvl w:val="1"/>
          <w:numId w:val="6"/>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auto"/>
        </w:rPr>
        <w:t>Page 3</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Selected Financial Data by Segment</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6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gridSpan w:val="4"/>
          </w:tcPr>
          <w:p>
            <w:pPr>
              <w:jc w:val="right"/>
              <w:ind w:right="772"/>
              <w:spacing w:after="0"/>
              <w:rPr>
                <w:sz w:val="20"/>
                <w:szCs w:val="20"/>
                <w:color w:val="auto"/>
              </w:rPr>
            </w:pPr>
            <w:r>
              <w:rPr>
                <w:rFonts w:ascii="Arial" w:cs="Arial" w:eastAsia="Arial" w:hAnsi="Arial"/>
                <w:sz w:val="16"/>
                <w:szCs w:val="16"/>
                <w:b w:val="1"/>
                <w:bCs w:val="1"/>
                <w:color w:val="auto"/>
              </w:rPr>
              <w:t>Segment Adjusted EBITDA</w:t>
            </w:r>
          </w:p>
        </w:tc>
        <w:tc>
          <w:tcPr>
            <w:tcW w:w="0" w:type="dxa"/>
            <w:vAlign w:val="bottom"/>
          </w:tcPr>
          <w:p>
            <w:pPr>
              <w:spacing w:after="0"/>
              <w:rPr>
                <w:sz w:val="1"/>
                <w:szCs w:val="1"/>
                <w:color w:val="auto"/>
              </w:rPr>
            </w:pPr>
          </w:p>
        </w:tc>
      </w:tr>
      <w:tr>
        <w:trPr>
          <w:trHeight w:val="210"/>
        </w:trPr>
        <w:tc>
          <w:tcPr>
            <w:tcW w:w="7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ind w:left="200"/>
              <w:spacing w:after="0"/>
              <w:rPr>
                <w:sz w:val="20"/>
                <w:szCs w:val="20"/>
                <w:color w:val="auto"/>
              </w:rPr>
            </w:pPr>
            <w:r>
              <w:rPr>
                <w:rFonts w:ascii="Arial" w:cs="Arial" w:eastAsia="Arial" w:hAnsi="Arial"/>
                <w:sz w:val="16"/>
                <w:szCs w:val="16"/>
                <w:b w:val="1"/>
                <w:bCs w:val="1"/>
                <w:color w:val="auto"/>
              </w:rPr>
              <w:t>Crude Oil</w:t>
            </w:r>
          </w:p>
        </w:tc>
        <w:tc>
          <w:tcPr>
            <w:tcW w:w="420" w:type="dxa"/>
            <w:vAlign w:val="bottom"/>
          </w:tcPr>
          <w:p>
            <w:pPr>
              <w:spacing w:after="0"/>
              <w:rPr>
                <w:sz w:val="18"/>
                <w:szCs w:val="18"/>
                <w:color w:val="auto"/>
              </w:rPr>
            </w:pPr>
          </w:p>
        </w:tc>
        <w:tc>
          <w:tcPr>
            <w:tcW w:w="1340" w:type="dxa"/>
            <w:vAlign w:val="bottom"/>
          </w:tcPr>
          <w:p>
            <w:pPr>
              <w:jc w:val="right"/>
              <w:ind w:right="612"/>
              <w:spacing w:after="0"/>
              <w:rPr>
                <w:sz w:val="20"/>
                <w:szCs w:val="20"/>
                <w:color w:val="auto"/>
              </w:rPr>
            </w:pPr>
            <w:r>
              <w:rPr>
                <w:rFonts w:ascii="Arial" w:cs="Arial" w:eastAsia="Arial" w:hAnsi="Arial"/>
                <w:sz w:val="16"/>
                <w:szCs w:val="16"/>
                <w:b w:val="1"/>
                <w:bCs w:val="1"/>
                <w:color w:val="auto"/>
              </w:rPr>
              <w:t>NGL</w:t>
            </w:r>
          </w:p>
        </w:tc>
        <w:tc>
          <w:tcPr>
            <w:tcW w:w="0" w:type="dxa"/>
            <w:vAlign w:val="bottom"/>
          </w:tcPr>
          <w:p>
            <w:pPr>
              <w:spacing w:after="0"/>
              <w:rPr>
                <w:sz w:val="1"/>
                <w:szCs w:val="1"/>
                <w:color w:val="auto"/>
              </w:rPr>
            </w:pPr>
          </w:p>
        </w:tc>
      </w:tr>
      <w:tr>
        <w:trPr>
          <w:trHeight w:val="251"/>
        </w:trPr>
        <w:tc>
          <w:tcPr>
            <w:tcW w:w="7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Months Ended December 31, 2022</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504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00" w:type="dxa"/>
            <w:vAlign w:val="bottom"/>
          </w:tcPr>
          <w:p>
            <w:pPr>
              <w:ind w:left="20"/>
              <w:spacing w:after="0" w:line="203" w:lineRule="exact"/>
              <w:rPr>
                <w:sz w:val="20"/>
                <w:szCs w:val="20"/>
                <w:color w:val="auto"/>
              </w:rPr>
            </w:pPr>
            <w:r>
              <w:rPr>
                <w:rFonts w:ascii="Arial" w:cs="Arial" w:eastAsia="Arial" w:hAnsi="Arial"/>
                <w:sz w:val="18"/>
                <w:szCs w:val="18"/>
                <w:color w:val="auto"/>
              </w:rPr>
              <w:t>Three Months Ended December 31, 2021</w:t>
            </w: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133"/>
              <w:spacing w:after="0" w:line="203" w:lineRule="exact"/>
              <w:rPr>
                <w:sz w:val="20"/>
                <w:szCs w:val="20"/>
                <w:color w:val="auto"/>
              </w:rPr>
            </w:pPr>
            <w:r>
              <w:rPr>
                <w:rFonts w:ascii="Arial" w:cs="Arial" w:eastAsia="Arial" w:hAnsi="Arial"/>
                <w:sz w:val="18"/>
                <w:szCs w:val="18"/>
                <w:color w:val="auto"/>
              </w:rPr>
              <w:t>423</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32"/>
              <w:spacing w:after="0" w:line="203" w:lineRule="exact"/>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i w:val="1"/>
                <w:iCs w:val="1"/>
                <w:color w:val="auto"/>
              </w:rPr>
              <w:t>Percentage change in Segment Adjusted EBITDA versus 2021 period</w:t>
            </w:r>
          </w:p>
        </w:tc>
        <w:tc>
          <w:tcPr>
            <w:tcW w:w="3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i w:val="1"/>
                <w:iCs w:val="1"/>
                <w:color w:val="auto"/>
              </w:rPr>
              <w:t>19 %</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i w:val="1"/>
                <w:iCs w:val="1"/>
                <w:color w:val="auto"/>
              </w:rPr>
              <w:t>7 %</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76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4"/>
          </w:tcPr>
          <w:p>
            <w:pPr>
              <w:jc w:val="right"/>
              <w:ind w:right="772"/>
              <w:spacing w:after="0"/>
              <w:rPr>
                <w:sz w:val="20"/>
                <w:szCs w:val="20"/>
                <w:color w:val="auto"/>
              </w:rPr>
            </w:pPr>
            <w:r>
              <w:rPr>
                <w:rFonts w:ascii="Arial" w:cs="Arial" w:eastAsia="Arial" w:hAnsi="Arial"/>
                <w:sz w:val="16"/>
                <w:szCs w:val="16"/>
                <w:b w:val="1"/>
                <w:bCs w:val="1"/>
                <w:color w:val="auto"/>
              </w:rPr>
              <w:t>Segment Adjusted EBITDA</w:t>
            </w:r>
          </w:p>
        </w:tc>
        <w:tc>
          <w:tcPr>
            <w:tcW w:w="0" w:type="dxa"/>
            <w:vAlign w:val="bottom"/>
          </w:tcPr>
          <w:p>
            <w:pPr>
              <w:spacing w:after="0"/>
              <w:rPr>
                <w:sz w:val="1"/>
                <w:szCs w:val="1"/>
                <w:color w:val="auto"/>
              </w:rPr>
            </w:pPr>
          </w:p>
        </w:tc>
      </w:tr>
      <w:tr>
        <w:trPr>
          <w:trHeight w:val="210"/>
        </w:trPr>
        <w:tc>
          <w:tcPr>
            <w:tcW w:w="7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ind w:left="200"/>
              <w:spacing w:after="0"/>
              <w:rPr>
                <w:sz w:val="20"/>
                <w:szCs w:val="20"/>
                <w:color w:val="auto"/>
              </w:rPr>
            </w:pPr>
            <w:r>
              <w:rPr>
                <w:rFonts w:ascii="Arial" w:cs="Arial" w:eastAsia="Arial" w:hAnsi="Arial"/>
                <w:sz w:val="16"/>
                <w:szCs w:val="16"/>
                <w:b w:val="1"/>
                <w:bCs w:val="1"/>
                <w:color w:val="auto"/>
              </w:rPr>
              <w:t>Crude Oil</w:t>
            </w:r>
          </w:p>
        </w:tc>
        <w:tc>
          <w:tcPr>
            <w:tcW w:w="420" w:type="dxa"/>
            <w:vAlign w:val="bottom"/>
          </w:tcPr>
          <w:p>
            <w:pPr>
              <w:spacing w:after="0"/>
              <w:rPr>
                <w:sz w:val="18"/>
                <w:szCs w:val="18"/>
                <w:color w:val="auto"/>
              </w:rPr>
            </w:pPr>
          </w:p>
        </w:tc>
        <w:tc>
          <w:tcPr>
            <w:tcW w:w="1340" w:type="dxa"/>
            <w:vAlign w:val="bottom"/>
          </w:tcPr>
          <w:p>
            <w:pPr>
              <w:jc w:val="right"/>
              <w:ind w:right="612"/>
              <w:spacing w:after="0"/>
              <w:rPr>
                <w:sz w:val="20"/>
                <w:szCs w:val="20"/>
                <w:color w:val="auto"/>
              </w:rPr>
            </w:pPr>
            <w:r>
              <w:rPr>
                <w:rFonts w:ascii="Arial" w:cs="Arial" w:eastAsia="Arial" w:hAnsi="Arial"/>
                <w:sz w:val="16"/>
                <w:szCs w:val="16"/>
                <w:b w:val="1"/>
                <w:bCs w:val="1"/>
                <w:color w:val="auto"/>
              </w:rPr>
              <w:t>NGL</w:t>
            </w:r>
          </w:p>
        </w:tc>
        <w:tc>
          <w:tcPr>
            <w:tcW w:w="0" w:type="dxa"/>
            <w:vAlign w:val="bottom"/>
          </w:tcPr>
          <w:p>
            <w:pPr>
              <w:spacing w:after="0"/>
              <w:rPr>
                <w:sz w:val="1"/>
                <w:szCs w:val="1"/>
                <w:color w:val="auto"/>
              </w:rPr>
            </w:pPr>
          </w:p>
        </w:tc>
      </w:tr>
      <w:tr>
        <w:trPr>
          <w:trHeight w:val="251"/>
        </w:trPr>
        <w:tc>
          <w:tcPr>
            <w:tcW w:w="7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Twelve Months Ended December 31, 2022</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1,986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00" w:type="dxa"/>
            <w:vAlign w:val="bottom"/>
          </w:tcPr>
          <w:p>
            <w:pPr>
              <w:ind w:left="20"/>
              <w:spacing w:after="0" w:line="203" w:lineRule="exact"/>
              <w:rPr>
                <w:sz w:val="20"/>
                <w:szCs w:val="20"/>
                <w:color w:val="auto"/>
              </w:rPr>
            </w:pPr>
            <w:r>
              <w:rPr>
                <w:rFonts w:ascii="Arial" w:cs="Arial" w:eastAsia="Arial" w:hAnsi="Arial"/>
                <w:sz w:val="18"/>
                <w:szCs w:val="18"/>
                <w:color w:val="auto"/>
              </w:rPr>
              <w:t>Twelve Months Ended December 31, 2021</w:t>
            </w: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133"/>
              <w:spacing w:after="0" w:line="203" w:lineRule="exact"/>
              <w:rPr>
                <w:sz w:val="20"/>
                <w:szCs w:val="20"/>
                <w:color w:val="auto"/>
              </w:rPr>
            </w:pPr>
            <w:r>
              <w:rPr>
                <w:rFonts w:ascii="Arial" w:cs="Arial" w:eastAsia="Arial" w:hAnsi="Arial"/>
                <w:sz w:val="18"/>
                <w:szCs w:val="18"/>
                <w:color w:val="auto"/>
              </w:rPr>
              <w:t>1,909</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32"/>
              <w:spacing w:after="0" w:line="203" w:lineRule="exact"/>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Percentage change in Segment Adjusted EBITDA versus 2021 period</w:t>
            </w:r>
          </w:p>
        </w:tc>
        <w:tc>
          <w:tcPr>
            <w:tcW w:w="34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4 %</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82 %</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b w:val="1"/>
                <w:bCs w:val="1"/>
                <w:i w:val="1"/>
                <w:iCs w:val="1"/>
                <w:color w:val="auto"/>
                <w:w w:val="89"/>
              </w:rPr>
              <w:t>Percentage change in Segment Adjusted EBITDA versus 2021 period further adjusted for impact of</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760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b w:val="1"/>
                <w:bCs w:val="1"/>
                <w:i w:val="1"/>
                <w:iCs w:val="1"/>
                <w:color w:val="auto"/>
              </w:rPr>
              <w:t>7 %</w:t>
            </w: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b w:val="1"/>
                <w:bCs w:val="1"/>
                <w:i w:val="1"/>
                <w:iCs w:val="1"/>
                <w:color w:val="auto"/>
              </w:rPr>
              <w:t>82 %</w:t>
            </w:r>
          </w:p>
        </w:tc>
        <w:tc>
          <w:tcPr>
            <w:tcW w:w="0" w:type="dxa"/>
            <w:vAlign w:val="bottom"/>
          </w:tcPr>
          <w:p>
            <w:pPr>
              <w:spacing w:after="0"/>
              <w:rPr>
                <w:sz w:val="1"/>
                <w:szCs w:val="1"/>
                <w:color w:val="auto"/>
              </w:rPr>
            </w:pPr>
          </w:p>
        </w:tc>
      </w:tr>
      <w:tr>
        <w:trPr>
          <w:trHeight w:val="216"/>
        </w:trPr>
        <w:tc>
          <w:tcPr>
            <w:tcW w:w="7600" w:type="dxa"/>
            <w:vAlign w:val="bottom"/>
          </w:tcPr>
          <w:p>
            <w:pPr>
              <w:ind w:left="180"/>
              <w:spacing w:after="0" w:line="216" w:lineRule="exact"/>
              <w:rPr>
                <w:sz w:val="20"/>
                <w:szCs w:val="20"/>
                <w:color w:val="auto"/>
              </w:rPr>
            </w:pPr>
            <w:r>
              <w:rPr>
                <w:rFonts w:ascii="Arial" w:cs="Arial" w:eastAsia="Arial" w:hAnsi="Arial"/>
                <w:sz w:val="18"/>
                <w:szCs w:val="18"/>
                <w:b w:val="1"/>
                <w:bCs w:val="1"/>
                <w:i w:val="1"/>
                <w:iCs w:val="1"/>
                <w:color w:val="auto"/>
              </w:rPr>
              <w:t xml:space="preserve">divested assets </w:t>
            </w:r>
            <w:r>
              <w:rPr>
                <w:rFonts w:ascii="Arial" w:cs="Arial" w:eastAsia="Arial" w:hAnsi="Arial"/>
                <w:sz w:val="23"/>
                <w:szCs w:val="23"/>
                <w:b w:val="1"/>
                <w:bCs w:val="1"/>
                <w:i w:val="1"/>
                <w:iCs w:val="1"/>
                <w:color w:val="auto"/>
                <w:vertAlign w:val="superscript"/>
              </w:rPr>
              <w:t>(1)</w:t>
            </w:r>
          </w:p>
        </w:tc>
        <w:tc>
          <w:tcPr>
            <w:tcW w:w="3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24599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43" w:lineRule="exact"/>
        <w:rPr>
          <w:sz w:val="20"/>
          <w:szCs w:val="20"/>
          <w:color w:val="auto"/>
        </w:rPr>
      </w:pPr>
    </w:p>
    <w:p>
      <w:pPr>
        <w:ind w:left="340" w:right="220" w:hanging="332"/>
        <w:spacing w:after="0" w:line="227" w:lineRule="auto"/>
        <w:tabs>
          <w:tab w:leader="none" w:pos="328"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Estimated impact of divestitures completed during 2021 and 2022, assuming an effective date of January 1, 2021. Divested assets primarily included natural gas storage facilities that were previously reported in our Crude Oil segment.</w:t>
      </w:r>
    </w:p>
    <w:p>
      <w:pPr>
        <w:spacing w:after="0" w:line="200" w:lineRule="exact"/>
        <w:rPr>
          <w:sz w:val="20"/>
          <w:szCs w:val="20"/>
          <w:color w:val="auto"/>
        </w:rPr>
      </w:pPr>
    </w:p>
    <w:p>
      <w:pPr>
        <w:spacing w:after="0" w:line="232" w:lineRule="exact"/>
        <w:rPr>
          <w:sz w:val="20"/>
          <w:szCs w:val="20"/>
          <w:color w:val="auto"/>
        </w:rPr>
      </w:pPr>
    </w:p>
    <w:p>
      <w:pPr>
        <w:ind w:right="40" w:firstLine="648"/>
        <w:spacing w:after="0" w:line="231" w:lineRule="auto"/>
        <w:rPr>
          <w:sz w:val="20"/>
          <w:szCs w:val="20"/>
          <w:color w:val="auto"/>
        </w:rPr>
      </w:pPr>
      <w:r>
        <w:rPr>
          <w:rFonts w:ascii="Arial" w:cs="Arial" w:eastAsia="Arial" w:hAnsi="Arial"/>
          <w:sz w:val="18"/>
          <w:szCs w:val="18"/>
          <w:color w:val="auto"/>
        </w:rPr>
        <w:t>Fourth-quarter 2022 Crude Oil Segment Adjusted EBITDA increased 19% versus comparable 2021 results primarily due to higher volumes across our pipeline systems, particularly our Permian gathering and intra-basin assets in addition to the start-up of the Wink-to-Webster and Capline pipelines, as well as more favorable market conditions for our merchant activities, particularly in Canada. These benefits were partially offset by higher operating expenses as a result of increased volumes and utility costs.</w:t>
      </w:r>
    </w:p>
    <w:p>
      <w:pPr>
        <w:spacing w:after="0" w:line="216" w:lineRule="exact"/>
        <w:rPr>
          <w:sz w:val="20"/>
          <w:szCs w:val="20"/>
          <w:color w:val="auto"/>
        </w:rPr>
      </w:pPr>
    </w:p>
    <w:p>
      <w:pPr>
        <w:ind w:right="80" w:firstLine="648"/>
        <w:spacing w:after="0" w:line="235" w:lineRule="auto"/>
        <w:rPr>
          <w:sz w:val="20"/>
          <w:szCs w:val="20"/>
          <w:color w:val="auto"/>
        </w:rPr>
      </w:pPr>
      <w:r>
        <w:rPr>
          <w:rFonts w:ascii="Arial" w:cs="Arial" w:eastAsia="Arial" w:hAnsi="Arial"/>
          <w:sz w:val="18"/>
          <w:szCs w:val="18"/>
          <w:color w:val="auto"/>
        </w:rPr>
        <w:t>Fourth-quarter 2022 NGL Segment Adjusted EBITDA increased 7% versus comparable 2021 results primarily due to higher throughput at certain of our fractionation, gas processing and storage assets partially offset by higher operating expenses as a result of higher volumes and utility costs, along with an increased ownership interest at Empress.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auto"/>
        </w:rPr>
        <w:t>Page 4</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w:t>
      </w:r>
    </w:p>
    <w:p>
      <w:pPr>
        <w:spacing w:after="0" w:line="256"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PAGP owns an indirect non-economic controlling interest in PAA’s general partner and an indirect limited partner interest in PAA. As the control entity of PAA, PAGP consolidates PAA’s results into its financial statements, which is reflected in the condensed consolidating balance sheet and income statement tables attached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PAA and PAGP will hold a joint conference call at 4:30 p.m. CT on Wednesday, February 8, 2023 to discuss the following items:</w:t>
      </w:r>
    </w:p>
    <w:p>
      <w:pPr>
        <w:spacing w:after="0" w:line="171" w:lineRule="exact"/>
        <w:rPr>
          <w:sz w:val="20"/>
          <w:szCs w:val="20"/>
          <w:color w:val="auto"/>
        </w:rPr>
      </w:pPr>
    </w:p>
    <w:p>
      <w:pPr>
        <w:ind w:left="1140" w:hanging="322"/>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PAA’s fourth-quarter and full-year 2022 performance;</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Capitalization and liquidity; and</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2023 Financial guidance.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 Webcast Instructions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access the internet webcast, please go to https://edge.media-server.com/mmc/p/igr8sbqe.</w:t>
      </w:r>
    </w:p>
    <w:p>
      <w:pPr>
        <w:spacing w:after="0" w:line="252" w:lineRule="exact"/>
        <w:rPr>
          <w:sz w:val="20"/>
          <w:szCs w:val="20"/>
          <w:color w:val="auto"/>
        </w:rPr>
      </w:pPr>
    </w:p>
    <w:p>
      <w:pPr>
        <w:jc w:val="both"/>
        <w:ind w:right="280" w:firstLine="648"/>
        <w:spacing w:after="0" w:line="259" w:lineRule="auto"/>
        <w:rPr>
          <w:sz w:val="20"/>
          <w:szCs w:val="20"/>
          <w:color w:val="auto"/>
        </w:rPr>
      </w:pPr>
      <w:r>
        <w:rPr>
          <w:rFonts w:ascii="Arial" w:cs="Arial" w:eastAsia="Arial" w:hAnsi="Arial"/>
          <w:sz w:val="18"/>
          <w:szCs w:val="18"/>
          <w:color w:val="auto"/>
        </w:rPr>
        <w:t>Alternatively, the webcast can be accessed on our website (www.plains.com) under Investor Relations (Navigate to: Investor Relations / either “PAA” or “PAGP” / News &amp; Events / Quarterly Earnings). Following the live webcast, an audio replay in MP3 format will be available on our website within two hours after the end of the call and will be accessible for a period of 365 days. Slides will be posted prior to the call and a complete transcript will be posted after the call at the above referenced website.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 and Selected Items Impacting Comparability</w:t>
      </w:r>
    </w:p>
    <w:p>
      <w:pPr>
        <w:spacing w:after="0" w:line="171"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To supplement our financial information presented in accordance with GAAP, management uses additional measures known as “non-GAAP financial measures” in its evaluation of past performance and prospects for the future and to assess the amount of cash that is available for distributions, debt repayments, common equity repurchases and other general partnership purposes. The primary additional measures used by management are Adjusted EBITDA, Adjusted EBITDA attributable to PAA, Implied Distributable Cash Flow (“DCF”), Free Cash Flow and Free Cash Flow after Distributions.</w:t>
      </w:r>
    </w:p>
    <w:p>
      <w:pPr>
        <w:spacing w:after="0" w:line="184"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Adjusted EBITDA is defined as earnings before interest, taxes, depreciation and amortization (including our proportionate share of depreciation and amortization, including write-downs related to cancelled projects and impairments, of unconsolidated entities), gains and losses on asset sales and asset impairments, goodwill impairment losses and gains or losses on and impairments of investments in unconsolidated entities, adjusted for certain selected items impacting comparability. Our definition and calculation of certain non-GAAP financial measures may not be comparable to similarly-titled measures of other companies. Adjusted EBITDA, Adjusted EBITDA attributable to PAA, Implied DCF and certain other non-GAAP financial performance measures are reconciled to Net Income, and Free Cash Flow and Free Cash Flow after Distributions are reconciled to Net Cash Provided by Operating Activities (the most directly comparable measures as reported in accordance with GAAP) for the historical periods presented in the tables attached to this release, and should be viewed in addition to, and not in lieu of, our Consolidated Financial Statements and accompanying notes. In addition, we encourage you to visit our website at www.plains.com (in particular the section under “Financial Information” entitled “Non-GAAP Reconciliations” within the Investor Relations tab), which presents a reconciliation of our commonly used non-GAAP and supplemental financial measures. We do not reconcile non-GAAP financial measures on a forward-looking basis as it is impractical to do so without unreasonable effort.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00"/>
          </w:cols>
          <w:pgMar w:left="320" w:top="368" w:right="37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auto"/>
        </w:rPr>
        <w:t>Page 5</w:t>
      </w:r>
    </w:p>
    <w:p>
      <w:pPr>
        <w:spacing w:after="0" w:line="200" w:lineRule="exact"/>
        <w:rPr>
          <w:sz w:val="20"/>
          <w:szCs w:val="20"/>
          <w:color w:val="auto"/>
        </w:rPr>
      </w:pP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Performance Measures</w:t>
      </w:r>
    </w:p>
    <w:p>
      <w:pPr>
        <w:spacing w:after="0" w:line="256"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Management believes that the presentation of Adjusted EBITDA, Adjusted EBITDA attributable to PAA and Implied DCF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and (ii) provide investors with the same financial analytical framework upon which management bases financial, operational, compensation and planning/budgeting decisions. We also present these and additional non-GAAP financial measures, including adjusted net income attributable to PAA and basic and diluted adjusted net income per common unit, as they are measures that investors, rating agencies and debt holders have indicated are useful in assessing us and our results of operations. These non-GAAP measures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(iii) long-term inventory costing adjustments, (iv) items that are not indicative of our core operating results and/or (v) other items that we believe should be excluded in understanding our core operating performance. These measures may be further adjusted to include amounts related to deficiencies associated with minimum volume commitments whereby we have billed the counterparties for their deficiency obligation and such amounts are recognized as deferred revenue in “Other current liabilities” in our Consolidated Financial Statements. We also adjust for amounts billed by our equity method investees related to deficiencies under minimum volume commitments. Such amounts are presented net of applicable amounts subsequently recognized into revenue. Furthermore, the calculation of these measures contemplates tax effects as a separate reconciling item, where applicable. We have defined all such items as “selected items impacting comparability.” Due to the nature of the selected items, certain selected items impacting comparability may impact certain non-GAAP financial measures, referred to as adjusted results, but not impact other non-GAAP financial measures.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200" w:lineRule="exact"/>
        <w:rPr>
          <w:sz w:val="20"/>
          <w:szCs w:val="20"/>
          <w:color w:val="auto"/>
        </w:rPr>
      </w:pPr>
    </w:p>
    <w:p>
      <w:pPr>
        <w:spacing w:after="0" w:line="21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These types of variations may not be separately identified in this release, but will be discussed, as applicable, in management’s discussion and analysis of operating results in our Annual Report on Form 10-K.</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Liquidity Measures</w:t>
      </w:r>
    </w:p>
    <w:p>
      <w:pPr>
        <w:spacing w:after="0" w:line="256"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Management also uses the non-GAAP financial measures Free Cash Flow and Free Cash Flow after Distributions to assess the amount of cash that is available for distributions, debt repayments, common equity repurchases and other general partnership purposes. Free Cash Flow is defined as Net Cash Provided by Operating Activities, less Net Cash Provided by/(Used in) Investing Activities, which primarily includes acquisition, investment and maintenance capital expenditures, investments in unconsolidated entities and the impact from the purchase and sale of linefill, net of proceeds from the sales of assets and further impacted by distributions to and contributions from noncontrolling interests. Free Cash Flow is further reduced by cash distributions paid to our preferred and common unitholders to arrive at Free Cash Flow after Distributions.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auto"/>
        </w:rPr>
        <w:t>Page 6</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80" w:type="dxa"/>
            <w:vAlign w:val="bottom"/>
            <w:gridSpan w:val="4"/>
          </w:tcPr>
          <w:p>
            <w:pPr>
              <w:jc w:val="right"/>
              <w:ind w:right="451"/>
              <w:spacing w:after="0"/>
              <w:rPr>
                <w:sz w:val="20"/>
                <w:szCs w:val="20"/>
                <w:color w:val="auto"/>
              </w:rPr>
            </w:pPr>
            <w:r>
              <w:rPr>
                <w:rFonts w:ascii="Arial" w:cs="Arial" w:eastAsia="Arial" w:hAnsi="Arial"/>
                <w:sz w:val="14"/>
                <w:szCs w:val="14"/>
                <w:b w:val="1"/>
                <w:bCs w:val="1"/>
                <w:color w:val="auto"/>
              </w:rPr>
              <w:t>Twelve Months Ended</w:t>
            </w:r>
          </w:p>
        </w:tc>
      </w:tr>
      <w:tr>
        <w:trPr>
          <w:trHeight w:val="196"/>
        </w:trPr>
        <w:tc>
          <w:tcPr>
            <w:tcW w:w="6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7"/>
                <w:szCs w:val="17"/>
                <w:color w:val="auto"/>
              </w:rPr>
            </w:pPr>
          </w:p>
        </w:tc>
      </w:tr>
      <w:tr>
        <w:trPr>
          <w:trHeight w:val="196"/>
        </w:trPr>
        <w:tc>
          <w:tcPr>
            <w:tcW w:w="62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2021</w:t>
            </w:r>
          </w:p>
        </w:tc>
      </w:tr>
      <w:tr>
        <w:trPr>
          <w:trHeight w:val="22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57,342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42,078</w:t>
            </w:r>
          </w:p>
        </w:tc>
      </w:tr>
      <w:tr>
        <w:trPr>
          <w:trHeight w:val="216"/>
        </w:trPr>
        <w:tc>
          <w:tcPr>
            <w:tcW w:w="6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6220" w:type="dxa"/>
            <w:vAlign w:val="bottom"/>
          </w:tcPr>
          <w:p>
            <w:pPr>
              <w:ind w:left="20"/>
              <w:spacing w:after="0"/>
              <w:rPr>
                <w:sz w:val="20"/>
                <w:szCs w:val="20"/>
                <w:color w:val="auto"/>
              </w:rPr>
            </w:pPr>
            <w:r>
              <w:rPr>
                <w:rFonts w:ascii="Arial" w:cs="Arial" w:eastAsia="Arial" w:hAnsi="Arial"/>
                <w:sz w:val="18"/>
                <w:szCs w:val="18"/>
                <w:color w:val="auto"/>
              </w:rPr>
              <w:t>Purchases and related costs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11,995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11,760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53,176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38,504</w:t>
            </w:r>
          </w:p>
        </w:tc>
      </w:tr>
      <w:tr>
        <w:trPr>
          <w:trHeight w:val="22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w:t>
            </w:r>
          </w:p>
        </w:tc>
      </w:tr>
      <w:tr>
        <w:trPr>
          <w:trHeight w:val="230"/>
        </w:trPr>
        <w:tc>
          <w:tcPr>
            <w:tcW w:w="622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292</w:t>
            </w:r>
          </w:p>
        </w:tc>
      </w:tr>
      <w:tr>
        <w:trPr>
          <w:trHeight w:val="22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r>
      <w:tr>
        <w:trPr>
          <w:trHeight w:val="229"/>
        </w:trPr>
        <w:tc>
          <w:tcPr>
            <w:tcW w:w="6220" w:type="dxa"/>
            <w:vAlign w:val="bottom"/>
          </w:tcPr>
          <w:p>
            <w:pPr>
              <w:ind w:left="20"/>
              <w:spacing w:after="0"/>
              <w:rPr>
                <w:sz w:val="20"/>
                <w:szCs w:val="20"/>
                <w:color w:val="auto"/>
              </w:rPr>
            </w:pPr>
            <w:r>
              <w:rPr>
                <w:rFonts w:ascii="Arial" w:cs="Arial" w:eastAsia="Arial" w:hAnsi="Arial"/>
                <w:sz w:val="18"/>
                <w:szCs w:val="18"/>
                <w:color w:val="auto"/>
              </w:rPr>
              <w:t>(Gains)/losses on asset sales and asset impairments, net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592</w:t>
            </w:r>
          </w:p>
        </w:tc>
      </w:tr>
      <w:tr>
        <w:trPr>
          <w:trHeight w:val="223"/>
        </w:trPr>
        <w:tc>
          <w:tcPr>
            <w:tcW w:w="6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costs and expenses</w:t>
            </w:r>
          </w:p>
        </w:tc>
        <w:tc>
          <w:tcPr>
            <w:tcW w:w="2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12,989</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56,050</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41,227</w:t>
            </w:r>
          </w:p>
        </w:tc>
      </w:tr>
      <w:tr>
        <w:trPr>
          <w:trHeight w:val="216"/>
        </w:trPr>
        <w:tc>
          <w:tcPr>
            <w:tcW w:w="6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INCOME/(LOSS)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r>
      <w:tr>
        <w:trPr>
          <w:trHeight w:val="216"/>
        </w:trPr>
        <w:tc>
          <w:tcPr>
            <w:tcW w:w="6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INCOME/(EXPENSE)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6220" w:type="dxa"/>
            <w:vAlign w:val="bottom"/>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274</w:t>
            </w: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Gain/(loss) on investments in unconsolidated entities, net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622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(425)</w:t>
            </w: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income/(expense), net</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196"/>
        </w:trPr>
        <w:tc>
          <w:tcPr>
            <w:tcW w:w="6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TAX</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r>
      <w:tr>
        <w:trPr>
          <w:trHeight w:val="230"/>
        </w:trPr>
        <w:tc>
          <w:tcPr>
            <w:tcW w:w="6220" w:type="dxa"/>
            <w:vAlign w:val="bottom"/>
          </w:tcPr>
          <w:p>
            <w:pPr>
              <w:ind w:left="20"/>
              <w:spacing w:after="0"/>
              <w:rPr>
                <w:sz w:val="20"/>
                <w:szCs w:val="20"/>
                <w:color w:val="auto"/>
              </w:rPr>
            </w:pPr>
            <w:r>
              <w:rPr>
                <w:rFonts w:ascii="Arial" w:cs="Arial" w:eastAsia="Arial" w:hAnsi="Arial"/>
                <w:sz w:val="18"/>
                <w:szCs w:val="18"/>
                <w:color w:val="auto"/>
              </w:rPr>
              <w:t>Current income tax expense</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(expense)/benefit</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196"/>
        </w:trPr>
        <w:tc>
          <w:tcPr>
            <w:tcW w:w="6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r>
      <w:tr>
        <w:trPr>
          <w:trHeight w:val="230"/>
        </w:trPr>
        <w:tc>
          <w:tcPr>
            <w:tcW w:w="62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r>
      <w:tr>
        <w:trPr>
          <w:trHeight w:val="248"/>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PAA</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PER COMMON UNIT: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6220" w:type="dxa"/>
            <w:vAlign w:val="bottom"/>
          </w:tcPr>
          <w:p>
            <w:pPr>
              <w:ind w:left="140"/>
              <w:spacing w:after="0"/>
              <w:rPr>
                <w:sz w:val="20"/>
                <w:szCs w:val="20"/>
                <w:color w:val="auto"/>
              </w:rPr>
            </w:pPr>
            <w:r>
              <w:rPr>
                <w:rFonts w:ascii="Arial" w:cs="Arial" w:eastAsia="Arial" w:hAnsi="Arial"/>
                <w:sz w:val="18"/>
                <w:szCs w:val="18"/>
                <w:color w:val="auto"/>
              </w:rPr>
              <w:t>Net income allocated to common unitholders — Basic and Diluted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831</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393</w:t>
            </w:r>
          </w:p>
        </w:tc>
      </w:tr>
      <w:tr>
        <w:trPr>
          <w:trHeight w:val="230"/>
        </w:trPr>
        <w:tc>
          <w:tcPr>
            <w:tcW w:w="6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 and diluted weighted average common units outstanding</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r>
      <w:tr>
        <w:trPr>
          <w:trHeight w:val="230"/>
        </w:trPr>
        <w:tc>
          <w:tcPr>
            <w:tcW w:w="6220" w:type="dxa"/>
            <w:vAlign w:val="bottom"/>
          </w:tcPr>
          <w:p>
            <w:pPr>
              <w:ind w:left="140"/>
              <w:spacing w:after="0"/>
              <w:rPr>
                <w:sz w:val="20"/>
                <w:szCs w:val="20"/>
                <w:color w:val="auto"/>
              </w:rPr>
            </w:pPr>
            <w:r>
              <w:rPr>
                <w:rFonts w:ascii="Arial" w:cs="Arial" w:eastAsia="Arial" w:hAnsi="Arial"/>
                <w:sz w:val="18"/>
                <w:szCs w:val="18"/>
                <w:color w:val="auto"/>
              </w:rPr>
              <w:t>Basic and diluted net income per common unit</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0.55</w:t>
            </w:r>
          </w:p>
        </w:tc>
      </w:tr>
      <w:tr>
        <w:trPr>
          <w:trHeight w:val="20"/>
        </w:trPr>
        <w:tc>
          <w:tcPr>
            <w:tcW w:w="6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auto"/>
        </w:rPr>
        <w:t>Page 7</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6"/>
              </w:rPr>
              <w:t>December 31,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2800" w:type="dxa"/>
            <w:vAlign w:val="bottom"/>
            <w:tcBorders>
              <w:bottom w:val="single" w:sz="8" w:color="CCEEFF"/>
            </w:tcBorders>
          </w:tcPr>
          <w:p>
            <w:pPr>
              <w:spacing w:after="0"/>
              <w:rPr>
                <w:sz w:val="17"/>
                <w:szCs w:val="17"/>
                <w:color w:val="auto"/>
              </w:rPr>
            </w:pPr>
          </w:p>
        </w:tc>
        <w:tc>
          <w:tcPr>
            <w:tcW w:w="1900" w:type="dxa"/>
            <w:vAlign w:val="bottom"/>
            <w:tcBorders>
              <w:bottom w:val="single" w:sz="8" w:color="CCEEFF"/>
            </w:tcBorders>
          </w:tcPr>
          <w:p>
            <w:pPr>
              <w:spacing w:after="0"/>
              <w:rPr>
                <w:sz w:val="17"/>
                <w:szCs w:val="17"/>
                <w:color w:val="auto"/>
              </w:rPr>
            </w:pPr>
          </w:p>
        </w:tc>
        <w:tc>
          <w:tcPr>
            <w:tcW w:w="232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20" w:type="dxa"/>
            <w:vAlign w:val="bottom"/>
            <w:gridSpan w:val="3"/>
          </w:tcPr>
          <w:p>
            <w:pPr>
              <w:spacing w:after="0"/>
              <w:rPr>
                <w:sz w:val="20"/>
                <w:szCs w:val="20"/>
                <w:color w:val="auto"/>
              </w:rPr>
            </w:pPr>
            <w:r>
              <w:rPr>
                <w:rFonts w:ascii="Arial" w:cs="Arial" w:eastAsia="Arial" w:hAnsi="Arial"/>
                <w:sz w:val="18"/>
                <w:szCs w:val="18"/>
                <w:color w:val="auto"/>
              </w:rPr>
              <w:t>Current assets (including Cash and cash equivalents of $401 and $449, respectively)</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5,355</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6,137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15,250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Investments in unconsolidated entities</w:t>
            </w:r>
          </w:p>
        </w:tc>
        <w:tc>
          <w:tcPr>
            <w:tcW w:w="2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3,084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Linefill</w:t>
            </w:r>
          </w:p>
        </w:tc>
        <w:tc>
          <w:tcPr>
            <w:tcW w:w="2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961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operating lease right-of-use assets, net</w:t>
            </w:r>
          </w:p>
        </w:tc>
        <w:tc>
          <w:tcPr>
            <w:tcW w:w="2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349</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Long-term inventory</w:t>
            </w:r>
          </w:p>
        </w:tc>
        <w:tc>
          <w:tcPr>
            <w:tcW w:w="2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284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assets, net</w:t>
            </w:r>
          </w:p>
        </w:tc>
        <w:tc>
          <w:tcPr>
            <w:tcW w:w="2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464</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gridSpan w:val="2"/>
          </w:tcPr>
          <w:p>
            <w:pPr>
              <w:ind w:left="160"/>
              <w:spacing w:after="0"/>
              <w:rPr>
                <w:sz w:val="20"/>
                <w:szCs w:val="20"/>
                <w:color w:val="auto"/>
              </w:rPr>
            </w:pPr>
            <w:r>
              <w:rPr>
                <w:rFonts w:ascii="Arial" w:cs="Arial" w:eastAsia="Arial" w:hAnsi="Arial"/>
                <w:sz w:val="18"/>
                <w:szCs w:val="18"/>
                <w:color w:val="auto"/>
              </w:rPr>
              <w:t>Total assets</w:t>
            </w:r>
          </w:p>
        </w:tc>
        <w:tc>
          <w:tcPr>
            <w:tcW w:w="2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27,892</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28,609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280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2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320" w:type="dxa"/>
            <w:vAlign w:val="bottom"/>
            <w:shd w:val="clear" w:color="auto" w:fill="CCEEFF"/>
          </w:tcPr>
          <w:p>
            <w:pPr>
              <w:spacing w:after="0"/>
              <w:rPr>
                <w:sz w:val="19"/>
                <w:szCs w:val="19"/>
                <w:color w:val="auto"/>
              </w:rPr>
            </w:pP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5,891</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Senior notes, net</w:t>
            </w:r>
          </w:p>
        </w:tc>
        <w:tc>
          <w:tcPr>
            <w:tcW w:w="2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7,237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debt, net</w:t>
            </w:r>
          </w:p>
        </w:tc>
        <w:tc>
          <w:tcPr>
            <w:tcW w:w="2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Long-term operating lease liabilities</w:t>
            </w:r>
          </w:p>
        </w:tc>
        <w:tc>
          <w:tcPr>
            <w:tcW w:w="2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308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 and deferred credits</w:t>
            </w:r>
          </w:p>
        </w:tc>
        <w:tc>
          <w:tcPr>
            <w:tcW w:w="2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1,081</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gridSpan w:val="2"/>
          </w:tcPr>
          <w:p>
            <w:pPr>
              <w:ind w:left="160"/>
              <w:spacing w:after="0"/>
              <w:rPr>
                <w:sz w:val="20"/>
                <w:szCs w:val="20"/>
                <w:color w:val="auto"/>
              </w:rPr>
            </w:pPr>
            <w:r>
              <w:rPr>
                <w:rFonts w:ascii="Arial" w:cs="Arial" w:eastAsia="Arial" w:hAnsi="Arial"/>
                <w:sz w:val="18"/>
                <w:szCs w:val="18"/>
                <w:color w:val="auto"/>
              </w:rPr>
              <w:t>Total liabilities</w:t>
            </w:r>
          </w:p>
        </w:tc>
        <w:tc>
          <w:tcPr>
            <w:tcW w:w="2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14,567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15,799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Partners’ capital excluding noncontrolling interests</w:t>
            </w:r>
          </w:p>
        </w:tc>
        <w:tc>
          <w:tcPr>
            <w:tcW w:w="2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10,057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2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3,268</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2,838</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Total partners’ capital</w:t>
            </w:r>
          </w:p>
        </w:tc>
        <w:tc>
          <w:tcPr>
            <w:tcW w:w="23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13,325</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liabilities and partners’ capital</w:t>
            </w:r>
          </w:p>
        </w:tc>
        <w:tc>
          <w:tcPr>
            <w:tcW w:w="2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27,892</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28,609</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b w:val="1"/>
                <w:bCs w:val="1"/>
                <w:color w:val="auto"/>
              </w:rPr>
              <w:t>DEBT CAPITALIZATION RATIOS</w:t>
            </w:r>
          </w:p>
        </w:tc>
        <w:tc>
          <w:tcPr>
            <w:tcW w:w="23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4720" w:type="dxa"/>
            <w:vAlign w:val="bottom"/>
            <w:gridSpan w:val="3"/>
            <w:vMerge w:val="continue"/>
          </w:tcPr>
          <w:p>
            <w:pPr>
              <w:spacing w:after="0"/>
              <w:rPr>
                <w:sz w:val="24"/>
                <w:szCs w:val="24"/>
                <w:color w:val="auto"/>
              </w:rPr>
            </w:pPr>
          </w:p>
        </w:tc>
        <w:tc>
          <w:tcPr>
            <w:tcW w:w="2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 millions)</w:t>
            </w:r>
          </w:p>
        </w:tc>
        <w:tc>
          <w:tcPr>
            <w:tcW w:w="19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6"/>
              </w:rPr>
              <w:t>December 31,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2800" w:type="dxa"/>
            <w:vAlign w:val="bottom"/>
            <w:tcBorders>
              <w:bottom w:val="single" w:sz="8" w:color="CCEEFF"/>
            </w:tcBorders>
          </w:tcPr>
          <w:p>
            <w:pPr>
              <w:spacing w:after="0"/>
              <w:rPr>
                <w:sz w:val="16"/>
                <w:szCs w:val="16"/>
                <w:color w:val="auto"/>
              </w:rPr>
            </w:pPr>
          </w:p>
        </w:tc>
        <w:tc>
          <w:tcPr>
            <w:tcW w:w="1900" w:type="dxa"/>
            <w:vAlign w:val="bottom"/>
            <w:tcBorders>
              <w:bottom w:val="single" w:sz="8" w:color="CCEEFF"/>
            </w:tcBorders>
          </w:tcPr>
          <w:p>
            <w:pPr>
              <w:spacing w:after="0"/>
              <w:rPr>
                <w:sz w:val="16"/>
                <w:szCs w:val="16"/>
                <w:color w:val="auto"/>
              </w:rPr>
            </w:pPr>
          </w:p>
        </w:tc>
        <w:tc>
          <w:tcPr>
            <w:tcW w:w="232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2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1,159</w:t>
            </w: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822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Long-term debt</w:t>
            </w:r>
          </w:p>
        </w:tc>
        <w:tc>
          <w:tcPr>
            <w:tcW w:w="23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7,287</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8,398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debt</w:t>
            </w:r>
          </w:p>
        </w:tc>
        <w:tc>
          <w:tcPr>
            <w:tcW w:w="2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8,446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9,220</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gridSpan w:val="2"/>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7,287</w:t>
            </w: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8,398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Partners’ capital excluding noncontrolling interests</w:t>
            </w:r>
          </w:p>
        </w:tc>
        <w:tc>
          <w:tcPr>
            <w:tcW w:w="23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10,057</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9,972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0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w w:val="99"/>
              </w:rPr>
              <w:t>Total book capitalization excluding noncontrolling interests (“Total book capitalization”)</w:t>
            </w: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17,344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18,370</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gridSpan w:val="2"/>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gridSpan w:val="2"/>
          </w:tcPr>
          <w:p>
            <w:pPr>
              <w:ind w:left="340"/>
              <w:spacing w:after="0" w:line="203" w:lineRule="exact"/>
              <w:rPr>
                <w:sz w:val="20"/>
                <w:szCs w:val="20"/>
                <w:color w:val="auto"/>
              </w:rPr>
            </w:pPr>
            <w:r>
              <w:rPr>
                <w:rFonts w:ascii="Arial" w:cs="Arial" w:eastAsia="Arial" w:hAnsi="Arial"/>
                <w:sz w:val="18"/>
                <w:szCs w:val="18"/>
                <w:color w:val="auto"/>
              </w:rPr>
              <w:t>Total book capitalization, including short-term debt</w:t>
            </w:r>
          </w:p>
        </w:tc>
        <w:tc>
          <w:tcPr>
            <w:tcW w:w="2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52"/>
              <w:spacing w:after="0" w:line="203" w:lineRule="exact"/>
              <w:rPr>
                <w:sz w:val="20"/>
                <w:szCs w:val="20"/>
                <w:color w:val="auto"/>
              </w:rPr>
            </w:pPr>
            <w:r>
              <w:rPr>
                <w:rFonts w:ascii="Arial" w:cs="Arial" w:eastAsia="Arial" w:hAnsi="Arial"/>
                <w:sz w:val="18"/>
                <w:szCs w:val="18"/>
                <w:color w:val="auto"/>
              </w:rPr>
              <w:t>18,503</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gridSpan w:val="2"/>
          </w:tcPr>
          <w:p>
            <w:pPr>
              <w:jc w:val="right"/>
              <w:ind w:right="40"/>
              <w:spacing w:after="0" w:line="203" w:lineRule="exact"/>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12"/>
              <w:spacing w:after="0" w:line="203" w:lineRule="exact"/>
              <w:rPr>
                <w:sz w:val="20"/>
                <w:szCs w:val="20"/>
                <w:color w:val="auto"/>
              </w:rPr>
            </w:pPr>
            <w:r>
              <w:rPr>
                <w:rFonts w:ascii="Arial" w:cs="Arial" w:eastAsia="Arial" w:hAnsi="Arial"/>
                <w:sz w:val="18"/>
                <w:szCs w:val="18"/>
                <w:color w:val="auto"/>
              </w:rPr>
              <w:t>19,192</w:t>
            </w:r>
          </w:p>
        </w:tc>
        <w:tc>
          <w:tcPr>
            <w:tcW w:w="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80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Long-term debt-to-total book capitalization</w:t>
            </w:r>
          </w:p>
        </w:tc>
        <w:tc>
          <w:tcPr>
            <w:tcW w:w="2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Total debt-to-total book capitalization, including short-term debt</w:t>
            </w:r>
          </w:p>
        </w:tc>
        <w:tc>
          <w:tcPr>
            <w:tcW w:w="2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320" w:type="dxa"/>
            <w:vAlign w:val="bottom"/>
          </w:tcPr>
          <w:p>
            <w:pPr>
              <w:jc w:val="center"/>
              <w:ind w:right="410"/>
              <w:spacing w:after="0"/>
              <w:rPr>
                <w:sz w:val="20"/>
                <w:szCs w:val="20"/>
                <w:color w:val="auto"/>
              </w:rPr>
            </w:pPr>
            <w:r>
              <w:rPr>
                <w:rFonts w:ascii="Arial" w:cs="Arial" w:eastAsia="Arial" w:hAnsi="Arial"/>
                <w:sz w:val="18"/>
                <w:szCs w:val="18"/>
                <w:color w:val="auto"/>
                <w:w w:val="91"/>
              </w:rPr>
              <w:t>- more -</w:t>
            </w: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00" w:type="dxa"/>
            <w:vAlign w:val="bottom"/>
            <w:tcBorders>
              <w:bottom w:val="single" w:sz="8" w:color="auto"/>
            </w:tcBorders>
            <w:gridSpan w:val="2"/>
          </w:tcPr>
          <w:p>
            <w:pPr>
              <w:spacing w:after="0"/>
              <w:rPr>
                <w:sz w:val="11"/>
                <w:szCs w:val="11"/>
                <w:color w:val="auto"/>
              </w:rPr>
            </w:pPr>
          </w:p>
        </w:tc>
        <w:tc>
          <w:tcPr>
            <w:tcW w:w="2320" w:type="dxa"/>
            <w:vAlign w:val="bottom"/>
            <w:tcBorders>
              <w:bottom w:val="single" w:sz="8" w:color="auto"/>
            </w:tcBorders>
          </w:tcPr>
          <w:p>
            <w:pPr>
              <w:spacing w:after="0"/>
              <w:rPr>
                <w:sz w:val="11"/>
                <w:szCs w:val="11"/>
                <w:color w:val="auto"/>
              </w:rPr>
            </w:pPr>
          </w:p>
        </w:tc>
        <w:tc>
          <w:tcPr>
            <w:tcW w:w="2700" w:type="dxa"/>
            <w:vAlign w:val="bottom"/>
            <w:tcBorders>
              <w:bottom w:val="single" w:sz="8" w:color="auto"/>
            </w:tcBorders>
            <w:gridSpan w:val="5"/>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700" w:type="dxa"/>
            <w:vAlign w:val="bottom"/>
            <w:gridSpan w:val="2"/>
          </w:tcPr>
          <w:p>
            <w:pPr>
              <w:ind w:left="1640"/>
              <w:spacing w:after="0"/>
              <w:rPr>
                <w:sz w:val="20"/>
                <w:szCs w:val="20"/>
                <w:color w:val="auto"/>
              </w:rPr>
            </w:pPr>
            <w:r>
              <w:rPr>
                <w:rFonts w:ascii="Arial" w:cs="Arial" w:eastAsia="Arial" w:hAnsi="Arial"/>
                <w:sz w:val="18"/>
                <w:szCs w:val="18"/>
                <w:b w:val="1"/>
                <w:bCs w:val="1"/>
                <w:color w:val="auto"/>
              </w:rPr>
              <w:t>333 Clay Street, Suite 1600</w:t>
            </w:r>
          </w:p>
        </w:tc>
        <w:tc>
          <w:tcPr>
            <w:tcW w:w="2320" w:type="dxa"/>
            <w:vAlign w:val="bottom"/>
          </w:tcPr>
          <w:p>
            <w:pPr>
              <w:jc w:val="center"/>
              <w:ind w:right="430"/>
              <w:spacing w:after="0"/>
              <w:rPr>
                <w:sz w:val="20"/>
                <w:szCs w:val="20"/>
                <w:color w:val="auto"/>
              </w:rPr>
            </w:pPr>
            <w:r>
              <w:rPr>
                <w:rFonts w:ascii="Arial" w:cs="Arial" w:eastAsia="Arial" w:hAnsi="Arial"/>
                <w:sz w:val="18"/>
                <w:szCs w:val="18"/>
                <w:b w:val="1"/>
                <w:bCs w:val="1"/>
                <w:color w:val="auto"/>
                <w:w w:val="88"/>
              </w:rPr>
              <w:t>Houston, Texas 77002</w:t>
            </w:r>
          </w:p>
        </w:tc>
        <w:tc>
          <w:tcPr>
            <w:tcW w:w="2700" w:type="dxa"/>
            <w:vAlign w:val="bottom"/>
            <w:gridSpan w:val="5"/>
          </w:tcPr>
          <w:p>
            <w:pPr>
              <w:jc w:val="right"/>
              <w:ind w:right="60"/>
              <w:spacing w:after="0"/>
              <w:rPr>
                <w:sz w:val="20"/>
                <w:szCs w:val="20"/>
                <w:color w:val="auto"/>
              </w:rPr>
            </w:pPr>
            <w:r>
              <w:rPr>
                <w:rFonts w:ascii="Arial" w:cs="Arial" w:eastAsia="Arial" w:hAnsi="Arial"/>
                <w:sz w:val="18"/>
                <w:szCs w:val="18"/>
                <w:b w:val="1"/>
                <w:bCs w:val="1"/>
                <w:color w:val="auto"/>
              </w:rPr>
              <w:t>713-646-4100 / 866-809-1291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auto"/>
        </w:rPr>
        <w:t>Page 8</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COMPUTATION OF BASIC AND DILUTED NET INCOME PER COMMON UNIT</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unit data)</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020" w:type="dxa"/>
            <w:vAlign w:val="bottom"/>
            <w:gridSpan w:val="4"/>
          </w:tcPr>
          <w:p>
            <w:pPr>
              <w:jc w:val="right"/>
              <w:ind w:right="75"/>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gridSpan w:val="4"/>
          </w:tcPr>
          <w:p>
            <w:pPr>
              <w:jc w:val="right"/>
              <w:ind w:right="452"/>
              <w:spacing w:after="0"/>
              <w:rPr>
                <w:sz w:val="20"/>
                <w:szCs w:val="20"/>
                <w:color w:val="auto"/>
              </w:rPr>
            </w:pPr>
            <w:r>
              <w:rPr>
                <w:rFonts w:ascii="Arial" w:cs="Arial" w:eastAsia="Arial" w:hAnsi="Arial"/>
                <w:sz w:val="14"/>
                <w:szCs w:val="14"/>
                <w:b w:val="1"/>
                <w:bCs w:val="1"/>
                <w:color w:val="auto"/>
              </w:rPr>
              <w:t>Twelve Months Ended</w:t>
            </w:r>
          </w:p>
        </w:tc>
      </w:tr>
      <w:tr>
        <w:trPr>
          <w:trHeight w:val="196"/>
        </w:trPr>
        <w:tc>
          <w:tcPr>
            <w:tcW w:w="38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ind w:right="295"/>
              <w:spacing w:after="0"/>
              <w:rPr>
                <w:sz w:val="20"/>
                <w:szCs w:val="20"/>
                <w:color w:val="auto"/>
              </w:rPr>
            </w:pPr>
            <w:r>
              <w:rPr>
                <w:rFonts w:ascii="Arial" w:cs="Arial" w:eastAsia="Arial" w:hAnsi="Arial"/>
                <w:sz w:val="14"/>
                <w:szCs w:val="14"/>
                <w:b w:val="1"/>
                <w:bCs w:val="1"/>
                <w:color w:val="auto"/>
                <w:w w:val="96"/>
              </w:rPr>
              <w:t>December 31,</w:t>
            </w:r>
          </w:p>
        </w:tc>
        <w:tc>
          <w:tcPr>
            <w:tcW w:w="4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7"/>
                <w:szCs w:val="17"/>
                <w:color w:val="auto"/>
              </w:rPr>
            </w:pPr>
          </w:p>
        </w:tc>
      </w:tr>
      <w:tr>
        <w:trPr>
          <w:trHeight w:val="196"/>
        </w:trPr>
        <w:tc>
          <w:tcPr>
            <w:tcW w:w="3880" w:type="dxa"/>
            <w:vAlign w:val="bottom"/>
            <w:tcBorders>
              <w:bottom w:val="single" w:sz="8" w:color="CCEEFF"/>
            </w:tcBorders>
          </w:tcPr>
          <w:p>
            <w:pPr>
              <w:spacing w:after="0"/>
              <w:rPr>
                <w:sz w:val="17"/>
                <w:szCs w:val="17"/>
                <w:color w:val="auto"/>
              </w:rPr>
            </w:pPr>
          </w:p>
        </w:tc>
        <w:tc>
          <w:tcPr>
            <w:tcW w:w="236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r>
      <w:tr>
        <w:trPr>
          <w:trHeight w:val="216"/>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 Net Income per Common Unit</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29"/>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Net income attributable to PAA</w:t>
            </w:r>
          </w:p>
        </w:tc>
        <w:tc>
          <w:tcPr>
            <w:tcW w:w="740" w:type="dxa"/>
            <w:vAlign w:val="bottom"/>
          </w:tcPr>
          <w:p>
            <w:pPr>
              <w:jc w:val="right"/>
              <w:ind w:right="557"/>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19"/>
                <w:szCs w:val="19"/>
                <w:color w:val="auto"/>
              </w:rPr>
            </w:pPr>
          </w:p>
        </w:tc>
        <w:tc>
          <w:tcPr>
            <w:tcW w:w="760" w:type="dxa"/>
            <w:vAlign w:val="bottom"/>
          </w:tcPr>
          <w:p>
            <w:pPr>
              <w:jc w:val="right"/>
              <w:ind w:right="575"/>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1,037</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593</w:t>
            </w:r>
          </w:p>
        </w:tc>
      </w:tr>
      <w:tr>
        <w:trPr>
          <w:trHeight w:val="230"/>
        </w:trPr>
        <w:tc>
          <w:tcPr>
            <w:tcW w:w="6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Distributions to Series A preferred unitholders</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29"/>
        </w:trPr>
        <w:tc>
          <w:tcPr>
            <w:tcW w:w="6240" w:type="dxa"/>
            <w:vAlign w:val="bottom"/>
            <w:gridSpan w:val="2"/>
          </w:tcPr>
          <w:p>
            <w:pPr>
              <w:ind w:left="180"/>
              <w:spacing w:after="0"/>
              <w:rPr>
                <w:sz w:val="20"/>
                <w:szCs w:val="20"/>
                <w:color w:val="auto"/>
              </w:rPr>
            </w:pPr>
            <w:r>
              <w:rPr>
                <w:rFonts w:ascii="Arial" w:cs="Arial" w:eastAsia="Arial" w:hAnsi="Arial"/>
                <w:sz w:val="18"/>
                <w:szCs w:val="18"/>
                <w:color w:val="auto"/>
              </w:rPr>
              <w:t>Distributions to Series B preferred unitholders</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6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Amounts allocated to participating securities</w:t>
            </w:r>
          </w:p>
        </w:tc>
        <w:tc>
          <w:tcPr>
            <w:tcW w:w="7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Net income allocated to common unitholders</w:t>
            </w:r>
          </w:p>
        </w:tc>
        <w:tc>
          <w:tcPr>
            <w:tcW w:w="740" w:type="dxa"/>
            <w:vAlign w:val="bottom"/>
            <w:tcBorders>
              <w:bottom w:val="single" w:sz="8" w:color="auto"/>
            </w:tcBorders>
          </w:tcPr>
          <w:p>
            <w:pPr>
              <w:jc w:val="right"/>
              <w:ind w:right="557"/>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9"/>
                <w:szCs w:val="19"/>
                <w:color w:val="auto"/>
              </w:rPr>
            </w:pPr>
          </w:p>
        </w:tc>
        <w:tc>
          <w:tcPr>
            <w:tcW w:w="760" w:type="dxa"/>
            <w:vAlign w:val="bottom"/>
            <w:tcBorders>
              <w:bottom w:val="single" w:sz="8" w:color="auto"/>
            </w:tcBorders>
          </w:tcPr>
          <w:p>
            <w:pPr>
              <w:jc w:val="right"/>
              <w:ind w:right="575"/>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83"/>
        </w:trPr>
        <w:tc>
          <w:tcPr>
            <w:tcW w:w="3880" w:type="dxa"/>
            <w:vAlign w:val="bottom"/>
            <w:shd w:val="clear" w:color="auto" w:fill="CCEEFF"/>
          </w:tcPr>
          <w:p>
            <w:pPr>
              <w:spacing w:after="0"/>
              <w:rPr>
                <w:sz w:val="15"/>
                <w:szCs w:val="15"/>
                <w:color w:val="auto"/>
              </w:rPr>
            </w:pPr>
          </w:p>
        </w:tc>
        <w:tc>
          <w:tcPr>
            <w:tcW w:w="23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229"/>
        </w:trPr>
        <w:tc>
          <w:tcPr>
            <w:tcW w:w="62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Basic and diluted weighted average common units outstanding </w:t>
            </w:r>
            <w:r>
              <w:rPr>
                <w:rFonts w:ascii="Arial" w:cs="Arial" w:eastAsia="Arial" w:hAnsi="Arial"/>
                <w:sz w:val="23"/>
                <w:szCs w:val="23"/>
                <w:color w:val="auto"/>
                <w:vertAlign w:val="superscript"/>
              </w:rPr>
              <w:t>(2) (3)</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716</w:t>
            </w:r>
          </w:p>
        </w:tc>
      </w:tr>
      <w:tr>
        <w:trPr>
          <w:trHeight w:val="216"/>
        </w:trPr>
        <w:tc>
          <w:tcPr>
            <w:tcW w:w="388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30"/>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Basic and diluted net income per common unit</w:t>
            </w:r>
          </w:p>
        </w:tc>
        <w:tc>
          <w:tcPr>
            <w:tcW w:w="740" w:type="dxa"/>
            <w:vAlign w:val="bottom"/>
            <w:tcBorders>
              <w:bottom w:val="single" w:sz="8" w:color="auto"/>
            </w:tcBorders>
          </w:tcPr>
          <w:p>
            <w:pPr>
              <w:jc w:val="right"/>
              <w:ind w:right="557"/>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0.30</w:t>
            </w:r>
          </w:p>
        </w:tc>
        <w:tc>
          <w:tcPr>
            <w:tcW w:w="100" w:type="dxa"/>
            <w:vAlign w:val="bottom"/>
          </w:tcPr>
          <w:p>
            <w:pPr>
              <w:spacing w:after="0"/>
              <w:rPr>
                <w:sz w:val="19"/>
                <w:szCs w:val="19"/>
                <w:color w:val="auto"/>
              </w:rPr>
            </w:pPr>
          </w:p>
        </w:tc>
        <w:tc>
          <w:tcPr>
            <w:tcW w:w="760" w:type="dxa"/>
            <w:vAlign w:val="bottom"/>
            <w:tcBorders>
              <w:bottom w:val="single" w:sz="8" w:color="auto"/>
            </w:tcBorders>
          </w:tcPr>
          <w:p>
            <w:pPr>
              <w:jc w:val="right"/>
              <w:ind w:right="575"/>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0.56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0.55</w:t>
            </w:r>
          </w:p>
        </w:tc>
      </w:tr>
      <w:tr>
        <w:trPr>
          <w:trHeight w:val="20"/>
        </w:trPr>
        <w:tc>
          <w:tcPr>
            <w:tcW w:w="38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8"/>
        </w:trPr>
        <w:tc>
          <w:tcPr>
            <w:tcW w:w="3880" w:type="dxa"/>
            <w:vAlign w:val="bottom"/>
            <w:tcBorders>
              <w:bottom w:val="single" w:sz="8" w:color="auto"/>
            </w:tcBorders>
          </w:tcPr>
          <w:p>
            <w:pPr>
              <w:spacing w:after="0"/>
              <w:rPr>
                <w:sz w:val="11"/>
                <w:szCs w:val="11"/>
                <w:color w:val="auto"/>
              </w:rPr>
            </w:pPr>
          </w:p>
        </w:tc>
        <w:tc>
          <w:tcPr>
            <w:tcW w:w="2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r>
    </w:tbl>
    <w:p>
      <w:pPr>
        <w:spacing w:after="0" w:line="134" w:lineRule="exact"/>
        <w:rPr>
          <w:sz w:val="20"/>
          <w:szCs w:val="20"/>
          <w:color w:val="auto"/>
        </w:rPr>
      </w:pPr>
    </w:p>
    <w:p>
      <w:pPr>
        <w:ind w:left="340" w:right="200" w:hanging="332"/>
        <w:spacing w:after="0" w:line="238" w:lineRule="auto"/>
        <w:tabs>
          <w:tab w:leader="none" w:pos="328"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We calculate net income allocated to common unitholders based on the distributions pertaining to the current period’s net income. After adjusting for the appropriate period’s distributions, the remaining undistributed earnings or excess distributions over earnings, if any, are allocated to common unitholders and participating securities in accordance with the contractual terms of our partnership agreement in effect for the period and as further prescribed under the two-class method.</w:t>
      </w:r>
    </w:p>
    <w:p>
      <w:pPr>
        <w:spacing w:after="0" w:line="39" w:lineRule="exact"/>
        <w:rPr>
          <w:rFonts w:ascii="Arial" w:cs="Arial" w:eastAsia="Arial" w:hAnsi="Arial"/>
          <w:sz w:val="23"/>
          <w:szCs w:val="23"/>
          <w:color w:val="auto"/>
          <w:vertAlign w:val="superscript"/>
        </w:rPr>
      </w:pPr>
    </w:p>
    <w:p>
      <w:pPr>
        <w:ind w:left="340" w:right="340" w:hanging="332"/>
        <w:spacing w:after="0" w:line="267" w:lineRule="auto"/>
        <w:tabs>
          <w:tab w:leader="none" w:pos="328"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The possible conversion of our Series A preferred units was excluded from the calculation of diluted net income per common unit for the three and twelve months ended December 31, 2022 and 2021 as the effect was either antidilutive or did not change net income per common unit.</w:t>
      </w:r>
    </w:p>
    <w:p>
      <w:pPr>
        <w:spacing w:after="0" w:line="12" w:lineRule="exact"/>
        <w:rPr>
          <w:rFonts w:ascii="Arial" w:cs="Arial" w:eastAsia="Arial" w:hAnsi="Arial"/>
          <w:sz w:val="21"/>
          <w:szCs w:val="21"/>
          <w:color w:val="auto"/>
          <w:vertAlign w:val="superscript"/>
        </w:rPr>
      </w:pPr>
    </w:p>
    <w:p>
      <w:pPr>
        <w:ind w:left="340" w:right="280" w:hanging="332"/>
        <w:spacing w:after="0" w:line="275" w:lineRule="auto"/>
        <w:tabs>
          <w:tab w:leader="none" w:pos="328"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Our equity-indexed compensation plan awards that contemplate the issuance of common units are considered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 For the three and twelve months ended December 31, 2022 and 2021, the effect of equity-indexed compensation plan awards was either antidilutive or did not change net income per common unit.</w:t>
      </w:r>
    </w:p>
    <w:p>
      <w:pPr>
        <w:spacing w:after="0" w:line="162" w:lineRule="exact"/>
        <w:rPr>
          <w:rFonts w:ascii="Arial" w:cs="Arial" w:eastAsia="Arial" w:hAnsi="Arial"/>
          <w:sz w:val="21"/>
          <w:szCs w:val="21"/>
          <w:color w:val="auto"/>
          <w:vertAlign w:val="superscript"/>
        </w:rPr>
      </w:pPr>
    </w:p>
    <w:p>
      <w:pPr>
        <w:ind w:left="5440" w:hanging="106"/>
        <w:spacing w:after="0"/>
        <w:tabs>
          <w:tab w:leader="none" w:pos="5440" w:val="left"/>
        </w:tabs>
        <w:numPr>
          <w:ilvl w:val="1"/>
          <w:numId w:val="9"/>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auto"/>
        </w:rPr>
        <w:t>Page 9</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COMPUTATION OF BASIC AND DILUTED ADJUSTED NET INCOME PER COMMON UNIT</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unit data)</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000" w:type="dxa"/>
            <w:vAlign w:val="bottom"/>
            <w:gridSpan w:val="4"/>
          </w:tcPr>
          <w:p>
            <w:pPr>
              <w:jc w:val="right"/>
              <w:ind w:right="54"/>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gridSpan w:val="4"/>
          </w:tcPr>
          <w:p>
            <w:pPr>
              <w:jc w:val="right"/>
              <w:ind w:right="452"/>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92"/>
        </w:trPr>
        <w:tc>
          <w:tcPr>
            <w:tcW w:w="38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274"/>
              <w:spacing w:after="0"/>
              <w:rPr>
                <w:sz w:val="20"/>
                <w:szCs w:val="20"/>
                <w:color w:val="auto"/>
              </w:rPr>
            </w:pPr>
            <w:r>
              <w:rPr>
                <w:rFonts w:ascii="Arial" w:cs="Arial" w:eastAsia="Arial" w:hAnsi="Arial"/>
                <w:sz w:val="14"/>
                <w:szCs w:val="14"/>
                <w:b w:val="1"/>
                <w:bCs w:val="1"/>
                <w:color w:val="auto"/>
                <w:w w:val="96"/>
              </w:rPr>
              <w:t>December 31,</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880" w:type="dxa"/>
            <w:vAlign w:val="bottom"/>
            <w:tcBorders>
              <w:bottom w:val="single" w:sz="8" w:color="CCEEFF"/>
            </w:tcBorders>
          </w:tcPr>
          <w:p>
            <w:pPr>
              <w:spacing w:after="0"/>
              <w:rPr>
                <w:sz w:val="17"/>
                <w:szCs w:val="17"/>
                <w:color w:val="auto"/>
              </w:rPr>
            </w:pPr>
          </w:p>
        </w:tc>
        <w:tc>
          <w:tcPr>
            <w:tcW w:w="236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6"/>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 Adjusted Net Income per Common Unit</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Net income attributable to PAA</w:t>
            </w:r>
          </w:p>
        </w:tc>
        <w:tc>
          <w:tcPr>
            <w:tcW w:w="740" w:type="dxa"/>
            <w:vAlign w:val="bottom"/>
          </w:tcPr>
          <w:p>
            <w:pPr>
              <w:jc w:val="right"/>
              <w:ind w:right="556"/>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19"/>
                <w:szCs w:val="19"/>
                <w:color w:val="auto"/>
              </w:rPr>
            </w:pPr>
          </w:p>
        </w:tc>
        <w:tc>
          <w:tcPr>
            <w:tcW w:w="740" w:type="dxa"/>
            <w:vAlign w:val="bottom"/>
          </w:tcPr>
          <w:p>
            <w:pPr>
              <w:jc w:val="right"/>
              <w:ind w:right="554"/>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1,037</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176"/>
        </w:trPr>
        <w:tc>
          <w:tcPr>
            <w:tcW w:w="624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8"/>
                <w:szCs w:val="18"/>
                <w:color w:val="auto"/>
                <w:w w:val="93"/>
              </w:rPr>
              <w:t>Selected items impacting comparability - Adjusted net income attributable to PAA</w:t>
            </w:r>
          </w:p>
        </w:tc>
        <w:tc>
          <w:tcPr>
            <w:tcW w:w="740" w:type="dxa"/>
            <w:vAlign w:val="bottom"/>
            <w:shd w:val="clear" w:color="auto" w:fill="CCEEFF"/>
          </w:tcPr>
          <w:p>
            <w:pPr>
              <w:spacing w:after="0"/>
              <w:rPr>
                <w:sz w:val="15"/>
                <w:szCs w:val="15"/>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(219)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175"/>
        </w:trPr>
        <w:tc>
          <w:tcPr>
            <w:tcW w:w="3880" w:type="dxa"/>
            <w:vAlign w:val="bottom"/>
            <w:shd w:val="clear" w:color="auto" w:fill="CCEEFF"/>
          </w:tcPr>
          <w:p>
            <w:pPr>
              <w:ind w:left="360"/>
              <w:spacing w:after="0"/>
              <w:rPr>
                <w:sz w:val="20"/>
                <w:szCs w:val="20"/>
                <w:color w:val="auto"/>
              </w:rPr>
            </w:pPr>
            <w:r>
              <w:rPr>
                <w:rFonts w:ascii="Arial" w:cs="Arial" w:eastAsia="Arial" w:hAnsi="Arial"/>
                <w:sz w:val="12"/>
                <w:szCs w:val="12"/>
                <w:color w:val="auto"/>
              </w:rPr>
              <w:t>(2)</w:t>
            </w:r>
          </w:p>
        </w:tc>
        <w:tc>
          <w:tcPr>
            <w:tcW w:w="2360" w:type="dxa"/>
            <w:vAlign w:val="bottom"/>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Adjusted net income attributable to PAA</w:t>
            </w:r>
          </w:p>
        </w:tc>
        <w:tc>
          <w:tcPr>
            <w:tcW w:w="740" w:type="dxa"/>
            <w:vAlign w:val="bottom"/>
          </w:tcPr>
          <w:p>
            <w:pPr>
              <w:jc w:val="right"/>
              <w:ind w:right="556"/>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19"/>
                <w:szCs w:val="19"/>
                <w:color w:val="auto"/>
              </w:rPr>
            </w:pPr>
          </w:p>
        </w:tc>
        <w:tc>
          <w:tcPr>
            <w:tcW w:w="740" w:type="dxa"/>
            <w:vAlign w:val="bottom"/>
          </w:tcPr>
          <w:p>
            <w:pPr>
              <w:jc w:val="right"/>
              <w:ind w:right="554"/>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1,091</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29"/>
        </w:trPr>
        <w:tc>
          <w:tcPr>
            <w:tcW w:w="6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Distributions to Series A preferred unitholders</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30"/>
        </w:trPr>
        <w:tc>
          <w:tcPr>
            <w:tcW w:w="6240" w:type="dxa"/>
            <w:vAlign w:val="bottom"/>
            <w:gridSpan w:val="2"/>
          </w:tcPr>
          <w:p>
            <w:pPr>
              <w:ind w:left="180"/>
              <w:spacing w:after="0"/>
              <w:rPr>
                <w:sz w:val="20"/>
                <w:szCs w:val="20"/>
                <w:color w:val="auto"/>
              </w:rPr>
            </w:pPr>
            <w:r>
              <w:rPr>
                <w:rFonts w:ascii="Arial" w:cs="Arial" w:eastAsia="Arial" w:hAnsi="Arial"/>
                <w:sz w:val="18"/>
                <w:szCs w:val="18"/>
                <w:color w:val="auto"/>
              </w:rPr>
              <w:t>Distributions to Series B preferred unitholders</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9"/>
        </w:trPr>
        <w:tc>
          <w:tcPr>
            <w:tcW w:w="6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Amounts allocated to participating securities</w:t>
            </w:r>
          </w:p>
        </w:tc>
        <w:tc>
          <w:tcPr>
            <w:tcW w:w="7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Adjusted net income allocated to common unitholders</w:t>
            </w:r>
          </w:p>
        </w:tc>
        <w:tc>
          <w:tcPr>
            <w:tcW w:w="740" w:type="dxa"/>
            <w:vAlign w:val="bottom"/>
            <w:tcBorders>
              <w:bottom w:val="single" w:sz="8" w:color="auto"/>
            </w:tcBorders>
          </w:tcPr>
          <w:p>
            <w:pPr>
              <w:jc w:val="right"/>
              <w:ind w:right="55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ind w:right="554"/>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8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Basic and diluted weighted average common units outstanding </w:t>
            </w:r>
            <w:r>
              <w:rPr>
                <w:rFonts w:ascii="Arial" w:cs="Arial" w:eastAsia="Arial" w:hAnsi="Arial"/>
                <w:sz w:val="23"/>
                <w:szCs w:val="23"/>
                <w:color w:val="auto"/>
                <w:vertAlign w:val="superscript"/>
              </w:rPr>
              <w:t>(3) (4)</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57"/>
        </w:trPr>
        <w:tc>
          <w:tcPr>
            <w:tcW w:w="3880" w:type="dxa"/>
            <w:vAlign w:val="bottom"/>
            <w:shd w:val="clear" w:color="auto" w:fill="CCEEFF"/>
          </w:tcPr>
          <w:p>
            <w:pPr>
              <w:spacing w:after="0"/>
              <w:rPr>
                <w:sz w:val="22"/>
                <w:szCs w:val="22"/>
                <w:color w:val="auto"/>
              </w:rPr>
            </w:pPr>
          </w:p>
        </w:tc>
        <w:tc>
          <w:tcPr>
            <w:tcW w:w="23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Basic and diluted adjusted net income per common unit</w:t>
            </w:r>
          </w:p>
        </w:tc>
        <w:tc>
          <w:tcPr>
            <w:tcW w:w="740" w:type="dxa"/>
            <w:vAlign w:val="bottom"/>
            <w:tcBorders>
              <w:bottom w:val="single" w:sz="8" w:color="auto"/>
            </w:tcBorders>
          </w:tcPr>
          <w:p>
            <w:pPr>
              <w:jc w:val="right"/>
              <w:ind w:right="55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0.33</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ind w:right="554"/>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0.25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21"/>
        </w:trPr>
        <w:tc>
          <w:tcPr>
            <w:tcW w:w="38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3880" w:type="dxa"/>
            <w:vAlign w:val="bottom"/>
            <w:tcBorders>
              <w:bottom w:val="single" w:sz="8" w:color="auto"/>
            </w:tcBorders>
          </w:tcPr>
          <w:p>
            <w:pPr>
              <w:spacing w:after="0"/>
              <w:rPr>
                <w:sz w:val="12"/>
                <w:szCs w:val="12"/>
                <w:color w:val="auto"/>
              </w:rPr>
            </w:pPr>
          </w:p>
        </w:tc>
        <w:tc>
          <w:tcPr>
            <w:tcW w:w="2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340" w:right="120" w:hanging="332"/>
        <w:spacing w:after="0" w:line="238" w:lineRule="auto"/>
        <w:tabs>
          <w:tab w:leader="none" w:pos="328"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We calculate adjusted net income allocated to common unitholders based on the distributions pertaining to the current period’s net income. After adjusting for the appropriate period’s distributions, the remaining undistributed earnings or excess distributions over earnings, if any, are allocated to the common unitholders and participating securities in accordance with the contractual terms of our partnership agreement in effect for the period and as further prescribed under the two-class method.</w:t>
      </w:r>
    </w:p>
    <w:p>
      <w:pPr>
        <w:spacing w:after="0" w:line="5"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See the “Selected Items Impacting Comparability” table for additional information.</w:t>
      </w:r>
    </w:p>
    <w:p>
      <w:pPr>
        <w:spacing w:after="0" w:line="55" w:lineRule="exact"/>
        <w:rPr>
          <w:rFonts w:ascii="Arial" w:cs="Arial" w:eastAsia="Arial" w:hAnsi="Arial"/>
          <w:sz w:val="23"/>
          <w:szCs w:val="23"/>
          <w:color w:val="auto"/>
          <w:vertAlign w:val="superscript"/>
        </w:rPr>
      </w:pPr>
    </w:p>
    <w:p>
      <w:pPr>
        <w:ind w:left="340" w:right="400" w:hanging="332"/>
        <w:spacing w:after="0" w:line="219" w:lineRule="auto"/>
        <w:tabs>
          <w:tab w:leader="none" w:pos="328"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The possible conversion of our Series A preferred units was excluded from the calculation of diluted adjusted net income per common unit for the three and twelve months ended December 31, 2022 and 2021 as the effect was antidilutive.</w:t>
      </w:r>
    </w:p>
    <w:p>
      <w:pPr>
        <w:spacing w:after="0" w:line="39" w:lineRule="exact"/>
        <w:rPr>
          <w:rFonts w:ascii="Arial" w:cs="Arial" w:eastAsia="Arial" w:hAnsi="Arial"/>
          <w:sz w:val="23"/>
          <w:szCs w:val="23"/>
          <w:color w:val="auto"/>
          <w:vertAlign w:val="superscript"/>
        </w:rPr>
      </w:pPr>
    </w:p>
    <w:p>
      <w:pPr>
        <w:ind w:left="340" w:right="280" w:hanging="332"/>
        <w:spacing w:after="0" w:line="257" w:lineRule="auto"/>
        <w:tabs>
          <w:tab w:leader="none" w:pos="328" w:val="left"/>
        </w:tabs>
        <w:numPr>
          <w:ilvl w:val="0"/>
          <w:numId w:val="10"/>
        </w:numPr>
        <w:rPr>
          <w:rFonts w:ascii="Arial" w:cs="Arial" w:eastAsia="Arial" w:hAnsi="Arial"/>
          <w:sz w:val="22"/>
          <w:szCs w:val="22"/>
          <w:color w:val="auto"/>
          <w:vertAlign w:val="superscript"/>
        </w:rPr>
      </w:pPr>
      <w:r>
        <w:rPr>
          <w:rFonts w:ascii="Arial" w:cs="Arial" w:eastAsia="Arial" w:hAnsi="Arial"/>
          <w:sz w:val="17"/>
          <w:szCs w:val="17"/>
          <w:color w:val="auto"/>
        </w:rPr>
        <w:t>Our equity-indexed compensation plan awards that contemplate the issuance of common units are considered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 For the three and twelve months ended December 31, 2022 and 2021, the effect of equity-indexed compensation plan awards did not change adjusted net income per common unit.</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Income Per Common Unit to Adjusted Net Income Per Common Unit Reconciliation:</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540" w:type="dxa"/>
            <w:vAlign w:val="bottom"/>
            <w:gridSpan w:val="6"/>
          </w:tcPr>
          <w:p>
            <w:pPr>
              <w:ind w:left="5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80" w:type="dxa"/>
            <w:vAlign w:val="bottom"/>
            <w:gridSpan w:val="4"/>
          </w:tcPr>
          <w:p>
            <w:pPr>
              <w:ind w:left="260"/>
              <w:spacing w:after="0"/>
              <w:rPr>
                <w:sz w:val="20"/>
                <w:szCs w:val="20"/>
                <w:color w:val="auto"/>
              </w:rPr>
            </w:pPr>
            <w:r>
              <w:rPr>
                <w:rFonts w:ascii="Arial" w:cs="Arial" w:eastAsia="Arial" w:hAnsi="Arial"/>
                <w:sz w:val="14"/>
                <w:szCs w:val="14"/>
                <w:b w:val="1"/>
                <w:bCs w:val="1"/>
                <w:color w:val="auto"/>
              </w:rPr>
              <w:t>Twelve Months Ended</w:t>
            </w:r>
          </w:p>
        </w:tc>
      </w:tr>
      <w:tr>
        <w:trPr>
          <w:trHeight w:val="196"/>
        </w:trPr>
        <w:tc>
          <w:tcPr>
            <w:tcW w:w="38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December 31,</w:t>
            </w: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w w:val="92"/>
              </w:rPr>
              <w:t>December 31,</w:t>
            </w:r>
          </w:p>
        </w:tc>
        <w:tc>
          <w:tcPr>
            <w:tcW w:w="780" w:type="dxa"/>
            <w:vAlign w:val="bottom"/>
            <w:tcBorders>
              <w:bottom w:val="single" w:sz="8" w:color="auto"/>
            </w:tcBorders>
          </w:tcPr>
          <w:p>
            <w:pPr>
              <w:spacing w:after="0"/>
              <w:rPr>
                <w:sz w:val="17"/>
                <w:szCs w:val="17"/>
                <w:color w:val="auto"/>
              </w:rPr>
            </w:pPr>
          </w:p>
        </w:tc>
      </w:tr>
      <w:tr>
        <w:trPr>
          <w:trHeight w:val="196"/>
        </w:trPr>
        <w:tc>
          <w:tcPr>
            <w:tcW w:w="3880" w:type="dxa"/>
            <w:vAlign w:val="bottom"/>
            <w:tcBorders>
              <w:bottom w:val="single" w:sz="8" w:color="CCEEFF"/>
            </w:tcBorders>
          </w:tcPr>
          <w:p>
            <w:pPr>
              <w:spacing w:after="0"/>
              <w:rPr>
                <w:sz w:val="17"/>
                <w:szCs w:val="17"/>
                <w:color w:val="auto"/>
              </w:rPr>
            </w:pPr>
          </w:p>
        </w:tc>
        <w:tc>
          <w:tcPr>
            <w:tcW w:w="236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r>
      <w:tr>
        <w:trPr>
          <w:trHeight w:val="230"/>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and diluted net income per common unit</w:t>
            </w:r>
          </w:p>
        </w:tc>
        <w:tc>
          <w:tcPr>
            <w:tcW w:w="740" w:type="dxa"/>
            <w:vAlign w:val="bottom"/>
            <w:shd w:val="clear" w:color="auto" w:fill="CCEEFF"/>
          </w:tcPr>
          <w:p>
            <w:pPr>
              <w:jc w:val="right"/>
              <w:ind w:right="55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0.30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center"/>
              <w:ind w:left="215"/>
              <w:spacing w:after="0"/>
              <w:rPr>
                <w:sz w:val="20"/>
                <w:szCs w:val="20"/>
                <w:color w:val="auto"/>
              </w:rPr>
            </w:pPr>
            <w:r>
              <w:rPr>
                <w:rFonts w:ascii="Arial" w:cs="Arial" w:eastAsia="Arial" w:hAnsi="Arial"/>
                <w:sz w:val="18"/>
                <w:szCs w:val="18"/>
                <w:color w:val="auto"/>
                <w:w w:val="91"/>
              </w:rPr>
              <w:t>0.56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r>
      <w:tr>
        <w:trPr>
          <w:trHeight w:val="230"/>
        </w:trPr>
        <w:tc>
          <w:tcPr>
            <w:tcW w:w="624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Selected items impacting comparability per common unit </w:t>
            </w:r>
            <w:r>
              <w:rPr>
                <w:rFonts w:ascii="Arial" w:cs="Arial" w:eastAsia="Arial" w:hAnsi="Arial"/>
                <w:sz w:val="23"/>
                <w:szCs w:val="23"/>
                <w:color w:val="auto"/>
                <w:vertAlign w:val="superscript"/>
              </w:rPr>
              <w:t>(1)</w:t>
            </w: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0.03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left="195"/>
              <w:spacing w:after="0"/>
              <w:rPr>
                <w:sz w:val="20"/>
                <w:szCs w:val="20"/>
                <w:color w:val="auto"/>
              </w:rPr>
            </w:pPr>
            <w:r>
              <w:rPr>
                <w:rFonts w:ascii="Arial" w:cs="Arial" w:eastAsia="Arial" w:hAnsi="Arial"/>
                <w:sz w:val="18"/>
                <w:szCs w:val="18"/>
                <w:color w:val="auto"/>
                <w:w w:val="89"/>
              </w:rPr>
              <w:t>(0.31)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0.40</w:t>
            </w:r>
          </w:p>
        </w:tc>
      </w:tr>
      <w:tr>
        <w:trPr>
          <w:trHeight w:val="248"/>
        </w:trPr>
        <w:tc>
          <w:tcPr>
            <w:tcW w:w="6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Basic and diluted adjusted net income per common unit</w:t>
            </w:r>
          </w:p>
        </w:tc>
        <w:tc>
          <w:tcPr>
            <w:tcW w:w="740" w:type="dxa"/>
            <w:vAlign w:val="bottom"/>
            <w:tcBorders>
              <w:bottom w:val="single" w:sz="8" w:color="auto"/>
            </w:tcBorders>
            <w:shd w:val="clear" w:color="auto" w:fill="CCEEFF"/>
          </w:tcPr>
          <w:p>
            <w:pPr>
              <w:jc w:val="right"/>
              <w:ind w:right="55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0.33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center"/>
              <w:ind w:left="215"/>
              <w:spacing w:after="0"/>
              <w:rPr>
                <w:sz w:val="20"/>
                <w:szCs w:val="20"/>
                <w:color w:val="auto"/>
              </w:rPr>
            </w:pPr>
            <w:r>
              <w:rPr>
                <w:rFonts w:ascii="Arial" w:cs="Arial" w:eastAsia="Arial" w:hAnsi="Arial"/>
                <w:sz w:val="18"/>
                <w:szCs w:val="18"/>
                <w:color w:val="auto"/>
                <w:w w:val="91"/>
              </w:rPr>
              <w:t>0.25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0.95</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3880" w:type="dxa"/>
            <w:vAlign w:val="bottom"/>
            <w:tcBorders>
              <w:bottom w:val="single" w:sz="8" w:color="auto"/>
            </w:tcBorders>
          </w:tcPr>
          <w:p>
            <w:pPr>
              <w:spacing w:after="0"/>
              <w:rPr>
                <w:sz w:val="9"/>
                <w:szCs w:val="9"/>
                <w:color w:val="auto"/>
              </w:rPr>
            </w:pPr>
          </w:p>
        </w:tc>
        <w:tc>
          <w:tcPr>
            <w:tcW w:w="2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r>
    </w:tbl>
    <w:p>
      <w:pPr>
        <w:spacing w:after="0" w:line="134" w:lineRule="exact"/>
        <w:rPr>
          <w:sz w:val="20"/>
          <w:szCs w:val="20"/>
          <w:color w:val="auto"/>
        </w:rPr>
      </w:pPr>
    </w:p>
    <w:p>
      <w:pPr>
        <w:ind w:left="340" w:right="360" w:hanging="332"/>
        <w:spacing w:after="0" w:line="227" w:lineRule="auto"/>
        <w:tabs>
          <w:tab w:leader="none" w:pos="328"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See the “Selected Items Impacting Comparability” and the “Computation of Basic and Diluted Adjusted Net Income Per Common Unit” tables for additional information.</w:t>
      </w:r>
    </w:p>
    <w:p>
      <w:pPr>
        <w:spacing w:after="0" w:line="242" w:lineRule="exact"/>
        <w:rPr>
          <w:rFonts w:ascii="Arial" w:cs="Arial" w:eastAsia="Arial" w:hAnsi="Arial"/>
          <w:sz w:val="23"/>
          <w:szCs w:val="23"/>
          <w:color w:val="auto"/>
          <w:vertAlign w:val="superscript"/>
        </w:rPr>
      </w:pPr>
    </w:p>
    <w:p>
      <w:pPr>
        <w:ind w:left="5440" w:hanging="106"/>
        <w:spacing w:after="0"/>
        <w:tabs>
          <w:tab w:leader="none" w:pos="54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auto"/>
        </w:rPr>
        <w:t>Page 10</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and ratio data)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to Adjusted EBITDA attributable to PAA and Implied DCF Reconciliation:</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80" w:type="dxa"/>
            <w:vAlign w:val="bottom"/>
            <w:gridSpan w:val="4"/>
          </w:tcPr>
          <w:p>
            <w:pPr>
              <w:jc w:val="right"/>
              <w:ind w:right="451"/>
              <w:spacing w:after="0"/>
              <w:rPr>
                <w:sz w:val="20"/>
                <w:szCs w:val="20"/>
                <w:color w:val="auto"/>
              </w:rPr>
            </w:pPr>
            <w:r>
              <w:rPr>
                <w:rFonts w:ascii="Arial" w:cs="Arial" w:eastAsia="Arial" w:hAnsi="Arial"/>
                <w:sz w:val="14"/>
                <w:szCs w:val="14"/>
                <w:b w:val="1"/>
                <w:bCs w:val="1"/>
                <w:color w:val="auto"/>
              </w:rPr>
              <w:t>Twelve Months Ended</w:t>
            </w:r>
          </w:p>
        </w:tc>
      </w:tr>
      <w:tr>
        <w:trPr>
          <w:trHeight w:val="196"/>
        </w:trPr>
        <w:tc>
          <w:tcPr>
            <w:tcW w:w="6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7"/>
                <w:szCs w:val="17"/>
                <w:color w:val="auto"/>
              </w:rPr>
            </w:pPr>
          </w:p>
        </w:tc>
      </w:tr>
      <w:tr>
        <w:trPr>
          <w:trHeight w:val="196"/>
        </w:trPr>
        <w:tc>
          <w:tcPr>
            <w:tcW w:w="62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2021</w:t>
            </w: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r>
      <w:tr>
        <w:trPr>
          <w:trHeight w:val="229"/>
        </w:trPr>
        <w:tc>
          <w:tcPr>
            <w:tcW w:w="622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425</w:t>
            </w:r>
          </w:p>
        </w:tc>
      </w:tr>
      <w:tr>
        <w:trPr>
          <w:trHeight w:val="229"/>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62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774</w:t>
            </w:r>
          </w:p>
        </w:tc>
      </w:tr>
      <w:tr>
        <w:trPr>
          <w:trHeight w:val="229"/>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(Gains)/losses on asset sales and asset impairments, net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r>
      <w:tr>
        <w:trPr>
          <w:trHeight w:val="229"/>
        </w:trPr>
        <w:tc>
          <w:tcPr>
            <w:tcW w:w="6220" w:type="dxa"/>
            <w:vAlign w:val="bottom"/>
          </w:tcPr>
          <w:p>
            <w:pPr>
              <w:ind w:left="180"/>
              <w:spacing w:after="0"/>
              <w:rPr>
                <w:sz w:val="20"/>
                <w:szCs w:val="20"/>
                <w:color w:val="auto"/>
              </w:rPr>
            </w:pPr>
            <w:r>
              <w:rPr>
                <w:rFonts w:ascii="Arial" w:cs="Arial" w:eastAsia="Arial" w:hAnsi="Arial"/>
                <w:sz w:val="18"/>
                <w:szCs w:val="18"/>
                <w:color w:val="auto"/>
              </w:rPr>
              <w:t>(Gain)/loss on investments in unconsolidated entities, net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622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29"/>
        </w:trPr>
        <w:tc>
          <w:tcPr>
            <w:tcW w:w="6220" w:type="dxa"/>
            <w:vAlign w:val="bottom"/>
            <w:tcBorders>
              <w:bottom w:val="single" w:sz="8" w:color="CCEEFF"/>
            </w:tcBorders>
          </w:tcPr>
          <w:p>
            <w:pPr>
              <w:ind w:left="180"/>
              <w:spacing w:after="0" w:line="230" w:lineRule="exact"/>
              <w:rPr>
                <w:sz w:val="20"/>
                <w:szCs w:val="20"/>
                <w:color w:val="auto"/>
              </w:rPr>
            </w:pPr>
            <w:r>
              <w:rPr>
                <w:rFonts w:ascii="Arial" w:cs="Arial" w:eastAsia="Arial" w:hAnsi="Arial"/>
                <w:sz w:val="18"/>
                <w:szCs w:val="18"/>
                <w:color w:val="auto"/>
              </w:rPr>
              <w:t xml:space="preserve">Selected items impacting comparability - Adjusted EBITDA </w:t>
            </w:r>
            <w:r>
              <w:rPr>
                <w:rFonts w:ascii="Arial" w:cs="Arial" w:eastAsia="Arial" w:hAnsi="Arial"/>
                <w:sz w:val="23"/>
                <w:szCs w:val="23"/>
                <w:color w:val="auto"/>
                <w:vertAlign w:val="superscript"/>
              </w:rPr>
              <w:t>(2)</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r>
      <w:tr>
        <w:trPr>
          <w:trHeight w:val="223"/>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w:t>
            </w:r>
          </w:p>
        </w:tc>
      </w:tr>
      <w:tr>
        <w:trPr>
          <w:trHeight w:val="229"/>
        </w:trPr>
        <w:tc>
          <w:tcPr>
            <w:tcW w:w="62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Adjusted EBITDA attributable to noncontrolling interests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r>
      <w:tr>
        <w:trPr>
          <w:trHeight w:val="248"/>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 attributable to PAA</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2,196</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w:t>
            </w:r>
          </w:p>
        </w:tc>
      </w:tr>
      <w:tr>
        <w:trPr>
          <w:trHeight w:val="230"/>
        </w:trPr>
        <w:tc>
          <w:tcPr>
            <w:tcW w:w="622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Interest expense, net of certain non-cash items </w:t>
            </w:r>
            <w:r>
              <w:rPr>
                <w:rFonts w:ascii="Arial" w:cs="Arial" w:eastAsia="Arial" w:hAnsi="Arial"/>
                <w:sz w:val="23"/>
                <w:szCs w:val="23"/>
                <w:color w:val="auto"/>
                <w:vertAlign w:val="superscript"/>
              </w:rPr>
              <w:t>(3)</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(401)</w:t>
            </w:r>
          </w:p>
        </w:tc>
      </w:tr>
      <w:tr>
        <w:trPr>
          <w:trHeight w:val="230"/>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Maintenance capital</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30"/>
        </w:trPr>
        <w:tc>
          <w:tcPr>
            <w:tcW w:w="622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Investment capital of noncontrolling interests </w:t>
            </w:r>
            <w:r>
              <w:rPr>
                <w:rFonts w:ascii="Arial" w:cs="Arial" w:eastAsia="Arial" w:hAnsi="Arial"/>
                <w:sz w:val="23"/>
                <w:szCs w:val="23"/>
                <w:color w:val="auto"/>
                <w:vertAlign w:val="superscript"/>
              </w:rPr>
              <w:t>(4)</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income tax expense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175"/>
        </w:trPr>
        <w:tc>
          <w:tcPr>
            <w:tcW w:w="6220" w:type="dxa"/>
            <w:vAlign w:val="bottom"/>
          </w:tcPr>
          <w:p>
            <w:pPr>
              <w:ind w:left="180"/>
              <w:spacing w:after="0" w:line="176" w:lineRule="exact"/>
              <w:rPr>
                <w:sz w:val="20"/>
                <w:szCs w:val="20"/>
                <w:color w:val="auto"/>
              </w:rPr>
            </w:pPr>
            <w:r>
              <w:rPr>
                <w:rFonts w:ascii="Arial" w:cs="Arial" w:eastAsia="Arial" w:hAnsi="Arial"/>
                <w:sz w:val="18"/>
                <w:szCs w:val="18"/>
                <w:color w:val="auto"/>
                <w:w w:val="93"/>
              </w:rPr>
              <w:t>Distributions from unconsolidated entities in excess of/(less than) adjusted equity</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43"/>
        </w:trPr>
        <w:tc>
          <w:tcPr>
            <w:tcW w:w="6220" w:type="dxa"/>
            <w:vAlign w:val="bottom"/>
          </w:tcPr>
          <w:p>
            <w:pPr>
              <w:ind w:left="360"/>
              <w:spacing w:after="0" w:line="243" w:lineRule="exact"/>
              <w:rPr>
                <w:sz w:val="20"/>
                <w:szCs w:val="20"/>
                <w:color w:val="auto"/>
              </w:rPr>
            </w:pPr>
            <w:r>
              <w:rPr>
                <w:rFonts w:ascii="Arial" w:cs="Arial" w:eastAsia="Arial" w:hAnsi="Arial"/>
                <w:sz w:val="18"/>
                <w:szCs w:val="18"/>
                <w:color w:val="auto"/>
              </w:rPr>
              <w:t xml:space="preserve">earnings </w:t>
            </w:r>
            <w:r>
              <w:rPr>
                <w:rFonts w:ascii="Arial" w:cs="Arial" w:eastAsia="Arial" w:hAnsi="Arial"/>
                <w:sz w:val="23"/>
                <w:szCs w:val="23"/>
                <w:color w:val="auto"/>
                <w:vertAlign w:val="superscript"/>
              </w:rPr>
              <w:t>(5)</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622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Distributions to noncontrolling interests </w:t>
            </w:r>
            <w:r>
              <w:rPr>
                <w:rFonts w:ascii="Arial" w:cs="Arial" w:eastAsia="Arial" w:hAnsi="Arial"/>
                <w:sz w:val="23"/>
                <w:szCs w:val="23"/>
                <w:color w:val="auto"/>
                <w:vertAlign w:val="superscript"/>
              </w:rPr>
              <w:t>(6)</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6220" w:type="dxa"/>
            <w:vAlign w:val="bottom"/>
          </w:tcPr>
          <w:p>
            <w:pPr>
              <w:ind w:left="20"/>
              <w:spacing w:after="0"/>
              <w:rPr>
                <w:sz w:val="20"/>
                <w:szCs w:val="20"/>
                <w:color w:val="auto"/>
              </w:rPr>
            </w:pPr>
            <w:r>
              <w:rPr>
                <w:rFonts w:ascii="Arial" w:cs="Arial" w:eastAsia="Arial" w:hAnsi="Arial"/>
                <w:sz w:val="18"/>
                <w:szCs w:val="18"/>
                <w:color w:val="auto"/>
              </w:rPr>
              <w:t>Implied DCF</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1,794</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1,664</w:t>
            </w:r>
          </w:p>
        </w:tc>
      </w:tr>
      <w:tr>
        <w:trPr>
          <w:trHeight w:val="230"/>
        </w:trPr>
        <w:tc>
          <w:tcPr>
            <w:tcW w:w="622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Preferred unit cash distributions </w:t>
            </w:r>
            <w:r>
              <w:rPr>
                <w:rFonts w:ascii="Arial" w:cs="Arial" w:eastAsia="Arial" w:hAnsi="Arial"/>
                <w:sz w:val="23"/>
                <w:szCs w:val="23"/>
                <w:color w:val="auto"/>
                <w:vertAlign w:val="superscript"/>
              </w:rPr>
              <w:t>(6)</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r>
      <w:tr>
        <w:trPr>
          <w:trHeight w:val="223"/>
        </w:trPr>
        <w:tc>
          <w:tcPr>
            <w:tcW w:w="6220" w:type="dxa"/>
            <w:vAlign w:val="bottom"/>
          </w:tcPr>
          <w:p>
            <w:pPr>
              <w:ind w:left="20"/>
              <w:spacing w:after="0"/>
              <w:rPr>
                <w:sz w:val="20"/>
                <w:szCs w:val="20"/>
                <w:color w:val="auto"/>
              </w:rPr>
            </w:pPr>
            <w:r>
              <w:rPr>
                <w:rFonts w:ascii="Arial" w:cs="Arial" w:eastAsia="Arial" w:hAnsi="Arial"/>
                <w:sz w:val="18"/>
                <w:szCs w:val="18"/>
                <w:color w:val="auto"/>
              </w:rPr>
              <w:t>Implied DCF Available to Common Unitholders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1,596</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1,466</w:t>
            </w: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3"/>
        </w:trPr>
        <w:tc>
          <w:tcPr>
            <w:tcW w:w="6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6220" w:type="dxa"/>
            <w:vAlign w:val="bottom"/>
          </w:tcPr>
          <w:p>
            <w:pPr>
              <w:ind w:left="20"/>
              <w:spacing w:after="0"/>
              <w:rPr>
                <w:sz w:val="20"/>
                <w:szCs w:val="20"/>
                <w:color w:val="auto"/>
              </w:rPr>
            </w:pPr>
            <w:r>
              <w:rPr>
                <w:rFonts w:ascii="Arial" w:cs="Arial" w:eastAsia="Arial" w:hAnsi="Arial"/>
                <w:sz w:val="18"/>
                <w:szCs w:val="18"/>
                <w:color w:val="auto"/>
              </w:rPr>
              <w:t>Weighted Average Common Units Outstanding</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716</w:t>
            </w: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Units and Common Unit Equivalents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r>
      <w:tr>
        <w:trPr>
          <w:trHeight w:val="256"/>
        </w:trPr>
        <w:tc>
          <w:tcPr>
            <w:tcW w:w="6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30"/>
        </w:trPr>
        <w:tc>
          <w:tcPr>
            <w:tcW w:w="62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Implied DCF per Common Unit </w:t>
            </w:r>
            <w:r>
              <w:rPr>
                <w:rFonts w:ascii="Arial" w:cs="Arial" w:eastAsia="Arial" w:hAnsi="Arial"/>
                <w:sz w:val="23"/>
                <w:szCs w:val="23"/>
                <w:color w:val="auto"/>
                <w:vertAlign w:val="superscript"/>
              </w:rPr>
              <w:t>(7)</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r>
      <w:tr>
        <w:trPr>
          <w:trHeight w:val="230"/>
        </w:trPr>
        <w:tc>
          <w:tcPr>
            <w:tcW w:w="62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Implied DCF per Common Unit and Common Unit Equivalent </w:t>
            </w:r>
            <w:r>
              <w:rPr>
                <w:rFonts w:ascii="Arial" w:cs="Arial" w:eastAsia="Arial" w:hAnsi="Arial"/>
                <w:sz w:val="23"/>
                <w:szCs w:val="23"/>
                <w:color w:val="auto"/>
                <w:vertAlign w:val="superscript"/>
              </w:rPr>
              <w:t>(8)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0.58</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0.54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2.05</w:t>
            </w:r>
          </w:p>
        </w:tc>
      </w:tr>
      <w:tr>
        <w:trPr>
          <w:trHeight w:val="256"/>
        </w:trPr>
        <w:tc>
          <w:tcPr>
            <w:tcW w:w="62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r>
      <w:tr>
        <w:trPr>
          <w:trHeight w:val="230"/>
        </w:trPr>
        <w:tc>
          <w:tcPr>
            <w:tcW w:w="6220" w:type="dxa"/>
            <w:vAlign w:val="bottom"/>
          </w:tcPr>
          <w:p>
            <w:pPr>
              <w:ind w:left="20"/>
              <w:spacing w:after="0"/>
              <w:rPr>
                <w:sz w:val="20"/>
                <w:szCs w:val="20"/>
                <w:color w:val="auto"/>
              </w:rPr>
            </w:pPr>
            <w:r>
              <w:rPr>
                <w:rFonts w:ascii="Arial" w:cs="Arial" w:eastAsia="Arial" w:hAnsi="Arial"/>
                <w:sz w:val="18"/>
                <w:szCs w:val="18"/>
                <w:color w:val="auto"/>
              </w:rPr>
              <w:t>Cash Distribution Paid per Common Unit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0.2175</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0.1800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0.8325</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0.7200</w:t>
            </w:r>
          </w:p>
        </w:tc>
      </w:tr>
      <w:tr>
        <w:trPr>
          <w:trHeight w:val="230"/>
        </w:trPr>
        <w:tc>
          <w:tcPr>
            <w:tcW w:w="62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Common Unit Cash Distributions </w:t>
            </w:r>
            <w:r>
              <w:rPr>
                <w:rFonts w:ascii="Arial" w:cs="Arial" w:eastAsia="Arial" w:hAnsi="Arial"/>
                <w:sz w:val="23"/>
                <w:szCs w:val="23"/>
                <w:color w:val="auto"/>
                <w:vertAlign w:val="superscript"/>
              </w:rPr>
              <w:t>(6)</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r>
      <w:tr>
        <w:trPr>
          <w:trHeight w:val="229"/>
        </w:trPr>
        <w:tc>
          <w:tcPr>
            <w:tcW w:w="6220" w:type="dxa"/>
            <w:vAlign w:val="bottom"/>
          </w:tcPr>
          <w:p>
            <w:pPr>
              <w:ind w:left="20"/>
              <w:spacing w:after="0"/>
              <w:rPr>
                <w:sz w:val="20"/>
                <w:szCs w:val="20"/>
                <w:color w:val="auto"/>
              </w:rPr>
            </w:pPr>
            <w:r>
              <w:rPr>
                <w:rFonts w:ascii="Arial" w:cs="Arial" w:eastAsia="Arial" w:hAnsi="Arial"/>
                <w:sz w:val="18"/>
                <w:szCs w:val="18"/>
                <w:color w:val="auto"/>
              </w:rPr>
              <w:t>Common Unit Distribution Coverage Ratio</w:t>
            </w:r>
          </w:p>
        </w:tc>
        <w:tc>
          <w:tcPr>
            <w:tcW w:w="280" w:type="dxa"/>
            <w:vAlign w:val="bottom"/>
          </w:tcPr>
          <w:p>
            <w:pPr>
              <w:spacing w:after="0"/>
              <w:rPr>
                <w:sz w:val="19"/>
                <w:szCs w:val="19"/>
                <w:color w:val="auto"/>
              </w:rPr>
            </w:pP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2.70x</w:t>
            </w:r>
          </w:p>
        </w:tc>
        <w:tc>
          <w:tcPr>
            <w:tcW w:w="400" w:type="dxa"/>
            <w:vAlign w:val="bottom"/>
          </w:tcPr>
          <w:p>
            <w:pPr>
              <w:spacing w:after="0"/>
              <w:rPr>
                <w:sz w:val="19"/>
                <w:szCs w:val="19"/>
                <w:color w:val="auto"/>
              </w:rPr>
            </w:pPr>
          </w:p>
        </w:tc>
        <w:tc>
          <w:tcPr>
            <w:tcW w:w="880" w:type="dxa"/>
            <w:vAlign w:val="bottom"/>
            <w:gridSpan w:val="2"/>
          </w:tcPr>
          <w:p>
            <w:pPr>
              <w:ind w:left="360"/>
              <w:spacing w:after="0"/>
              <w:rPr>
                <w:sz w:val="20"/>
                <w:szCs w:val="20"/>
                <w:color w:val="auto"/>
              </w:rPr>
            </w:pPr>
            <w:r>
              <w:rPr>
                <w:rFonts w:ascii="Arial" w:cs="Arial" w:eastAsia="Arial" w:hAnsi="Arial"/>
                <w:sz w:val="18"/>
                <w:szCs w:val="18"/>
                <w:color w:val="auto"/>
              </w:rPr>
              <w:t>3.02x</w:t>
            </w:r>
          </w:p>
        </w:tc>
        <w:tc>
          <w:tcPr>
            <w:tcW w:w="280" w:type="dxa"/>
            <w:vAlign w:val="bottom"/>
          </w:tcPr>
          <w:p>
            <w:pPr>
              <w:spacing w:after="0"/>
              <w:rPr>
                <w:sz w:val="19"/>
                <w:szCs w:val="19"/>
                <w:color w:val="auto"/>
              </w:rPr>
            </w:pP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2.73x</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2.84x</w:t>
            </w:r>
          </w:p>
        </w:tc>
      </w:tr>
      <w:tr>
        <w:trPr>
          <w:trHeight w:val="257"/>
        </w:trPr>
        <w:tc>
          <w:tcPr>
            <w:tcW w:w="62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r>
      <w:tr>
        <w:trPr>
          <w:trHeight w:val="230"/>
        </w:trPr>
        <w:tc>
          <w:tcPr>
            <w:tcW w:w="6220" w:type="dxa"/>
            <w:vAlign w:val="bottom"/>
          </w:tcPr>
          <w:p>
            <w:pPr>
              <w:ind w:left="20"/>
              <w:spacing w:after="0"/>
              <w:rPr>
                <w:sz w:val="20"/>
                <w:szCs w:val="20"/>
                <w:color w:val="auto"/>
              </w:rPr>
            </w:pPr>
            <w:r>
              <w:rPr>
                <w:rFonts w:ascii="Arial" w:cs="Arial" w:eastAsia="Arial" w:hAnsi="Arial"/>
                <w:sz w:val="18"/>
                <w:szCs w:val="18"/>
                <w:color w:val="auto"/>
              </w:rPr>
              <w:t>Implied DCF Excess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24599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93" w:lineRule="exact"/>
        <w:rPr>
          <w:sz w:val="20"/>
          <w:szCs w:val="20"/>
          <w:color w:val="auto"/>
        </w:rPr>
      </w:pPr>
    </w:p>
    <w:p>
      <w:pPr>
        <w:ind w:left="340" w:right="420" w:hanging="332"/>
        <w:spacing w:after="0" w:line="223" w:lineRule="auto"/>
        <w:tabs>
          <w:tab w:leader="none" w:pos="328"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Adjustment to exclude our proportionate share of depreciation and amortization expense (including write-downs related to cancelled projects and impairments) of unconsolidated entities.</w:t>
      </w:r>
    </w:p>
    <w:p>
      <w:pPr>
        <w:ind w:left="320" w:hanging="312"/>
        <w:spacing w:after="0" w:line="208" w:lineRule="auto"/>
        <w:tabs>
          <w:tab w:leader="none" w:pos="320"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See the “Selected Items Impacting Comparability” table for additional information.</w:t>
      </w:r>
    </w:p>
    <w:p>
      <w:pPr>
        <w:ind w:left="5440" w:hanging="106"/>
        <w:spacing w:after="0"/>
        <w:tabs>
          <w:tab w:leader="none" w:pos="54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39"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auto"/>
        </w:rPr>
        <w:t>Page 11</w:t>
      </w:r>
    </w:p>
    <w:p>
      <w:pPr>
        <w:spacing w:after="0" w:line="200" w:lineRule="exact"/>
        <w:rPr>
          <w:sz w:val="20"/>
          <w:szCs w:val="20"/>
          <w:color w:val="auto"/>
        </w:rPr>
      </w:pPr>
    </w:p>
    <w:p>
      <w:pPr>
        <w:spacing w:after="0" w:line="264"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Excludes certain non-cash items impacting interest expense such as amortization of debt issuance costs and terminated interest rate swaps.</w:t>
      </w:r>
    </w:p>
    <w:p>
      <w:pPr>
        <w:spacing w:after="0" w:line="50" w:lineRule="exact"/>
        <w:rPr>
          <w:rFonts w:ascii="Arial" w:cs="Arial" w:eastAsia="Arial" w:hAnsi="Arial"/>
          <w:sz w:val="21"/>
          <w:szCs w:val="21"/>
          <w:color w:val="auto"/>
          <w:vertAlign w:val="superscript"/>
        </w:rPr>
      </w:pPr>
    </w:p>
    <w:p>
      <w:pPr>
        <w:ind w:left="320" w:hanging="312"/>
        <w:spacing w:after="0" w:line="191" w:lineRule="auto"/>
        <w:tabs>
          <w:tab w:leader="none" w:pos="320"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Investment capital expenditures attributable to noncontrolling interests that reduce Implied DCF available to PAA common unitholders.</w:t>
      </w:r>
    </w:p>
    <w:p>
      <w:pPr>
        <w:spacing w:after="0" w:line="64" w:lineRule="exact"/>
        <w:rPr>
          <w:rFonts w:ascii="Arial" w:cs="Arial" w:eastAsia="Arial" w:hAnsi="Arial"/>
          <w:sz w:val="21"/>
          <w:szCs w:val="21"/>
          <w:color w:val="auto"/>
          <w:vertAlign w:val="superscript"/>
        </w:rPr>
      </w:pPr>
    </w:p>
    <w:p>
      <w:pPr>
        <w:ind w:left="340" w:right="200" w:hanging="332"/>
        <w:spacing w:after="0" w:line="229" w:lineRule="auto"/>
        <w:tabs>
          <w:tab w:leader="none" w:pos="328"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Comprised of cash distributions received from unconsolidated entities less equity earnings in unconsolidated entities (adjusted for our proportionate share of depreciation and amortization, including write-downs related to cancelled projects and impairments, and selected items impacting comparability of unconsolidated entities).</w:t>
      </w:r>
    </w:p>
    <w:p>
      <w:pPr>
        <w:spacing w:after="0" w:line="3" w:lineRule="exact"/>
        <w:rPr>
          <w:rFonts w:ascii="Arial" w:cs="Arial" w:eastAsia="Arial" w:hAnsi="Arial"/>
          <w:sz w:val="21"/>
          <w:szCs w:val="21"/>
          <w:color w:val="auto"/>
          <w:vertAlign w:val="superscript"/>
        </w:rPr>
      </w:pPr>
    </w:p>
    <w:p>
      <w:pPr>
        <w:ind w:left="320" w:hanging="312"/>
        <w:spacing w:after="0"/>
        <w:tabs>
          <w:tab w:leader="none" w:pos="320"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Cash distributions paid during the period presented.</w:t>
      </w:r>
    </w:p>
    <w:p>
      <w:pPr>
        <w:spacing w:after="0" w:line="50" w:lineRule="exact"/>
        <w:rPr>
          <w:rFonts w:ascii="Arial" w:cs="Arial" w:eastAsia="Arial" w:hAnsi="Arial"/>
          <w:sz w:val="21"/>
          <w:szCs w:val="21"/>
          <w:color w:val="auto"/>
          <w:vertAlign w:val="superscript"/>
        </w:rPr>
      </w:pPr>
    </w:p>
    <w:p>
      <w:pPr>
        <w:ind w:left="320" w:hanging="312"/>
        <w:spacing w:after="0" w:line="191" w:lineRule="auto"/>
        <w:tabs>
          <w:tab w:leader="none" w:pos="320"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Implied DCF Available to Common Unitholders for the period divided by the weighted average common units outstanding for the period.</w:t>
      </w:r>
    </w:p>
    <w:p>
      <w:pPr>
        <w:spacing w:after="0" w:line="64" w:lineRule="exact"/>
        <w:rPr>
          <w:rFonts w:ascii="Arial" w:cs="Arial" w:eastAsia="Arial" w:hAnsi="Arial"/>
          <w:sz w:val="21"/>
          <w:szCs w:val="21"/>
          <w:color w:val="auto"/>
          <w:vertAlign w:val="superscript"/>
        </w:rPr>
      </w:pPr>
    </w:p>
    <w:p>
      <w:pPr>
        <w:ind w:left="340" w:right="40" w:hanging="332"/>
        <w:spacing w:after="0" w:line="245" w:lineRule="auto"/>
        <w:tabs>
          <w:tab w:leader="none" w:pos="328" w:val="left"/>
        </w:tabs>
        <w:numPr>
          <w:ilvl w:val="0"/>
          <w:numId w:val="13"/>
        </w:numPr>
        <w:rPr>
          <w:rFonts w:ascii="Arial" w:cs="Arial" w:eastAsia="Arial" w:hAnsi="Arial"/>
          <w:sz w:val="20"/>
          <w:szCs w:val="20"/>
          <w:color w:val="auto"/>
          <w:vertAlign w:val="superscript"/>
        </w:rPr>
      </w:pPr>
      <w:r>
        <w:rPr>
          <w:rFonts w:ascii="Arial" w:cs="Arial" w:eastAsia="Arial" w:hAnsi="Arial"/>
          <w:sz w:val="15"/>
          <w:szCs w:val="15"/>
          <w:color w:val="auto"/>
        </w:rPr>
        <w:t>Implied DCF Available to Common Unitholders for the period, adjusted for Series A preferred unit cash distributions paid, divided by the weighted average common units and common unit equivalents outstanding for the period. Our Series A preferred units are convertible into common units, generally on a one-for-one basis and subject to customary anti-dilution adjustments, in whole or in part, subject to certain minimum conversion amounts.</w:t>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Income Per Common Unit to Implied DCF Per Common Unit and Common Unit Equivalent Reconciliation:</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520" w:type="dxa"/>
            <w:vAlign w:val="bottom"/>
            <w:gridSpan w:val="6"/>
          </w:tcPr>
          <w:p>
            <w:pPr>
              <w:ind w:left="5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60" w:type="dxa"/>
            <w:vAlign w:val="bottom"/>
            <w:gridSpan w:val="4"/>
          </w:tcPr>
          <w:p>
            <w:pPr>
              <w:ind w:left="260"/>
              <w:spacing w:after="0"/>
              <w:rPr>
                <w:sz w:val="20"/>
                <w:szCs w:val="20"/>
                <w:color w:val="auto"/>
              </w:rPr>
            </w:pPr>
            <w:r>
              <w:rPr>
                <w:rFonts w:ascii="Arial" w:cs="Arial" w:eastAsia="Arial" w:hAnsi="Arial"/>
                <w:sz w:val="14"/>
                <w:szCs w:val="14"/>
                <w:b w:val="1"/>
                <w:bCs w:val="1"/>
                <w:color w:val="auto"/>
              </w:rPr>
              <w:t>Twelve Months Ended</w:t>
            </w:r>
          </w:p>
        </w:tc>
      </w:tr>
      <w:tr>
        <w:trPr>
          <w:trHeight w:val="192"/>
        </w:trPr>
        <w:tc>
          <w:tcPr>
            <w:tcW w:w="38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December 31,</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w w:val="94"/>
              </w:rPr>
              <w:t>December 31,</w:t>
            </w:r>
          </w:p>
        </w:tc>
        <w:tc>
          <w:tcPr>
            <w:tcW w:w="760" w:type="dxa"/>
            <w:vAlign w:val="bottom"/>
            <w:tcBorders>
              <w:bottom w:val="single" w:sz="8" w:color="auto"/>
            </w:tcBorders>
          </w:tcPr>
          <w:p>
            <w:pPr>
              <w:spacing w:after="0"/>
              <w:rPr>
                <w:sz w:val="16"/>
                <w:szCs w:val="16"/>
                <w:color w:val="auto"/>
              </w:rPr>
            </w:pPr>
          </w:p>
        </w:tc>
      </w:tr>
      <w:tr>
        <w:trPr>
          <w:trHeight w:val="196"/>
        </w:trPr>
        <w:tc>
          <w:tcPr>
            <w:tcW w:w="3880" w:type="dxa"/>
            <w:vAlign w:val="bottom"/>
            <w:tcBorders>
              <w:bottom w:val="single" w:sz="8" w:color="CCEEFF"/>
            </w:tcBorders>
          </w:tcPr>
          <w:p>
            <w:pPr>
              <w:spacing w:after="0"/>
              <w:rPr>
                <w:sz w:val="17"/>
                <w:szCs w:val="17"/>
                <w:color w:val="auto"/>
              </w:rPr>
            </w:pPr>
          </w:p>
        </w:tc>
        <w:tc>
          <w:tcPr>
            <w:tcW w:w="224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w w:val="96"/>
              </w:rPr>
              <w:t>2021</w:t>
            </w:r>
          </w:p>
        </w:tc>
      </w:tr>
      <w:tr>
        <w:trPr>
          <w:trHeight w:val="229"/>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net income per common unit</w:t>
            </w:r>
          </w:p>
        </w:tc>
        <w:tc>
          <w:tcPr>
            <w:tcW w:w="740" w:type="dxa"/>
            <w:vAlign w:val="bottom"/>
            <w:shd w:val="clear" w:color="auto" w:fill="CCEEFF"/>
          </w:tcPr>
          <w:p>
            <w:pPr>
              <w:jc w:val="right"/>
              <w:ind w:right="536"/>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0.30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center"/>
              <w:ind w:left="213"/>
              <w:spacing w:after="0"/>
              <w:rPr>
                <w:sz w:val="20"/>
                <w:szCs w:val="20"/>
                <w:color w:val="auto"/>
              </w:rPr>
            </w:pPr>
            <w:r>
              <w:rPr>
                <w:rFonts w:ascii="Arial" w:cs="Arial" w:eastAsia="Arial" w:hAnsi="Arial"/>
                <w:sz w:val="18"/>
                <w:szCs w:val="18"/>
                <w:color w:val="auto"/>
                <w:w w:val="85"/>
              </w:rPr>
              <w:t>0.56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r>
      <w:tr>
        <w:trPr>
          <w:trHeight w:val="229"/>
        </w:trPr>
        <w:tc>
          <w:tcPr>
            <w:tcW w:w="612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Reconciling items per common unit </w:t>
            </w:r>
            <w:r>
              <w:rPr>
                <w:rFonts w:ascii="Arial" w:cs="Arial" w:eastAsia="Arial" w:hAnsi="Arial"/>
                <w:sz w:val="23"/>
                <w:szCs w:val="23"/>
                <w:color w:val="auto"/>
                <w:vertAlign w:val="superscript"/>
              </w:rPr>
              <w:t>(1) (2)</w:t>
            </w: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0.29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left="193"/>
              <w:spacing w:after="0"/>
              <w:rPr>
                <w:sz w:val="20"/>
                <w:szCs w:val="20"/>
                <w:color w:val="auto"/>
              </w:rPr>
            </w:pPr>
            <w:r>
              <w:rPr>
                <w:rFonts w:ascii="Arial" w:cs="Arial" w:eastAsia="Arial" w:hAnsi="Arial"/>
                <w:sz w:val="18"/>
                <w:szCs w:val="18"/>
                <w:color w:val="auto"/>
                <w:w w:val="93"/>
              </w:rPr>
              <w:t>(0.02)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r>
      <w:tr>
        <w:trPr>
          <w:trHeight w:val="248"/>
        </w:trPr>
        <w:tc>
          <w:tcPr>
            <w:tcW w:w="6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Implied DCF per common unit</w:t>
            </w:r>
          </w:p>
        </w:tc>
        <w:tc>
          <w:tcPr>
            <w:tcW w:w="74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0.59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center"/>
              <w:ind w:left="213"/>
              <w:spacing w:after="0"/>
              <w:rPr>
                <w:sz w:val="20"/>
                <w:szCs w:val="20"/>
                <w:color w:val="auto"/>
              </w:rPr>
            </w:pPr>
            <w:r>
              <w:rPr>
                <w:rFonts w:ascii="Arial" w:cs="Arial" w:eastAsia="Arial" w:hAnsi="Arial"/>
                <w:sz w:val="18"/>
                <w:szCs w:val="18"/>
                <w:color w:val="auto"/>
                <w:w w:val="85"/>
              </w:rPr>
              <w:t>0.54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2.28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38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29"/>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net income per common unit</w:t>
            </w:r>
          </w:p>
        </w:tc>
        <w:tc>
          <w:tcPr>
            <w:tcW w:w="740" w:type="dxa"/>
            <w:vAlign w:val="bottom"/>
            <w:shd w:val="clear" w:color="auto" w:fill="CCEEFF"/>
          </w:tcPr>
          <w:p>
            <w:pPr>
              <w:jc w:val="right"/>
              <w:ind w:right="536"/>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0.30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center"/>
              <w:ind w:left="213"/>
              <w:spacing w:after="0"/>
              <w:rPr>
                <w:sz w:val="20"/>
                <w:szCs w:val="20"/>
                <w:color w:val="auto"/>
              </w:rPr>
            </w:pPr>
            <w:r>
              <w:rPr>
                <w:rFonts w:ascii="Arial" w:cs="Arial" w:eastAsia="Arial" w:hAnsi="Arial"/>
                <w:sz w:val="18"/>
                <w:szCs w:val="18"/>
                <w:color w:val="auto"/>
                <w:w w:val="85"/>
              </w:rPr>
              <w:t>0.56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r>
      <w:tr>
        <w:trPr>
          <w:trHeight w:val="229"/>
        </w:trPr>
        <w:tc>
          <w:tcPr>
            <w:tcW w:w="612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Reconciling items per common unit and common unit equivalent </w:t>
            </w:r>
            <w:r>
              <w:rPr>
                <w:rFonts w:ascii="Arial" w:cs="Arial" w:eastAsia="Arial" w:hAnsi="Arial"/>
                <w:sz w:val="23"/>
                <w:szCs w:val="23"/>
                <w:color w:val="auto"/>
                <w:vertAlign w:val="superscript"/>
              </w:rPr>
              <w:t>(1) (3)</w:t>
            </w: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0.28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left="193"/>
              <w:spacing w:after="0"/>
              <w:rPr>
                <w:sz w:val="20"/>
                <w:szCs w:val="20"/>
                <w:color w:val="auto"/>
              </w:rPr>
            </w:pPr>
            <w:r>
              <w:rPr>
                <w:rFonts w:ascii="Arial" w:cs="Arial" w:eastAsia="Arial" w:hAnsi="Arial"/>
                <w:sz w:val="18"/>
                <w:szCs w:val="18"/>
                <w:color w:val="auto"/>
                <w:w w:val="93"/>
              </w:rPr>
              <w:t>(0.02)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r>
      <w:tr>
        <w:trPr>
          <w:trHeight w:val="248"/>
        </w:trPr>
        <w:tc>
          <w:tcPr>
            <w:tcW w:w="6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Implied DCF per common unit and common unit equivalent</w:t>
            </w:r>
          </w:p>
        </w:tc>
        <w:tc>
          <w:tcPr>
            <w:tcW w:w="74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0.58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center"/>
              <w:ind w:left="213"/>
              <w:spacing w:after="0"/>
              <w:rPr>
                <w:sz w:val="20"/>
                <w:szCs w:val="20"/>
                <w:color w:val="auto"/>
              </w:rPr>
            </w:pPr>
            <w:r>
              <w:rPr>
                <w:rFonts w:ascii="Arial" w:cs="Arial" w:eastAsia="Arial" w:hAnsi="Arial"/>
                <w:sz w:val="18"/>
                <w:szCs w:val="18"/>
                <w:color w:val="auto"/>
                <w:w w:val="85"/>
              </w:rPr>
              <w:t>0.54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3880" w:type="dxa"/>
            <w:vAlign w:val="bottom"/>
            <w:tcBorders>
              <w:bottom w:val="single" w:sz="8" w:color="auto"/>
            </w:tcBorders>
          </w:tcPr>
          <w:p>
            <w:pPr>
              <w:spacing w:after="0"/>
              <w:rPr>
                <w:sz w:val="17"/>
                <w:szCs w:val="17"/>
                <w:color w:val="auto"/>
              </w:rPr>
            </w:pPr>
          </w:p>
        </w:tc>
        <w:tc>
          <w:tcPr>
            <w:tcW w:w="2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r>
    </w:tbl>
    <w:p>
      <w:pPr>
        <w:spacing w:after="0" w:line="121" w:lineRule="exact"/>
        <w:rPr>
          <w:sz w:val="20"/>
          <w:szCs w:val="20"/>
          <w:color w:val="auto"/>
        </w:rPr>
      </w:pPr>
    </w:p>
    <w:p>
      <w:pPr>
        <w:ind w:left="340" w:right="440" w:hanging="332"/>
        <w:spacing w:after="0" w:line="227" w:lineRule="auto"/>
        <w:tabs>
          <w:tab w:leader="none" w:pos="328"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to Net Income to calculate Implied DCF Available to Common Unitholders. See the “Net Income to Adjusted EBITDA attributable to PAA and Implied DCF Reconciliation” table for additional information.</w:t>
      </w:r>
    </w:p>
    <w:p>
      <w:pPr>
        <w:spacing w:after="0" w:line="17"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14"/>
        </w:numPr>
        <w:rPr>
          <w:rFonts w:ascii="Arial" w:cs="Arial" w:eastAsia="Arial" w:hAnsi="Arial"/>
          <w:sz w:val="22"/>
          <w:szCs w:val="22"/>
          <w:color w:val="auto"/>
          <w:vertAlign w:val="superscript"/>
        </w:rPr>
      </w:pPr>
      <w:r>
        <w:rPr>
          <w:rFonts w:ascii="Arial" w:cs="Arial" w:eastAsia="Arial" w:hAnsi="Arial"/>
          <w:sz w:val="17"/>
          <w:szCs w:val="17"/>
          <w:color w:val="auto"/>
        </w:rPr>
        <w:t>Based on weighted average common units outstanding for the period of 698 million, 709 million, 701 million and 716 million, respectively.</w:t>
      </w:r>
    </w:p>
    <w:p>
      <w:pPr>
        <w:spacing w:after="0" w:line="55" w:lineRule="exact"/>
        <w:rPr>
          <w:rFonts w:ascii="Arial" w:cs="Arial" w:eastAsia="Arial" w:hAnsi="Arial"/>
          <w:sz w:val="22"/>
          <w:szCs w:val="22"/>
          <w:color w:val="auto"/>
          <w:vertAlign w:val="superscript"/>
        </w:rPr>
      </w:pPr>
    </w:p>
    <w:p>
      <w:pPr>
        <w:ind w:left="340" w:right="80" w:hanging="332"/>
        <w:spacing w:after="0" w:line="219" w:lineRule="auto"/>
        <w:tabs>
          <w:tab w:leader="none" w:pos="328"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Based on weighted average common units outstanding for the period, as well as weighted average Series A preferred units outstanding of 71 million for each of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080"/>
          </w:cols>
          <w:pgMar w:left="320" w:top="368" w:right="49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auto"/>
        </w:rPr>
        <w:t>Page 12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Free Cash Flow and Free Cash Flow after Distributions Reconciliation </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000" w:type="dxa"/>
            <w:vAlign w:val="bottom"/>
            <w:gridSpan w:val="4"/>
          </w:tcPr>
          <w:p>
            <w:pPr>
              <w:jc w:val="right"/>
              <w:ind w:right="55"/>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gridSpan w:val="4"/>
          </w:tcPr>
          <w:p>
            <w:pPr>
              <w:jc w:val="right"/>
              <w:ind w:right="452"/>
              <w:spacing w:after="0"/>
              <w:rPr>
                <w:sz w:val="20"/>
                <w:szCs w:val="20"/>
                <w:color w:val="auto"/>
              </w:rPr>
            </w:pPr>
            <w:r>
              <w:rPr>
                <w:rFonts w:ascii="Arial" w:cs="Arial" w:eastAsia="Arial" w:hAnsi="Arial"/>
                <w:sz w:val="14"/>
                <w:szCs w:val="14"/>
                <w:b w:val="1"/>
                <w:bCs w:val="1"/>
                <w:color w:val="auto"/>
              </w:rPr>
              <w:t>Twelve Months Ended</w:t>
            </w:r>
          </w:p>
        </w:tc>
      </w:tr>
      <w:tr>
        <w:trPr>
          <w:trHeight w:val="196"/>
        </w:trPr>
        <w:tc>
          <w:tcPr>
            <w:tcW w:w="38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ind w:right="275"/>
              <w:spacing w:after="0"/>
              <w:rPr>
                <w:sz w:val="20"/>
                <w:szCs w:val="20"/>
                <w:color w:val="auto"/>
              </w:rPr>
            </w:pPr>
            <w:r>
              <w:rPr>
                <w:rFonts w:ascii="Arial" w:cs="Arial" w:eastAsia="Arial" w:hAnsi="Arial"/>
                <w:sz w:val="14"/>
                <w:szCs w:val="14"/>
                <w:b w:val="1"/>
                <w:bCs w:val="1"/>
                <w:color w:val="auto"/>
                <w:w w:val="98"/>
              </w:rPr>
              <w:t>December 31,</w:t>
            </w:r>
          </w:p>
        </w:tc>
        <w:tc>
          <w:tcPr>
            <w:tcW w:w="4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7"/>
                <w:szCs w:val="17"/>
                <w:color w:val="auto"/>
              </w:rPr>
            </w:pPr>
          </w:p>
        </w:tc>
      </w:tr>
      <w:tr>
        <w:trPr>
          <w:trHeight w:val="196"/>
        </w:trPr>
        <w:tc>
          <w:tcPr>
            <w:tcW w:w="3880" w:type="dxa"/>
            <w:vAlign w:val="bottom"/>
            <w:tcBorders>
              <w:bottom w:val="single" w:sz="8" w:color="CCEEFF"/>
            </w:tcBorders>
          </w:tcPr>
          <w:p>
            <w:pPr>
              <w:spacing w:after="0"/>
              <w:rPr>
                <w:sz w:val="17"/>
                <w:szCs w:val="17"/>
                <w:color w:val="auto"/>
              </w:rPr>
            </w:pPr>
          </w:p>
        </w:tc>
        <w:tc>
          <w:tcPr>
            <w:tcW w:w="236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r>
      <w:tr>
        <w:trPr>
          <w:trHeight w:val="230"/>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720" w:type="dxa"/>
            <w:vAlign w:val="bottom"/>
            <w:shd w:val="clear" w:color="auto" w:fill="CCEEFF"/>
          </w:tcPr>
          <w:p>
            <w:pPr>
              <w:jc w:val="right"/>
              <w:ind w:right="537"/>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5"/>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w:t>
            </w:r>
          </w:p>
        </w:tc>
      </w:tr>
      <w:tr>
        <w:trPr>
          <w:trHeight w:val="229"/>
        </w:trPr>
        <w:tc>
          <w:tcPr>
            <w:tcW w:w="6240" w:type="dxa"/>
            <w:vAlign w:val="bottom"/>
            <w:gridSpan w:val="2"/>
          </w:tcPr>
          <w:p>
            <w:pPr>
              <w:ind w:left="20"/>
              <w:spacing w:after="0"/>
              <w:rPr>
                <w:sz w:val="20"/>
                <w:szCs w:val="20"/>
                <w:color w:val="auto"/>
              </w:rPr>
            </w:pPr>
            <w:r>
              <w:rPr>
                <w:rFonts w:ascii="Arial" w:cs="Arial" w:eastAsia="Arial" w:hAnsi="Arial"/>
                <w:sz w:val="18"/>
                <w:szCs w:val="18"/>
                <w:color w:val="auto"/>
                <w:w w:val="93"/>
              </w:rPr>
              <w:t>Adjustments to reconcile net cash provided by operating activities to free cash flow:</w:t>
            </w: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6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cash provided by/(used in) investing activities</w:t>
            </w: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(235)</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r>
      <w:tr>
        <w:trPr>
          <w:trHeight w:val="230"/>
        </w:trPr>
        <w:tc>
          <w:tcPr>
            <w:tcW w:w="6240" w:type="dxa"/>
            <w:vAlign w:val="bottom"/>
            <w:gridSpan w:val="2"/>
          </w:tcPr>
          <w:p>
            <w:pPr>
              <w:ind w:left="140"/>
              <w:spacing w:after="0"/>
              <w:rPr>
                <w:sz w:val="20"/>
                <w:szCs w:val="20"/>
                <w:color w:val="auto"/>
              </w:rPr>
            </w:pPr>
            <w:r>
              <w:rPr>
                <w:rFonts w:ascii="Arial" w:cs="Arial" w:eastAsia="Arial" w:hAnsi="Arial"/>
                <w:sz w:val="18"/>
                <w:szCs w:val="18"/>
                <w:color w:val="auto"/>
              </w:rPr>
              <w:t>Cash contributions from noncontrolling interests</w:t>
            </w:r>
          </w:p>
        </w:tc>
        <w:tc>
          <w:tcPr>
            <w:tcW w:w="72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624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Cash distributions paid to noncontrolling interests </w:t>
            </w:r>
            <w:r>
              <w:rPr>
                <w:rFonts w:ascii="Arial" w:cs="Arial" w:eastAsia="Arial" w:hAnsi="Arial"/>
                <w:sz w:val="23"/>
                <w:szCs w:val="23"/>
                <w:color w:val="auto"/>
                <w:vertAlign w:val="superscript"/>
              </w:rPr>
              <w:t>(2)</w:t>
            </w:r>
          </w:p>
        </w:tc>
        <w:tc>
          <w:tcPr>
            <w:tcW w:w="7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(104)</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Free Cash Flow</w:t>
            </w:r>
          </w:p>
        </w:tc>
        <w:tc>
          <w:tcPr>
            <w:tcW w:w="720" w:type="dxa"/>
            <w:vAlign w:val="bottom"/>
          </w:tcPr>
          <w:p>
            <w:pPr>
              <w:jc w:val="right"/>
              <w:ind w:right="537"/>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740" w:type="dxa"/>
            <w:vAlign w:val="bottom"/>
          </w:tcPr>
          <w:p>
            <w:pPr>
              <w:jc w:val="right"/>
              <w:ind w:right="555"/>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1,610</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2,369</w:t>
            </w:r>
          </w:p>
        </w:tc>
      </w:tr>
      <w:tr>
        <w:trPr>
          <w:trHeight w:val="229"/>
        </w:trPr>
        <w:tc>
          <w:tcPr>
            <w:tcW w:w="624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Cash distributions </w:t>
            </w:r>
            <w:r>
              <w:rPr>
                <w:rFonts w:ascii="Arial" w:cs="Arial" w:eastAsia="Arial" w:hAnsi="Arial"/>
                <w:sz w:val="23"/>
                <w:szCs w:val="23"/>
                <w:color w:val="auto"/>
                <w:vertAlign w:val="superscript"/>
              </w:rPr>
              <w:t>(3)</w:t>
            </w:r>
          </w:p>
        </w:tc>
        <w:tc>
          <w:tcPr>
            <w:tcW w:w="7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(214)</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(190)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w:t>
            </w:r>
          </w:p>
        </w:tc>
      </w:tr>
      <w:tr>
        <w:trPr>
          <w:trHeight w:val="223"/>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Free Cash Flow after Distributions</w:t>
            </w:r>
          </w:p>
        </w:tc>
        <w:tc>
          <w:tcPr>
            <w:tcW w:w="720" w:type="dxa"/>
            <w:vAlign w:val="bottom"/>
            <w:tcBorders>
              <w:bottom w:val="single" w:sz="8" w:color="auto"/>
            </w:tcBorders>
          </w:tcPr>
          <w:p>
            <w:pPr>
              <w:jc w:val="right"/>
              <w:ind w:right="537"/>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(218)</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ind w:right="555"/>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1,654</w:t>
            </w:r>
          </w:p>
        </w:tc>
      </w:tr>
      <w:tr>
        <w:trPr>
          <w:trHeight w:val="20"/>
        </w:trPr>
        <w:tc>
          <w:tcPr>
            <w:tcW w:w="38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10"/>
        </w:trPr>
        <w:tc>
          <w:tcPr>
            <w:tcW w:w="3880" w:type="dxa"/>
            <w:vAlign w:val="bottom"/>
            <w:tcBorders>
              <w:bottom w:val="single" w:sz="8" w:color="auto"/>
            </w:tcBorders>
          </w:tcPr>
          <w:p>
            <w:pPr>
              <w:spacing w:after="0"/>
              <w:rPr>
                <w:sz w:val="18"/>
                <w:szCs w:val="18"/>
                <w:color w:val="auto"/>
              </w:rPr>
            </w:pPr>
          </w:p>
        </w:tc>
        <w:tc>
          <w:tcPr>
            <w:tcW w:w="2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r>
    </w:tbl>
    <w:p>
      <w:pPr>
        <w:spacing w:after="0" w:line="134" w:lineRule="exact"/>
        <w:rPr>
          <w:sz w:val="20"/>
          <w:szCs w:val="20"/>
          <w:color w:val="auto"/>
        </w:rPr>
      </w:pPr>
    </w:p>
    <w:p>
      <w:pPr>
        <w:ind w:left="340" w:right="300" w:hanging="332"/>
        <w:spacing w:after="0" w:line="238" w:lineRule="auto"/>
        <w:tabs>
          <w:tab w:leader="none" w:pos="328" w:val="left"/>
        </w:tabs>
        <w:numPr>
          <w:ilvl w:val="0"/>
          <w:numId w:val="15"/>
        </w:numPr>
        <w:rPr>
          <w:rFonts w:ascii="Arial" w:cs="Arial" w:eastAsia="Arial" w:hAnsi="Arial"/>
          <w:sz w:val="22"/>
          <w:szCs w:val="22"/>
          <w:color w:val="auto"/>
          <w:vertAlign w:val="superscript"/>
        </w:rPr>
      </w:pPr>
      <w:r>
        <w:rPr>
          <w:rFonts w:ascii="Arial" w:cs="Arial" w:eastAsia="Arial" w:hAnsi="Arial"/>
          <w:sz w:val="17"/>
          <w:szCs w:val="17"/>
          <w:color w:val="auto"/>
        </w:rPr>
        <w:t>Management uses the Non-GAAP financial liquidity measures Free Cash Flow and Free Cash Flow after Distributions to assess the amount of cash that is available for distributions, debt repayments, common equity repurchases and other general partnership purposes.</w:t>
      </w:r>
    </w:p>
    <w:p>
      <w:pPr>
        <w:spacing w:after="0" w:line="7" w:lineRule="exact"/>
        <w:rPr>
          <w:rFonts w:ascii="Arial" w:cs="Arial" w:eastAsia="Arial" w:hAnsi="Arial"/>
          <w:sz w:val="22"/>
          <w:szCs w:val="22"/>
          <w:color w:val="auto"/>
          <w:vertAlign w:val="superscript"/>
        </w:rPr>
      </w:pPr>
    </w:p>
    <w:p>
      <w:pPr>
        <w:ind w:left="320" w:hanging="312"/>
        <w:spacing w:after="0"/>
        <w:tabs>
          <w:tab w:leader="none" w:pos="320"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Cash distributions paid during the period presented.</w:t>
      </w:r>
    </w:p>
    <w:p>
      <w:pPr>
        <w:spacing w:after="0" w:line="55" w:lineRule="exact"/>
        <w:rPr>
          <w:rFonts w:ascii="Arial" w:cs="Arial" w:eastAsia="Arial" w:hAnsi="Arial"/>
          <w:sz w:val="23"/>
          <w:szCs w:val="23"/>
          <w:color w:val="auto"/>
          <w:vertAlign w:val="superscript"/>
        </w:rPr>
      </w:pPr>
    </w:p>
    <w:p>
      <w:pPr>
        <w:ind w:left="320" w:hanging="312"/>
        <w:spacing w:after="0" w:line="183" w:lineRule="auto"/>
        <w:tabs>
          <w:tab w:leader="none" w:pos="320" w:val="left"/>
        </w:tabs>
        <w:numPr>
          <w:ilvl w:val="0"/>
          <w:numId w:val="15"/>
        </w:numPr>
        <w:rPr>
          <w:rFonts w:ascii="Arial" w:cs="Arial" w:eastAsia="Arial" w:hAnsi="Arial"/>
          <w:sz w:val="20"/>
          <w:szCs w:val="20"/>
          <w:color w:val="auto"/>
          <w:vertAlign w:val="superscript"/>
        </w:rPr>
      </w:pPr>
      <w:r>
        <w:rPr>
          <w:rFonts w:ascii="Arial" w:cs="Arial" w:eastAsia="Arial" w:hAnsi="Arial"/>
          <w:sz w:val="16"/>
          <w:szCs w:val="16"/>
          <w:color w:val="auto"/>
        </w:rPr>
        <w:t>Cash distributions paid to preferred and common unitholders during the period.</w:t>
      </w:r>
    </w:p>
    <w:p>
      <w:pPr>
        <w:ind w:left="5440" w:hanging="106"/>
        <w:spacing w:after="0"/>
        <w:tabs>
          <w:tab w:leader="none" w:pos="54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39"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auto"/>
        </w:rPr>
        <w:t>Page 13</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ITEMS IMPACTING COMPARABILITY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900" w:type="dxa"/>
            <w:vAlign w:val="bottom"/>
            <w:gridSpan w:val="4"/>
          </w:tcPr>
          <w:p>
            <w:pPr>
              <w:jc w:val="right"/>
              <w:ind w:right="41"/>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Twelve Months Ended</w:t>
            </w:r>
          </w:p>
        </w:tc>
      </w:tr>
      <w:tr>
        <w:trPr>
          <w:trHeight w:val="196"/>
        </w:trPr>
        <w:tc>
          <w:tcPr>
            <w:tcW w:w="388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right"/>
              <w:ind w:right="261"/>
              <w:spacing w:after="0"/>
              <w:rPr>
                <w:sz w:val="20"/>
                <w:szCs w:val="20"/>
                <w:color w:val="auto"/>
              </w:rPr>
            </w:pPr>
            <w:r>
              <w:rPr>
                <w:rFonts w:ascii="Arial" w:cs="Arial" w:eastAsia="Arial" w:hAnsi="Arial"/>
                <w:sz w:val="14"/>
                <w:szCs w:val="14"/>
                <w:b w:val="1"/>
                <w:bCs w:val="1"/>
                <w:color w:val="auto"/>
                <w:w w:val="92"/>
              </w:rPr>
              <w:t>December 31,</w:t>
            </w:r>
          </w:p>
        </w:tc>
        <w:tc>
          <w:tcPr>
            <w:tcW w:w="3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680" w:type="dxa"/>
            <w:vAlign w:val="bottom"/>
            <w:tcBorders>
              <w:bottom w:val="single" w:sz="8" w:color="auto"/>
            </w:tcBorders>
          </w:tcPr>
          <w:p>
            <w:pPr>
              <w:spacing w:after="0"/>
              <w:rPr>
                <w:sz w:val="17"/>
                <w:szCs w:val="17"/>
                <w:color w:val="auto"/>
              </w:rPr>
            </w:pPr>
          </w:p>
        </w:tc>
      </w:tr>
      <w:tr>
        <w:trPr>
          <w:trHeight w:val="196"/>
        </w:trPr>
        <w:tc>
          <w:tcPr>
            <w:tcW w:w="3880" w:type="dxa"/>
            <w:vAlign w:val="bottom"/>
            <w:tcBorders>
              <w:bottom w:val="single" w:sz="8" w:color="CCEEFF"/>
            </w:tcBorders>
          </w:tcPr>
          <w:p>
            <w:pPr>
              <w:spacing w:after="0"/>
              <w:rPr>
                <w:sz w:val="17"/>
                <w:szCs w:val="17"/>
                <w:color w:val="auto"/>
              </w:rPr>
            </w:pPr>
          </w:p>
        </w:tc>
        <w:tc>
          <w:tcPr>
            <w:tcW w:w="276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w w:val="89"/>
              </w:rPr>
              <w:t>2021</w:t>
            </w:r>
          </w:p>
        </w:tc>
      </w:tr>
      <w:tr>
        <w:trPr>
          <w:trHeight w:val="203"/>
        </w:trPr>
        <w:tc>
          <w:tcPr>
            <w:tcW w:w="6640" w:type="dxa"/>
            <w:vAlign w:val="bottom"/>
            <w:gridSpan w:val="2"/>
            <w:shd w:val="clear" w:color="auto" w:fill="CCEEFF"/>
          </w:tcPr>
          <w:p>
            <w:pPr>
              <w:ind w:left="20"/>
              <w:spacing w:after="0" w:line="203" w:lineRule="exact"/>
              <w:rPr>
                <w:sz w:val="20"/>
                <w:szCs w:val="20"/>
                <w:color w:val="auto"/>
              </w:rPr>
            </w:pPr>
            <w:r>
              <w:rPr>
                <w:rFonts w:ascii="Arial" w:cs="Arial" w:eastAsia="Arial" w:hAnsi="Arial"/>
                <w:sz w:val="16"/>
                <w:szCs w:val="16"/>
                <w:b w:val="1"/>
                <w:bCs w:val="1"/>
                <w:color w:val="auto"/>
              </w:rPr>
              <w:t xml:space="preserve">Selected Items Impacting Comparability: </w:t>
            </w:r>
            <w:r>
              <w:rPr>
                <w:rFonts w:ascii="Arial" w:cs="Arial" w:eastAsia="Arial" w:hAnsi="Arial"/>
                <w:sz w:val="21"/>
                <w:szCs w:val="21"/>
                <w:b w:val="1"/>
                <w:bCs w:val="1"/>
                <w:color w:val="auto"/>
                <w:vertAlign w:val="superscript"/>
              </w:rPr>
              <w:t>(1)</w:t>
            </w: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6"/>
        </w:trPr>
        <w:tc>
          <w:tcPr>
            <w:tcW w:w="664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Gains/(losses) from derivative activities and inventory valuation adjustments </w:t>
            </w:r>
            <w:r>
              <w:rPr>
                <w:rFonts w:ascii="Arial" w:cs="Arial" w:eastAsia="Arial" w:hAnsi="Arial"/>
                <w:sz w:val="21"/>
                <w:szCs w:val="21"/>
                <w:color w:val="auto"/>
                <w:vertAlign w:val="superscript"/>
              </w:rPr>
              <w:t>(2)</w:t>
            </w:r>
          </w:p>
        </w:tc>
        <w:tc>
          <w:tcPr>
            <w:tcW w:w="700" w:type="dxa"/>
            <w:vAlign w:val="bottom"/>
          </w:tcPr>
          <w:p>
            <w:pPr>
              <w:jc w:val="right"/>
              <w:ind w:right="523"/>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720" w:type="dxa"/>
            <w:vAlign w:val="bottom"/>
          </w:tcPr>
          <w:p>
            <w:pPr>
              <w:jc w:val="right"/>
              <w:ind w:right="541"/>
              <w:spacing w:after="0"/>
              <w:rPr>
                <w:sz w:val="20"/>
                <w:szCs w:val="20"/>
                <w:color w:val="auto"/>
              </w:rPr>
            </w:pPr>
            <w:r>
              <w:rPr>
                <w:rFonts w:ascii="Arial" w:cs="Arial" w:eastAsia="Arial" w:hAnsi="Arial"/>
                <w:sz w:val="16"/>
                <w:szCs w:val="16"/>
                <w:color w:val="auto"/>
                <w:w w:val="89"/>
              </w:rPr>
              <w:t>$</w:t>
            </w:r>
          </w:p>
        </w:tc>
        <w:tc>
          <w:tcPr>
            <w:tcW w:w="360" w:type="dxa"/>
            <w:vAlign w:val="bottom"/>
          </w:tcPr>
          <w:p>
            <w:pPr>
              <w:jc w:val="right"/>
              <w:spacing w:after="0"/>
              <w:rPr>
                <w:sz w:val="20"/>
                <w:szCs w:val="20"/>
                <w:color w:val="auto"/>
              </w:rPr>
            </w:pPr>
            <w:r>
              <w:rPr>
                <w:rFonts w:ascii="Arial" w:cs="Arial" w:eastAsia="Arial" w:hAnsi="Arial"/>
                <w:sz w:val="16"/>
                <w:szCs w:val="16"/>
                <w:color w:val="auto"/>
                <w:w w:val="97"/>
              </w:rPr>
              <w:t>249</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285</w:t>
            </w:r>
          </w:p>
        </w:tc>
      </w:tr>
      <w:tr>
        <w:trPr>
          <w:trHeight w:val="216"/>
        </w:trPr>
        <w:tc>
          <w:tcPr>
            <w:tcW w:w="664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Long-term inventory costing adjustments </w:t>
            </w:r>
            <w:r>
              <w:rPr>
                <w:rFonts w:ascii="Arial" w:cs="Arial" w:eastAsia="Arial" w:hAnsi="Arial"/>
                <w:sz w:val="21"/>
                <w:szCs w:val="21"/>
                <w:color w:val="auto"/>
                <w:vertAlign w:val="superscript"/>
              </w:rPr>
              <w:t>(3)</w:t>
            </w: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r>
      <w:tr>
        <w:trPr>
          <w:trHeight w:val="216"/>
        </w:trPr>
        <w:tc>
          <w:tcPr>
            <w:tcW w:w="664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Deficiencies under minimum volume commitments, net </w:t>
            </w:r>
            <w:r>
              <w:rPr>
                <w:rFonts w:ascii="Arial" w:cs="Arial" w:eastAsia="Arial" w:hAnsi="Arial"/>
                <w:sz w:val="21"/>
                <w:szCs w:val="21"/>
                <w:color w:val="auto"/>
                <w:vertAlign w:val="superscript"/>
              </w:rPr>
              <w:t>(4)</w:t>
            </w:r>
          </w:p>
        </w:tc>
        <w:tc>
          <w:tcPr>
            <w:tcW w:w="7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6"/>
        </w:trPr>
        <w:tc>
          <w:tcPr>
            <w:tcW w:w="664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Equity-indexed compensation expense </w:t>
            </w:r>
            <w:r>
              <w:rPr>
                <w:rFonts w:ascii="Arial" w:cs="Arial" w:eastAsia="Arial" w:hAnsi="Arial"/>
                <w:sz w:val="21"/>
                <w:szCs w:val="21"/>
                <w:color w:val="auto"/>
                <w:vertAlign w:val="superscript"/>
              </w:rPr>
              <w:t>(5)</w:t>
            </w: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16"/>
        </w:trPr>
        <w:tc>
          <w:tcPr>
            <w:tcW w:w="664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Net gain/(loss) on foreign currency revaluation </w:t>
            </w:r>
            <w:r>
              <w:rPr>
                <w:rFonts w:ascii="Arial" w:cs="Arial" w:eastAsia="Arial" w:hAnsi="Arial"/>
                <w:sz w:val="21"/>
                <w:szCs w:val="21"/>
                <w:color w:val="auto"/>
                <w:vertAlign w:val="superscript"/>
              </w:rPr>
              <w:t>(6)</w:t>
            </w:r>
          </w:p>
        </w:tc>
        <w:tc>
          <w:tcPr>
            <w:tcW w:w="7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6"/>
        </w:trPr>
        <w:tc>
          <w:tcPr>
            <w:tcW w:w="664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Line 901 incident </w:t>
            </w:r>
            <w:r>
              <w:rPr>
                <w:rFonts w:ascii="Arial" w:cs="Arial" w:eastAsia="Arial" w:hAnsi="Arial"/>
                <w:sz w:val="21"/>
                <w:szCs w:val="21"/>
                <w:color w:val="auto"/>
                <w:vertAlign w:val="superscript"/>
              </w:rPr>
              <w:t>(7)</w:t>
            </w: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16"/>
        </w:trPr>
        <w:tc>
          <w:tcPr>
            <w:tcW w:w="664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Significant transaction-related expenses </w:t>
            </w:r>
            <w:r>
              <w:rPr>
                <w:rFonts w:ascii="Arial" w:cs="Arial" w:eastAsia="Arial" w:hAnsi="Arial"/>
                <w:sz w:val="21"/>
                <w:szCs w:val="21"/>
                <w:color w:val="auto"/>
                <w:vertAlign w:val="superscript"/>
              </w:rPr>
              <w:t>(8)</w:t>
            </w:r>
          </w:p>
        </w:tc>
        <w:tc>
          <w:tcPr>
            <w:tcW w:w="70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09"/>
        </w:trPr>
        <w:tc>
          <w:tcPr>
            <w:tcW w:w="66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Selected items impacting comparability - Adjusted EBITDA</w:t>
            </w:r>
          </w:p>
        </w:tc>
        <w:tc>
          <w:tcPr>
            <w:tcW w:w="700" w:type="dxa"/>
            <w:vAlign w:val="bottom"/>
            <w:tcBorders>
              <w:top w:val="single" w:sz="8" w:color="auto"/>
            </w:tcBorders>
            <w:shd w:val="clear" w:color="auto" w:fill="CCEEFF"/>
          </w:tcPr>
          <w:p>
            <w:pPr>
              <w:jc w:val="right"/>
              <w:ind w:right="523"/>
              <w:spacing w:after="0"/>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41"/>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280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w:t>
            </w:r>
          </w:p>
        </w:tc>
      </w:tr>
      <w:tr>
        <w:trPr>
          <w:trHeight w:val="213"/>
        </w:trPr>
        <w:tc>
          <w:tcPr>
            <w:tcW w:w="6640" w:type="dxa"/>
            <w:vAlign w:val="bottom"/>
            <w:gridSpan w:val="2"/>
          </w:tcPr>
          <w:p>
            <w:pPr>
              <w:ind w:left="20"/>
              <w:spacing w:after="0"/>
              <w:rPr>
                <w:sz w:val="20"/>
                <w:szCs w:val="20"/>
                <w:color w:val="auto"/>
              </w:rPr>
            </w:pPr>
            <w:r>
              <w:rPr>
                <w:rFonts w:ascii="Arial" w:cs="Arial" w:eastAsia="Arial" w:hAnsi="Arial"/>
                <w:sz w:val="16"/>
                <w:szCs w:val="16"/>
                <w:color w:val="auto"/>
              </w:rPr>
              <w:t>Gains from derivative activities</w:t>
            </w:r>
          </w:p>
        </w:tc>
        <w:tc>
          <w:tcPr>
            <w:tcW w:w="7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Gain/(loss) on investments in unconsolidated entities, net</w:t>
            </w:r>
          </w:p>
        </w:tc>
        <w:tc>
          <w:tcPr>
            <w:tcW w:w="7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3"/>
        </w:trPr>
        <w:tc>
          <w:tcPr>
            <w:tcW w:w="6640" w:type="dxa"/>
            <w:vAlign w:val="bottom"/>
            <w:gridSpan w:val="2"/>
          </w:tcPr>
          <w:p>
            <w:pPr>
              <w:ind w:left="20"/>
              <w:spacing w:after="0"/>
              <w:rPr>
                <w:sz w:val="20"/>
                <w:szCs w:val="20"/>
                <w:color w:val="auto"/>
              </w:rPr>
            </w:pPr>
            <w:r>
              <w:rPr>
                <w:rFonts w:ascii="Arial" w:cs="Arial" w:eastAsia="Arial" w:hAnsi="Arial"/>
                <w:sz w:val="16"/>
                <w:szCs w:val="16"/>
                <w:color w:val="auto"/>
              </w:rPr>
              <w:t>Gains/(losses) on asset sales and asset impairments, net</w:t>
            </w:r>
          </w:p>
        </w:tc>
        <w:tc>
          <w:tcPr>
            <w:tcW w:w="7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w w:val="85"/>
              </w:rPr>
              <w:t>(315)</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(592)</w:t>
            </w:r>
          </w:p>
        </w:tc>
      </w:tr>
      <w:tr>
        <w:trPr>
          <w:trHeight w:val="219"/>
        </w:trPr>
        <w:tc>
          <w:tcPr>
            <w:tcW w:w="6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Tax effect on selected items impacting comparability</w:t>
            </w:r>
          </w:p>
        </w:tc>
        <w:tc>
          <w:tcPr>
            <w:tcW w:w="7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213"/>
        </w:trPr>
        <w:tc>
          <w:tcPr>
            <w:tcW w:w="6640" w:type="dxa"/>
            <w:vAlign w:val="bottom"/>
            <w:gridSpan w:val="2"/>
          </w:tcPr>
          <w:p>
            <w:pPr>
              <w:ind w:left="20"/>
              <w:spacing w:after="0"/>
              <w:rPr>
                <w:sz w:val="20"/>
                <w:szCs w:val="20"/>
                <w:color w:val="auto"/>
              </w:rPr>
            </w:pPr>
            <w:r>
              <w:rPr>
                <w:rFonts w:ascii="Arial" w:cs="Arial" w:eastAsia="Arial" w:hAnsi="Arial"/>
                <w:sz w:val="16"/>
                <w:szCs w:val="16"/>
                <w:color w:val="auto"/>
              </w:rPr>
              <w:t>Aggregate selected items impacting noncontrolling interests</w:t>
            </w:r>
          </w:p>
        </w:tc>
        <w:tc>
          <w:tcPr>
            <w:tcW w:w="7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664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Selected items impacting comparability - Adjusted net income attributable to PAA</w:t>
            </w:r>
          </w:p>
        </w:tc>
        <w:tc>
          <w:tcPr>
            <w:tcW w:w="700" w:type="dxa"/>
            <w:vAlign w:val="bottom"/>
            <w:tcBorders>
              <w:top w:val="single" w:sz="8" w:color="auto"/>
              <w:bottom w:val="single" w:sz="8" w:color="auto"/>
            </w:tcBorders>
            <w:shd w:val="clear" w:color="auto" w:fill="CCEEFF"/>
          </w:tcPr>
          <w:p>
            <w:pPr>
              <w:jc w:val="right"/>
              <w:ind w:right="523"/>
              <w:spacing w:after="0"/>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jc w:val="right"/>
              <w:ind w:right="541"/>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219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r>
        <w:trPr>
          <w:trHeight w:val="136"/>
        </w:trPr>
        <w:tc>
          <w:tcPr>
            <w:tcW w:w="3880" w:type="dxa"/>
            <w:vAlign w:val="bottom"/>
            <w:tcBorders>
              <w:bottom w:val="single" w:sz="8" w:color="auto"/>
            </w:tcBorders>
          </w:tcPr>
          <w:p>
            <w:pPr>
              <w:spacing w:after="0"/>
              <w:rPr>
                <w:sz w:val="11"/>
                <w:szCs w:val="11"/>
                <w:color w:val="auto"/>
              </w:rPr>
            </w:pPr>
          </w:p>
        </w:tc>
        <w:tc>
          <w:tcPr>
            <w:tcW w:w="2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r>
    </w:tbl>
    <w:p>
      <w:pPr>
        <w:spacing w:after="0" w:line="103"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Certain of our non-GAAP financial measures may not be impacted by each of the selected items impacting comparability.</w:t>
      </w:r>
    </w:p>
    <w:p>
      <w:pPr>
        <w:spacing w:after="0" w:line="52" w:lineRule="exact"/>
        <w:rPr>
          <w:rFonts w:ascii="Arial" w:cs="Arial" w:eastAsia="Arial" w:hAnsi="Arial"/>
          <w:sz w:val="18"/>
          <w:szCs w:val="18"/>
          <w:color w:val="auto"/>
          <w:vertAlign w:val="superscript"/>
        </w:rPr>
      </w:pPr>
    </w:p>
    <w:p>
      <w:pPr>
        <w:ind w:left="340" w:right="120" w:hanging="332"/>
        <w:spacing w:after="0" w:line="237" w:lineRule="auto"/>
        <w:tabs>
          <w:tab w:leader="none" w:pos="337"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differences in the timing of earnings from the derivative instruments and the underlying transactions and exclude the related gains and losses in determining adjusted results such that the earnings from the derivative instruments and the underlying transactions impact adjusted results in the same period. In addition, we exclude gains and losses on derivatives that are related to (i) investing activities, such as the purchase of linefill, and (ii) purchases of long-term inventory. We also exclude the impact of corresponding inventory valuation adjustments, as applicable. In addition, we exclude gains and losses from the mark-to-market of the embedded derivative associated with the Preferred Distribution Rate Reset Option of our Series A preferred units.</w:t>
      </w:r>
    </w:p>
    <w:p>
      <w:pPr>
        <w:spacing w:after="0" w:line="45" w:lineRule="exact"/>
        <w:rPr>
          <w:rFonts w:ascii="Arial" w:cs="Arial" w:eastAsia="Arial" w:hAnsi="Arial"/>
          <w:sz w:val="18"/>
          <w:szCs w:val="18"/>
          <w:color w:val="auto"/>
          <w:vertAlign w:val="superscript"/>
        </w:rPr>
      </w:pPr>
    </w:p>
    <w:p>
      <w:pPr>
        <w:ind w:left="340" w:right="40" w:hanging="332"/>
        <w:spacing w:after="0" w:line="255" w:lineRule="auto"/>
        <w:tabs>
          <w:tab w:leader="none" w:pos="337" w:val="left"/>
        </w:tabs>
        <w:numPr>
          <w:ilvl w:val="0"/>
          <w:numId w:val="16"/>
        </w:numPr>
        <w:rPr>
          <w:rFonts w:ascii="Arial" w:cs="Arial" w:eastAsia="Arial" w:hAnsi="Arial"/>
          <w:sz w:val="17"/>
          <w:szCs w:val="17"/>
          <w:color w:val="auto"/>
          <w:vertAlign w:val="superscript"/>
        </w:rPr>
      </w:pPr>
      <w:r>
        <w:rPr>
          <w:rFonts w:ascii="Arial" w:cs="Arial" w:eastAsia="Arial" w:hAnsi="Arial"/>
          <w:sz w:val="13"/>
          <w:szCs w:val="13"/>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w:t>
      </w:r>
    </w:p>
    <w:p>
      <w:pPr>
        <w:spacing w:after="0" w:line="44" w:lineRule="exact"/>
        <w:rPr>
          <w:rFonts w:ascii="Arial" w:cs="Arial" w:eastAsia="Arial" w:hAnsi="Arial"/>
          <w:sz w:val="17"/>
          <w:szCs w:val="17"/>
          <w:color w:val="auto"/>
          <w:vertAlign w:val="superscript"/>
        </w:rPr>
      </w:pPr>
    </w:p>
    <w:p>
      <w:pPr>
        <w:ind w:left="340" w:right="20" w:hanging="332"/>
        <w:spacing w:after="0" w:line="260" w:lineRule="auto"/>
        <w:tabs>
          <w:tab w:leader="none" w:pos="337" w:val="left"/>
        </w:tabs>
        <w:numPr>
          <w:ilvl w:val="0"/>
          <w:numId w:val="16"/>
        </w:numPr>
        <w:rPr>
          <w:rFonts w:ascii="Arial" w:cs="Arial" w:eastAsia="Arial" w:hAnsi="Arial"/>
          <w:sz w:val="17"/>
          <w:szCs w:val="17"/>
          <w:color w:val="auto"/>
          <w:vertAlign w:val="superscript"/>
        </w:rPr>
      </w:pPr>
      <w:r>
        <w:rPr>
          <w:rFonts w:ascii="Arial" w:cs="Arial" w:eastAsia="Arial" w:hAnsi="Arial"/>
          <w:sz w:val="13"/>
          <w:szCs w:val="13"/>
          <w:color w:val="auto"/>
        </w:rPr>
        <w:t>We, and certain of our equity method investments, have certain agreements that require counterparties to deliver, transport or throughput a minimum volume over an agreed upon period. Substantially all of such agreements were entered into with counterparties to economically support the return on capital expenditure necessary to construct the related asset. Some of these agreements include make-up rights if the minimum volume is not met. We, or our equity method investees,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or our equity method investees,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or equity earnings,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45" w:lineRule="exact"/>
        <w:rPr>
          <w:rFonts w:ascii="Arial" w:cs="Arial" w:eastAsia="Arial" w:hAnsi="Arial"/>
          <w:sz w:val="17"/>
          <w:szCs w:val="17"/>
          <w:color w:val="auto"/>
          <w:vertAlign w:val="superscript"/>
        </w:rPr>
      </w:pPr>
    </w:p>
    <w:p>
      <w:pPr>
        <w:ind w:left="340" w:hanging="332"/>
        <w:spacing w:after="0" w:line="230" w:lineRule="auto"/>
        <w:tabs>
          <w:tab w:leader="none" w:pos="337"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Our total equity-indexed compensation expense includes expense associated with awards that will be settled in units and awards that will be settled in cash. The awards that will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as applicable. The portion of compensation expense associated with awards that will be settled in cash is not considered a selected item impacting comparability.</w:t>
      </w:r>
    </w:p>
    <w:p>
      <w:pPr>
        <w:spacing w:after="0" w:line="54" w:lineRule="exact"/>
        <w:rPr>
          <w:rFonts w:ascii="Arial" w:cs="Arial" w:eastAsia="Arial" w:hAnsi="Arial"/>
          <w:sz w:val="18"/>
          <w:szCs w:val="18"/>
          <w:color w:val="auto"/>
          <w:vertAlign w:val="superscript"/>
        </w:rPr>
      </w:pPr>
    </w:p>
    <w:p>
      <w:pPr>
        <w:ind w:left="340" w:right="340" w:hanging="332"/>
        <w:spacing w:after="0" w:line="226" w:lineRule="auto"/>
        <w:tabs>
          <w:tab w:leader="none" w:pos="337"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During the periods presented, there were fluctuations in the value of the Canadian dollar to the U.S. dollar, resulting in the realization of foreign exchange gains and losses on the settlement of foreign currency transactions as well as the revaluation of monetary assets and liabilities denominated in a foreign currency. These gains and losses are not integral to our core operating performance and were thus classified as a selected item impacting comparability.</w:t>
      </w:r>
    </w:p>
    <w:p>
      <w:pPr>
        <w:spacing w:after="0" w:line="23" w:lineRule="exact"/>
        <w:rPr>
          <w:rFonts w:ascii="Arial" w:cs="Arial" w:eastAsia="Arial" w:hAnsi="Arial"/>
          <w:sz w:val="18"/>
          <w:szCs w:val="18"/>
          <w:color w:val="auto"/>
          <w:vertAlign w:val="superscript"/>
        </w:rPr>
      </w:pPr>
    </w:p>
    <w:p>
      <w:pPr>
        <w:ind w:left="320" w:hanging="312"/>
        <w:spacing w:after="0"/>
        <w:tabs>
          <w:tab w:leader="none" w:pos="320"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Includes costs recognized during the period related to the Line 901 incident that occurred in May 2015, net of amounts we believe are probable of recovery from insurance.</w:t>
      </w:r>
    </w:p>
    <w:p>
      <w:pPr>
        <w:spacing w:after="0" w:line="52" w:lineRule="exact"/>
        <w:rPr>
          <w:rFonts w:ascii="Arial" w:cs="Arial" w:eastAsia="Arial" w:hAnsi="Arial"/>
          <w:sz w:val="18"/>
          <w:szCs w:val="18"/>
          <w:color w:val="auto"/>
          <w:vertAlign w:val="superscript"/>
        </w:rPr>
      </w:pPr>
    </w:p>
    <w:p>
      <w:pPr>
        <w:ind w:left="320" w:hanging="312"/>
        <w:spacing w:after="0" w:line="181" w:lineRule="auto"/>
        <w:tabs>
          <w:tab w:leader="none" w:pos="320" w:val="left"/>
        </w:tabs>
        <w:numPr>
          <w:ilvl w:val="0"/>
          <w:numId w:val="16"/>
        </w:numPr>
        <w:rPr>
          <w:rFonts w:ascii="Arial" w:cs="Arial" w:eastAsia="Arial" w:hAnsi="Arial"/>
          <w:sz w:val="16"/>
          <w:szCs w:val="16"/>
          <w:color w:val="auto"/>
          <w:vertAlign w:val="superscript"/>
        </w:rPr>
      </w:pPr>
      <w:r>
        <w:rPr>
          <w:rFonts w:ascii="Arial" w:cs="Arial" w:eastAsia="Arial" w:hAnsi="Arial"/>
          <w:sz w:val="12"/>
          <w:szCs w:val="12"/>
          <w:color w:val="auto"/>
        </w:rPr>
        <w:t>Includes expenses associated with the Plains Oryx Permian Basin joint venture transaction, which closed on October 5, 2021.</w:t>
      </w:r>
    </w:p>
    <w:p>
      <w:pPr>
        <w:ind w:left="5440" w:hanging="106"/>
        <w:spacing w:after="0"/>
        <w:tabs>
          <w:tab w:leader="none" w:pos="54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39"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auto"/>
        </w:rPr>
        <w:t>Page 14</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FINANCIAL DATA BY SEGMENT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8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4"/>
                <w:szCs w:val="14"/>
                <w:color w:val="auto"/>
              </w:rPr>
            </w:pPr>
          </w:p>
        </w:tc>
        <w:tc>
          <w:tcPr>
            <w:tcW w:w="2580" w:type="dxa"/>
            <w:vAlign w:val="bottom"/>
            <w:gridSpan w:val="4"/>
          </w:tcPr>
          <w:p>
            <w:pPr>
              <w:jc w:val="right"/>
              <w:ind w:right="671"/>
              <w:spacing w:after="0"/>
              <w:rPr>
                <w:sz w:val="20"/>
                <w:szCs w:val="20"/>
                <w:color w:val="auto"/>
              </w:rPr>
            </w:pPr>
            <w:r>
              <w:rPr>
                <w:rFonts w:ascii="Arial" w:cs="Arial" w:eastAsia="Arial" w:hAnsi="Arial"/>
                <w:sz w:val="14"/>
                <w:szCs w:val="14"/>
                <w:b w:val="1"/>
                <w:bCs w:val="1"/>
                <w:color w:val="auto"/>
              </w:rPr>
              <w:t>Three Months Ended</w:t>
            </w:r>
          </w:p>
        </w:tc>
      </w:tr>
      <w:tr>
        <w:trPr>
          <w:trHeight w:val="196"/>
        </w:trPr>
        <w:tc>
          <w:tcPr>
            <w:tcW w:w="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8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w w:val="91"/>
              </w:rPr>
              <w:t>December 31, 2022</w:t>
            </w:r>
          </w:p>
        </w:tc>
        <w:tc>
          <w:tcPr>
            <w:tcW w:w="240" w:type="dxa"/>
            <w:vAlign w:val="bottom"/>
          </w:tcPr>
          <w:p>
            <w:pPr>
              <w:spacing w:after="0"/>
              <w:rPr>
                <w:sz w:val="17"/>
                <w:szCs w:val="17"/>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 2021</w:t>
            </w:r>
          </w:p>
        </w:tc>
        <w:tc>
          <w:tcPr>
            <w:tcW w:w="820" w:type="dxa"/>
            <w:vAlign w:val="bottom"/>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Crude Oil</w:t>
            </w: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NGL</w:t>
            </w: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Crude Oil</w:t>
            </w:r>
          </w:p>
        </w:tc>
        <w:tc>
          <w:tcPr>
            <w:tcW w:w="5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431"/>
              <w:spacing w:after="0"/>
              <w:rPr>
                <w:sz w:val="20"/>
                <w:szCs w:val="20"/>
                <w:color w:val="auto"/>
              </w:rPr>
            </w:pPr>
            <w:r>
              <w:rPr>
                <w:rFonts w:ascii="Arial" w:cs="Arial" w:eastAsia="Arial" w:hAnsi="Arial"/>
                <w:sz w:val="14"/>
                <w:szCs w:val="14"/>
                <w:b w:val="1"/>
                <w:bCs w:val="1"/>
                <w:color w:val="auto"/>
                <w:w w:val="94"/>
              </w:rPr>
              <w:t>NGL</w:t>
            </w:r>
          </w:p>
        </w:tc>
      </w:tr>
      <w:tr>
        <w:trPr>
          <w:trHeight w:val="229"/>
        </w:trPr>
        <w:tc>
          <w:tcPr>
            <w:tcW w:w="60" w:type="dxa"/>
            <w:vAlign w:val="bottom"/>
          </w:tcPr>
          <w:p>
            <w:pPr>
              <w:spacing w:after="0"/>
              <w:rPr>
                <w:sz w:val="19"/>
                <w:szCs w:val="19"/>
                <w:color w:val="auto"/>
              </w:rPr>
            </w:pPr>
          </w:p>
        </w:tc>
        <w:tc>
          <w:tcPr>
            <w:tcW w:w="5280" w:type="dxa"/>
            <w:vAlign w:val="bottom"/>
            <w:tcBorders>
              <w:top w:val="single" w:sz="8" w:color="CCEEFF"/>
            </w:tcBorders>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12,137</w:t>
            </w:r>
          </w:p>
        </w:tc>
        <w:tc>
          <w:tcPr>
            <w:tcW w:w="1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w:t>
            </w:r>
          </w:p>
        </w:tc>
      </w:tr>
      <w:tr>
        <w:trPr>
          <w:trHeight w:val="230"/>
        </w:trPr>
        <w:tc>
          <w:tcPr>
            <w:tcW w:w="60" w:type="dxa"/>
            <w:vAlign w:val="bottom"/>
          </w:tcPr>
          <w:p>
            <w:pPr>
              <w:spacing w:after="0"/>
              <w:rPr>
                <w:sz w:val="19"/>
                <w:szCs w:val="19"/>
                <w:color w:val="auto"/>
              </w:rPr>
            </w:pPr>
          </w:p>
        </w:tc>
        <w:tc>
          <w:tcPr>
            <w:tcW w:w="528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(1)</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(11,593)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(522)</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(11,394)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(448)</w:t>
            </w:r>
          </w:p>
        </w:tc>
      </w:tr>
      <w:tr>
        <w:trPr>
          <w:trHeight w:val="229"/>
        </w:trPr>
        <w:tc>
          <w:tcPr>
            <w:tcW w:w="60" w:type="dxa"/>
            <w:vAlign w:val="bottom"/>
          </w:tcPr>
          <w:p>
            <w:pPr>
              <w:spacing w:after="0"/>
              <w:rPr>
                <w:sz w:val="19"/>
                <w:szCs w:val="19"/>
                <w:color w:val="auto"/>
              </w:rPr>
            </w:pPr>
          </w:p>
        </w:tc>
        <w:tc>
          <w:tcPr>
            <w:tcW w:w="52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(2)</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29"/>
        </w:trPr>
        <w:tc>
          <w:tcPr>
            <w:tcW w:w="60" w:type="dxa"/>
            <w:vAlign w:val="bottom"/>
          </w:tcPr>
          <w:p>
            <w:pPr>
              <w:spacing w:after="0"/>
              <w:rPr>
                <w:sz w:val="19"/>
                <w:szCs w:val="19"/>
                <w:color w:val="auto"/>
              </w:rPr>
            </w:pPr>
          </w:p>
        </w:tc>
        <w:tc>
          <w:tcPr>
            <w:tcW w:w="528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Segment general and administrative expenses </w:t>
            </w:r>
            <w:r>
              <w:rPr>
                <w:rFonts w:ascii="Arial" w:cs="Arial" w:eastAsia="Arial" w:hAnsi="Arial"/>
                <w:sz w:val="23"/>
                <w:szCs w:val="23"/>
                <w:color w:val="auto"/>
                <w:vertAlign w:val="superscript"/>
              </w:rPr>
              <w:t>(2) (3)</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60" w:type="dxa"/>
            <w:vAlign w:val="bottom"/>
          </w:tcPr>
          <w:p>
            <w:pPr>
              <w:spacing w:after="0"/>
              <w:rPr>
                <w:sz w:val="19"/>
                <w:szCs w:val="19"/>
                <w:color w:val="auto"/>
              </w:rPr>
            </w:pPr>
          </w:p>
        </w:tc>
        <w:tc>
          <w:tcPr>
            <w:tcW w:w="5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0" w:type="dxa"/>
            <w:vAlign w:val="bottom"/>
          </w:tcPr>
          <w:p>
            <w:pPr>
              <w:spacing w:after="0"/>
              <w:rPr>
                <w:sz w:val="23"/>
                <w:szCs w:val="23"/>
                <w:color w:val="auto"/>
              </w:rPr>
            </w:pPr>
          </w:p>
        </w:tc>
        <w:tc>
          <w:tcPr>
            <w:tcW w:w="38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29"/>
        </w:trPr>
        <w:tc>
          <w:tcPr>
            <w:tcW w:w="60" w:type="dxa"/>
            <w:vAlign w:val="bottom"/>
          </w:tcPr>
          <w:p>
            <w:pPr>
              <w:spacing w:after="0"/>
              <w:rPr>
                <w:sz w:val="19"/>
                <w:szCs w:val="19"/>
                <w:color w:val="auto"/>
              </w:rPr>
            </w:pPr>
          </w:p>
        </w:tc>
        <w:tc>
          <w:tcPr>
            <w:tcW w:w="52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(4)</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528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 of unconsolidated entities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75"/>
        </w:trPr>
        <w:tc>
          <w:tcPr>
            <w:tcW w:w="60" w:type="dxa"/>
            <w:vAlign w:val="bottom"/>
          </w:tcPr>
          <w:p>
            <w:pPr>
              <w:spacing w:after="0"/>
              <w:rPr>
                <w:sz w:val="15"/>
                <w:szCs w:val="15"/>
                <w:color w:val="auto"/>
              </w:rPr>
            </w:pPr>
          </w:p>
        </w:tc>
        <w:tc>
          <w:tcPr>
            <w:tcW w:w="528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8"/>
                <w:szCs w:val="18"/>
                <w:color w:val="auto"/>
              </w:rPr>
              <w:t>(Gains)/losses from derivative activities and inventory valuation</w:t>
            </w: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43"/>
        </w:trPr>
        <w:tc>
          <w:tcPr>
            <w:tcW w:w="60" w:type="dxa"/>
            <w:vAlign w:val="bottom"/>
          </w:tcPr>
          <w:p>
            <w:pPr>
              <w:spacing w:after="0"/>
              <w:rPr>
                <w:sz w:val="21"/>
                <w:szCs w:val="21"/>
                <w:color w:val="auto"/>
              </w:rPr>
            </w:pPr>
          </w:p>
        </w:tc>
        <w:tc>
          <w:tcPr>
            <w:tcW w:w="5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adjustments</w:t>
            </w: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4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r>
      <w:tr>
        <w:trPr>
          <w:trHeight w:val="229"/>
        </w:trPr>
        <w:tc>
          <w:tcPr>
            <w:tcW w:w="60" w:type="dxa"/>
            <w:vAlign w:val="bottom"/>
          </w:tcPr>
          <w:p>
            <w:pPr>
              <w:spacing w:after="0"/>
              <w:rPr>
                <w:sz w:val="19"/>
                <w:szCs w:val="19"/>
                <w:color w:val="auto"/>
              </w:rPr>
            </w:pPr>
          </w:p>
        </w:tc>
        <w:tc>
          <w:tcPr>
            <w:tcW w:w="5280" w:type="dxa"/>
            <w:vAlign w:val="bottom"/>
            <w:gridSpan w:val="2"/>
          </w:tcPr>
          <w:p>
            <w:pPr>
              <w:ind w:left="180"/>
              <w:spacing w:after="0"/>
              <w:rPr>
                <w:sz w:val="20"/>
                <w:szCs w:val="20"/>
                <w:color w:val="auto"/>
              </w:rPr>
            </w:pPr>
            <w:r>
              <w:rPr>
                <w:rFonts w:ascii="Arial" w:cs="Arial" w:eastAsia="Arial" w:hAnsi="Arial"/>
                <w:sz w:val="18"/>
                <w:szCs w:val="18"/>
                <w:color w:val="auto"/>
              </w:rPr>
              <w:t>Long-term inventory costing adjustments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60" w:type="dxa"/>
            <w:vAlign w:val="bottom"/>
          </w:tcPr>
          <w:p>
            <w:pPr>
              <w:spacing w:after="0"/>
              <w:rPr>
                <w:sz w:val="19"/>
                <w:szCs w:val="19"/>
                <w:color w:val="auto"/>
              </w:rPr>
            </w:pPr>
          </w:p>
        </w:tc>
        <w:tc>
          <w:tcPr>
            <w:tcW w:w="5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Deficiencies under minimum volume commitments, net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0" w:type="dxa"/>
            <w:vAlign w:val="bottom"/>
          </w:tcPr>
          <w:p>
            <w:pPr>
              <w:spacing w:after="0"/>
              <w:rPr>
                <w:sz w:val="19"/>
                <w:szCs w:val="19"/>
                <w:color w:val="auto"/>
              </w:rPr>
            </w:pPr>
          </w:p>
        </w:tc>
        <w:tc>
          <w:tcPr>
            <w:tcW w:w="5280" w:type="dxa"/>
            <w:vAlign w:val="bottom"/>
            <w:gridSpan w:val="2"/>
          </w:tcPr>
          <w:p>
            <w:pPr>
              <w:ind w:left="180"/>
              <w:spacing w:after="0"/>
              <w:rPr>
                <w:sz w:val="20"/>
                <w:szCs w:val="20"/>
                <w:color w:val="auto"/>
              </w:rPr>
            </w:pPr>
            <w:r>
              <w:rPr>
                <w:rFonts w:ascii="Arial" w:cs="Arial" w:eastAsia="Arial" w:hAnsi="Arial"/>
                <w:sz w:val="18"/>
                <w:szCs w:val="18"/>
                <w:color w:val="auto"/>
              </w:rPr>
              <w:t>Equity-indexed compensation expense</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0" w:type="dxa"/>
            <w:vAlign w:val="bottom"/>
          </w:tcPr>
          <w:p>
            <w:pPr>
              <w:spacing w:after="0"/>
              <w:rPr>
                <w:sz w:val="19"/>
                <w:szCs w:val="19"/>
                <w:color w:val="auto"/>
              </w:rPr>
            </w:pPr>
          </w:p>
        </w:tc>
        <w:tc>
          <w:tcPr>
            <w:tcW w:w="5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(gain)/loss on foreign currency revaluation</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60" w:type="dxa"/>
            <w:vAlign w:val="bottom"/>
          </w:tcPr>
          <w:p>
            <w:pPr>
              <w:spacing w:after="0"/>
              <w:rPr>
                <w:sz w:val="19"/>
                <w:szCs w:val="19"/>
                <w:color w:val="auto"/>
              </w:rPr>
            </w:pPr>
          </w:p>
        </w:tc>
        <w:tc>
          <w:tcPr>
            <w:tcW w:w="5280" w:type="dxa"/>
            <w:vAlign w:val="bottom"/>
            <w:gridSpan w:val="2"/>
          </w:tcPr>
          <w:p>
            <w:pPr>
              <w:ind w:left="180"/>
              <w:spacing w:after="0"/>
              <w:rPr>
                <w:sz w:val="20"/>
                <w:szCs w:val="20"/>
                <w:color w:val="auto"/>
              </w:rPr>
            </w:pPr>
            <w:r>
              <w:rPr>
                <w:rFonts w:ascii="Arial" w:cs="Arial" w:eastAsia="Arial" w:hAnsi="Arial"/>
                <w:sz w:val="18"/>
                <w:szCs w:val="18"/>
                <w:color w:val="auto"/>
              </w:rPr>
              <w:t>Line 901 incident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0" w:type="dxa"/>
            <w:vAlign w:val="bottom"/>
          </w:tcPr>
          <w:p>
            <w:pPr>
              <w:spacing w:after="0"/>
              <w:rPr>
                <w:sz w:val="19"/>
                <w:szCs w:val="19"/>
                <w:color w:val="auto"/>
              </w:rPr>
            </w:pPr>
          </w:p>
        </w:tc>
        <w:tc>
          <w:tcPr>
            <w:tcW w:w="5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Significant transaction-related expenses</w:t>
            </w: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0" w:type="dxa"/>
            <w:vAlign w:val="bottom"/>
          </w:tcPr>
          <w:p>
            <w:pPr>
              <w:spacing w:after="0"/>
              <w:rPr>
                <w:sz w:val="19"/>
                <w:szCs w:val="19"/>
                <w:color w:val="auto"/>
              </w:rPr>
            </w:pPr>
          </w:p>
        </w:tc>
        <w:tc>
          <w:tcPr>
            <w:tcW w:w="528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 xml:space="preserve">Adjusted EBITDA attributable to noncontrolling interests </w:t>
            </w:r>
            <w:r>
              <w:rPr>
                <w:rFonts w:ascii="Arial" w:cs="Arial" w:eastAsia="Arial" w:hAnsi="Arial"/>
                <w:sz w:val="23"/>
                <w:szCs w:val="23"/>
                <w:color w:val="auto"/>
                <w:vertAlign w:val="superscript"/>
              </w:rPr>
              <w:t>(5)</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0" w:type="dxa"/>
            <w:vAlign w:val="bottom"/>
          </w:tcPr>
          <w:p>
            <w:pPr>
              <w:spacing w:after="0"/>
              <w:rPr>
                <w:sz w:val="21"/>
                <w:szCs w:val="21"/>
                <w:color w:val="auto"/>
              </w:rPr>
            </w:pPr>
          </w:p>
        </w:tc>
        <w:tc>
          <w:tcPr>
            <w:tcW w:w="52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4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0"/>
        </w:trPr>
        <w:tc>
          <w:tcPr>
            <w:tcW w:w="60" w:type="dxa"/>
            <w:vAlign w:val="bottom"/>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54"/>
        </w:trPr>
        <w:tc>
          <w:tcPr>
            <w:tcW w:w="60" w:type="dxa"/>
            <w:vAlign w:val="bottom"/>
          </w:tcPr>
          <w:p>
            <w:pPr>
              <w:spacing w:after="0"/>
              <w:rPr>
                <w:sz w:val="21"/>
                <w:szCs w:val="21"/>
                <w:color w:val="auto"/>
              </w:rPr>
            </w:pPr>
          </w:p>
        </w:tc>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Maintenance capital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60" w:type="dxa"/>
            <w:vAlign w:val="bottom"/>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36"/>
        </w:trPr>
        <w:tc>
          <w:tcPr>
            <w:tcW w:w="60" w:type="dxa"/>
            <w:vAlign w:val="bottom"/>
            <w:tcBorders>
              <w:bottom w:val="single" w:sz="8" w:color="auto"/>
            </w:tcBorders>
          </w:tcPr>
          <w:p>
            <w:pPr>
              <w:spacing w:after="0"/>
              <w:rPr>
                <w:sz w:val="11"/>
                <w:szCs w:val="11"/>
                <w:color w:val="auto"/>
              </w:rPr>
            </w:pPr>
          </w:p>
        </w:tc>
        <w:tc>
          <w:tcPr>
            <w:tcW w:w="3820" w:type="dxa"/>
            <w:vAlign w:val="bottom"/>
            <w:tcBorders>
              <w:bottom w:val="single" w:sz="8" w:color="auto"/>
            </w:tcBorders>
          </w:tcPr>
          <w:p>
            <w:pPr>
              <w:spacing w:after="0"/>
              <w:rPr>
                <w:sz w:val="11"/>
                <w:szCs w:val="11"/>
                <w:color w:val="auto"/>
              </w:rPr>
            </w:pPr>
          </w:p>
        </w:tc>
        <w:tc>
          <w:tcPr>
            <w:tcW w:w="1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r>
    </w:tbl>
    <w:p>
      <w:pPr>
        <w:spacing w:after="0" w:line="129" w:lineRule="exact"/>
        <w:rPr>
          <w:sz w:val="20"/>
          <w:szCs w:val="20"/>
          <w:color w:val="auto"/>
        </w:rPr>
      </w:pPr>
    </w:p>
    <w:p>
      <w:pPr>
        <w:sectPr>
          <w:pgSz w:w="11900" w:h="16838" w:orient="portrait"/>
          <w:cols w:equalWidth="0" w:num="1">
            <w:col w:w="11180"/>
          </w:cols>
          <w:pgMar w:left="320" w:top="368" w:right="399" w:bottom="1440" w:gutter="0" w:footer="0" w:header="0"/>
        </w:sectPr>
      </w:pPr>
    </w:p>
    <w:p>
      <w:pPr>
        <w:spacing w:after="0"/>
        <w:rPr>
          <w:sz w:val="20"/>
          <w:szCs w:val="20"/>
          <w:color w:val="auto"/>
        </w:rPr>
      </w:pPr>
      <w:r>
        <w:rPr>
          <w:rFonts w:ascii="Arial" w:cs="Arial" w:eastAsia="Arial" w:hAnsi="Arial"/>
          <w:sz w:val="11"/>
          <w:szCs w:val="11"/>
          <w:color w:val="auto"/>
        </w:rPr>
        <w:t>(1)</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Includes intersegment amounts.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Field operating costs and Segment general and administrative expenses include equity-indexed compensation expense.</w:t>
      </w:r>
    </w:p>
    <w:p>
      <w:pPr>
        <w:spacing w:after="0" w:line="86" w:lineRule="exact"/>
        <w:rPr>
          <w:sz w:val="20"/>
          <w:szCs w:val="20"/>
          <w:color w:val="auto"/>
        </w:rPr>
      </w:pPr>
    </w:p>
    <w:p>
      <w:pPr>
        <w:sectPr>
          <w:pgSz w:w="11900" w:h="16838" w:orient="portrait"/>
          <w:cols w:equalWidth="0" w:num="2">
            <w:col w:w="140" w:space="180"/>
            <w:col w:w="10860"/>
          </w:cols>
          <w:pgMar w:left="320" w:top="368" w:right="399" w:bottom="1440" w:gutter="0" w:footer="0" w:header="0"/>
          <w:type w:val="continuous"/>
        </w:sectPr>
      </w:pPr>
    </w:p>
    <w:p>
      <w:pPr>
        <w:ind w:left="340" w:right="40" w:hanging="332"/>
        <w:spacing w:after="0" w:line="267" w:lineRule="auto"/>
        <w:tabs>
          <w:tab w:leader="none" w:pos="328"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12" w:lineRule="exact"/>
        <w:rPr>
          <w:rFonts w:ascii="Arial" w:cs="Arial" w:eastAsia="Arial" w:hAnsi="Arial"/>
          <w:sz w:val="21"/>
          <w:szCs w:val="21"/>
          <w:color w:val="auto"/>
          <w:vertAlign w:val="superscript"/>
        </w:rPr>
      </w:pPr>
    </w:p>
    <w:p>
      <w:pPr>
        <w:ind w:left="340" w:right="80" w:hanging="332"/>
        <w:spacing w:after="0" w:line="234" w:lineRule="auto"/>
        <w:tabs>
          <w:tab w:leader="none" w:pos="328"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40" w:lineRule="exact"/>
        <w:rPr>
          <w:rFonts w:ascii="Arial" w:cs="Arial" w:eastAsia="Arial" w:hAnsi="Arial"/>
          <w:sz w:val="23"/>
          <w:szCs w:val="23"/>
          <w:color w:val="auto"/>
          <w:vertAlign w:val="superscript"/>
        </w:rPr>
      </w:pPr>
    </w:p>
    <w:p>
      <w:pPr>
        <w:ind w:left="340" w:right="580" w:hanging="332"/>
        <w:spacing w:after="0" w:line="207" w:lineRule="auto"/>
        <w:tabs>
          <w:tab w:leader="none" w:pos="328"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Reflects amounts attributable to noncontrolling interests in Plains Oryx Permian Basin LLC (beginning October 2021), Cactus II Pipeline LLC (beginning November 2022) and Red River Pipeline LLC.</w:t>
      </w:r>
    </w:p>
    <w:p>
      <w:pPr>
        <w:ind w:left="5440" w:hanging="106"/>
        <w:spacing w:after="0"/>
        <w:tabs>
          <w:tab w:leader="none" w:pos="54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39"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180"/>
          </w:cols>
          <w:pgMar w:left="320" w:top="368" w:right="39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auto"/>
        </w:rPr>
        <w:t>Page 15</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FINANCIAL DATA BY SEGMENT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8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93"/>
              </w:rPr>
              <w:t>Twelve Months Ended</w:t>
            </w:r>
          </w:p>
        </w:tc>
        <w:tc>
          <w:tcPr>
            <w:tcW w:w="240" w:type="dxa"/>
            <w:vAlign w:val="bottom"/>
          </w:tcPr>
          <w:p>
            <w:pPr>
              <w:spacing w:after="0"/>
              <w:rPr>
                <w:sz w:val="14"/>
                <w:szCs w:val="14"/>
                <w:color w:val="auto"/>
              </w:rPr>
            </w:pPr>
          </w:p>
        </w:tc>
        <w:tc>
          <w:tcPr>
            <w:tcW w:w="2580" w:type="dxa"/>
            <w:vAlign w:val="bottom"/>
            <w:gridSpan w:val="4"/>
          </w:tcPr>
          <w:p>
            <w:pPr>
              <w:jc w:val="right"/>
              <w:ind w:right="631"/>
              <w:spacing w:after="0"/>
              <w:rPr>
                <w:sz w:val="20"/>
                <w:szCs w:val="20"/>
                <w:color w:val="auto"/>
              </w:rPr>
            </w:pPr>
            <w:r>
              <w:rPr>
                <w:rFonts w:ascii="Arial" w:cs="Arial" w:eastAsia="Arial" w:hAnsi="Arial"/>
                <w:sz w:val="14"/>
                <w:szCs w:val="14"/>
                <w:b w:val="1"/>
                <w:bCs w:val="1"/>
                <w:color w:val="auto"/>
              </w:rPr>
              <w:t>Twelve Months Ended</w:t>
            </w:r>
          </w:p>
        </w:tc>
      </w:tr>
      <w:tr>
        <w:trPr>
          <w:trHeight w:val="196"/>
        </w:trPr>
        <w:tc>
          <w:tcPr>
            <w:tcW w:w="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8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w w:val="91"/>
              </w:rPr>
              <w:t>December 31, 2022</w:t>
            </w:r>
          </w:p>
        </w:tc>
        <w:tc>
          <w:tcPr>
            <w:tcW w:w="240" w:type="dxa"/>
            <w:vAlign w:val="bottom"/>
          </w:tcPr>
          <w:p>
            <w:pPr>
              <w:spacing w:after="0"/>
              <w:rPr>
                <w:sz w:val="17"/>
                <w:szCs w:val="17"/>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 2021</w:t>
            </w:r>
          </w:p>
        </w:tc>
        <w:tc>
          <w:tcPr>
            <w:tcW w:w="820" w:type="dxa"/>
            <w:vAlign w:val="bottom"/>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Crude Oil</w:t>
            </w: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NGL</w:t>
            </w:r>
          </w:p>
        </w:tc>
        <w:tc>
          <w:tcPr>
            <w:tcW w:w="220" w:type="dxa"/>
            <w:vAlign w:val="bottom"/>
            <w:gridSpan w:val="2"/>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Crude Oil</w:t>
            </w:r>
          </w:p>
        </w:tc>
        <w:tc>
          <w:tcPr>
            <w:tcW w:w="5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431"/>
              <w:spacing w:after="0"/>
              <w:rPr>
                <w:sz w:val="20"/>
                <w:szCs w:val="20"/>
                <w:color w:val="auto"/>
              </w:rPr>
            </w:pPr>
            <w:r>
              <w:rPr>
                <w:rFonts w:ascii="Arial" w:cs="Arial" w:eastAsia="Arial" w:hAnsi="Arial"/>
                <w:sz w:val="14"/>
                <w:szCs w:val="14"/>
                <w:b w:val="1"/>
                <w:bCs w:val="1"/>
                <w:color w:val="auto"/>
                <w:w w:val="94"/>
              </w:rPr>
              <w:t>NGL</w:t>
            </w:r>
          </w:p>
        </w:tc>
      </w:tr>
      <w:tr>
        <w:trPr>
          <w:trHeight w:val="229"/>
        </w:trPr>
        <w:tc>
          <w:tcPr>
            <w:tcW w:w="60" w:type="dxa"/>
            <w:vAlign w:val="bottom"/>
          </w:tcPr>
          <w:p>
            <w:pPr>
              <w:spacing w:after="0"/>
              <w:rPr>
                <w:sz w:val="19"/>
                <w:szCs w:val="19"/>
                <w:color w:val="auto"/>
              </w:rPr>
            </w:pPr>
          </w:p>
        </w:tc>
        <w:tc>
          <w:tcPr>
            <w:tcW w:w="5280" w:type="dxa"/>
            <w:vAlign w:val="bottom"/>
            <w:tcBorders>
              <w:top w:val="single" w:sz="8" w:color="CCEEFF"/>
            </w:tcBorders>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55,080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2,761</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40,470</w:t>
            </w:r>
          </w:p>
        </w:tc>
        <w:tc>
          <w:tcPr>
            <w:tcW w:w="1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1,968</w:t>
            </w:r>
          </w:p>
        </w:tc>
      </w:tr>
      <w:tr>
        <w:trPr>
          <w:trHeight w:val="229"/>
        </w:trPr>
        <w:tc>
          <w:tcPr>
            <w:tcW w:w="60" w:type="dxa"/>
            <w:vAlign w:val="bottom"/>
          </w:tcPr>
          <w:p>
            <w:pPr>
              <w:spacing w:after="0"/>
              <w:rPr>
                <w:sz w:val="19"/>
                <w:szCs w:val="19"/>
                <w:color w:val="auto"/>
              </w:rPr>
            </w:pPr>
          </w:p>
        </w:tc>
        <w:tc>
          <w:tcPr>
            <w:tcW w:w="528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(1)</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(52,088)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(1,587)</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(37,540)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(1,324)</w:t>
            </w:r>
          </w:p>
        </w:tc>
      </w:tr>
      <w:tr>
        <w:trPr>
          <w:trHeight w:val="230"/>
        </w:trPr>
        <w:tc>
          <w:tcPr>
            <w:tcW w:w="60" w:type="dxa"/>
            <w:vAlign w:val="bottom"/>
          </w:tcPr>
          <w:p>
            <w:pPr>
              <w:spacing w:after="0"/>
              <w:rPr>
                <w:sz w:val="19"/>
                <w:szCs w:val="19"/>
                <w:color w:val="auto"/>
              </w:rPr>
            </w:pPr>
          </w:p>
        </w:tc>
        <w:tc>
          <w:tcPr>
            <w:tcW w:w="52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(2)</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r>
      <w:tr>
        <w:trPr>
          <w:trHeight w:val="229"/>
        </w:trPr>
        <w:tc>
          <w:tcPr>
            <w:tcW w:w="60" w:type="dxa"/>
            <w:vAlign w:val="bottom"/>
          </w:tcPr>
          <w:p>
            <w:pPr>
              <w:spacing w:after="0"/>
              <w:rPr>
                <w:sz w:val="19"/>
                <w:szCs w:val="19"/>
                <w:color w:val="auto"/>
              </w:rPr>
            </w:pPr>
          </w:p>
        </w:tc>
        <w:tc>
          <w:tcPr>
            <w:tcW w:w="528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Segment general and administrative expenses </w:t>
            </w:r>
            <w:r>
              <w:rPr>
                <w:rFonts w:ascii="Arial" w:cs="Arial" w:eastAsia="Arial" w:hAnsi="Arial"/>
                <w:sz w:val="23"/>
                <w:szCs w:val="23"/>
                <w:color w:val="auto"/>
                <w:vertAlign w:val="superscript"/>
              </w:rPr>
              <w:t>(2) (3)</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60" w:type="dxa"/>
            <w:vAlign w:val="bottom"/>
          </w:tcPr>
          <w:p>
            <w:pPr>
              <w:spacing w:after="0"/>
              <w:rPr>
                <w:sz w:val="19"/>
                <w:szCs w:val="19"/>
                <w:color w:val="auto"/>
              </w:rPr>
            </w:pPr>
          </w:p>
        </w:tc>
        <w:tc>
          <w:tcPr>
            <w:tcW w:w="5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0" w:type="dxa"/>
            <w:vAlign w:val="bottom"/>
          </w:tcPr>
          <w:p>
            <w:pPr>
              <w:spacing w:after="0"/>
              <w:rPr>
                <w:sz w:val="23"/>
                <w:szCs w:val="23"/>
                <w:color w:val="auto"/>
              </w:rPr>
            </w:pPr>
          </w:p>
        </w:tc>
        <w:tc>
          <w:tcPr>
            <w:tcW w:w="38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29"/>
        </w:trPr>
        <w:tc>
          <w:tcPr>
            <w:tcW w:w="60" w:type="dxa"/>
            <w:vAlign w:val="bottom"/>
          </w:tcPr>
          <w:p>
            <w:pPr>
              <w:spacing w:after="0"/>
              <w:rPr>
                <w:sz w:val="19"/>
                <w:szCs w:val="19"/>
                <w:color w:val="auto"/>
              </w:rPr>
            </w:pPr>
          </w:p>
        </w:tc>
        <w:tc>
          <w:tcPr>
            <w:tcW w:w="52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(4)</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528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 of unconsolidated entities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0" w:type="dxa"/>
            <w:vAlign w:val="bottom"/>
          </w:tcPr>
          <w:p>
            <w:pPr>
              <w:spacing w:after="0"/>
              <w:rPr>
                <w:sz w:val="19"/>
                <w:szCs w:val="19"/>
                <w:color w:val="auto"/>
              </w:rPr>
            </w:pPr>
          </w:p>
        </w:tc>
        <w:tc>
          <w:tcPr>
            <w:tcW w:w="5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4"/>
              </w:rPr>
              <w:t>Gains from derivative activities and inventory valuation adjustments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60" w:type="dxa"/>
            <w:vAlign w:val="bottom"/>
          </w:tcPr>
          <w:p>
            <w:pPr>
              <w:spacing w:after="0"/>
              <w:rPr>
                <w:sz w:val="19"/>
                <w:szCs w:val="19"/>
                <w:color w:val="auto"/>
              </w:rPr>
            </w:pPr>
          </w:p>
        </w:tc>
        <w:tc>
          <w:tcPr>
            <w:tcW w:w="5280" w:type="dxa"/>
            <w:vAlign w:val="bottom"/>
            <w:gridSpan w:val="2"/>
          </w:tcPr>
          <w:p>
            <w:pPr>
              <w:ind w:left="180"/>
              <w:spacing w:after="0"/>
              <w:rPr>
                <w:sz w:val="20"/>
                <w:szCs w:val="20"/>
                <w:color w:val="auto"/>
              </w:rPr>
            </w:pPr>
            <w:r>
              <w:rPr>
                <w:rFonts w:ascii="Arial" w:cs="Arial" w:eastAsia="Arial" w:hAnsi="Arial"/>
                <w:sz w:val="18"/>
                <w:szCs w:val="18"/>
                <w:color w:val="auto"/>
              </w:rPr>
              <w:t>Long-term inventory costing adjustments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60" w:type="dxa"/>
            <w:vAlign w:val="bottom"/>
          </w:tcPr>
          <w:p>
            <w:pPr>
              <w:spacing w:after="0"/>
              <w:rPr>
                <w:sz w:val="19"/>
                <w:szCs w:val="19"/>
                <w:color w:val="auto"/>
              </w:rPr>
            </w:pPr>
          </w:p>
        </w:tc>
        <w:tc>
          <w:tcPr>
            <w:tcW w:w="5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Deficiencies under minimum volume commitments, net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0" w:type="dxa"/>
            <w:vAlign w:val="bottom"/>
          </w:tcPr>
          <w:p>
            <w:pPr>
              <w:spacing w:after="0"/>
              <w:rPr>
                <w:sz w:val="19"/>
                <w:szCs w:val="19"/>
                <w:color w:val="auto"/>
              </w:rPr>
            </w:pPr>
          </w:p>
        </w:tc>
        <w:tc>
          <w:tcPr>
            <w:tcW w:w="5280" w:type="dxa"/>
            <w:vAlign w:val="bottom"/>
            <w:gridSpan w:val="2"/>
          </w:tcPr>
          <w:p>
            <w:pPr>
              <w:ind w:left="180"/>
              <w:spacing w:after="0"/>
              <w:rPr>
                <w:sz w:val="20"/>
                <w:szCs w:val="20"/>
                <w:color w:val="auto"/>
              </w:rPr>
            </w:pPr>
            <w:r>
              <w:rPr>
                <w:rFonts w:ascii="Arial" w:cs="Arial" w:eastAsia="Arial" w:hAnsi="Arial"/>
                <w:sz w:val="18"/>
                <w:szCs w:val="18"/>
                <w:color w:val="auto"/>
              </w:rPr>
              <w:t>Equity-indexed compensation expense</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0" w:type="dxa"/>
            <w:vAlign w:val="bottom"/>
          </w:tcPr>
          <w:p>
            <w:pPr>
              <w:spacing w:after="0"/>
              <w:rPr>
                <w:sz w:val="19"/>
                <w:szCs w:val="19"/>
                <w:color w:val="auto"/>
              </w:rPr>
            </w:pPr>
          </w:p>
        </w:tc>
        <w:tc>
          <w:tcPr>
            <w:tcW w:w="5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(gain)/loss on foreign currency revaluation</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60" w:type="dxa"/>
            <w:vAlign w:val="bottom"/>
          </w:tcPr>
          <w:p>
            <w:pPr>
              <w:spacing w:after="0"/>
              <w:rPr>
                <w:sz w:val="19"/>
                <w:szCs w:val="19"/>
                <w:color w:val="auto"/>
              </w:rPr>
            </w:pPr>
          </w:p>
        </w:tc>
        <w:tc>
          <w:tcPr>
            <w:tcW w:w="5280" w:type="dxa"/>
            <w:vAlign w:val="bottom"/>
            <w:gridSpan w:val="2"/>
          </w:tcPr>
          <w:p>
            <w:pPr>
              <w:ind w:left="180"/>
              <w:spacing w:after="0"/>
              <w:rPr>
                <w:sz w:val="20"/>
                <w:szCs w:val="20"/>
                <w:color w:val="auto"/>
              </w:rPr>
            </w:pPr>
            <w:r>
              <w:rPr>
                <w:rFonts w:ascii="Arial" w:cs="Arial" w:eastAsia="Arial" w:hAnsi="Arial"/>
                <w:sz w:val="18"/>
                <w:szCs w:val="18"/>
                <w:color w:val="auto"/>
              </w:rPr>
              <w:t>Line 901 incident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0" w:type="dxa"/>
            <w:vAlign w:val="bottom"/>
          </w:tcPr>
          <w:p>
            <w:pPr>
              <w:spacing w:after="0"/>
              <w:rPr>
                <w:sz w:val="19"/>
                <w:szCs w:val="19"/>
                <w:color w:val="auto"/>
              </w:rPr>
            </w:pPr>
          </w:p>
        </w:tc>
        <w:tc>
          <w:tcPr>
            <w:tcW w:w="5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Significant transaction-related expenses</w:t>
            </w: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0" w:type="dxa"/>
            <w:vAlign w:val="bottom"/>
          </w:tcPr>
          <w:p>
            <w:pPr>
              <w:spacing w:after="0"/>
              <w:rPr>
                <w:sz w:val="19"/>
                <w:szCs w:val="19"/>
                <w:color w:val="auto"/>
              </w:rPr>
            </w:pPr>
          </w:p>
        </w:tc>
        <w:tc>
          <w:tcPr>
            <w:tcW w:w="528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 xml:space="preserve">Adjusted EBITDA attributable to noncontrolling interests </w:t>
            </w:r>
            <w:r>
              <w:rPr>
                <w:rFonts w:ascii="Arial" w:cs="Arial" w:eastAsia="Arial" w:hAnsi="Arial"/>
                <w:sz w:val="23"/>
                <w:szCs w:val="23"/>
                <w:color w:val="auto"/>
                <w:vertAlign w:val="superscript"/>
              </w:rPr>
              <w:t>(5)</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0" w:type="dxa"/>
            <w:vAlign w:val="bottom"/>
          </w:tcPr>
          <w:p>
            <w:pPr>
              <w:spacing w:after="0"/>
              <w:rPr>
                <w:sz w:val="21"/>
                <w:szCs w:val="21"/>
                <w:color w:val="auto"/>
              </w:rPr>
            </w:pPr>
          </w:p>
        </w:tc>
        <w:tc>
          <w:tcPr>
            <w:tcW w:w="52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4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r>
      <w:tr>
        <w:trPr>
          <w:trHeight w:val="20"/>
        </w:trPr>
        <w:tc>
          <w:tcPr>
            <w:tcW w:w="60" w:type="dxa"/>
            <w:vAlign w:val="bottom"/>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54"/>
        </w:trPr>
        <w:tc>
          <w:tcPr>
            <w:tcW w:w="60" w:type="dxa"/>
            <w:vAlign w:val="bottom"/>
          </w:tcPr>
          <w:p>
            <w:pPr>
              <w:spacing w:after="0"/>
              <w:rPr>
                <w:sz w:val="21"/>
                <w:szCs w:val="21"/>
                <w:color w:val="auto"/>
              </w:rPr>
            </w:pPr>
          </w:p>
        </w:tc>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Maintenance capital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0"/>
        </w:trPr>
        <w:tc>
          <w:tcPr>
            <w:tcW w:w="60" w:type="dxa"/>
            <w:vAlign w:val="bottom"/>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36"/>
        </w:trPr>
        <w:tc>
          <w:tcPr>
            <w:tcW w:w="60" w:type="dxa"/>
            <w:vAlign w:val="bottom"/>
            <w:tcBorders>
              <w:bottom w:val="single" w:sz="8" w:color="auto"/>
            </w:tcBorders>
          </w:tcPr>
          <w:p>
            <w:pPr>
              <w:spacing w:after="0"/>
              <w:rPr>
                <w:sz w:val="11"/>
                <w:szCs w:val="11"/>
                <w:color w:val="auto"/>
              </w:rPr>
            </w:pPr>
          </w:p>
        </w:tc>
        <w:tc>
          <w:tcPr>
            <w:tcW w:w="3820" w:type="dxa"/>
            <w:vAlign w:val="bottom"/>
            <w:tcBorders>
              <w:bottom w:val="single" w:sz="8" w:color="auto"/>
            </w:tcBorders>
          </w:tcPr>
          <w:p>
            <w:pPr>
              <w:spacing w:after="0"/>
              <w:rPr>
                <w:sz w:val="11"/>
                <w:szCs w:val="11"/>
                <w:color w:val="auto"/>
              </w:rPr>
            </w:pPr>
          </w:p>
        </w:tc>
        <w:tc>
          <w:tcPr>
            <w:tcW w:w="1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r>
    </w:tbl>
    <w:p>
      <w:pPr>
        <w:spacing w:after="0" w:line="129" w:lineRule="exact"/>
        <w:rPr>
          <w:sz w:val="20"/>
          <w:szCs w:val="20"/>
          <w:color w:val="auto"/>
        </w:rPr>
      </w:pPr>
    </w:p>
    <w:p>
      <w:pPr>
        <w:sectPr>
          <w:pgSz w:w="11900" w:h="16838" w:orient="portrait"/>
          <w:cols w:equalWidth="0" w:num="1">
            <w:col w:w="11180"/>
          </w:cols>
          <w:pgMar w:left="320" w:top="368" w:right="399" w:bottom="1440" w:gutter="0" w:footer="0" w:header="0"/>
        </w:sectPr>
      </w:pPr>
    </w:p>
    <w:p>
      <w:pPr>
        <w:spacing w:after="0"/>
        <w:rPr>
          <w:sz w:val="20"/>
          <w:szCs w:val="20"/>
          <w:color w:val="auto"/>
        </w:rPr>
      </w:pPr>
      <w:r>
        <w:rPr>
          <w:rFonts w:ascii="Arial" w:cs="Arial" w:eastAsia="Arial" w:hAnsi="Arial"/>
          <w:sz w:val="11"/>
          <w:szCs w:val="11"/>
          <w:color w:val="auto"/>
        </w:rPr>
        <w:t>(1)</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Includes intersegment amounts.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Field operating costs and Segment general and administrative expenses include equity-indexed compensation expense.</w:t>
      </w:r>
    </w:p>
    <w:p>
      <w:pPr>
        <w:spacing w:after="0" w:line="86" w:lineRule="exact"/>
        <w:rPr>
          <w:sz w:val="20"/>
          <w:szCs w:val="20"/>
          <w:color w:val="auto"/>
        </w:rPr>
      </w:pPr>
    </w:p>
    <w:p>
      <w:pPr>
        <w:sectPr>
          <w:pgSz w:w="11900" w:h="16838" w:orient="portrait"/>
          <w:cols w:equalWidth="0" w:num="2">
            <w:col w:w="140" w:space="180"/>
            <w:col w:w="10860"/>
          </w:cols>
          <w:pgMar w:left="320" w:top="368" w:right="399" w:bottom="1440" w:gutter="0" w:footer="0" w:header="0"/>
          <w:type w:val="continuous"/>
        </w:sectPr>
      </w:pPr>
    </w:p>
    <w:p>
      <w:pPr>
        <w:ind w:left="340" w:right="40" w:hanging="332"/>
        <w:spacing w:after="0" w:line="267" w:lineRule="auto"/>
        <w:tabs>
          <w:tab w:leader="none" w:pos="328" w:val="left"/>
        </w:tabs>
        <w:numPr>
          <w:ilvl w:val="0"/>
          <w:numId w:val="18"/>
        </w:numPr>
        <w:rPr>
          <w:rFonts w:ascii="Arial" w:cs="Arial" w:eastAsia="Arial" w:hAnsi="Arial"/>
          <w:sz w:val="21"/>
          <w:szCs w:val="21"/>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12" w:lineRule="exact"/>
        <w:rPr>
          <w:rFonts w:ascii="Arial" w:cs="Arial" w:eastAsia="Arial" w:hAnsi="Arial"/>
          <w:sz w:val="21"/>
          <w:szCs w:val="21"/>
          <w:color w:val="auto"/>
          <w:vertAlign w:val="superscript"/>
        </w:rPr>
      </w:pPr>
    </w:p>
    <w:p>
      <w:pPr>
        <w:ind w:left="340" w:right="80" w:hanging="332"/>
        <w:spacing w:after="0" w:line="234" w:lineRule="auto"/>
        <w:tabs>
          <w:tab w:leader="none" w:pos="328"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40" w:lineRule="exact"/>
        <w:rPr>
          <w:rFonts w:ascii="Arial" w:cs="Arial" w:eastAsia="Arial" w:hAnsi="Arial"/>
          <w:sz w:val="23"/>
          <w:szCs w:val="23"/>
          <w:color w:val="auto"/>
          <w:vertAlign w:val="superscript"/>
        </w:rPr>
      </w:pPr>
    </w:p>
    <w:p>
      <w:pPr>
        <w:ind w:left="340" w:right="580" w:hanging="332"/>
        <w:spacing w:after="0" w:line="227" w:lineRule="auto"/>
        <w:tabs>
          <w:tab w:leader="none" w:pos="328"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Reflects amounts attributable to noncontrolling interests in Plains Oryx Permian Basin LLC (beginning October 2021), Cactus II Pipeline LLC (beginning November 2022) and Red River Pipeline LLC.</w:t>
      </w:r>
    </w:p>
    <w:p>
      <w:pPr>
        <w:spacing w:after="0" w:line="242" w:lineRule="exact"/>
        <w:rPr>
          <w:rFonts w:ascii="Arial" w:cs="Arial" w:eastAsia="Arial" w:hAnsi="Arial"/>
          <w:sz w:val="23"/>
          <w:szCs w:val="23"/>
          <w:color w:val="auto"/>
          <w:vertAlign w:val="superscript"/>
        </w:rPr>
      </w:pPr>
    </w:p>
    <w:p>
      <w:pPr>
        <w:ind w:left="5440" w:hanging="106"/>
        <w:spacing w:after="0"/>
        <w:tabs>
          <w:tab w:leader="none" w:pos="54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180"/>
          </w:cols>
          <w:pgMar w:left="320" w:top="368" w:right="39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u w:val="single" w:color="auto"/>
          <w:color w:val="auto"/>
        </w:rPr>
        <w:t>Page 16</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DATA BY SEGMENT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5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3"/>
              </w:rPr>
              <w:t>Three Months Ended</w:t>
            </w:r>
          </w:p>
        </w:tc>
        <w:tc>
          <w:tcPr>
            <w:tcW w:w="24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Twelve Months Ended</w:t>
            </w:r>
          </w:p>
        </w:tc>
      </w:tr>
      <w:tr>
        <w:trPr>
          <w:trHeight w:val="196"/>
        </w:trPr>
        <w:tc>
          <w:tcPr>
            <w:tcW w:w="38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680" w:type="dxa"/>
            <w:vAlign w:val="bottom"/>
            <w:tcBorders>
              <w:bottom w:val="single" w:sz="8" w:color="auto"/>
            </w:tcBorders>
            <w:gridSpan w:val="3"/>
          </w:tcPr>
          <w:p>
            <w:pPr>
              <w:jc w:val="center"/>
              <w:ind w:left="673"/>
              <w:spacing w:after="0"/>
              <w:rPr>
                <w:sz w:val="20"/>
                <w:szCs w:val="20"/>
                <w:color w:val="auto"/>
              </w:rPr>
            </w:pPr>
            <w:r>
              <w:rPr>
                <w:rFonts w:ascii="Arial" w:cs="Arial" w:eastAsia="Arial" w:hAnsi="Arial"/>
                <w:sz w:val="14"/>
                <w:szCs w:val="14"/>
                <w:b w:val="1"/>
                <w:bCs w:val="1"/>
                <w:color w:val="auto"/>
                <w:w w:val="92"/>
              </w:rPr>
              <w:t>December 31,</w:t>
            </w: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Borders>
              <w:bottom w:val="single" w:sz="8" w:color="auto"/>
            </w:tcBorders>
            <w:gridSpan w:val="3"/>
          </w:tcPr>
          <w:p>
            <w:pPr>
              <w:jc w:val="center"/>
              <w:ind w:left="713"/>
              <w:spacing w:after="0"/>
              <w:rPr>
                <w:sz w:val="20"/>
                <w:szCs w:val="20"/>
                <w:color w:val="auto"/>
              </w:rPr>
            </w:pPr>
            <w:r>
              <w:rPr>
                <w:rFonts w:ascii="Arial" w:cs="Arial" w:eastAsia="Arial" w:hAnsi="Arial"/>
                <w:sz w:val="14"/>
                <w:szCs w:val="14"/>
                <w:b w:val="1"/>
                <w:bCs w:val="1"/>
                <w:color w:val="auto"/>
                <w:w w:val="92"/>
              </w:rPr>
              <w:t>December 31,</w:t>
            </w:r>
          </w:p>
        </w:tc>
        <w:tc>
          <w:tcPr>
            <w:tcW w:w="780" w:type="dxa"/>
            <w:vAlign w:val="bottom"/>
            <w:tcBorders>
              <w:bottom w:val="single" w:sz="8" w:color="auto"/>
            </w:tcBorders>
          </w:tcPr>
          <w:p>
            <w:pPr>
              <w:spacing w:after="0"/>
              <w:rPr>
                <w:sz w:val="17"/>
                <w:szCs w:val="17"/>
                <w:color w:val="auto"/>
              </w:rPr>
            </w:pPr>
          </w:p>
        </w:tc>
      </w:tr>
      <w:tr>
        <w:trPr>
          <w:trHeight w:val="196"/>
        </w:trPr>
        <w:tc>
          <w:tcPr>
            <w:tcW w:w="3880" w:type="dxa"/>
            <w:vAlign w:val="bottom"/>
            <w:tcBorders>
              <w:bottom w:val="single" w:sz="8" w:color="CCEEFF"/>
            </w:tcBorders>
          </w:tcPr>
          <w:p>
            <w:pPr>
              <w:spacing w:after="0"/>
              <w:rPr>
                <w:sz w:val="17"/>
                <w:szCs w:val="17"/>
                <w:color w:val="auto"/>
              </w:rPr>
            </w:pPr>
          </w:p>
        </w:tc>
        <w:tc>
          <w:tcPr>
            <w:tcW w:w="234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2021</w:t>
            </w:r>
          </w:p>
        </w:tc>
      </w:tr>
      <w:tr>
        <w:trPr>
          <w:trHeight w:val="216"/>
        </w:trPr>
        <w:tc>
          <w:tcPr>
            <w:tcW w:w="62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Crude Oil Segment Volumes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29"/>
        </w:trPr>
        <w:tc>
          <w:tcPr>
            <w:tcW w:w="622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 xml:space="preserve">Crude oil pipeline tariff (by region) </w:t>
            </w:r>
            <w:r>
              <w:rPr>
                <w:rFonts w:ascii="Arial" w:cs="Arial" w:eastAsia="Arial" w:hAnsi="Arial"/>
                <w:sz w:val="23"/>
                <w:szCs w:val="23"/>
                <w:color w:val="auto"/>
                <w:vertAlign w:val="superscript"/>
              </w:rPr>
              <w:t>(1)</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6220" w:type="dxa"/>
            <w:vAlign w:val="bottom"/>
            <w:gridSpan w:val="2"/>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Permian Basin </w:t>
            </w:r>
            <w:r>
              <w:rPr>
                <w:rFonts w:ascii="Arial" w:cs="Arial" w:eastAsia="Arial" w:hAnsi="Arial"/>
                <w:sz w:val="23"/>
                <w:szCs w:val="23"/>
                <w:color w:val="auto"/>
                <w:vertAlign w:val="superscript"/>
              </w:rPr>
              <w:t>(3)</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5,297</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4,412</w:t>
            </w:r>
          </w:p>
        </w:tc>
      </w:tr>
      <w:tr>
        <w:trPr>
          <w:trHeight w:val="229"/>
        </w:trPr>
        <w:tc>
          <w:tcPr>
            <w:tcW w:w="6220" w:type="dxa"/>
            <w:vAlign w:val="bottom"/>
            <w:gridSpan w:val="2"/>
          </w:tcPr>
          <w:p>
            <w:pPr>
              <w:ind w:left="360"/>
              <w:spacing w:after="0" w:line="230" w:lineRule="exact"/>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3"/>
                <w:szCs w:val="23"/>
                <w:color w:val="auto"/>
                <w:vertAlign w:val="superscript"/>
              </w:rPr>
              <w:t>(3)</w:t>
            </w:r>
          </w:p>
        </w:tc>
        <w:tc>
          <w:tcPr>
            <w:tcW w:w="1180" w:type="dxa"/>
            <w:vAlign w:val="bottom"/>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326</w:t>
            </w:r>
          </w:p>
        </w:tc>
      </w:tr>
      <w:tr>
        <w:trPr>
          <w:trHeight w:val="229"/>
        </w:trPr>
        <w:tc>
          <w:tcPr>
            <w:tcW w:w="6220" w:type="dxa"/>
            <w:vAlign w:val="bottom"/>
            <w:gridSpan w:val="2"/>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Mid-Continent </w:t>
            </w:r>
            <w:r>
              <w:rPr>
                <w:rFonts w:ascii="Arial" w:cs="Arial" w:eastAsia="Arial" w:hAnsi="Arial"/>
                <w:sz w:val="23"/>
                <w:szCs w:val="23"/>
                <w:color w:val="auto"/>
                <w:vertAlign w:val="superscript"/>
              </w:rPr>
              <w:t>(3)</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r>
      <w:tr>
        <w:trPr>
          <w:trHeight w:val="230"/>
        </w:trPr>
        <w:tc>
          <w:tcPr>
            <w:tcW w:w="6220" w:type="dxa"/>
            <w:vAlign w:val="bottom"/>
            <w:gridSpan w:val="2"/>
          </w:tcPr>
          <w:p>
            <w:pPr>
              <w:ind w:left="360"/>
              <w:spacing w:after="0"/>
              <w:rPr>
                <w:sz w:val="20"/>
                <w:szCs w:val="20"/>
                <w:color w:val="auto"/>
              </w:rPr>
            </w:pPr>
            <w:r>
              <w:rPr>
                <w:rFonts w:ascii="Arial" w:cs="Arial" w:eastAsia="Arial" w:hAnsi="Arial"/>
                <w:sz w:val="18"/>
                <w:szCs w:val="18"/>
                <w:color w:val="auto"/>
              </w:rPr>
              <w:t>Gulf Coast</w:t>
            </w:r>
          </w:p>
        </w:tc>
        <w:tc>
          <w:tcPr>
            <w:tcW w:w="118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29"/>
        </w:trPr>
        <w:tc>
          <w:tcPr>
            <w:tcW w:w="6220" w:type="dxa"/>
            <w:vAlign w:val="bottom"/>
            <w:gridSpan w:val="2"/>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Rocky Mountain </w:t>
            </w:r>
            <w:r>
              <w:rPr>
                <w:rFonts w:ascii="Arial" w:cs="Arial" w:eastAsia="Arial" w:hAnsi="Arial"/>
                <w:sz w:val="23"/>
                <w:szCs w:val="23"/>
                <w:color w:val="auto"/>
                <w:vertAlign w:val="superscript"/>
              </w:rPr>
              <w:t>(3)</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r>
      <w:tr>
        <w:trPr>
          <w:trHeight w:val="230"/>
        </w:trPr>
        <w:tc>
          <w:tcPr>
            <w:tcW w:w="6220" w:type="dxa"/>
            <w:vAlign w:val="bottom"/>
            <w:gridSpan w:val="2"/>
          </w:tcPr>
          <w:p>
            <w:pPr>
              <w:ind w:left="360"/>
              <w:spacing w:after="0"/>
              <w:rPr>
                <w:sz w:val="20"/>
                <w:szCs w:val="20"/>
                <w:color w:val="auto"/>
              </w:rPr>
            </w:pPr>
            <w:r>
              <w:rPr>
                <w:rFonts w:ascii="Arial" w:cs="Arial" w:eastAsia="Arial" w:hAnsi="Arial"/>
                <w:sz w:val="18"/>
                <w:szCs w:val="18"/>
                <w:color w:val="auto"/>
              </w:rPr>
              <w:t>Western</w:t>
            </w:r>
          </w:p>
        </w:tc>
        <w:tc>
          <w:tcPr>
            <w:tcW w:w="118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236</w:t>
            </w:r>
          </w:p>
        </w:tc>
      </w:tr>
      <w:tr>
        <w:trPr>
          <w:trHeight w:val="229"/>
        </w:trPr>
        <w:tc>
          <w:tcPr>
            <w:tcW w:w="6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Canada</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r>
      <w:tr>
        <w:trPr>
          <w:trHeight w:val="223"/>
        </w:trPr>
        <w:tc>
          <w:tcPr>
            <w:tcW w:w="6220" w:type="dxa"/>
            <w:vAlign w:val="bottom"/>
            <w:gridSpan w:val="2"/>
          </w:tcPr>
          <w:p>
            <w:pPr>
              <w:ind w:left="140"/>
              <w:spacing w:after="0" w:line="223" w:lineRule="exact"/>
              <w:rPr>
                <w:sz w:val="20"/>
                <w:szCs w:val="20"/>
                <w:color w:val="auto"/>
              </w:rPr>
            </w:pPr>
            <w:r>
              <w:rPr>
                <w:rFonts w:ascii="Arial" w:cs="Arial" w:eastAsia="Arial" w:hAnsi="Arial"/>
                <w:sz w:val="18"/>
                <w:szCs w:val="18"/>
                <w:color w:val="auto"/>
              </w:rPr>
              <w:t xml:space="preserve">Total crude oil pipeline tariff </w:t>
            </w:r>
            <w:r>
              <w:rPr>
                <w:rFonts w:ascii="Arial" w:cs="Arial" w:eastAsia="Arial" w:hAnsi="Arial"/>
                <w:sz w:val="23"/>
                <w:szCs w:val="23"/>
                <w:color w:val="auto"/>
                <w:vertAlign w:val="superscript"/>
              </w:rPr>
              <w:t>(1) (3)</w:t>
            </w:r>
          </w:p>
        </w:tc>
        <w:tc>
          <w:tcPr>
            <w:tcW w:w="1180" w:type="dxa"/>
            <w:vAlign w:val="bottom"/>
          </w:tcPr>
          <w:p>
            <w:pPr>
              <w:jc w:val="right"/>
              <w:spacing w:after="0"/>
              <w:rPr>
                <w:sz w:val="20"/>
                <w:szCs w:val="20"/>
                <w:color w:val="auto"/>
              </w:rPr>
            </w:pPr>
            <w:r>
              <w:rPr>
                <w:rFonts w:ascii="Arial" w:cs="Arial" w:eastAsia="Arial" w:hAnsi="Arial"/>
                <w:sz w:val="18"/>
                <w:szCs w:val="18"/>
                <w:color w:val="auto"/>
              </w:rPr>
              <w:t>8,094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7,202</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7,565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6,205</w:t>
            </w:r>
          </w:p>
        </w:tc>
      </w:tr>
      <w:tr>
        <w:trPr>
          <w:trHeight w:val="216"/>
        </w:trPr>
        <w:tc>
          <w:tcPr>
            <w:tcW w:w="388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29"/>
        </w:trPr>
        <w:tc>
          <w:tcPr>
            <w:tcW w:w="622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 xml:space="preserve">Commercial crude oil storage capacity </w:t>
            </w:r>
            <w:r>
              <w:rPr>
                <w:rFonts w:ascii="Arial" w:cs="Arial" w:eastAsia="Arial" w:hAnsi="Arial"/>
                <w:sz w:val="23"/>
                <w:szCs w:val="23"/>
                <w:color w:val="auto"/>
                <w:vertAlign w:val="superscript"/>
              </w:rPr>
              <w:t>(2) (3)</w:t>
            </w:r>
          </w:p>
        </w:tc>
        <w:tc>
          <w:tcPr>
            <w:tcW w:w="118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70"/>
        </w:trPr>
        <w:tc>
          <w:tcPr>
            <w:tcW w:w="3880" w:type="dxa"/>
            <w:vAlign w:val="bottom"/>
            <w:shd w:val="clear" w:color="auto" w:fill="CCEEFF"/>
          </w:tcPr>
          <w:p>
            <w:pPr>
              <w:spacing w:after="0"/>
              <w:rPr>
                <w:sz w:val="23"/>
                <w:szCs w:val="23"/>
                <w:color w:val="auto"/>
              </w:rPr>
            </w:pPr>
          </w:p>
        </w:tc>
        <w:tc>
          <w:tcPr>
            <w:tcW w:w="23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r>
      <w:tr>
        <w:trPr>
          <w:trHeight w:val="229"/>
        </w:trPr>
        <w:tc>
          <w:tcPr>
            <w:tcW w:w="622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 xml:space="preserve">Crude oil lease gathering purchases </w:t>
            </w:r>
            <w:r>
              <w:rPr>
                <w:rFonts w:ascii="Arial" w:cs="Arial" w:eastAsia="Arial" w:hAnsi="Arial"/>
                <w:sz w:val="23"/>
                <w:szCs w:val="23"/>
                <w:color w:val="auto"/>
                <w:vertAlign w:val="superscript"/>
              </w:rPr>
              <w:t>(1)</w:t>
            </w:r>
          </w:p>
        </w:tc>
        <w:tc>
          <w:tcPr>
            <w:tcW w:w="1180" w:type="dxa"/>
            <w:vAlign w:val="bottom"/>
          </w:tcPr>
          <w:p>
            <w:pPr>
              <w:jc w:val="right"/>
              <w:spacing w:after="0"/>
              <w:rPr>
                <w:sz w:val="20"/>
                <w:szCs w:val="20"/>
                <w:color w:val="auto"/>
              </w:rPr>
            </w:pPr>
            <w:r>
              <w:rPr>
                <w:rFonts w:ascii="Arial" w:cs="Arial" w:eastAsia="Arial" w:hAnsi="Arial"/>
                <w:sz w:val="18"/>
                <w:szCs w:val="18"/>
                <w:color w:val="auto"/>
              </w:rPr>
              <w:t>1,409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1,419</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1,382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1,330</w:t>
            </w:r>
          </w:p>
        </w:tc>
      </w:tr>
      <w:tr>
        <w:trPr>
          <w:trHeight w:val="270"/>
        </w:trPr>
        <w:tc>
          <w:tcPr>
            <w:tcW w:w="3880" w:type="dxa"/>
            <w:vAlign w:val="bottom"/>
            <w:shd w:val="clear" w:color="auto" w:fill="CCEEFF"/>
          </w:tcPr>
          <w:p>
            <w:pPr>
              <w:spacing w:after="0"/>
              <w:rPr>
                <w:sz w:val="23"/>
                <w:szCs w:val="23"/>
                <w:color w:val="auto"/>
              </w:rPr>
            </w:pPr>
          </w:p>
        </w:tc>
        <w:tc>
          <w:tcPr>
            <w:tcW w:w="23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r>
      <w:tr>
        <w:trPr>
          <w:trHeight w:val="230"/>
        </w:trPr>
        <w:tc>
          <w:tcPr>
            <w:tcW w:w="6220" w:type="dxa"/>
            <w:vAlign w:val="bottom"/>
            <w:gridSpan w:val="2"/>
          </w:tcPr>
          <w:p>
            <w:pPr>
              <w:ind w:left="20"/>
              <w:spacing w:after="0" w:line="230" w:lineRule="exact"/>
              <w:rPr>
                <w:sz w:val="20"/>
                <w:szCs w:val="20"/>
                <w:color w:val="auto"/>
              </w:rPr>
            </w:pPr>
            <w:r>
              <w:rPr>
                <w:rFonts w:ascii="Arial" w:cs="Arial" w:eastAsia="Arial" w:hAnsi="Arial"/>
                <w:sz w:val="18"/>
                <w:szCs w:val="18"/>
                <w:b w:val="1"/>
                <w:bCs w:val="1"/>
                <w:color w:val="auto"/>
              </w:rPr>
              <w:t xml:space="preserve">NGL Segment Volumes </w:t>
            </w:r>
            <w:r>
              <w:rPr>
                <w:rFonts w:ascii="Arial" w:cs="Arial" w:eastAsia="Arial" w:hAnsi="Arial"/>
                <w:sz w:val="23"/>
                <w:szCs w:val="23"/>
                <w:b w:val="1"/>
                <w:bCs w:val="1"/>
                <w:color w:val="auto"/>
                <w:vertAlign w:val="superscript"/>
              </w:rPr>
              <w:t>(1)</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6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NGL fractionation</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30"/>
        </w:trPr>
        <w:tc>
          <w:tcPr>
            <w:tcW w:w="6220" w:type="dxa"/>
            <w:vAlign w:val="bottom"/>
            <w:gridSpan w:val="2"/>
          </w:tcPr>
          <w:p>
            <w:pPr>
              <w:ind w:left="80"/>
              <w:spacing w:after="0"/>
              <w:rPr>
                <w:sz w:val="20"/>
                <w:szCs w:val="20"/>
                <w:color w:val="auto"/>
              </w:rPr>
            </w:pPr>
            <w:r>
              <w:rPr>
                <w:rFonts w:ascii="Arial" w:cs="Arial" w:eastAsia="Arial" w:hAnsi="Arial"/>
                <w:sz w:val="18"/>
                <w:szCs w:val="18"/>
                <w:color w:val="auto"/>
              </w:rPr>
              <w:t>NGL pipeline tariff</w:t>
            </w:r>
          </w:p>
        </w:tc>
        <w:tc>
          <w:tcPr>
            <w:tcW w:w="1180" w:type="dxa"/>
            <w:vAlign w:val="bottom"/>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230"/>
        </w:trPr>
        <w:tc>
          <w:tcPr>
            <w:tcW w:w="6220" w:type="dxa"/>
            <w:vAlign w:val="bottom"/>
            <w:gridSpan w:val="2"/>
            <w:shd w:val="clear" w:color="auto" w:fill="CCEEFF"/>
          </w:tcPr>
          <w:p>
            <w:pPr>
              <w:ind w:left="80"/>
              <w:spacing w:after="0" w:line="230" w:lineRule="exact"/>
              <w:rPr>
                <w:sz w:val="20"/>
                <w:szCs w:val="20"/>
                <w:color w:val="auto"/>
              </w:rPr>
            </w:pPr>
            <w:r>
              <w:rPr>
                <w:rFonts w:ascii="Arial" w:cs="Arial" w:eastAsia="Arial" w:hAnsi="Arial"/>
                <w:sz w:val="18"/>
                <w:szCs w:val="18"/>
                <w:color w:val="auto"/>
              </w:rPr>
              <w:t xml:space="preserve">Propane and butane sales </w:t>
            </w:r>
            <w:r>
              <w:rPr>
                <w:rFonts w:ascii="Arial" w:cs="Arial" w:eastAsia="Arial" w:hAnsi="Arial"/>
                <w:sz w:val="23"/>
                <w:szCs w:val="23"/>
                <w:color w:val="auto"/>
                <w:vertAlign w:val="superscript"/>
              </w:rPr>
              <w:t>(4)</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162"/>
        </w:trPr>
        <w:tc>
          <w:tcPr>
            <w:tcW w:w="3880" w:type="dxa"/>
            <w:vAlign w:val="bottom"/>
            <w:tcBorders>
              <w:bottom w:val="single" w:sz="8" w:color="auto"/>
            </w:tcBorders>
          </w:tcPr>
          <w:p>
            <w:pPr>
              <w:spacing w:after="0"/>
              <w:rPr>
                <w:sz w:val="14"/>
                <w:szCs w:val="14"/>
                <w:color w:val="auto"/>
              </w:rPr>
            </w:pPr>
          </w:p>
        </w:tc>
        <w:tc>
          <w:tcPr>
            <w:tcW w:w="2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spacing w:after="0" w:line="134" w:lineRule="exact"/>
        <w:rPr>
          <w:sz w:val="20"/>
          <w:szCs w:val="20"/>
          <w:color w:val="auto"/>
        </w:rPr>
      </w:pPr>
    </w:p>
    <w:p>
      <w:pPr>
        <w:ind w:left="340" w:right="40" w:hanging="332"/>
        <w:spacing w:after="0" w:line="234" w:lineRule="auto"/>
        <w:tabs>
          <w:tab w:leader="none" w:pos="328"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Average daily volumes calculated as the total volumes (attributable to our interest for assets owned by unconsolidated entities or through undivided joint interests) for the period divided by the number of days in the period. Volumes associated with acquisitions represent total volumes for the number of days we actually owned the assets divided by the number of days in the period.</w:t>
      </w:r>
    </w:p>
    <w:p>
      <w:pPr>
        <w:sectPr>
          <w:pgSz w:w="11900" w:h="16838" w:orient="portrait"/>
          <w:cols w:equalWidth="0" w:num="1">
            <w:col w:w="11240"/>
          </w:cols>
          <w:pgMar w:left="320" w:top="368" w:right="339" w:bottom="1440" w:gutter="0" w:footer="0" w:header="0"/>
        </w:sectPr>
      </w:pPr>
    </w:p>
    <w:p>
      <w:pPr>
        <w:spacing w:after="0" w:line="35"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Average monthly capacity calculated as total volumes for the period divided by the number of months in the period.</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Includes volumes (attributable to our interest) from assets owned by unconsolidated entities.</w:t>
      </w:r>
    </w:p>
    <w:p>
      <w:pPr>
        <w:spacing w:after="0" w:line="63" w:lineRule="exact"/>
        <w:rPr>
          <w:sz w:val="20"/>
          <w:szCs w:val="20"/>
          <w:color w:val="auto"/>
        </w:rPr>
      </w:pPr>
    </w:p>
    <w:p>
      <w:pPr>
        <w:sectPr>
          <w:pgSz w:w="11900" w:h="16838" w:orient="portrait"/>
          <w:cols w:equalWidth="0" w:num="2">
            <w:col w:w="140" w:space="180"/>
            <w:col w:w="10920"/>
          </w:cols>
          <w:pgMar w:left="320" w:top="368" w:right="339" w:bottom="1440" w:gutter="0" w:footer="0" w:header="0"/>
          <w:type w:val="continuous"/>
        </w:sectPr>
      </w:pPr>
    </w:p>
    <w:p>
      <w:pPr>
        <w:ind w:left="340" w:right="60" w:hanging="332"/>
        <w:spacing w:after="0" w:line="238" w:lineRule="auto"/>
        <w:tabs>
          <w:tab w:leader="none" w:pos="328"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During the fourth quarter of 2022, we modified our sales volumes reported to include only propane and butane sales. Prior to the fourth quarter of 2022, our reported sales volumes included other NGL products, primarily ethane, that represented a significant portion of our total NGL sales volumes but did not contribute significantly to Segment Adjusted EBITDA. Sales volumes for earlier periods presented herein have been recast to include only propane and butane.</w:t>
      </w:r>
    </w:p>
    <w:p>
      <w:pPr>
        <w:spacing w:after="0" w:line="242" w:lineRule="exact"/>
        <w:rPr>
          <w:rFonts w:ascii="Arial" w:cs="Arial" w:eastAsia="Arial" w:hAnsi="Arial"/>
          <w:sz w:val="23"/>
          <w:szCs w:val="23"/>
          <w:color w:val="auto"/>
          <w:vertAlign w:val="superscript"/>
        </w:rPr>
      </w:pPr>
    </w:p>
    <w:p>
      <w:pPr>
        <w:ind w:left="5440" w:hanging="106"/>
        <w:spacing w:after="0"/>
        <w:tabs>
          <w:tab w:leader="none" w:pos="54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u w:val="single" w:color="auto"/>
          <w:color w:val="auto"/>
        </w:rPr>
        <w:t>Page 17</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SEGMENT RECONCILIATIONS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 Adjusted EBITDA to Adjusted EBITDA attributable to PAA Reconciliation:</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020" w:type="dxa"/>
            <w:vAlign w:val="bottom"/>
            <w:gridSpan w:val="4"/>
          </w:tcPr>
          <w:p>
            <w:pPr>
              <w:jc w:val="right"/>
              <w:ind w:right="75"/>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60" w:type="dxa"/>
            <w:vAlign w:val="bottom"/>
            <w:gridSpan w:val="4"/>
          </w:tcPr>
          <w:p>
            <w:pPr>
              <w:jc w:val="right"/>
              <w:ind w:right="453"/>
              <w:spacing w:after="0"/>
              <w:rPr>
                <w:sz w:val="20"/>
                <w:szCs w:val="20"/>
                <w:color w:val="auto"/>
              </w:rPr>
            </w:pPr>
            <w:r>
              <w:rPr>
                <w:rFonts w:ascii="Arial" w:cs="Arial" w:eastAsia="Arial" w:hAnsi="Arial"/>
                <w:sz w:val="14"/>
                <w:szCs w:val="14"/>
                <w:b w:val="1"/>
                <w:bCs w:val="1"/>
                <w:color w:val="auto"/>
              </w:rPr>
              <w:t>Twelve Months Ended</w:t>
            </w:r>
          </w:p>
        </w:tc>
      </w:tr>
      <w:tr>
        <w:trPr>
          <w:trHeight w:val="192"/>
        </w:trPr>
        <w:tc>
          <w:tcPr>
            <w:tcW w:w="38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315"/>
              <w:spacing w:after="0"/>
              <w:rPr>
                <w:sz w:val="20"/>
                <w:szCs w:val="20"/>
                <w:color w:val="auto"/>
              </w:rPr>
            </w:pPr>
            <w:r>
              <w:rPr>
                <w:rFonts w:ascii="Arial" w:cs="Arial" w:eastAsia="Arial" w:hAnsi="Arial"/>
                <w:sz w:val="14"/>
                <w:szCs w:val="14"/>
                <w:b w:val="1"/>
                <w:bCs w:val="1"/>
                <w:color w:val="auto"/>
                <w:w w:val="94"/>
              </w:rPr>
              <w:t>December 31,</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6"/>
                <w:szCs w:val="16"/>
                <w:color w:val="auto"/>
              </w:rPr>
            </w:pPr>
          </w:p>
        </w:tc>
      </w:tr>
      <w:tr>
        <w:trPr>
          <w:trHeight w:val="196"/>
        </w:trPr>
        <w:tc>
          <w:tcPr>
            <w:tcW w:w="3880" w:type="dxa"/>
            <w:vAlign w:val="bottom"/>
            <w:tcBorders>
              <w:bottom w:val="single" w:sz="8" w:color="CCEEFF"/>
            </w:tcBorders>
          </w:tcPr>
          <w:p>
            <w:pPr>
              <w:spacing w:after="0"/>
              <w:rPr>
                <w:sz w:val="17"/>
                <w:szCs w:val="17"/>
                <w:color w:val="auto"/>
              </w:rPr>
            </w:pPr>
          </w:p>
        </w:tc>
        <w:tc>
          <w:tcPr>
            <w:tcW w:w="226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w w:val="96"/>
              </w:rPr>
              <w:t>2021</w:t>
            </w:r>
          </w:p>
        </w:tc>
      </w:tr>
      <w:tr>
        <w:trPr>
          <w:trHeight w:val="229"/>
        </w:trPr>
        <w:tc>
          <w:tcPr>
            <w:tcW w:w="6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Crude Oil Segment Adjusted EBITDA</w:t>
            </w:r>
          </w:p>
        </w:tc>
        <w:tc>
          <w:tcPr>
            <w:tcW w:w="740" w:type="dxa"/>
            <w:vAlign w:val="bottom"/>
            <w:shd w:val="clear" w:color="auto" w:fill="CCEEFF"/>
          </w:tcPr>
          <w:p>
            <w:pPr>
              <w:jc w:val="right"/>
              <w:ind w:right="557"/>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5"/>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w:t>
            </w:r>
          </w:p>
        </w:tc>
      </w:tr>
      <w:tr>
        <w:trPr>
          <w:trHeight w:val="230"/>
        </w:trPr>
        <w:tc>
          <w:tcPr>
            <w:tcW w:w="61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NGL Segment Adjusted EBITDA</w:t>
            </w: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141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w:t>
            </w:r>
          </w:p>
        </w:tc>
      </w:tr>
      <w:tr>
        <w:trPr>
          <w:trHeight w:val="223"/>
        </w:trPr>
        <w:tc>
          <w:tcPr>
            <w:tcW w:w="6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740" w:type="dxa"/>
            <w:vAlign w:val="bottom"/>
            <w:shd w:val="clear" w:color="auto" w:fill="CCEEFF"/>
          </w:tcPr>
          <w:p>
            <w:pPr>
              <w:jc w:val="right"/>
              <w:ind w:right="557"/>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5"/>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w:t>
            </w:r>
          </w:p>
        </w:tc>
      </w:tr>
      <w:tr>
        <w:trPr>
          <w:trHeight w:val="229"/>
        </w:trPr>
        <w:tc>
          <w:tcPr>
            <w:tcW w:w="61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Adjusted other income/(expense), net </w:t>
            </w:r>
            <w:r>
              <w:rPr>
                <w:rFonts w:ascii="Arial" w:cs="Arial" w:eastAsia="Arial" w:hAnsi="Arial"/>
                <w:sz w:val="23"/>
                <w:szCs w:val="23"/>
                <w:color w:val="auto"/>
                <w:vertAlign w:val="superscript"/>
              </w:rPr>
              <w:t>(1)</w:t>
            </w:r>
          </w:p>
        </w:tc>
        <w:tc>
          <w:tcPr>
            <w:tcW w:w="7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48"/>
        </w:trPr>
        <w:tc>
          <w:tcPr>
            <w:tcW w:w="6140" w:type="dxa"/>
            <w:vAlign w:val="bottom"/>
            <w:tcBorders>
              <w:top w:val="single" w:sz="8" w:color="CCEEFF"/>
              <w:bottom w:val="single" w:sz="8" w:color="CCEEFF"/>
            </w:tcBorders>
            <w:gridSpan w:val="2"/>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Adjusted EBITDA attributable to PAA </w:t>
            </w:r>
            <w:r>
              <w:rPr>
                <w:rFonts w:ascii="Arial" w:cs="Arial" w:eastAsia="Arial" w:hAnsi="Arial"/>
                <w:sz w:val="23"/>
                <w:szCs w:val="23"/>
                <w:color w:val="auto"/>
                <w:vertAlign w:val="superscript"/>
              </w:rPr>
              <w:t>(2)</w:t>
            </w:r>
          </w:p>
        </w:tc>
        <w:tc>
          <w:tcPr>
            <w:tcW w:w="740" w:type="dxa"/>
            <w:vAlign w:val="bottom"/>
            <w:tcBorders>
              <w:top w:val="single" w:sz="8" w:color="auto"/>
              <w:bottom w:val="single" w:sz="8" w:color="auto"/>
            </w:tcBorders>
            <w:shd w:val="clear" w:color="auto" w:fill="CCEEFF"/>
          </w:tcPr>
          <w:p>
            <w:pPr>
              <w:jc w:val="right"/>
              <w:ind w:right="557"/>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ind w:right="575"/>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2,196</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3880" w:type="dxa"/>
            <w:vAlign w:val="bottom"/>
            <w:tcBorders>
              <w:bottom w:val="single" w:sz="8" w:color="auto"/>
            </w:tcBorders>
          </w:tcPr>
          <w:p>
            <w:pPr>
              <w:spacing w:after="0"/>
              <w:rPr>
                <w:sz w:val="17"/>
                <w:szCs w:val="17"/>
                <w:color w:val="auto"/>
              </w:rPr>
            </w:pPr>
          </w:p>
        </w:tc>
        <w:tc>
          <w:tcPr>
            <w:tcW w:w="2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r>
    </w:tbl>
    <w:p>
      <w:pPr>
        <w:spacing w:after="0" w:line="121" w:lineRule="exact"/>
        <w:rPr>
          <w:sz w:val="20"/>
          <w:szCs w:val="20"/>
          <w:color w:val="auto"/>
        </w:rPr>
      </w:pPr>
    </w:p>
    <w:p>
      <w:pPr>
        <w:ind w:left="340" w:right="80" w:hanging="332"/>
        <w:spacing w:after="0" w:line="257" w:lineRule="auto"/>
        <w:tabs>
          <w:tab w:leader="none" w:pos="328" w:val="left"/>
        </w:tabs>
        <w:numPr>
          <w:ilvl w:val="0"/>
          <w:numId w:val="21"/>
        </w:numPr>
        <w:rPr>
          <w:rFonts w:ascii="Arial" w:cs="Arial" w:eastAsia="Arial" w:hAnsi="Arial"/>
          <w:sz w:val="22"/>
          <w:szCs w:val="22"/>
          <w:color w:val="auto"/>
          <w:vertAlign w:val="superscript"/>
        </w:rPr>
      </w:pPr>
      <w:r>
        <w:rPr>
          <w:rFonts w:ascii="Arial" w:cs="Arial" w:eastAsia="Arial" w:hAnsi="Arial"/>
          <w:sz w:val="17"/>
          <w:szCs w:val="17"/>
          <w:color w:val="auto"/>
        </w:rPr>
        <w:t>Represents “Other income/(expense), net” as reported on our Condensed Consolidated Statements of Operations, excluding other income/(expense), net attributable to noncontrolling interests, adjusted for selected items impacting comparability of $(14) million, $(6) million, $226 million and $(17) million for the three and twelve months ended December 31, 2022 and 2021, respectively. See the “Selected Items Impacting Comparability” table for additional information. Other income/(expense), net attributable to noncontrolling interests was $1 million for the twelve months ended December 31, 2022 and less than $1 million for each of the other periods presented.</w:t>
      </w:r>
    </w:p>
    <w:p>
      <w:pPr>
        <w:ind w:left="320" w:hanging="312"/>
        <w:spacing w:after="0"/>
        <w:tabs>
          <w:tab w:leader="none" w:pos="320"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See the “Net Income to Adjusted EBITDA attributable to PAA and Implied DCF Reconciliation” table for reconciliation to Net Income.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Segment Adjusted EBITDA to Segment Adjusted EBITDA further adjusted for impact of divested assets: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gridSpan w:val="3"/>
          </w:tcPr>
          <w:p>
            <w:pPr>
              <w:jc w:val="right"/>
              <w:ind w:right="259"/>
              <w:spacing w:after="0"/>
              <w:rPr>
                <w:sz w:val="20"/>
                <w:szCs w:val="20"/>
                <w:color w:val="auto"/>
              </w:rPr>
            </w:pPr>
            <w:r>
              <w:rPr>
                <w:rFonts w:ascii="Arial" w:cs="Arial" w:eastAsia="Arial" w:hAnsi="Arial"/>
                <w:sz w:val="14"/>
                <w:szCs w:val="14"/>
                <w:b w:val="1"/>
                <w:bCs w:val="1"/>
                <w:color w:val="auto"/>
              </w:rPr>
              <w:t>Twelve Months Ended</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00" w:type="dxa"/>
            <w:vAlign w:val="bottom"/>
            <w:gridSpan w:val="4"/>
          </w:tcPr>
          <w:p>
            <w:pPr>
              <w:jc w:val="right"/>
              <w:ind w:right="718"/>
              <w:spacing w:after="0"/>
              <w:rPr>
                <w:sz w:val="20"/>
                <w:szCs w:val="20"/>
                <w:color w:val="auto"/>
              </w:rPr>
            </w:pPr>
            <w:r>
              <w:rPr>
                <w:rFonts w:ascii="Arial" w:cs="Arial" w:eastAsia="Arial" w:hAnsi="Arial"/>
                <w:sz w:val="14"/>
                <w:szCs w:val="14"/>
                <w:b w:val="1"/>
                <w:bCs w:val="1"/>
                <w:color w:val="auto"/>
              </w:rPr>
              <w:t>Twelve Months Ended</w:t>
            </w:r>
          </w:p>
        </w:tc>
      </w:tr>
      <w:tr>
        <w:trPr>
          <w:trHeight w:val="192"/>
        </w:trPr>
        <w:tc>
          <w:tcPr>
            <w:tcW w:w="38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tcPr>
          <w:p>
            <w:pPr>
              <w:jc w:val="right"/>
              <w:ind w:right="359"/>
              <w:spacing w:after="0"/>
              <w:rPr>
                <w:sz w:val="20"/>
                <w:szCs w:val="20"/>
                <w:color w:val="auto"/>
              </w:rPr>
            </w:pPr>
            <w:r>
              <w:rPr>
                <w:rFonts w:ascii="Arial" w:cs="Arial" w:eastAsia="Arial" w:hAnsi="Arial"/>
                <w:sz w:val="14"/>
                <w:szCs w:val="14"/>
                <w:b w:val="1"/>
                <w:bCs w:val="1"/>
                <w:color w:val="auto"/>
              </w:rPr>
              <w:t>December 31, 2022</w:t>
            </w:r>
          </w:p>
        </w:tc>
        <w:tc>
          <w:tcPr>
            <w:tcW w:w="4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2021</w:t>
            </w:r>
          </w:p>
        </w:tc>
        <w:tc>
          <w:tcPr>
            <w:tcW w:w="880" w:type="dxa"/>
            <w:vAlign w:val="bottom"/>
            <w:tcBorders>
              <w:bottom w:val="single" w:sz="8" w:color="auto"/>
            </w:tcBorders>
          </w:tcPr>
          <w:p>
            <w:pPr>
              <w:spacing w:after="0"/>
              <w:rPr>
                <w:sz w:val="16"/>
                <w:szCs w:val="16"/>
                <w:color w:val="auto"/>
              </w:rPr>
            </w:pPr>
          </w:p>
        </w:tc>
      </w:tr>
      <w:tr>
        <w:trPr>
          <w:trHeight w:val="195"/>
        </w:trPr>
        <w:tc>
          <w:tcPr>
            <w:tcW w:w="38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Crude Oil</w:t>
            </w:r>
          </w:p>
        </w:tc>
        <w:tc>
          <w:tcPr>
            <w:tcW w:w="980" w:type="dxa"/>
            <w:vAlign w:val="bottom"/>
          </w:tcPr>
          <w:p>
            <w:pPr>
              <w:jc w:val="right"/>
              <w:ind w:right="19"/>
              <w:spacing w:after="0"/>
              <w:rPr>
                <w:sz w:val="20"/>
                <w:szCs w:val="20"/>
                <w:color w:val="auto"/>
              </w:rPr>
            </w:pPr>
            <w:r>
              <w:rPr>
                <w:rFonts w:ascii="Arial" w:cs="Arial" w:eastAsia="Arial" w:hAnsi="Arial"/>
                <w:sz w:val="14"/>
                <w:szCs w:val="14"/>
                <w:b w:val="1"/>
                <w:bCs w:val="1"/>
                <w:color w:val="auto"/>
              </w:rPr>
              <w:t>NGL</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Crude Oil</w:t>
            </w:r>
          </w:p>
        </w:tc>
        <w:tc>
          <w:tcPr>
            <w:tcW w:w="540" w:type="dxa"/>
            <w:vAlign w:val="bottom"/>
          </w:tcPr>
          <w:p>
            <w:pPr>
              <w:spacing w:after="0"/>
              <w:rPr>
                <w:sz w:val="17"/>
                <w:szCs w:val="17"/>
                <w:color w:val="auto"/>
              </w:rPr>
            </w:pPr>
          </w:p>
        </w:tc>
        <w:tc>
          <w:tcPr>
            <w:tcW w:w="880" w:type="dxa"/>
            <w:vAlign w:val="bottom"/>
          </w:tcPr>
          <w:p>
            <w:pPr>
              <w:jc w:val="right"/>
              <w:ind w:right="478"/>
              <w:spacing w:after="0"/>
              <w:rPr>
                <w:sz w:val="20"/>
                <w:szCs w:val="20"/>
                <w:color w:val="auto"/>
              </w:rPr>
            </w:pPr>
            <w:r>
              <w:rPr>
                <w:rFonts w:ascii="Arial" w:cs="Arial" w:eastAsia="Arial" w:hAnsi="Arial"/>
                <w:sz w:val="14"/>
                <w:szCs w:val="14"/>
                <w:b w:val="1"/>
                <w:bCs w:val="1"/>
                <w:color w:val="auto"/>
              </w:rPr>
              <w:t>NGL</w:t>
            </w:r>
          </w:p>
        </w:tc>
      </w:tr>
      <w:tr>
        <w:trPr>
          <w:trHeight w:val="230"/>
        </w:trPr>
        <w:tc>
          <w:tcPr>
            <w:tcW w:w="51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Segment Adjusted EBITDA</w:t>
            </w: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1,986</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779"/>
              <w:spacing w:after="0"/>
              <w:rPr>
                <w:sz w:val="20"/>
                <w:szCs w:val="20"/>
                <w:color w:val="auto"/>
              </w:rPr>
            </w:pPr>
            <w:r>
              <w:rPr>
                <w:rFonts w:ascii="Arial" w:cs="Arial" w:eastAsia="Arial" w:hAnsi="Arial"/>
                <w:sz w:val="17"/>
                <w:szCs w:val="17"/>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518</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1,909</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5"/>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285</w:t>
            </w:r>
          </w:p>
        </w:tc>
      </w:tr>
      <w:tr>
        <w:trPr>
          <w:trHeight w:val="230"/>
        </w:trPr>
        <w:tc>
          <w:tcPr>
            <w:tcW w:w="5120" w:type="dxa"/>
            <w:vAlign w:val="bottom"/>
            <w:gridSpan w:val="2"/>
          </w:tcPr>
          <w:p>
            <w:pPr>
              <w:ind w:left="20"/>
              <w:spacing w:after="0" w:line="229" w:lineRule="exact"/>
              <w:rPr>
                <w:sz w:val="20"/>
                <w:szCs w:val="20"/>
                <w:color w:val="auto"/>
              </w:rPr>
            </w:pPr>
            <w:r>
              <w:rPr>
                <w:rFonts w:ascii="Arial" w:cs="Arial" w:eastAsia="Arial" w:hAnsi="Arial"/>
                <w:sz w:val="17"/>
                <w:szCs w:val="17"/>
                <w:color w:val="auto"/>
              </w:rPr>
              <w:t xml:space="preserve">Impact of divested assets </w:t>
            </w:r>
            <w:r>
              <w:rPr>
                <w:rFonts w:ascii="Arial" w:cs="Arial" w:eastAsia="Arial" w:hAnsi="Arial"/>
                <w:sz w:val="22"/>
                <w:szCs w:val="22"/>
                <w:color w:val="auto"/>
                <w:vertAlign w:val="superscript"/>
              </w:rPr>
              <w:t>(1)</w:t>
            </w:r>
          </w:p>
        </w:tc>
        <w:tc>
          <w:tcPr>
            <w:tcW w:w="2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tcPr>
          <w:p>
            <w:pPr>
              <w:spacing w:after="0"/>
              <w:rPr>
                <w:sz w:val="19"/>
                <w:szCs w:val="19"/>
                <w:color w:val="auto"/>
              </w:rPr>
            </w:pPr>
          </w:p>
        </w:tc>
        <w:tc>
          <w:tcPr>
            <w:tcW w:w="5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8"/>
        </w:trPr>
        <w:tc>
          <w:tcPr>
            <w:tcW w:w="51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w w:val="92"/>
              </w:rPr>
              <w:t>Segment Adjusted EBITDA further adjusted for impact of divested assets</w:t>
            </w:r>
          </w:p>
        </w:tc>
        <w:tc>
          <w:tcPr>
            <w:tcW w:w="26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779"/>
              <w:spacing w:after="0"/>
              <w:rPr>
                <w:sz w:val="20"/>
                <w:szCs w:val="20"/>
                <w:color w:val="auto"/>
              </w:rPr>
            </w:pPr>
            <w:r>
              <w:rPr>
                <w:rFonts w:ascii="Arial" w:cs="Arial" w:eastAsia="Arial" w:hAnsi="Arial"/>
                <w:sz w:val="17"/>
                <w:szCs w:val="17"/>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518</w:t>
            </w:r>
          </w:p>
        </w:tc>
        <w:tc>
          <w:tcPr>
            <w:tcW w:w="14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1,851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55"/>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285</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3880" w:type="dxa"/>
            <w:vAlign w:val="bottom"/>
            <w:tcBorders>
              <w:bottom w:val="single" w:sz="8" w:color="auto"/>
            </w:tcBorders>
          </w:tcPr>
          <w:p>
            <w:pPr>
              <w:spacing w:after="0"/>
              <w:rPr>
                <w:sz w:val="13"/>
                <w:szCs w:val="13"/>
                <w:color w:val="auto"/>
              </w:rPr>
            </w:pPr>
          </w:p>
        </w:tc>
        <w:tc>
          <w:tcPr>
            <w:tcW w:w="1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r>
    </w:tbl>
    <w:p>
      <w:pPr>
        <w:spacing w:after="0" w:line="67" w:lineRule="exact"/>
        <w:rPr>
          <w:sz w:val="20"/>
          <w:szCs w:val="20"/>
          <w:color w:val="auto"/>
        </w:rPr>
      </w:pPr>
    </w:p>
    <w:p>
      <w:pPr>
        <w:jc w:val="both"/>
        <w:ind w:right="340" w:firstLine="8"/>
        <w:spacing w:after="0" w:line="250" w:lineRule="auto"/>
        <w:tabs>
          <w:tab w:leader="none" w:pos="181" w:val="left"/>
        </w:tabs>
        <w:numPr>
          <w:ilvl w:val="0"/>
          <w:numId w:val="22"/>
        </w:numPr>
        <w:rPr>
          <w:rFonts w:ascii="Arial" w:cs="Arial" w:eastAsia="Arial" w:hAnsi="Arial"/>
          <w:sz w:val="21"/>
          <w:szCs w:val="21"/>
          <w:color w:val="auto"/>
          <w:vertAlign w:val="superscript"/>
        </w:rPr>
      </w:pPr>
      <w:r>
        <w:rPr>
          <w:rFonts w:ascii="Arial" w:cs="Arial" w:eastAsia="Arial" w:hAnsi="Arial"/>
          <w:sz w:val="16"/>
          <w:szCs w:val="16"/>
          <w:color w:val="auto"/>
        </w:rPr>
        <w:t>Estimated impact of divestitures completed during 2021 and 2022, assuming an effective date of January 1, 2021. Divested assets primarily included natural gas storage facilities that were previously reported in our Crude Oil segment. Note: The natural gas storage business captured one-time benefits from Winter Storm Uri in the first quarter of 2021.</w:t>
      </w:r>
    </w:p>
    <w:p>
      <w:pPr>
        <w:spacing w:after="0" w:line="2" w:lineRule="exact"/>
        <w:rPr>
          <w:rFonts w:ascii="Arial" w:cs="Arial" w:eastAsia="Arial" w:hAnsi="Arial"/>
          <w:sz w:val="21"/>
          <w:szCs w:val="21"/>
          <w:color w:val="auto"/>
          <w:vertAlign w:val="superscript"/>
        </w:rPr>
      </w:pPr>
    </w:p>
    <w:p>
      <w:pPr>
        <w:ind w:left="5440" w:hanging="106"/>
        <w:spacing w:after="0"/>
        <w:tabs>
          <w:tab w:leader="none" w:pos="54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39"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auto"/>
        </w:rPr>
        <w:t>Page 18</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data)</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Three Months Ended</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1"/>
              </w:rPr>
              <w:t>December 31, 2022</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1"/>
              </w:rPr>
              <w:t>December 31, 2021</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Consolidating</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Consolidating</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3"/>
          </w:tcPr>
          <w:p>
            <w:pPr>
              <w:ind w:left="60"/>
              <w:spacing w:after="0"/>
              <w:rPr>
                <w:sz w:val="20"/>
                <w:szCs w:val="20"/>
                <w:color w:val="auto"/>
              </w:rPr>
            </w:pPr>
            <w:r>
              <w:rPr>
                <w:rFonts w:ascii="Arial" w:cs="Arial" w:eastAsia="Arial" w:hAnsi="Arial"/>
                <w:sz w:val="14"/>
                <w:szCs w:val="14"/>
                <w:b w:val="1"/>
                <w:bCs w:val="1"/>
                <w:color w:val="auto"/>
              </w:rPr>
              <w:t>PAA</w:t>
            </w:r>
          </w:p>
        </w:tc>
        <w:tc>
          <w:tcPr>
            <w:tcW w:w="120" w:type="dxa"/>
            <w:vAlign w:val="bottom"/>
          </w:tcPr>
          <w:p>
            <w:pPr>
              <w:spacing w:after="0"/>
              <w:rPr>
                <w:sz w:val="19"/>
                <w:szCs w:val="19"/>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 xml:space="preserve">Adjustments </w:t>
            </w:r>
            <w:r>
              <w:rPr>
                <w:rFonts w:ascii="Arial" w:cs="Arial" w:eastAsia="Arial" w:hAnsi="Arial"/>
                <w:sz w:val="18"/>
                <w:szCs w:val="18"/>
                <w:b w:val="1"/>
                <w:bCs w:val="1"/>
                <w:color w:val="auto"/>
                <w:w w:val="88"/>
                <w:vertAlign w:val="superscript"/>
              </w:rPr>
              <w:t>(1)</w:t>
            </w:r>
          </w:p>
        </w:tc>
        <w:tc>
          <w:tcPr>
            <w:tcW w:w="240" w:type="dxa"/>
            <w:vAlign w:val="bottom"/>
          </w:tcPr>
          <w:p>
            <w:pPr>
              <w:spacing w:after="0"/>
              <w:rPr>
                <w:sz w:val="19"/>
                <w:szCs w:val="19"/>
                <w:color w:val="auto"/>
              </w:rPr>
            </w:pPr>
          </w:p>
        </w:tc>
        <w:tc>
          <w:tcPr>
            <w:tcW w:w="920" w:type="dxa"/>
            <w:vAlign w:val="bottom"/>
          </w:tcPr>
          <w:p>
            <w:pPr>
              <w:jc w:val="right"/>
              <w:ind w:right="311"/>
              <w:spacing w:after="0"/>
              <w:rPr>
                <w:sz w:val="20"/>
                <w:szCs w:val="20"/>
                <w:color w:val="auto"/>
              </w:rPr>
            </w:pPr>
            <w:r>
              <w:rPr>
                <w:rFonts w:ascii="Arial" w:cs="Arial" w:eastAsia="Arial" w:hAnsi="Arial"/>
                <w:sz w:val="14"/>
                <w:szCs w:val="14"/>
                <w:b w:val="1"/>
                <w:bCs w:val="1"/>
                <w:color w:val="auto"/>
              </w:rPr>
              <w:t>PAGP</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ind w:left="140"/>
              <w:spacing w:after="0"/>
              <w:rPr>
                <w:sz w:val="20"/>
                <w:szCs w:val="20"/>
                <w:color w:val="auto"/>
              </w:rPr>
            </w:pPr>
            <w:r>
              <w:rPr>
                <w:rFonts w:ascii="Arial" w:cs="Arial" w:eastAsia="Arial" w:hAnsi="Arial"/>
                <w:sz w:val="14"/>
                <w:szCs w:val="14"/>
                <w:b w:val="1"/>
                <w:bCs w:val="1"/>
                <w:color w:val="auto"/>
              </w:rPr>
              <w:t>PAA</w:t>
            </w:r>
          </w:p>
        </w:tc>
        <w:tc>
          <w:tcPr>
            <w:tcW w:w="120" w:type="dxa"/>
            <w:vAlign w:val="bottom"/>
          </w:tcPr>
          <w:p>
            <w:pPr>
              <w:spacing w:after="0"/>
              <w:rPr>
                <w:sz w:val="19"/>
                <w:szCs w:val="19"/>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 xml:space="preserve">Adjustments </w:t>
            </w:r>
            <w:r>
              <w:rPr>
                <w:rFonts w:ascii="Arial" w:cs="Arial" w:eastAsia="Arial" w:hAnsi="Arial"/>
                <w:sz w:val="18"/>
                <w:szCs w:val="18"/>
                <w:b w:val="1"/>
                <w:bCs w:val="1"/>
                <w:color w:val="auto"/>
                <w:w w:val="90"/>
                <w:vertAlign w:val="superscript"/>
              </w:rPr>
              <w:t>(1)</w:t>
            </w:r>
          </w:p>
        </w:tc>
        <w:tc>
          <w:tcPr>
            <w:tcW w:w="260" w:type="dxa"/>
            <w:vAlign w:val="bottom"/>
          </w:tcPr>
          <w:p>
            <w:pPr>
              <w:spacing w:after="0"/>
              <w:rPr>
                <w:sz w:val="19"/>
                <w:szCs w:val="19"/>
                <w:color w:val="auto"/>
              </w:rPr>
            </w:pPr>
          </w:p>
        </w:tc>
        <w:tc>
          <w:tcPr>
            <w:tcW w:w="900" w:type="dxa"/>
            <w:vAlign w:val="bottom"/>
          </w:tcPr>
          <w:p>
            <w:pPr>
              <w:jc w:val="right"/>
              <w:ind w:right="291"/>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223"/>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12,952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12,952</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12,989</w:t>
            </w: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3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Purchases and related costs</w:t>
            </w:r>
          </w:p>
        </w:tc>
        <w:tc>
          <w:tcPr>
            <w:tcW w:w="36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11,995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11,995</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11,760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11,760</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3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36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176"/>
        </w:trPr>
        <w:tc>
          <w:tcPr>
            <w:tcW w:w="3120" w:type="dxa"/>
            <w:vAlign w:val="bottom"/>
          </w:tcPr>
          <w:p>
            <w:pPr>
              <w:ind w:left="20"/>
              <w:spacing w:after="0" w:line="176" w:lineRule="exact"/>
              <w:rPr>
                <w:sz w:val="20"/>
                <w:szCs w:val="20"/>
                <w:color w:val="auto"/>
              </w:rPr>
            </w:pPr>
            <w:r>
              <w:rPr>
                <w:rFonts w:ascii="Arial" w:cs="Arial" w:eastAsia="Arial" w:hAnsi="Arial"/>
                <w:sz w:val="18"/>
                <w:szCs w:val="18"/>
                <w:color w:val="auto"/>
                <w:w w:val="96"/>
              </w:rPr>
              <w:t>(Gains)/losses on asset sales and asset</w:t>
            </w: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20" w:type="dxa"/>
            <w:vAlign w:val="bottom"/>
          </w:tcPr>
          <w:p>
            <w:pPr>
              <w:ind w:left="180"/>
              <w:spacing w:after="0"/>
              <w:rPr>
                <w:sz w:val="20"/>
                <w:szCs w:val="20"/>
                <w:color w:val="auto"/>
              </w:rPr>
            </w:pPr>
            <w:r>
              <w:rPr>
                <w:rFonts w:ascii="Arial" w:cs="Arial" w:eastAsia="Arial" w:hAnsi="Arial"/>
                <w:sz w:val="18"/>
                <w:szCs w:val="18"/>
                <w:color w:val="auto"/>
              </w:rPr>
              <w:t>impairments, net</w:t>
            </w:r>
          </w:p>
        </w:tc>
        <w:tc>
          <w:tcPr>
            <w:tcW w:w="360" w:type="dxa"/>
            <w:vAlign w:val="bottom"/>
          </w:tcPr>
          <w:p>
            <w:pPr>
              <w:spacing w:after="0"/>
              <w:rPr>
                <w:sz w:val="21"/>
                <w:szCs w:val="21"/>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315</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1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costs and expenses</w:t>
            </w:r>
          </w:p>
        </w:tc>
        <w:tc>
          <w:tcPr>
            <w:tcW w:w="3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12,989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12,991</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12,391</w:t>
            </w: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INCOME/(LOSS)</w:t>
            </w:r>
          </w:p>
        </w:tc>
        <w:tc>
          <w:tcPr>
            <w:tcW w:w="3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INCOME/(EXPENSE)</w:t>
            </w:r>
          </w:p>
        </w:tc>
        <w:tc>
          <w:tcPr>
            <w:tcW w:w="3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w w:val="92"/>
              </w:rPr>
              <w:t>Equity earnings in unconsolidated entities</w:t>
            </w:r>
          </w:p>
        </w:tc>
        <w:tc>
          <w:tcPr>
            <w:tcW w:w="36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76"/>
        </w:trPr>
        <w:tc>
          <w:tcPr>
            <w:tcW w:w="3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Gain/(loss) on investments in</w:t>
            </w:r>
          </w:p>
        </w:tc>
        <w:tc>
          <w:tcPr>
            <w:tcW w:w="3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unconsolidated entities, net</w:t>
            </w:r>
          </w:p>
        </w:tc>
        <w:tc>
          <w:tcPr>
            <w:tcW w:w="36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36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3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9"/>
        </w:trPr>
        <w:tc>
          <w:tcPr>
            <w:tcW w:w="312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TAX</w:t>
            </w:r>
          </w:p>
        </w:tc>
        <w:tc>
          <w:tcPr>
            <w:tcW w:w="3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Current income tax expense</w:t>
            </w:r>
          </w:p>
        </w:tc>
        <w:tc>
          <w:tcPr>
            <w:tcW w:w="36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(expense)/benefit</w:t>
            </w: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29"/>
        </w:trPr>
        <w:tc>
          <w:tcPr>
            <w:tcW w:w="3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line="176" w:lineRule="exact"/>
              <w:rPr>
                <w:sz w:val="20"/>
                <w:szCs w:val="20"/>
                <w:color w:val="auto"/>
              </w:rPr>
            </w:pPr>
            <w:r>
              <w:rPr>
                <w:rFonts w:ascii="Arial" w:cs="Arial" w:eastAsia="Arial" w:hAnsi="Arial"/>
                <w:sz w:val="18"/>
                <w:szCs w:val="18"/>
                <w:color w:val="auto"/>
              </w:rPr>
              <w:t>Net income attributable to</w:t>
            </w: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noncontrolling interests</w:t>
            </w:r>
          </w:p>
        </w:tc>
        <w:tc>
          <w:tcPr>
            <w:tcW w:w="3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Borders>
              <w:bottom w:val="single" w:sz="8" w:color="CCEEFF"/>
              <w:right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155"/>
        </w:trPr>
        <w:tc>
          <w:tcPr>
            <w:tcW w:w="312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NET INCOME ATTRIBUTABLE TO</w:t>
            </w: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right w:val="single" w:sz="8" w:color="auto"/>
            </w:tcBorders>
            <w:shd w:val="clear" w:color="auto" w:fill="CCEEFF"/>
          </w:tcPr>
          <w:p>
            <w:pPr>
              <w:spacing w:after="0"/>
              <w:rPr>
                <w:sz w:val="13"/>
                <w:szCs w:val="13"/>
                <w:color w:val="auto"/>
              </w:rPr>
            </w:pPr>
          </w:p>
        </w:tc>
        <w:tc>
          <w:tcPr>
            <w:tcW w:w="100" w:type="dxa"/>
            <w:vAlign w:val="bottom"/>
            <w:vMerge w:val="restart"/>
            <w:shd w:val="clear" w:color="auto" w:fill="CCEEFF"/>
          </w:tcPr>
          <w:p>
            <w:pPr>
              <w:spacing w:after="0"/>
              <w:rPr>
                <w:sz w:val="13"/>
                <w:szCs w:val="13"/>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6"/>
        </w:trPr>
        <w:tc>
          <w:tcPr>
            <w:tcW w:w="3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PAGP</w:t>
            </w: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gridSpan w:val="2"/>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vMerge w:val="continue"/>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60" w:type="dxa"/>
            <w:vAlign w:val="bottom"/>
            <w:gridSpan w:val="8"/>
            <w:shd w:val="clear" w:color="auto" w:fill="CCEEFF"/>
          </w:tcPr>
          <w:p>
            <w:pPr>
              <w:ind w:left="20"/>
              <w:spacing w:after="0"/>
              <w:rPr>
                <w:sz w:val="20"/>
                <w:szCs w:val="20"/>
                <w:color w:val="auto"/>
              </w:rPr>
            </w:pPr>
            <w:r>
              <w:rPr>
                <w:rFonts w:ascii="Arial" w:cs="Arial" w:eastAsia="Arial" w:hAnsi="Arial"/>
                <w:sz w:val="18"/>
                <w:szCs w:val="18"/>
                <w:color w:val="auto"/>
              </w:rPr>
              <w:t>Basic and diluted weighted average Class A shares outstanding</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0"/>
        </w:trPr>
        <w:tc>
          <w:tcPr>
            <w:tcW w:w="3480" w:type="dxa"/>
            <w:vAlign w:val="bottom"/>
            <w:gridSpan w:val="2"/>
          </w:tcPr>
          <w:p>
            <w:pPr>
              <w:ind w:left="20"/>
              <w:spacing w:after="0"/>
              <w:rPr>
                <w:sz w:val="20"/>
                <w:szCs w:val="20"/>
                <w:color w:val="auto"/>
              </w:rPr>
            </w:pPr>
            <w:r>
              <w:rPr>
                <w:rFonts w:ascii="Arial" w:cs="Arial" w:eastAsia="Arial" w:hAnsi="Arial"/>
                <w:sz w:val="18"/>
                <w:szCs w:val="18"/>
                <w:color w:val="auto"/>
                <w:w w:val="90"/>
              </w:rPr>
              <w:t>Basic and diluted net income per Class A share</w:t>
            </w:r>
          </w:p>
        </w:tc>
        <w:tc>
          <w:tcPr>
            <w:tcW w:w="4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0.23</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129"/>
        </w:trPr>
        <w:tc>
          <w:tcPr>
            <w:tcW w:w="31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22"/>
          <w:szCs w:val="22"/>
          <w:color w:val="auto"/>
          <w:vertAlign w:val="superscript"/>
        </w:rPr>
      </w:pPr>
      <w:r>
        <w:rPr>
          <w:rFonts w:ascii="Arial" w:cs="Arial" w:eastAsia="Arial" w:hAnsi="Arial"/>
          <w:sz w:val="17"/>
          <w:szCs w:val="17"/>
          <w:color w:val="auto"/>
        </w:rPr>
        <w:t>Represents the aggregate consolidating adjustments necessary to produce consolidated financial statements for PAGP.</w:t>
      </w:r>
    </w:p>
    <w:p>
      <w:pPr>
        <w:ind w:left="5440" w:hanging="106"/>
        <w:spacing w:after="0"/>
        <w:tabs>
          <w:tab w:leader="none" w:pos="54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39"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140"/>
          </w:cols>
          <w:pgMar w:left="320" w:top="368" w:right="4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auto"/>
        </w:rPr>
        <w:t>Page 19</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data)</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Twelve Months Ended</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Twelve Months Ended</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1"/>
              </w:rPr>
              <w:t>December 31, 2022</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1"/>
              </w:rPr>
              <w:t>December 31, 2021</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Consolidating</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Consolidating</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3"/>
          </w:tcPr>
          <w:p>
            <w:pPr>
              <w:ind w:left="60"/>
              <w:spacing w:after="0"/>
              <w:rPr>
                <w:sz w:val="20"/>
                <w:szCs w:val="20"/>
                <w:color w:val="auto"/>
              </w:rPr>
            </w:pPr>
            <w:r>
              <w:rPr>
                <w:rFonts w:ascii="Arial" w:cs="Arial" w:eastAsia="Arial" w:hAnsi="Arial"/>
                <w:sz w:val="14"/>
                <w:szCs w:val="14"/>
                <w:b w:val="1"/>
                <w:bCs w:val="1"/>
                <w:color w:val="auto"/>
              </w:rPr>
              <w:t>PAA</w:t>
            </w:r>
          </w:p>
        </w:tc>
        <w:tc>
          <w:tcPr>
            <w:tcW w:w="120" w:type="dxa"/>
            <w:vAlign w:val="bottom"/>
          </w:tcPr>
          <w:p>
            <w:pPr>
              <w:spacing w:after="0"/>
              <w:rPr>
                <w:sz w:val="19"/>
                <w:szCs w:val="19"/>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 xml:space="preserve">Adjustments </w:t>
            </w:r>
            <w:r>
              <w:rPr>
                <w:rFonts w:ascii="Arial" w:cs="Arial" w:eastAsia="Arial" w:hAnsi="Arial"/>
                <w:sz w:val="18"/>
                <w:szCs w:val="18"/>
                <w:b w:val="1"/>
                <w:bCs w:val="1"/>
                <w:color w:val="auto"/>
                <w:w w:val="88"/>
                <w:vertAlign w:val="superscript"/>
              </w:rPr>
              <w:t>(1)</w:t>
            </w:r>
          </w:p>
        </w:tc>
        <w:tc>
          <w:tcPr>
            <w:tcW w:w="240" w:type="dxa"/>
            <w:vAlign w:val="bottom"/>
          </w:tcPr>
          <w:p>
            <w:pPr>
              <w:spacing w:after="0"/>
              <w:rPr>
                <w:sz w:val="19"/>
                <w:szCs w:val="19"/>
                <w:color w:val="auto"/>
              </w:rPr>
            </w:pPr>
          </w:p>
        </w:tc>
        <w:tc>
          <w:tcPr>
            <w:tcW w:w="920" w:type="dxa"/>
            <w:vAlign w:val="bottom"/>
          </w:tcPr>
          <w:p>
            <w:pPr>
              <w:jc w:val="right"/>
              <w:ind w:right="311"/>
              <w:spacing w:after="0"/>
              <w:rPr>
                <w:sz w:val="20"/>
                <w:szCs w:val="20"/>
                <w:color w:val="auto"/>
              </w:rPr>
            </w:pPr>
            <w:r>
              <w:rPr>
                <w:rFonts w:ascii="Arial" w:cs="Arial" w:eastAsia="Arial" w:hAnsi="Arial"/>
                <w:sz w:val="14"/>
                <w:szCs w:val="14"/>
                <w:b w:val="1"/>
                <w:bCs w:val="1"/>
                <w:color w:val="auto"/>
              </w:rPr>
              <w:t>PAGP</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ind w:left="140"/>
              <w:spacing w:after="0"/>
              <w:rPr>
                <w:sz w:val="20"/>
                <w:szCs w:val="20"/>
                <w:color w:val="auto"/>
              </w:rPr>
            </w:pPr>
            <w:r>
              <w:rPr>
                <w:rFonts w:ascii="Arial" w:cs="Arial" w:eastAsia="Arial" w:hAnsi="Arial"/>
                <w:sz w:val="14"/>
                <w:szCs w:val="14"/>
                <w:b w:val="1"/>
                <w:bCs w:val="1"/>
                <w:color w:val="auto"/>
              </w:rPr>
              <w:t>PAA</w:t>
            </w:r>
          </w:p>
        </w:tc>
        <w:tc>
          <w:tcPr>
            <w:tcW w:w="120" w:type="dxa"/>
            <w:vAlign w:val="bottom"/>
          </w:tcPr>
          <w:p>
            <w:pPr>
              <w:spacing w:after="0"/>
              <w:rPr>
                <w:sz w:val="19"/>
                <w:szCs w:val="19"/>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 xml:space="preserve">Adjustments </w:t>
            </w:r>
            <w:r>
              <w:rPr>
                <w:rFonts w:ascii="Arial" w:cs="Arial" w:eastAsia="Arial" w:hAnsi="Arial"/>
                <w:sz w:val="18"/>
                <w:szCs w:val="18"/>
                <w:b w:val="1"/>
                <w:bCs w:val="1"/>
                <w:color w:val="auto"/>
                <w:w w:val="90"/>
                <w:vertAlign w:val="superscript"/>
              </w:rPr>
              <w:t>(1)</w:t>
            </w:r>
          </w:p>
        </w:tc>
        <w:tc>
          <w:tcPr>
            <w:tcW w:w="260" w:type="dxa"/>
            <w:vAlign w:val="bottom"/>
          </w:tcPr>
          <w:p>
            <w:pPr>
              <w:spacing w:after="0"/>
              <w:rPr>
                <w:sz w:val="19"/>
                <w:szCs w:val="19"/>
                <w:color w:val="auto"/>
              </w:rPr>
            </w:pPr>
          </w:p>
        </w:tc>
        <w:tc>
          <w:tcPr>
            <w:tcW w:w="900" w:type="dxa"/>
            <w:vAlign w:val="bottom"/>
          </w:tcPr>
          <w:p>
            <w:pPr>
              <w:jc w:val="right"/>
              <w:ind w:right="291"/>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223"/>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57,342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57,342</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42,078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42,078</w:t>
            </w: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3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Purchases and related costs</w:t>
            </w:r>
          </w:p>
        </w:tc>
        <w:tc>
          <w:tcPr>
            <w:tcW w:w="36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53,176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53,176</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38,504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38,504</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3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36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176"/>
        </w:trPr>
        <w:tc>
          <w:tcPr>
            <w:tcW w:w="3120" w:type="dxa"/>
            <w:vAlign w:val="bottom"/>
          </w:tcPr>
          <w:p>
            <w:pPr>
              <w:ind w:left="20"/>
              <w:spacing w:after="0" w:line="176" w:lineRule="exact"/>
              <w:rPr>
                <w:sz w:val="20"/>
                <w:szCs w:val="20"/>
                <w:color w:val="auto"/>
              </w:rPr>
            </w:pPr>
            <w:r>
              <w:rPr>
                <w:rFonts w:ascii="Arial" w:cs="Arial" w:eastAsia="Arial" w:hAnsi="Arial"/>
                <w:sz w:val="18"/>
                <w:szCs w:val="18"/>
                <w:color w:val="auto"/>
                <w:w w:val="96"/>
              </w:rPr>
              <w:t>(Gains)/losses on asset sales and asset</w:t>
            </w: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20" w:type="dxa"/>
            <w:vAlign w:val="bottom"/>
          </w:tcPr>
          <w:p>
            <w:pPr>
              <w:ind w:left="180"/>
              <w:spacing w:after="0"/>
              <w:rPr>
                <w:sz w:val="20"/>
                <w:szCs w:val="20"/>
                <w:color w:val="auto"/>
              </w:rPr>
            </w:pPr>
            <w:r>
              <w:rPr>
                <w:rFonts w:ascii="Arial" w:cs="Arial" w:eastAsia="Arial" w:hAnsi="Arial"/>
                <w:sz w:val="18"/>
                <w:szCs w:val="18"/>
                <w:color w:val="auto"/>
              </w:rPr>
              <w:t>impairments, net</w:t>
            </w:r>
          </w:p>
        </w:tc>
        <w:tc>
          <w:tcPr>
            <w:tcW w:w="360" w:type="dxa"/>
            <w:vAlign w:val="bottom"/>
          </w:tcPr>
          <w:p>
            <w:pPr>
              <w:spacing w:after="0"/>
              <w:rPr>
                <w:sz w:val="21"/>
                <w:szCs w:val="21"/>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269</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23"/>
        </w:trPr>
        <w:tc>
          <w:tcPr>
            <w:tcW w:w="31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costs and expenses</w:t>
            </w:r>
          </w:p>
        </w:tc>
        <w:tc>
          <w:tcPr>
            <w:tcW w:w="3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56,050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56,058</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41,227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41,236</w:t>
            </w: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3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INCOME/(EXPENSE)</w:t>
            </w:r>
          </w:p>
        </w:tc>
        <w:tc>
          <w:tcPr>
            <w:tcW w:w="3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w w:val="92"/>
              </w:rPr>
              <w:t>Equity earnings in unconsolidated entities</w:t>
            </w:r>
          </w:p>
        </w:tc>
        <w:tc>
          <w:tcPr>
            <w:tcW w:w="36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403</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176"/>
        </w:trPr>
        <w:tc>
          <w:tcPr>
            <w:tcW w:w="3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Gain/(loss) on investments in</w:t>
            </w:r>
          </w:p>
        </w:tc>
        <w:tc>
          <w:tcPr>
            <w:tcW w:w="3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unconsolidated entities, net</w:t>
            </w:r>
          </w:p>
        </w:tc>
        <w:tc>
          <w:tcPr>
            <w:tcW w:w="36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36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(405)</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income/(expense), net</w:t>
            </w:r>
          </w:p>
        </w:tc>
        <w:tc>
          <w:tcPr>
            <w:tcW w:w="3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28"/>
        </w:trPr>
        <w:tc>
          <w:tcPr>
            <w:tcW w:w="312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TAX</w:t>
            </w:r>
          </w:p>
        </w:tc>
        <w:tc>
          <w:tcPr>
            <w:tcW w:w="3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Current income tax expense</w:t>
            </w:r>
          </w:p>
        </w:tc>
        <w:tc>
          <w:tcPr>
            <w:tcW w:w="36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expense</w:t>
            </w: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29"/>
        </w:trPr>
        <w:tc>
          <w:tcPr>
            <w:tcW w:w="3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176"/>
        </w:trPr>
        <w:tc>
          <w:tcPr>
            <w:tcW w:w="3120" w:type="dxa"/>
            <w:vAlign w:val="bottom"/>
          </w:tcPr>
          <w:p>
            <w:pPr>
              <w:ind w:left="180"/>
              <w:spacing w:after="0" w:line="176" w:lineRule="exact"/>
              <w:rPr>
                <w:sz w:val="20"/>
                <w:szCs w:val="20"/>
                <w:color w:val="auto"/>
              </w:rPr>
            </w:pPr>
            <w:r>
              <w:rPr>
                <w:rFonts w:ascii="Arial" w:cs="Arial" w:eastAsia="Arial" w:hAnsi="Arial"/>
                <w:sz w:val="18"/>
                <w:szCs w:val="18"/>
                <w:color w:val="auto"/>
              </w:rPr>
              <w:t>Net income attributable to</w:t>
            </w: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noncontrolling interests</w:t>
            </w:r>
          </w:p>
        </w:tc>
        <w:tc>
          <w:tcPr>
            <w:tcW w:w="3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w:t>
            </w:r>
          </w:p>
        </w:tc>
        <w:tc>
          <w:tcPr>
            <w:tcW w:w="120" w:type="dxa"/>
            <w:vAlign w:val="bottom"/>
            <w:tcBorders>
              <w:bottom w:val="single" w:sz="8" w:color="CCEEFF"/>
              <w:right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155"/>
        </w:trPr>
        <w:tc>
          <w:tcPr>
            <w:tcW w:w="312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NET INCOME ATTRIBUTABLE TO</w:t>
            </w: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1,037</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1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Borders>
              <w:right w:val="single" w:sz="8" w:color="auto"/>
            </w:tcBorders>
            <w:shd w:val="clear" w:color="auto" w:fill="CCEEFF"/>
          </w:tcPr>
          <w:p>
            <w:pPr>
              <w:spacing w:after="0"/>
              <w:rPr>
                <w:sz w:val="13"/>
                <w:szCs w:val="13"/>
                <w:color w:val="auto"/>
              </w:rPr>
            </w:pPr>
          </w:p>
        </w:tc>
        <w:tc>
          <w:tcPr>
            <w:tcW w:w="100" w:type="dxa"/>
            <w:vAlign w:val="bottom"/>
            <w:vMerge w:val="restart"/>
            <w:shd w:val="clear" w:color="auto" w:fill="CCEEFF"/>
          </w:tcPr>
          <w:p>
            <w:pPr>
              <w:spacing w:after="0"/>
              <w:rPr>
                <w:sz w:val="13"/>
                <w:szCs w:val="13"/>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6"/>
        </w:trPr>
        <w:tc>
          <w:tcPr>
            <w:tcW w:w="3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PAGP</w:t>
            </w: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gridSpan w:val="2"/>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vMerge w:val="continue"/>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860" w:type="dxa"/>
            <w:vAlign w:val="bottom"/>
            <w:gridSpan w:val="8"/>
            <w:shd w:val="clear" w:color="auto" w:fill="CCEEFF"/>
          </w:tcPr>
          <w:p>
            <w:pPr>
              <w:ind w:left="20"/>
              <w:spacing w:after="0"/>
              <w:rPr>
                <w:sz w:val="20"/>
                <w:szCs w:val="20"/>
                <w:color w:val="auto"/>
              </w:rPr>
            </w:pPr>
            <w:r>
              <w:rPr>
                <w:rFonts w:ascii="Arial" w:cs="Arial" w:eastAsia="Arial" w:hAnsi="Arial"/>
                <w:sz w:val="18"/>
                <w:szCs w:val="18"/>
                <w:color w:val="auto"/>
              </w:rPr>
              <w:t>Basic and diluted weighted average Class A shares outstanding</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0"/>
        </w:trPr>
        <w:tc>
          <w:tcPr>
            <w:tcW w:w="3480" w:type="dxa"/>
            <w:vAlign w:val="bottom"/>
            <w:gridSpan w:val="2"/>
          </w:tcPr>
          <w:p>
            <w:pPr>
              <w:ind w:left="20"/>
              <w:spacing w:after="0"/>
              <w:rPr>
                <w:sz w:val="20"/>
                <w:szCs w:val="20"/>
                <w:color w:val="auto"/>
              </w:rPr>
            </w:pPr>
            <w:r>
              <w:rPr>
                <w:rFonts w:ascii="Arial" w:cs="Arial" w:eastAsia="Arial" w:hAnsi="Arial"/>
                <w:sz w:val="18"/>
                <w:szCs w:val="18"/>
                <w:color w:val="auto"/>
                <w:w w:val="90"/>
              </w:rPr>
              <w:t>Basic and diluted net income per Class A share</w:t>
            </w:r>
          </w:p>
        </w:tc>
        <w:tc>
          <w:tcPr>
            <w:tcW w:w="4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0.86</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129"/>
        </w:trPr>
        <w:tc>
          <w:tcPr>
            <w:tcW w:w="31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22"/>
          <w:szCs w:val="22"/>
          <w:color w:val="auto"/>
          <w:vertAlign w:val="superscript"/>
        </w:rPr>
      </w:pPr>
      <w:r>
        <w:rPr>
          <w:rFonts w:ascii="Arial" w:cs="Arial" w:eastAsia="Arial" w:hAnsi="Arial"/>
          <w:sz w:val="17"/>
          <w:szCs w:val="17"/>
          <w:color w:val="auto"/>
        </w:rPr>
        <w:t>Represents the aggregate consolidating adjustments necessary to produce consolidated financial statements for PAGP.</w:t>
      </w:r>
    </w:p>
    <w:p>
      <w:pPr>
        <w:ind w:left="5440" w:hanging="106"/>
        <w:spacing w:after="0"/>
        <w:tabs>
          <w:tab w:leader="none" w:pos="54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39"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140"/>
          </w:cols>
          <w:pgMar w:left="320" w:top="368" w:right="4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auto"/>
        </w:rPr>
        <w:t>Page 20</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December 31, 2022</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31, 2021</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6"/>
        </w:trPr>
        <w:tc>
          <w:tcPr>
            <w:tcW w:w="3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0"/>
        </w:trPr>
        <w:tc>
          <w:tcPr>
            <w:tcW w:w="3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Consolidating</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Consolidating</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19"/>
        </w:trPr>
        <w:tc>
          <w:tcPr>
            <w:tcW w:w="3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3"/>
          </w:tcPr>
          <w:p>
            <w:pPr>
              <w:ind w:left="160"/>
              <w:spacing w:after="0"/>
              <w:rPr>
                <w:sz w:val="20"/>
                <w:szCs w:val="20"/>
                <w:color w:val="auto"/>
              </w:rPr>
            </w:pPr>
            <w:r>
              <w:rPr>
                <w:rFonts w:ascii="Arial" w:cs="Arial" w:eastAsia="Arial" w:hAnsi="Arial"/>
                <w:sz w:val="14"/>
                <w:szCs w:val="14"/>
                <w:b w:val="1"/>
                <w:bCs w:val="1"/>
                <w:color w:val="auto"/>
              </w:rPr>
              <w:t>PAA</w:t>
            </w:r>
          </w:p>
        </w:tc>
        <w:tc>
          <w:tcPr>
            <w:tcW w:w="120" w:type="dxa"/>
            <w:vAlign w:val="bottom"/>
          </w:tcPr>
          <w:p>
            <w:pPr>
              <w:spacing w:after="0"/>
              <w:rPr>
                <w:sz w:val="19"/>
                <w:szCs w:val="19"/>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 xml:space="preserve">Adjustments </w:t>
            </w:r>
            <w:r>
              <w:rPr>
                <w:rFonts w:ascii="Arial" w:cs="Arial" w:eastAsia="Arial" w:hAnsi="Arial"/>
                <w:sz w:val="18"/>
                <w:szCs w:val="18"/>
                <w:b w:val="1"/>
                <w:bCs w:val="1"/>
                <w:color w:val="auto"/>
                <w:w w:val="90"/>
                <w:vertAlign w:val="superscript"/>
              </w:rPr>
              <w:t>(1)</w:t>
            </w:r>
          </w:p>
        </w:tc>
        <w:tc>
          <w:tcPr>
            <w:tcW w:w="260" w:type="dxa"/>
            <w:vAlign w:val="bottom"/>
          </w:tcPr>
          <w:p>
            <w:pPr>
              <w:spacing w:after="0"/>
              <w:rPr>
                <w:sz w:val="19"/>
                <w:szCs w:val="19"/>
                <w:color w:val="auto"/>
              </w:rPr>
            </w:pPr>
          </w:p>
        </w:tc>
        <w:tc>
          <w:tcPr>
            <w:tcW w:w="1120" w:type="dxa"/>
            <w:vAlign w:val="bottom"/>
            <w:gridSpan w:val="3"/>
          </w:tcPr>
          <w:p>
            <w:pPr>
              <w:ind w:left="140"/>
              <w:spacing w:after="0"/>
              <w:rPr>
                <w:sz w:val="20"/>
                <w:szCs w:val="20"/>
                <w:color w:val="auto"/>
              </w:rPr>
            </w:pPr>
            <w:r>
              <w:rPr>
                <w:rFonts w:ascii="Arial" w:cs="Arial" w:eastAsia="Arial" w:hAnsi="Arial"/>
                <w:sz w:val="14"/>
                <w:szCs w:val="14"/>
                <w:b w:val="1"/>
                <w:bCs w:val="1"/>
                <w:color w:val="auto"/>
              </w:rPr>
              <w:t>PAGP</w:t>
            </w:r>
          </w:p>
        </w:tc>
        <w:tc>
          <w:tcPr>
            <w:tcW w:w="280" w:type="dxa"/>
            <w:vAlign w:val="bottom"/>
          </w:tcPr>
          <w:p>
            <w:pPr>
              <w:spacing w:after="0"/>
              <w:rPr>
                <w:sz w:val="19"/>
                <w:szCs w:val="19"/>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PAA</w:t>
            </w:r>
          </w:p>
        </w:tc>
        <w:tc>
          <w:tcPr>
            <w:tcW w:w="120" w:type="dxa"/>
            <w:vAlign w:val="bottom"/>
          </w:tcPr>
          <w:p>
            <w:pPr>
              <w:spacing w:after="0"/>
              <w:rPr>
                <w:sz w:val="19"/>
                <w:szCs w:val="19"/>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 xml:space="preserve">Adjustments </w:t>
            </w:r>
            <w:r>
              <w:rPr>
                <w:rFonts w:ascii="Arial" w:cs="Arial" w:eastAsia="Arial" w:hAnsi="Arial"/>
                <w:sz w:val="18"/>
                <w:szCs w:val="18"/>
                <w:b w:val="1"/>
                <w:bCs w:val="1"/>
                <w:color w:val="auto"/>
                <w:w w:val="88"/>
                <w:vertAlign w:val="superscript"/>
              </w:rPr>
              <w:t>(1)</w:t>
            </w:r>
          </w:p>
        </w:tc>
        <w:tc>
          <w:tcPr>
            <w:tcW w:w="240" w:type="dxa"/>
            <w:vAlign w:val="bottom"/>
          </w:tcPr>
          <w:p>
            <w:pPr>
              <w:spacing w:after="0"/>
              <w:rPr>
                <w:sz w:val="19"/>
                <w:szCs w:val="19"/>
                <w:color w:val="auto"/>
              </w:rPr>
            </w:pPr>
          </w:p>
        </w:tc>
        <w:tc>
          <w:tcPr>
            <w:tcW w:w="920" w:type="dxa"/>
            <w:vAlign w:val="bottom"/>
          </w:tcPr>
          <w:p>
            <w:pPr>
              <w:jc w:val="right"/>
              <w:ind w:right="291"/>
              <w:spacing w:after="0"/>
              <w:rPr>
                <w:sz w:val="20"/>
                <w:szCs w:val="20"/>
                <w:color w:val="auto"/>
              </w:rPr>
            </w:pPr>
            <w:r>
              <w:rPr>
                <w:rFonts w:ascii="Arial" w:cs="Arial" w:eastAsia="Arial" w:hAnsi="Arial"/>
                <w:sz w:val="14"/>
                <w:szCs w:val="14"/>
                <w:b w:val="1"/>
                <w:bCs w:val="1"/>
                <w:color w:val="auto"/>
              </w:rPr>
              <w:t>PAGP</w:t>
            </w:r>
          </w:p>
        </w:tc>
      </w:tr>
      <w:tr>
        <w:trPr>
          <w:trHeight w:val="209"/>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5,355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5,358</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6,137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6,140</w:t>
            </w: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15,253</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14,909</w:t>
            </w: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Investments in unconsolidated entities</w:t>
            </w:r>
          </w:p>
        </w:tc>
        <w:tc>
          <w:tcPr>
            <w:tcW w:w="2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3,084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3,084</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3,805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3,805</w:t>
            </w: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w:t>
            </w: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Deferred tax asset</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1,309</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1,362</w:t>
            </w: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Linefill</w:t>
            </w:r>
          </w:p>
        </w:tc>
        <w:tc>
          <w:tcPr>
            <w:tcW w:w="2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w:t>
            </w:r>
          </w:p>
        </w:tc>
      </w:tr>
      <w:tr>
        <w:trPr>
          <w:trHeight w:val="176"/>
        </w:trPr>
        <w:tc>
          <w:tcPr>
            <w:tcW w:w="3120" w:type="dxa"/>
            <w:vAlign w:val="bottom"/>
          </w:tcPr>
          <w:p>
            <w:pPr>
              <w:ind w:left="20"/>
              <w:spacing w:after="0" w:line="176" w:lineRule="exact"/>
              <w:rPr>
                <w:sz w:val="20"/>
                <w:szCs w:val="20"/>
                <w:color w:val="auto"/>
              </w:rPr>
            </w:pPr>
            <w:r>
              <w:rPr>
                <w:rFonts w:ascii="Arial" w:cs="Arial" w:eastAsia="Arial" w:hAnsi="Arial"/>
                <w:sz w:val="18"/>
                <w:szCs w:val="18"/>
                <w:color w:val="auto"/>
              </w:rPr>
              <w:t>Long-term operating lease right-of-use</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43"/>
        </w:trPr>
        <w:tc>
          <w:tcPr>
            <w:tcW w:w="3120" w:type="dxa"/>
            <w:vAlign w:val="bottom"/>
          </w:tcPr>
          <w:p>
            <w:pPr>
              <w:ind w:left="180"/>
              <w:spacing w:after="0"/>
              <w:rPr>
                <w:sz w:val="20"/>
                <w:szCs w:val="20"/>
                <w:color w:val="auto"/>
              </w:rPr>
            </w:pPr>
            <w:r>
              <w:rPr>
                <w:rFonts w:ascii="Arial" w:cs="Arial" w:eastAsia="Arial" w:hAnsi="Arial"/>
                <w:sz w:val="18"/>
                <w:szCs w:val="18"/>
                <w:color w:val="auto"/>
              </w:rPr>
              <w:t>assets, net</w:t>
            </w:r>
          </w:p>
        </w:tc>
        <w:tc>
          <w:tcPr>
            <w:tcW w:w="28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349</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393</w:t>
            </w: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inventory</w:t>
            </w:r>
          </w:p>
        </w:tc>
        <w:tc>
          <w:tcPr>
            <w:tcW w:w="2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Other long-term assets, net</w:t>
            </w:r>
          </w:p>
        </w:tc>
        <w:tc>
          <w:tcPr>
            <w:tcW w:w="2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464</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249</w:t>
            </w:r>
          </w:p>
        </w:tc>
      </w:tr>
      <w:tr>
        <w:trPr>
          <w:trHeight w:val="248"/>
        </w:trPr>
        <w:tc>
          <w:tcPr>
            <w:tcW w:w="31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27,892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29,207</w:t>
            </w:r>
          </w:p>
        </w:tc>
        <w:tc>
          <w:tcPr>
            <w:tcW w:w="14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29,978</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3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6"/>
        </w:trPr>
        <w:tc>
          <w:tcPr>
            <w:tcW w:w="3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LIABILITIES AND PARTNERS’</w:t>
            </w:r>
          </w:p>
        </w:tc>
        <w:tc>
          <w:tcPr>
            <w:tcW w:w="2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43"/>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CAPITAL</w:t>
            </w:r>
          </w:p>
        </w:tc>
        <w:tc>
          <w:tcPr>
            <w:tcW w:w="2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4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5,891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5,893</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6,232</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6,234</w:t>
            </w: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net</w:t>
            </w:r>
          </w:p>
        </w:tc>
        <w:tc>
          <w:tcPr>
            <w:tcW w:w="2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7,237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7,237</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8,329</w:t>
            </w: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Other long-term debt, net</w:t>
            </w:r>
          </w:p>
        </w:tc>
        <w:tc>
          <w:tcPr>
            <w:tcW w:w="2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operating lease liabilities</w:t>
            </w:r>
          </w:p>
        </w:tc>
        <w:tc>
          <w:tcPr>
            <w:tcW w:w="2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r>
      <w:tr>
        <w:trPr>
          <w:trHeight w:val="175"/>
        </w:trPr>
        <w:tc>
          <w:tcPr>
            <w:tcW w:w="3120" w:type="dxa"/>
            <w:vAlign w:val="bottom"/>
          </w:tcPr>
          <w:p>
            <w:pPr>
              <w:ind w:left="20"/>
              <w:spacing w:after="0" w:line="176" w:lineRule="exact"/>
              <w:rPr>
                <w:sz w:val="20"/>
                <w:szCs w:val="20"/>
                <w:color w:val="auto"/>
              </w:rPr>
            </w:pPr>
            <w:r>
              <w:rPr>
                <w:rFonts w:ascii="Arial" w:cs="Arial" w:eastAsia="Arial" w:hAnsi="Arial"/>
                <w:sz w:val="18"/>
                <w:szCs w:val="18"/>
                <w:color w:val="auto"/>
              </w:rPr>
              <w:t>Other long-term liabilities and deferred</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43"/>
        </w:trPr>
        <w:tc>
          <w:tcPr>
            <w:tcW w:w="3120" w:type="dxa"/>
            <w:vAlign w:val="bottom"/>
          </w:tcPr>
          <w:p>
            <w:pPr>
              <w:ind w:left="180"/>
              <w:spacing w:after="0"/>
              <w:rPr>
                <w:sz w:val="20"/>
                <w:szCs w:val="20"/>
                <w:color w:val="auto"/>
              </w:rPr>
            </w:pPr>
            <w:r>
              <w:rPr>
                <w:rFonts w:ascii="Arial" w:cs="Arial" w:eastAsia="Arial" w:hAnsi="Arial"/>
                <w:sz w:val="18"/>
                <w:szCs w:val="18"/>
                <w:color w:val="auto"/>
              </w:rPr>
              <w:t>credits</w:t>
            </w:r>
          </w:p>
        </w:tc>
        <w:tc>
          <w:tcPr>
            <w:tcW w:w="28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1,081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1,081</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830</w:t>
            </w:r>
          </w:p>
        </w:tc>
      </w:tr>
      <w:tr>
        <w:trPr>
          <w:trHeight w:val="223"/>
        </w:trPr>
        <w:tc>
          <w:tcPr>
            <w:tcW w:w="31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14,567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14,569</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15,799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15,801</w:t>
            </w:r>
          </w:p>
        </w:tc>
      </w:tr>
      <w:tr>
        <w:trPr>
          <w:trHeight w:val="216"/>
        </w:trPr>
        <w:tc>
          <w:tcPr>
            <w:tcW w:w="3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175"/>
        </w:trPr>
        <w:tc>
          <w:tcPr>
            <w:tcW w:w="3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Partners’ capital excluding noncontrolling</w:t>
            </w:r>
          </w:p>
        </w:tc>
        <w:tc>
          <w:tcPr>
            <w:tcW w:w="2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43"/>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interests</w:t>
            </w:r>
          </w:p>
        </w:tc>
        <w:tc>
          <w:tcPr>
            <w:tcW w:w="2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10,057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w:t>
            </w:r>
          </w:p>
        </w:tc>
        <w:tc>
          <w:tcPr>
            <w:tcW w:w="14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w:t>
            </w:r>
          </w:p>
        </w:tc>
      </w:tr>
      <w:tr>
        <w:trPr>
          <w:trHeight w:val="230"/>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Noncontrolling interests</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3,268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13,114</w:t>
            </w: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12,644</w:t>
            </w:r>
          </w:p>
        </w:tc>
      </w:tr>
      <w:tr>
        <w:trPr>
          <w:trHeight w:val="223"/>
        </w:trPr>
        <w:tc>
          <w:tcPr>
            <w:tcW w:w="3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partners’ capital</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13,325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14,638</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14,177</w:t>
            </w:r>
          </w:p>
        </w:tc>
      </w:tr>
      <w:tr>
        <w:trPr>
          <w:trHeight w:val="263"/>
        </w:trPr>
        <w:tc>
          <w:tcPr>
            <w:tcW w:w="3120" w:type="dxa"/>
            <w:vAlign w:val="bottom"/>
          </w:tcPr>
          <w:p>
            <w:pPr>
              <w:ind w:left="180"/>
              <w:spacing w:after="0"/>
              <w:rPr>
                <w:sz w:val="20"/>
                <w:szCs w:val="20"/>
                <w:color w:val="auto"/>
              </w:rPr>
            </w:pPr>
            <w:r>
              <w:rPr>
                <w:rFonts w:ascii="Arial" w:cs="Arial" w:eastAsia="Arial" w:hAnsi="Arial"/>
                <w:sz w:val="18"/>
                <w:szCs w:val="18"/>
                <w:color w:val="auto"/>
              </w:rPr>
              <w:t>Total liabilities and partners’ capital</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27,892</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1,315</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29,207</w:t>
            </w: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28,609</w:t>
            </w:r>
          </w:p>
        </w:tc>
        <w:tc>
          <w:tcPr>
            <w:tcW w:w="12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29,978</w:t>
            </w:r>
          </w:p>
        </w:tc>
      </w:tr>
      <w:tr>
        <w:trPr>
          <w:trHeight w:val="156"/>
        </w:trPr>
        <w:tc>
          <w:tcPr>
            <w:tcW w:w="31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r>
    </w:tbl>
    <w:p>
      <w:pPr>
        <w:spacing w:after="0" w:line="100" w:lineRule="exact"/>
        <w:rPr>
          <w:sz w:val="20"/>
          <w:szCs w:val="20"/>
          <w:color w:val="auto"/>
        </w:rPr>
      </w:pPr>
    </w:p>
    <w:p>
      <w:pPr>
        <w:ind w:left="320" w:hanging="312"/>
        <w:spacing w:after="0"/>
        <w:tabs>
          <w:tab w:leader="none" w:pos="320"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auto"/>
        </w:rPr>
        <w:t>Page 21</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right="4600"/>
        <w:spacing w:after="0" w:line="282" w:lineRule="auto"/>
        <w:rPr>
          <w:sz w:val="20"/>
          <w:szCs w:val="20"/>
          <w:color w:val="auto"/>
        </w:rPr>
      </w:pPr>
      <w:r>
        <w:rPr>
          <w:rFonts w:ascii="Arial" w:cs="Arial" w:eastAsia="Arial" w:hAnsi="Arial"/>
          <w:sz w:val="18"/>
          <w:szCs w:val="18"/>
          <w:b w:val="1"/>
          <w:bCs w:val="1"/>
          <w:u w:val="single" w:color="auto"/>
          <w:color w:val="auto"/>
        </w:rPr>
        <w:t xml:space="preserve">COMPUTATION OF BASIC AND DILUTED NET INCOME PER CLASS A SHARE </w:t>
      </w:r>
      <w:r>
        <w:rPr>
          <w:rFonts w:ascii="Arial" w:cs="Arial" w:eastAsia="Arial" w:hAnsi="Arial"/>
          <w:sz w:val="18"/>
          <w:szCs w:val="18"/>
          <w:color w:val="auto"/>
        </w:rPr>
        <w:t>(in millions, except per share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200" w:type="dxa"/>
            <w:vAlign w:val="bottom"/>
            <w:gridSpan w:val="4"/>
          </w:tcPr>
          <w:p>
            <w:pPr>
              <w:jc w:val="right"/>
              <w:ind w:right="136"/>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4"/>
          </w:tcPr>
          <w:p>
            <w:pPr>
              <w:jc w:val="right"/>
              <w:ind w:right="555"/>
              <w:spacing w:after="0"/>
              <w:rPr>
                <w:sz w:val="20"/>
                <w:szCs w:val="20"/>
                <w:color w:val="auto"/>
              </w:rPr>
            </w:pPr>
            <w:r>
              <w:rPr>
                <w:rFonts w:ascii="Arial" w:cs="Arial" w:eastAsia="Arial" w:hAnsi="Arial"/>
                <w:sz w:val="14"/>
                <w:szCs w:val="14"/>
                <w:b w:val="1"/>
                <w:bCs w:val="1"/>
                <w:color w:val="auto"/>
              </w:rPr>
              <w:t>Twelve Months Ended</w:t>
            </w:r>
          </w:p>
        </w:tc>
      </w:tr>
      <w:tr>
        <w:trPr>
          <w:trHeight w:val="196"/>
        </w:trPr>
        <w:tc>
          <w:tcPr>
            <w:tcW w:w="584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ind w:right="376"/>
              <w:spacing w:after="0"/>
              <w:rPr>
                <w:sz w:val="20"/>
                <w:szCs w:val="20"/>
                <w:color w:val="auto"/>
              </w:rPr>
            </w:pPr>
            <w:r>
              <w:rPr>
                <w:rFonts w:ascii="Arial" w:cs="Arial" w:eastAsia="Arial" w:hAnsi="Arial"/>
                <w:sz w:val="14"/>
                <w:szCs w:val="14"/>
                <w:b w:val="1"/>
                <w:bCs w:val="1"/>
                <w:color w:val="auto"/>
                <w:w w:val="96"/>
              </w:rPr>
              <w:t>December 31,</w:t>
            </w:r>
          </w:p>
        </w:tc>
        <w:tc>
          <w:tcPr>
            <w:tcW w:w="4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7"/>
                <w:szCs w:val="17"/>
                <w:color w:val="auto"/>
              </w:rPr>
            </w:pPr>
          </w:p>
        </w:tc>
      </w:tr>
      <w:tr>
        <w:trPr>
          <w:trHeight w:val="196"/>
        </w:trPr>
        <w:tc>
          <w:tcPr>
            <w:tcW w:w="584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r>
      <w:tr>
        <w:trPr>
          <w:trHeight w:val="216"/>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 Net Income per Class A Share</w:t>
            </w: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29"/>
        </w:trPr>
        <w:tc>
          <w:tcPr>
            <w:tcW w:w="5840" w:type="dxa"/>
            <w:vAlign w:val="bottom"/>
          </w:tcPr>
          <w:p>
            <w:pPr>
              <w:ind w:left="100"/>
              <w:spacing w:after="0"/>
              <w:rPr>
                <w:sz w:val="20"/>
                <w:szCs w:val="20"/>
                <w:color w:val="auto"/>
              </w:rPr>
            </w:pPr>
            <w:r>
              <w:rPr>
                <w:rFonts w:ascii="Arial" w:cs="Arial" w:eastAsia="Arial" w:hAnsi="Arial"/>
                <w:sz w:val="18"/>
                <w:szCs w:val="18"/>
                <w:color w:val="auto"/>
              </w:rPr>
              <w:t>Net income attributable to PAGP</w:t>
            </w:r>
          </w:p>
        </w:tc>
        <w:tc>
          <w:tcPr>
            <w:tcW w:w="840" w:type="dxa"/>
            <w:vAlign w:val="bottom"/>
          </w:tcPr>
          <w:p>
            <w:pPr>
              <w:jc w:val="right"/>
              <w:ind w:right="659"/>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820" w:type="dxa"/>
            <w:vAlign w:val="bottom"/>
          </w:tcPr>
          <w:p>
            <w:pPr>
              <w:jc w:val="right"/>
              <w:ind w:right="636"/>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29"/>
        </w:trPr>
        <w:tc>
          <w:tcPr>
            <w:tcW w:w="5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 and diluted weighted average Class A shares outstanding</w:t>
            </w: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57"/>
        </w:trPr>
        <w:tc>
          <w:tcPr>
            <w:tcW w:w="58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54"/>
        </w:trPr>
        <w:tc>
          <w:tcPr>
            <w:tcW w:w="58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Basic and diluted net income per Class A share</w:t>
            </w:r>
          </w:p>
        </w:tc>
        <w:tc>
          <w:tcPr>
            <w:tcW w:w="84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0.23</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0.31</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52"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the following:</w:t>
      </w:r>
    </w:p>
    <w:p>
      <w:pPr>
        <w:spacing w:after="0" w:line="211" w:lineRule="exact"/>
        <w:rPr>
          <w:sz w:val="20"/>
          <w:szCs w:val="20"/>
          <w:color w:val="auto"/>
        </w:rPr>
      </w:pPr>
    </w:p>
    <w:p>
      <w:pPr>
        <w:ind w:left="660" w:right="80" w:hanging="328"/>
        <w:spacing w:after="0" w:line="279" w:lineRule="auto"/>
        <w:tabs>
          <w:tab w:leader="none" w:pos="655" w:val="left"/>
        </w:tabs>
        <w:numPr>
          <w:ilvl w:val="0"/>
          <w:numId w:val="26"/>
        </w:numPr>
        <w:rPr>
          <w:rFonts w:ascii="Arial" w:cs="Arial" w:eastAsia="Arial" w:hAnsi="Arial"/>
          <w:sz w:val="17"/>
          <w:szCs w:val="17"/>
          <w:i w:val="1"/>
          <w:iCs w:val="1"/>
          <w:color w:val="auto"/>
        </w:rPr>
      </w:pPr>
      <w:r>
        <w:rPr>
          <w:rFonts w:ascii="Arial" w:cs="Arial" w:eastAsia="Arial" w:hAnsi="Arial"/>
          <w:sz w:val="17"/>
          <w:szCs w:val="17"/>
          <w:color w:val="auto"/>
        </w:rPr>
        <w:t>general economic, market or business conditions in the United States and elsewhere (including the potential for a recession or significant slowdown in economic activity levels, the risk of persistently high inflation and continued supply chain issues, the impact of pandemics on demand and growth, and the timing, pace and extent of economic recovery) that impact (i) demand for crude oil, drilling and production activities and therefore the demand for the midstream services we provide and (ii) commercial opportunities available to us;</w:t>
      </w:r>
    </w:p>
    <w:p>
      <w:pPr>
        <w:spacing w:after="0" w:line="63" w:lineRule="exact"/>
        <w:rPr>
          <w:rFonts w:ascii="Arial" w:cs="Arial" w:eastAsia="Arial" w:hAnsi="Arial"/>
          <w:sz w:val="17"/>
          <w:szCs w:val="17"/>
          <w:i w:val="1"/>
          <w:iCs w:val="1"/>
          <w:color w:val="auto"/>
        </w:rPr>
      </w:pPr>
    </w:p>
    <w:p>
      <w:pPr>
        <w:ind w:left="660" w:right="40" w:hanging="328"/>
        <w:spacing w:after="0" w:line="273" w:lineRule="auto"/>
        <w:tabs>
          <w:tab w:leader="none" w:pos="655" w:val="left"/>
        </w:tabs>
        <w:numPr>
          <w:ilvl w:val="0"/>
          <w:numId w:val="26"/>
        </w:numPr>
        <w:rPr>
          <w:rFonts w:ascii="Arial" w:cs="Arial" w:eastAsia="Arial" w:hAnsi="Arial"/>
          <w:sz w:val="17"/>
          <w:szCs w:val="17"/>
          <w:color w:val="auto"/>
        </w:rPr>
      </w:pPr>
      <w:r>
        <w:rPr>
          <w:rFonts w:ascii="Arial" w:cs="Arial" w:eastAsia="Arial" w:hAnsi="Arial"/>
          <w:sz w:val="17"/>
          <w:szCs w:val="17"/>
          <w:color w:val="auto"/>
        </w:rPr>
        <w:t>declines in global crude oil demand and crude oil prices (whether due to pandemics or other factors) or other factors that correspondingly lead to a significant reduction of North American crude oil and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commercial opportunities that might otherwise be available to us;</w:t>
      </w:r>
    </w:p>
    <w:p>
      <w:pPr>
        <w:spacing w:after="0" w:line="69" w:lineRule="exact"/>
        <w:rPr>
          <w:rFonts w:ascii="Arial" w:cs="Arial" w:eastAsia="Arial" w:hAnsi="Arial"/>
          <w:sz w:val="17"/>
          <w:szCs w:val="17"/>
          <w:color w:val="auto"/>
        </w:rPr>
      </w:pPr>
    </w:p>
    <w:p>
      <w:pPr>
        <w:ind w:left="660" w:right="30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fluctuations in refinery capacity in areas supplied by our mainlines and other factors affecting demand for various grades of crude oil and NGL and resulting changes in pricing conditions or transportation throughput requirements;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unanticipated changes in crude oil and NGL market structure, grade differentials and volatility (or lack thereof);</w:t>
      </w:r>
    </w:p>
    <w:p>
      <w:pPr>
        <w:spacing w:after="0" w:line="117" w:lineRule="exact"/>
        <w:rPr>
          <w:rFonts w:ascii="Arial" w:cs="Arial" w:eastAsia="Arial" w:hAnsi="Arial"/>
          <w:sz w:val="18"/>
          <w:szCs w:val="18"/>
          <w:color w:val="auto"/>
        </w:rPr>
      </w:pPr>
    </w:p>
    <w:p>
      <w:pPr>
        <w:ind w:left="660" w:right="120" w:hanging="328"/>
        <w:spacing w:after="0" w:line="263"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effects of competition and capacity overbuild in areas where we operate, including downward pressure on rates and margins, contract renewal risk and the risk of loss of business to other midstream operators who are willing or under pressure to aggressively reduce transportation rates in order to capture or preserve customers;</w:t>
      </w:r>
    </w:p>
    <w:p>
      <w:pPr>
        <w:spacing w:after="0" w:line="75" w:lineRule="exact"/>
        <w:rPr>
          <w:rFonts w:ascii="Arial" w:cs="Arial" w:eastAsia="Arial" w:hAnsi="Arial"/>
          <w:sz w:val="18"/>
          <w:szCs w:val="18"/>
          <w:color w:val="auto"/>
        </w:rPr>
      </w:pPr>
    </w:p>
    <w:p>
      <w:pPr>
        <w:ind w:left="660" w:right="200" w:hanging="328"/>
        <w:spacing w:after="0" w:line="308" w:lineRule="auto"/>
        <w:tabs>
          <w:tab w:leader="none" w:pos="655" w:val="left"/>
        </w:tabs>
        <w:numPr>
          <w:ilvl w:val="0"/>
          <w:numId w:val="26"/>
        </w:numPr>
        <w:rPr>
          <w:rFonts w:ascii="Arial" w:cs="Arial" w:eastAsia="Arial" w:hAnsi="Arial"/>
          <w:sz w:val="17"/>
          <w:szCs w:val="17"/>
          <w:color w:val="auto"/>
        </w:rPr>
      </w:pPr>
      <w:r>
        <w:rPr>
          <w:rFonts w:ascii="Arial" w:cs="Arial" w:eastAsia="Arial" w:hAnsi="Arial"/>
          <w:sz w:val="17"/>
          <w:szCs w:val="17"/>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environmental liabilities, litigation or other events that are not covered by an indemnity, insurance or existing reserves;</w:t>
      </w:r>
    </w:p>
    <w:p>
      <w:pPr>
        <w:spacing w:after="0" w:line="117" w:lineRule="exact"/>
        <w:rPr>
          <w:rFonts w:ascii="Arial" w:cs="Arial" w:eastAsia="Arial" w:hAnsi="Arial"/>
          <w:sz w:val="18"/>
          <w:szCs w:val="18"/>
          <w:color w:val="auto"/>
        </w:rPr>
      </w:pPr>
    </w:p>
    <w:p>
      <w:pPr>
        <w:ind w:left="660" w:right="70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occurrence of a natural disaster, catastrophe, terrorist attack (including eco-terrorist attacks) or other event that materially impacts our operations, including cyber or other attacks on our electronic and computer systems;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weather interference with business operations or project construction, including the impact of extreme weather events or conditions;</w:t>
      </w:r>
    </w:p>
    <w:p>
      <w:pPr>
        <w:spacing w:after="0" w:line="90" w:lineRule="exact"/>
        <w:rPr>
          <w:rFonts w:ascii="Arial" w:cs="Arial" w:eastAsia="Arial" w:hAnsi="Arial"/>
          <w:sz w:val="18"/>
          <w:szCs w:val="18"/>
          <w:color w:val="auto"/>
        </w:rPr>
      </w:pPr>
    </w:p>
    <w:p>
      <w:pPr>
        <w:ind w:left="5440" w:hanging="106"/>
        <w:spacing w:after="0"/>
        <w:tabs>
          <w:tab w:leader="none" w:pos="54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auto"/>
        </w:rPr>
        <w:t>Page 22</w:t>
      </w:r>
    </w:p>
    <w:p>
      <w:pPr>
        <w:spacing w:after="0" w:line="200" w:lineRule="exact"/>
        <w:rPr>
          <w:sz w:val="20"/>
          <w:szCs w:val="20"/>
          <w:color w:val="auto"/>
        </w:rPr>
      </w:pPr>
    </w:p>
    <w:p>
      <w:pPr>
        <w:spacing w:after="0" w:line="241" w:lineRule="exact"/>
        <w:rPr>
          <w:sz w:val="20"/>
          <w:szCs w:val="20"/>
          <w:color w:val="auto"/>
        </w:rPr>
      </w:pPr>
    </w:p>
    <w:p>
      <w:pPr>
        <w:ind w:left="660" w:hanging="328"/>
        <w:spacing w:after="0" w:line="311" w:lineRule="auto"/>
        <w:tabs>
          <w:tab w:leader="none" w:pos="655"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impact of current and future laws, rulings, governmental regulations, executive orders, trade policies, accounting standards and statements, and related interpretations, including legislation, executive orders or regulatory initiatives that prohibit, restrict or regulate hydraulic fracturing or that prohibit the development of oil and gas resources and the related infrastructure on lands dedicated to or served by our pipelines;</w:t>
      </w:r>
    </w:p>
    <w:p>
      <w:pPr>
        <w:spacing w:after="0" w:line="40" w:lineRule="exact"/>
        <w:rPr>
          <w:rFonts w:ascii="Arial" w:cs="Arial" w:eastAsia="Arial" w:hAnsi="Arial"/>
          <w:sz w:val="16"/>
          <w:szCs w:val="16"/>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loss of key personnel and inability to attract and retain new talent;</w:t>
      </w:r>
    </w:p>
    <w:p>
      <w:pPr>
        <w:spacing w:after="0" w:line="117" w:lineRule="exact"/>
        <w:rPr>
          <w:rFonts w:ascii="Arial" w:cs="Arial" w:eastAsia="Arial" w:hAnsi="Arial"/>
          <w:sz w:val="18"/>
          <w:szCs w:val="18"/>
          <w:color w:val="auto"/>
        </w:rPr>
      </w:pPr>
    </w:p>
    <w:p>
      <w:pPr>
        <w:ind w:left="660" w:right="54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disruptions to futures markets for crude oil, NGL and other petroleum products, which may impair our ability to execute our commercial or hedging strategies;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117" w:lineRule="exact"/>
        <w:rPr>
          <w:rFonts w:ascii="Arial" w:cs="Arial" w:eastAsia="Arial" w:hAnsi="Arial"/>
          <w:sz w:val="18"/>
          <w:szCs w:val="18"/>
          <w:color w:val="auto"/>
        </w:rPr>
      </w:pPr>
    </w:p>
    <w:p>
      <w:pPr>
        <w:ind w:left="660" w:right="60" w:hanging="328"/>
        <w:spacing w:after="0" w:line="342" w:lineRule="auto"/>
        <w:tabs>
          <w:tab w:leader="none" w:pos="655" w:val="left"/>
        </w:tabs>
        <w:numPr>
          <w:ilvl w:val="0"/>
          <w:numId w:val="27"/>
        </w:numPr>
        <w:rPr>
          <w:rFonts w:ascii="Arial" w:cs="Arial" w:eastAsia="Arial" w:hAnsi="Arial"/>
          <w:sz w:val="16"/>
          <w:szCs w:val="16"/>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15" w:lineRule="exact"/>
        <w:rPr>
          <w:rFonts w:ascii="Arial" w:cs="Arial" w:eastAsia="Arial" w:hAnsi="Arial"/>
          <w:sz w:val="16"/>
          <w:szCs w:val="16"/>
          <w:color w:val="auto"/>
        </w:rPr>
      </w:pPr>
    </w:p>
    <w:p>
      <w:pPr>
        <w:ind w:left="660" w:right="10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divestitures, joint ventures, acquisitions or other strategic opportunities;</w:t>
      </w:r>
    </w:p>
    <w:p>
      <w:pPr>
        <w:spacing w:after="0" w:line="117" w:lineRule="exact"/>
        <w:rPr>
          <w:rFonts w:ascii="Arial" w:cs="Arial" w:eastAsia="Arial" w:hAnsi="Arial"/>
          <w:sz w:val="18"/>
          <w:szCs w:val="18"/>
          <w:color w:val="auto"/>
        </w:rPr>
      </w:pPr>
    </w:p>
    <w:p>
      <w:pPr>
        <w:ind w:left="660" w:right="40" w:hanging="328"/>
        <w:spacing w:after="0" w:line="301" w:lineRule="auto"/>
        <w:tabs>
          <w:tab w:leader="none" w:pos="655"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49" w:lineRule="exact"/>
        <w:rPr>
          <w:rFonts w:ascii="Arial" w:cs="Arial" w:eastAsia="Arial" w:hAnsi="Arial"/>
          <w:sz w:val="16"/>
          <w:szCs w:val="16"/>
          <w:color w:val="auto"/>
        </w:rPr>
      </w:pPr>
    </w:p>
    <w:p>
      <w:pPr>
        <w:ind w:left="660" w:right="200" w:hanging="328"/>
        <w:spacing w:after="0" w:line="263"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incurrence of costs and expenses related to unexpected or unplanned capital expenditures, third-party claims or other factors;</w:t>
      </w:r>
    </w:p>
    <w:p>
      <w:pPr>
        <w:spacing w:after="0" w:line="117" w:lineRule="exact"/>
        <w:rPr>
          <w:rFonts w:ascii="Arial" w:cs="Arial" w:eastAsia="Arial" w:hAnsi="Arial"/>
          <w:sz w:val="18"/>
          <w:szCs w:val="18"/>
          <w:color w:val="auto"/>
        </w:rPr>
      </w:pPr>
    </w:p>
    <w:p>
      <w:pPr>
        <w:ind w:left="660" w:right="38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investment capital projects, whether due to permitting delays, permitting withdrawals or other factors;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amplification of other risks caused by volatile financial markets, capital constraints, liquidity concerns and inflation;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use or availability of third-party assets upon which our operations depend and over which we have little or no control;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currency exchange rate of the Canadian dollar to the United States dollar;</w:t>
      </w:r>
    </w:p>
    <w:p>
      <w:pPr>
        <w:spacing w:after="0" w:line="117"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significant under-utilization of our assets and facilities;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fluctuations in the debt and equity markets, including the price of our units at the time of vesting under our long-term incentive plans;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risks related to the development and operation of our assets; and</w:t>
      </w:r>
    </w:p>
    <w:p>
      <w:pPr>
        <w:spacing w:after="0" w:line="117" w:lineRule="exact"/>
        <w:rPr>
          <w:rFonts w:ascii="Arial" w:cs="Arial" w:eastAsia="Arial" w:hAnsi="Arial"/>
          <w:sz w:val="18"/>
          <w:szCs w:val="18"/>
          <w:color w:val="auto"/>
        </w:rPr>
      </w:pPr>
    </w:p>
    <w:p>
      <w:pPr>
        <w:ind w:left="660" w:right="640" w:hanging="328"/>
        <w:spacing w:after="0" w:line="263"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factors and uncertainties inherent in the transportation, storage, terminalling and marketing of crude oil, as well as in the processing, transportation, fractionation, storage and marketing of NGL as discussed in the Partnerships’ filings with the Securities and Exchange Commission.</w:t>
      </w:r>
    </w:p>
    <w:p>
      <w:pPr>
        <w:spacing w:after="0" w:line="224" w:lineRule="exact"/>
        <w:rPr>
          <w:rFonts w:ascii="Arial" w:cs="Arial" w:eastAsia="Arial" w:hAnsi="Arial"/>
          <w:sz w:val="18"/>
          <w:szCs w:val="18"/>
          <w:color w:val="auto"/>
        </w:rPr>
      </w:pPr>
    </w:p>
    <w:p>
      <w:pPr>
        <w:ind w:left="5440" w:hanging="106"/>
        <w:spacing w:after="0"/>
        <w:tabs>
          <w:tab w:leader="none" w:pos="54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20"/>
          </w:cols>
          <w:pgMar w:left="320" w:top="368"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auto"/>
        </w:rPr>
        <w:t>Page 23</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Plains:</w:t>
      </w:r>
    </w:p>
    <w:p>
      <w:pPr>
        <w:spacing w:after="0" w:line="30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PAA is a publicly traded master limited partnership that owns and operates midstream energy infrastructure and provides logistics services for crude oil and natural gas liquids (“NGL”). PAA owns an extensive network of pipeline gathering and transportation systems, in addition to terminalling, storage, processing, fractionation and other infrastructure assets serving key producing basins, transportation corridors and major market hubs and export outlets in the United States and Canada. On average, PAA handles more than 7 million barrels per day of crude oil and NGL.</w:t>
      </w:r>
    </w:p>
    <w:p>
      <w:pPr>
        <w:spacing w:after="0" w:line="184"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PAGP is a publicly traded entity that owns an indirect, non-economic controlling general partner interest in PAA and an indirect limited partner interest in PAA, one of the largest energy infrastructure and logistics companies in North America.</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PAA and PAGP are headquartered in Houston, Texas. For more information, please visit www.plains.com.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Contacts</w:t>
      </w:r>
      <w:r>
        <w:rPr>
          <w:rFonts w:ascii="Arial" w:cs="Arial" w:eastAsia="Arial" w:hAnsi="Arial"/>
          <w:sz w:val="18"/>
          <w:szCs w:val="18"/>
          <w:color w:val="auto"/>
        </w:rPr>
        <w:t>:</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Blake Fernandez</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Vice President, Investor Relations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(866) 809-1291</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Michael Gladstein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Director, Investor Relations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(866) 809-1291</w:t>
      </w:r>
    </w:p>
    <w:p>
      <w:pPr>
        <w:spacing w:after="0" w:line="17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31750</wp:posOffset>
            </wp:positionV>
            <wp:extent cx="711517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47"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sectPr>
      <w:pgSz w:w="11900" w:h="16838" w:orient="portrait"/>
      <w:cols w:equalWidth="0" w:num="1">
        <w:col w:w="11040"/>
      </w:cols>
      <w:pgMar w:left="320" w:top="368"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1"/>
      <w:numFmt w:val="decimal"/>
      <w:start w:val="104"/>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decimal"/>
      <w:start w:val="1"/>
    </w:lvl>
    <w:lvl w:ilvl="1">
      <w:lvlJc w:val="left"/>
      <w:lvlText w:val="-"/>
      <w:numFmt w:val="bullet"/>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1)"/>
      <w:numFmt w:val="decimal"/>
      <w:start w:val="1"/>
    </w:lvl>
    <w:lvl w:ilvl="1">
      <w:lvlJc w:val="left"/>
      <w:lvlText w:val="-"/>
      <w:numFmt w:val="bullet"/>
      <w:start w:val="1"/>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1)"/>
      <w:numFmt w:val="decimal"/>
      <w:start w:val="1"/>
    </w:lvl>
    <w:lvl w:ilvl="1">
      <w:lvlJc w:val="left"/>
      <w:lvlText w:val="-"/>
      <w:numFmt w:val="bullet"/>
      <w:start w:val="1"/>
    </w:lvl>
  </w:abstractNum>
  <w:abstractNum w:abstractNumId="11">
    <w:nsid w:val="257130A3"/>
    <w:multiLevelType w:val="hybridMultilevel"/>
    <w:lvl w:ilvl="0">
      <w:lvlJc w:val="left"/>
      <w:lvlText w:val="(%1)"/>
      <w:numFmt w:val="decimal"/>
      <w:start w:val="1"/>
    </w:lvl>
    <w:lvl w:ilvl="1">
      <w:lvlJc w:val="left"/>
      <w:lvlText w:val="-"/>
      <w:numFmt w:val="bullet"/>
      <w:start w:val="1"/>
    </w:lvl>
  </w:abstractNum>
  <w:abstractNum w:abstractNumId="12">
    <w:nsid w:val="62BBD95A"/>
    <w:multiLevelType w:val="hybridMultilevel"/>
    <w:lvl w:ilvl="0">
      <w:lvlJc w:val="left"/>
      <w:lvlText w:val="(%1)"/>
      <w:numFmt w:val="decimal"/>
      <w:start w:val="3"/>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1)"/>
      <w:numFmt w:val="decimal"/>
      <w:start w:val="1"/>
    </w:lvl>
    <w:lvl w:ilvl="1">
      <w:lvlJc w:val="left"/>
      <w:lvlText w:val="-"/>
      <w:numFmt w:val="bullet"/>
      <w:start w:val="1"/>
    </w:lvl>
  </w:abstractNum>
  <w:abstractNum w:abstractNumId="15">
    <w:nsid w:val="333AB105"/>
    <w:multiLevelType w:val="hybridMultilevel"/>
    <w:lvl w:ilvl="0">
      <w:lvlJc w:val="left"/>
      <w:lvlText w:val="(%1)"/>
      <w:numFmt w:val="decimal"/>
      <w:start w:val="1"/>
    </w:lvl>
    <w:lvl w:ilvl="1">
      <w:lvlJc w:val="left"/>
      <w:lvlText w:val="-"/>
      <w:numFmt w:val="bullet"/>
      <w:start w:val="1"/>
    </w:lvl>
  </w:abstractNum>
  <w:abstractNum w:abstractNumId="16">
    <w:nsid w:val="721DA317"/>
    <w:multiLevelType w:val="hybridMultilevel"/>
    <w:lvl w:ilvl="0">
      <w:lvlJc w:val="left"/>
      <w:lvlText w:val="(%1)"/>
      <w:numFmt w:val="decimal"/>
      <w:start w:val="3"/>
    </w:lvl>
    <w:lvl w:ilvl="1">
      <w:lvlJc w:val="left"/>
      <w:lvlText w:val="-"/>
      <w:numFmt w:val="bullet"/>
      <w:start w:val="1"/>
    </w:lvl>
  </w:abstractNum>
  <w:abstractNum w:abstractNumId="17">
    <w:nsid w:val="2443A858"/>
    <w:multiLevelType w:val="hybridMultilevel"/>
    <w:lvl w:ilvl="0">
      <w:lvlJc w:val="left"/>
      <w:lvlText w:val="(%1)"/>
      <w:numFmt w:val="decimal"/>
      <w:start w:val="3"/>
    </w:lvl>
    <w:lvl w:ilvl="1">
      <w:lvlJc w:val="left"/>
      <w:lvlText w:val="-"/>
      <w:numFmt w:val="bullet"/>
      <w:start w:val="1"/>
    </w:lvl>
  </w:abstractNum>
  <w:abstractNum w:abstractNumId="18">
    <w:nsid w:val="2D1D5AE9"/>
    <w:multiLevelType w:val="hybridMultilevel"/>
    <w:lvl w:ilvl="0">
      <w:lvlJc w:val="left"/>
      <w:lvlText w:val="(%1)"/>
      <w:numFmt w:val="decimal"/>
      <w:start w:val="1"/>
    </w:lvl>
  </w:abstractNum>
  <w:abstractNum w:abstractNumId="19">
    <w:nsid w:val="6763845E"/>
    <w:multiLevelType w:val="hybridMultilevel"/>
    <w:lvl w:ilvl="0">
      <w:lvlJc w:val="left"/>
      <w:lvlText w:val="(%1)"/>
      <w:numFmt w:val="decimal"/>
      <w:start w:val="4"/>
    </w:lvl>
    <w:lvl w:ilvl="1">
      <w:lvlJc w:val="left"/>
      <w:lvlText w:val="-"/>
      <w:numFmt w:val="bullet"/>
      <w:start w:val="1"/>
    </w:lvl>
  </w:abstractNum>
  <w:abstractNum w:abstractNumId="20">
    <w:nsid w:val="75A2A8D4"/>
    <w:multiLevelType w:val="hybridMultilevel"/>
    <w:lvl w:ilvl="0">
      <w:lvlJc w:val="left"/>
      <w:lvlText w:val="(%1)"/>
      <w:numFmt w:val="decimal"/>
      <w:start w:val="1"/>
    </w:lvl>
  </w:abstractNum>
  <w:abstractNum w:abstractNumId="21">
    <w:nsid w:val="8EDBDAB"/>
    <w:multiLevelType w:val="hybridMultilevel"/>
    <w:lvl w:ilvl="0">
      <w:lvlJc w:val="left"/>
      <w:lvlText w:val="(%1)"/>
      <w:numFmt w:val="decimal"/>
      <w:start w:val="1"/>
    </w:lvl>
    <w:lvl w:ilvl="1">
      <w:lvlJc w:val="left"/>
      <w:lvlText w:val="-"/>
      <w:numFmt w:val="bullet"/>
      <w:start w:val="1"/>
    </w:lvl>
  </w:abstractNum>
  <w:abstractNum w:abstractNumId="22">
    <w:nsid w:val="79838CB2"/>
    <w:multiLevelType w:val="hybridMultilevel"/>
    <w:lvl w:ilvl="0">
      <w:lvlJc w:val="left"/>
      <w:lvlText w:val="(%1)"/>
      <w:numFmt w:val="decimal"/>
      <w:start w:val="1"/>
    </w:lvl>
    <w:lvl w:ilvl="1">
      <w:lvlJc w:val="left"/>
      <w:lvlText w:val="-"/>
      <w:numFmt w:val="bullet"/>
      <w:start w:val="1"/>
    </w:lvl>
  </w:abstractNum>
  <w:abstractNum w:abstractNumId="23">
    <w:nsid w:val="4353D0CD"/>
    <w:multiLevelType w:val="hybridMultilevel"/>
    <w:lvl w:ilvl="0">
      <w:lvlJc w:val="left"/>
      <w:lvlText w:val="(%1)"/>
      <w:numFmt w:val="decimal"/>
      <w:start w:val="1"/>
    </w:lvl>
    <w:lvl w:ilvl="1">
      <w:lvlJc w:val="left"/>
      <w:lvlText w:val="-"/>
      <w:numFmt w:val="bullet"/>
      <w:start w:val="1"/>
    </w:lvl>
  </w:abstractNum>
  <w:abstractNum w:abstractNumId="24">
    <w:nsid w:val="B03E0C6"/>
    <w:multiLevelType w:val="hybridMultilevel"/>
    <w:lvl w:ilvl="0">
      <w:lvlJc w:val="left"/>
      <w:lvlText w:val="(%1)"/>
      <w:numFmt w:val="decimal"/>
      <w:start w:val="1"/>
    </w:lvl>
  </w:abstractNum>
  <w:abstractNum w:abstractNumId="25">
    <w:nsid w:val="189A769B"/>
    <w:multiLevelType w:val="hybridMultilevel"/>
    <w:lvl w:ilvl="0">
      <w:lvlJc w:val="left"/>
      <w:lvlText w:val="•"/>
      <w:numFmt w:val="bullet"/>
      <w:start w:val="1"/>
    </w:lvl>
    <w:lvl w:ilvl="1">
      <w:lvlJc w:val="left"/>
      <w:lvlText w:val="-"/>
      <w:numFmt w:val="bullet"/>
      <w:start w:val="1"/>
    </w:lvl>
  </w:abstractNum>
  <w:abstractNum w:abstractNumId="26">
    <w:nsid w:val="54E49EB4"/>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2023-02-08T15:50:46Z</dcterms:created>
  <dcterms:modified xsi:type="dcterms:W3CDTF">2023-02-08T15:50:46Z</dcterms:modified>
</cp:coreProperties>
</file>