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August 24,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GP Holdings,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760" w:type="dxa"/>
        <w:tblCellMar>
          <w:top w:w="0" w:type="dxa"/>
          <w:left w:w="0" w:type="dxa"/>
          <w:bottom w:w="0" w:type="dxa"/>
          <w:right w:w="0" w:type="dxa"/>
        </w:tblCellMar>
      </w:tblPr>
      <w:tr>
        <w:trPr>
          <w:trHeight w:val="212"/>
        </w:trPr>
        <w:tc>
          <w:tcPr>
            <w:tcW w:w="3520" w:type="dxa"/>
            <w:vAlign w:val="bottom"/>
          </w:tcPr>
          <w:p>
            <w:pPr>
              <w:jc w:val="center"/>
              <w:ind w:right="1079"/>
              <w:spacing w:after="0"/>
              <w:rPr>
                <w:sz w:val="20"/>
                <w:szCs w:val="20"/>
                <w:color w:val="auto"/>
              </w:rPr>
            </w:pPr>
            <w:r>
              <w:rPr>
                <w:rFonts w:ascii="Arial" w:cs="Arial" w:eastAsia="Arial" w:hAnsi="Arial"/>
                <w:sz w:val="18"/>
                <w:szCs w:val="18"/>
                <w:b w:val="1"/>
                <w:bCs w:val="1"/>
                <w:color w:val="auto"/>
                <w:w w:val="91"/>
              </w:rPr>
              <w:t>Delaware</w:t>
            </w:r>
          </w:p>
        </w:tc>
        <w:tc>
          <w:tcPr>
            <w:tcW w:w="3360" w:type="dxa"/>
            <w:vAlign w:val="bottom"/>
          </w:tcPr>
          <w:p>
            <w:pPr>
              <w:jc w:val="center"/>
              <w:ind w:right="162"/>
              <w:spacing w:after="0"/>
              <w:rPr>
                <w:sz w:val="20"/>
                <w:szCs w:val="20"/>
                <w:color w:val="auto"/>
              </w:rPr>
            </w:pPr>
            <w:r>
              <w:rPr>
                <w:rFonts w:ascii="Arial" w:cs="Arial" w:eastAsia="Arial" w:hAnsi="Arial"/>
                <w:sz w:val="18"/>
                <w:szCs w:val="18"/>
                <w:b w:val="1"/>
                <w:bCs w:val="1"/>
                <w:color w:val="auto"/>
                <w:w w:val="90"/>
              </w:rPr>
              <w:t>1-36132</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90-1005472</w:t>
            </w:r>
          </w:p>
        </w:tc>
      </w:tr>
      <w:tr>
        <w:trPr>
          <w:trHeight w:val="149"/>
        </w:trPr>
        <w:tc>
          <w:tcPr>
            <w:tcW w:w="3520" w:type="dxa"/>
            <w:vAlign w:val="bottom"/>
          </w:tcPr>
          <w:p>
            <w:pPr>
              <w:jc w:val="center"/>
              <w:ind w:right="11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36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520" w:type="dxa"/>
            <w:vAlign w:val="bottom"/>
          </w:tcPr>
          <w:p>
            <w:pPr>
              <w:jc w:val="center"/>
              <w:ind w:right="1079"/>
              <w:spacing w:after="0"/>
              <w:rPr>
                <w:sz w:val="20"/>
                <w:szCs w:val="20"/>
                <w:color w:val="auto"/>
              </w:rPr>
            </w:pPr>
            <w:r>
              <w:rPr>
                <w:rFonts w:ascii="Arial" w:cs="Arial" w:eastAsia="Arial" w:hAnsi="Arial"/>
                <w:sz w:val="14"/>
                <w:szCs w:val="14"/>
                <w:b w:val="1"/>
                <w:bCs w:val="1"/>
                <w:color w:val="auto"/>
                <w:w w:val="93"/>
              </w:rPr>
              <w:t>of incorporation or organization)</w:t>
            </w:r>
          </w:p>
        </w:tc>
        <w:tc>
          <w:tcPr>
            <w:tcW w:w="3360" w:type="dxa"/>
            <w:vAlign w:val="bottom"/>
          </w:tcPr>
          <w:p>
            <w:pPr>
              <w:jc w:val="center"/>
              <w:ind w:right="162"/>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3520" w:type="dxa"/>
            <w:vAlign w:val="bottom"/>
          </w:tcPr>
          <w:p>
            <w:pPr>
              <w:jc w:val="center"/>
              <w:ind w:right="1059"/>
              <w:spacing w:after="0"/>
              <w:rPr>
                <w:sz w:val="20"/>
                <w:szCs w:val="20"/>
                <w:color w:val="auto"/>
              </w:rPr>
            </w:pPr>
            <w:r>
              <w:rPr>
                <w:rFonts w:ascii="Arial" w:cs="Arial" w:eastAsia="Arial" w:hAnsi="Arial"/>
                <w:sz w:val="18"/>
                <w:szCs w:val="18"/>
                <w:b w:val="1"/>
                <w:bCs w:val="1"/>
                <w:color w:val="auto"/>
                <w:w w:val="90"/>
              </w:rPr>
              <w:t>333 Clay Street, Suite 1600</w:t>
            </w:r>
          </w:p>
        </w:tc>
        <w:tc>
          <w:tcPr>
            <w:tcW w:w="336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3520" w:type="dxa"/>
            <w:vAlign w:val="bottom"/>
          </w:tcPr>
          <w:p>
            <w:pPr>
              <w:jc w:val="center"/>
              <w:ind w:right="1059"/>
              <w:spacing w:after="0"/>
              <w:rPr>
                <w:sz w:val="20"/>
                <w:szCs w:val="20"/>
                <w:color w:val="auto"/>
              </w:rPr>
            </w:pPr>
            <w:r>
              <w:rPr>
                <w:rFonts w:ascii="Arial" w:cs="Arial" w:eastAsia="Arial" w:hAnsi="Arial"/>
                <w:sz w:val="18"/>
                <w:szCs w:val="18"/>
                <w:b w:val="1"/>
                <w:bCs w:val="1"/>
                <w:color w:val="auto"/>
                <w:w w:val="88"/>
              </w:rPr>
              <w:t>Houston, Texas</w:t>
            </w:r>
          </w:p>
        </w:tc>
        <w:tc>
          <w:tcPr>
            <w:tcW w:w="336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77002</w:t>
            </w:r>
          </w:p>
        </w:tc>
      </w:tr>
      <w:tr>
        <w:trPr>
          <w:trHeight w:val="186"/>
        </w:trPr>
        <w:tc>
          <w:tcPr>
            <w:tcW w:w="3520" w:type="dxa"/>
            <w:vAlign w:val="bottom"/>
          </w:tcPr>
          <w:p>
            <w:pPr>
              <w:jc w:val="center"/>
              <w:ind w:right="10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6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646-4100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On August 24, 2015, the registrant’s consolidated subsidiaries, Plains All American Pipeline, L.P. (“PAA”) and PAA Finance Corp. (together with PAA, the “Issuers”), completed the public offering of $1.0 billion aggregate principal amount of the Issuers’ 4.65% Senior Notes due 2025 (the “Notes”).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terms of the Notes are governed by the indenture (the “Base Indenture,” and as amended and supplemented by the Supplemental Indenture (defined below), the “Indenture”) dated as of September 25, 2002 by and among the Issuers and U.S. Bank National Association, as trustee (the “Trustee”), as supplemented by the Twenty-Ninth Supplemental Indenture dated as of August 24, 2015 by and among the Issuers and the Trustee (the “Supplemental Indenture”).</w:t>
      </w:r>
    </w:p>
    <w:p>
      <w:pPr>
        <w:spacing w:after="0" w:line="18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The Notes will mature on October 15, 2025. Interest is payable on the Notes on each April 15 and October 15, commencing on April 15, 2016. The Issuers may redeem some or all of the Notes at any time and from time to time prior to maturity at the redemption prices specified in the Indenture.</w:t>
      </w:r>
    </w:p>
    <w:p>
      <w:pPr>
        <w:spacing w:after="0" w:line="124"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Notes are PAA’s senior unsecured obligations, will rank equally in right of payment with all of PAA’s existing and future senior debt, and will rank senior in right of payment to all of PAA’s future subordinated debt. The Notes will be effectively subordinated to all of PAA’s existing and future secured debt to the extent of the value of the collateral securing such indebtedness.</w:t>
      </w:r>
    </w:p>
    <w:p>
      <w:pPr>
        <w:spacing w:after="0" w:line="18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In certain circumstances, the Indenture restricts PAA’s ability and the ability of certain of its subsidiaries to: (i) enter into sale and leaseback transactions; (ii) incur liens; (iii) merge or consolidate with another company; and (iv) transfer and sell assets. These covenants are subject to a number of important exceptions and qualifications.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contains customary events of default with respect to the Notes, including:</w:t>
      </w:r>
    </w:p>
    <w:p>
      <w:pPr>
        <w:spacing w:after="0" w:line="131"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 in any payment of interest on any Note of that series when due, continued for 60 days;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if any, on any Note of that series when due;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by PAA to comply with its obligations under the Indenture, in certain cases subject to notice and grace periods;</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defaults and accelerations with respect to other indebtedness of PAA and its Subsidiaries (as defined in the Indenture) in the aggregate principal amount of $25.0 million or more;</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PAA or, if and so long as the Notes of that series are guaranteed by a subsidiary guarantor, by such subsidiary guarantor;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and so long as the Notes of that series are guaranteed by a subsidiary guarantor: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guarantee by such subsidiary guarantor ceases to be in full force and effect, except as otherwise provided in the Indenture;</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guarantee by such subsidiary guarantor is declared null and void in a judicial proceeding;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such subsidiary guarantor denies or disaffirms its obligations under the Indenture or its guarantee.</w:t>
      </w:r>
    </w:p>
    <w:p>
      <w:pPr>
        <w:spacing w:after="0" w:line="225"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If an event of default under the Indenture occurs and is continuing, the Trustee or the holders of at least 25% in principal amount of the outstanding Notes may declare the principal of, premium, if any, and accrued and unpaid interest, if any, on the Notes to be due and payable, or, in the case of certain events of default relating to bankruptcy, insolvency or reorganization, those amounts will automatically become immediately due and payable.</w:t>
      </w:r>
    </w:p>
    <w:p>
      <w:pPr>
        <w:spacing w:after="0" w:line="14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Other material terms of the Notes, the Base Indenture and the Supplemental Indenture are described in the prospectus supplement, dated August 17, 2015, as filed by PAA with the Commission on August 19, 2015. The foregoing descriptions of the Indenture and the Notes are qualified in their entirety by reference to such Indenture (including the form of Notes attached thereto). A copy of the Supplemental Indenture is filed herewith as Exhibit 4.1 and is incorporated herein by reference.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42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4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700" w:type="dxa"/>
            <w:vAlign w:val="bottom"/>
            <w:gridSpan w:val="3"/>
          </w:tcPr>
          <w:p>
            <w:pPr>
              <w:ind w:left="640"/>
              <w:spacing w:after="0"/>
              <w:rPr>
                <w:sz w:val="20"/>
                <w:szCs w:val="20"/>
                <w:color w:val="auto"/>
              </w:rPr>
            </w:pPr>
            <w:r>
              <w:rPr>
                <w:rFonts w:ascii="Arial" w:cs="Arial" w:eastAsia="Arial" w:hAnsi="Arial"/>
                <w:sz w:val="18"/>
                <w:szCs w:val="18"/>
                <w:color w:val="auto"/>
                <w:w w:val="91"/>
              </w:rPr>
              <w:t>Twenty-Ninth Supplemental Indenture, dated August 24, 2015, by and among Plains All American Pipeline, L.P., PAA Finance Corp.,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700" w:type="dxa"/>
            <w:vAlign w:val="bottom"/>
            <w:gridSpan w:val="3"/>
          </w:tcPr>
          <w:p>
            <w:pPr>
              <w:ind w:left="640"/>
              <w:spacing w:after="0"/>
              <w:rPr>
                <w:sz w:val="20"/>
                <w:szCs w:val="20"/>
                <w:color w:val="auto"/>
              </w:rPr>
            </w:pPr>
            <w:r>
              <w:rPr>
                <w:rFonts w:ascii="Arial" w:cs="Arial" w:eastAsia="Arial" w:hAnsi="Arial"/>
                <w:sz w:val="18"/>
                <w:szCs w:val="18"/>
                <w:color w:val="auto"/>
                <w:w w:val="92"/>
              </w:rPr>
              <w:t>U.S. Bank National Association, as trustee (incorporated by reference to Exhibit 4.1 of PAA’s Current Report on Form 8-K filed on August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420" w:type="dxa"/>
            <w:vAlign w:val="bottom"/>
          </w:tcPr>
          <w:p>
            <w:pPr>
              <w:ind w:left="640"/>
              <w:spacing w:after="0"/>
              <w:rPr>
                <w:sz w:val="20"/>
                <w:szCs w:val="20"/>
                <w:color w:val="auto"/>
              </w:rPr>
            </w:pPr>
            <w:r>
              <w:rPr>
                <w:rFonts w:ascii="Arial" w:cs="Arial" w:eastAsia="Arial" w:hAnsi="Arial"/>
                <w:sz w:val="18"/>
                <w:szCs w:val="18"/>
                <w:color w:val="auto"/>
              </w:rPr>
              <w:t>26, 2015).</w:t>
            </w:r>
          </w:p>
        </w:tc>
        <w:tc>
          <w:tcPr>
            <w:tcW w:w="7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700" w:type="dxa"/>
            <w:vAlign w:val="bottom"/>
            <w:gridSpan w:val="3"/>
          </w:tcPr>
          <w:p>
            <w:pPr>
              <w:ind w:left="640"/>
              <w:spacing w:after="0"/>
              <w:rPr>
                <w:sz w:val="20"/>
                <w:szCs w:val="20"/>
                <w:color w:val="auto"/>
              </w:rPr>
            </w:pPr>
            <w:r>
              <w:rPr>
                <w:rFonts w:ascii="Arial" w:cs="Arial" w:eastAsia="Arial" w:hAnsi="Arial"/>
                <w:sz w:val="18"/>
                <w:szCs w:val="18"/>
                <w:color w:val="auto"/>
                <w:w w:val="91"/>
              </w:rPr>
              <w:t>Form of 4.65% Senior Notes due 2025 (included in Exhibit 4.1) (incorporated by reference to Exhibit 4.1 of PAA’s Current Report on Form</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700" w:type="dxa"/>
            <w:vAlign w:val="bottom"/>
            <w:gridSpan w:val="3"/>
          </w:tcPr>
          <w:p>
            <w:pPr>
              <w:ind w:left="640"/>
              <w:spacing w:after="0"/>
              <w:rPr>
                <w:sz w:val="20"/>
                <w:szCs w:val="20"/>
                <w:color w:val="auto"/>
              </w:rPr>
            </w:pPr>
            <w:r>
              <w:rPr>
                <w:rFonts w:ascii="Arial" w:cs="Arial" w:eastAsia="Arial" w:hAnsi="Arial"/>
                <w:sz w:val="18"/>
                <w:szCs w:val="18"/>
                <w:color w:val="auto"/>
              </w:rPr>
              <w:t>8-K filed on August 26, 2015).</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5420" w:type="dxa"/>
            <w:vAlign w:val="bottom"/>
          </w:tcPr>
          <w:p>
            <w:pPr>
              <w:ind w:left="5140"/>
              <w:spacing w:after="0"/>
              <w:rPr>
                <w:sz w:val="20"/>
                <w:szCs w:val="20"/>
                <w:color w:val="auto"/>
              </w:rPr>
            </w:pPr>
            <w:r>
              <w:rPr>
                <w:rFonts w:ascii="Arial" w:cs="Arial" w:eastAsia="Arial" w:hAnsi="Arial"/>
                <w:sz w:val="18"/>
                <w:szCs w:val="18"/>
                <w:color w:val="auto"/>
              </w:rPr>
              <w:t>3</w:t>
            </w:r>
          </w:p>
        </w:tc>
        <w:tc>
          <w:tcPr>
            <w:tcW w:w="7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270"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209"/>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Richard McGee</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Executive Vice President</w:t>
            </w:r>
          </w:p>
        </w:tc>
      </w:tr>
    </w:tbl>
    <w:p>
      <w:pPr>
        <w:spacing w:after="0" w:line="20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26, 2015</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880" w:type="dxa"/>
            <w:vAlign w:val="bottom"/>
            <w:gridSpan w:val="3"/>
          </w:tcPr>
          <w:p>
            <w:pPr>
              <w:ind w:left="45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36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3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w w:val="91"/>
              </w:rPr>
              <w:t>Twenty-Ninth Supplemental Indenture, dated August 24, 2015, by and among Plains All American Pipeline, L.P., PAA Finance Corp., and U.S.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w w:val="95"/>
              </w:rPr>
              <w:t>Bank National Association, as trustee (incorporated by reference to Exhibit 4.1 of PAA’s Current Report on Form 8-K filed on August 26,</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360" w:type="dxa"/>
            <w:vAlign w:val="bottom"/>
          </w:tcPr>
          <w:p>
            <w:pPr>
              <w:ind w:left="540"/>
              <w:spacing w:after="0"/>
              <w:rPr>
                <w:sz w:val="20"/>
                <w:szCs w:val="20"/>
                <w:color w:val="auto"/>
              </w:rPr>
            </w:pPr>
            <w:r>
              <w:rPr>
                <w:rFonts w:ascii="Arial" w:cs="Arial" w:eastAsia="Arial" w:hAnsi="Arial"/>
                <w:sz w:val="18"/>
                <w:szCs w:val="18"/>
                <w:color w:val="auto"/>
              </w:rPr>
              <w:t>2015).</w:t>
            </w:r>
          </w:p>
        </w:tc>
        <w:tc>
          <w:tcPr>
            <w:tcW w:w="7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w w:val="92"/>
              </w:rPr>
              <w:t>Form of 4.65% Senior Notes due 2025 (included in Exhibit 4.1) (incorporated by reference to Exhibit 4.1 of PAA’s Current Report on Form 8-</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540"/>
              <w:spacing w:after="0"/>
              <w:rPr>
                <w:sz w:val="20"/>
                <w:szCs w:val="20"/>
                <w:color w:val="auto"/>
              </w:rPr>
            </w:pPr>
            <w:r>
              <w:rPr>
                <w:rFonts w:ascii="Arial" w:cs="Arial" w:eastAsia="Arial" w:hAnsi="Arial"/>
                <w:sz w:val="18"/>
                <w:szCs w:val="18"/>
                <w:color w:val="auto"/>
              </w:rPr>
              <w:t>K filed on August 26, 2015).</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5360" w:type="dxa"/>
            <w:vAlign w:val="bottom"/>
          </w:tcPr>
          <w:p>
            <w:pPr>
              <w:ind w:left="5140"/>
              <w:spacing w:after="0"/>
              <w:rPr>
                <w:sz w:val="20"/>
                <w:szCs w:val="20"/>
                <w:color w:val="auto"/>
              </w:rPr>
            </w:pPr>
            <w:r>
              <w:rPr>
                <w:rFonts w:ascii="Arial" w:cs="Arial" w:eastAsia="Arial" w:hAnsi="Arial"/>
                <w:sz w:val="18"/>
                <w:szCs w:val="18"/>
                <w:color w:val="auto"/>
              </w:rPr>
              <w:t>5</w:t>
            </w:r>
          </w:p>
        </w:tc>
        <w:tc>
          <w:tcPr>
            <w:tcW w:w="7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2020-01-24T12:50:46Z</dcterms:created>
  <dcterms:modified xsi:type="dcterms:W3CDTF">2020-01-24T12:50:46Z</dcterms:modified>
</cp:coreProperties>
</file>