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667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66763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Nerbonne Daniel J</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333 CLAY ST., STE. 1600</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GP HOLDINGS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PAGP</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2060" w:type="dxa"/>
            <w:vAlign w:val="bottom"/>
            <w:gridSpan w:val="2"/>
          </w:tcPr>
          <w:p>
            <w:pPr>
              <w:jc w:val="right"/>
              <w:ind w:right="110"/>
              <w:spacing w:after="0"/>
              <w:rPr>
                <w:sz w:val="20"/>
                <w:szCs w:val="20"/>
                <w:color w:val="auto"/>
              </w:rPr>
            </w:pPr>
            <w:r>
              <w:rPr>
                <w:rFonts w:ascii="Arial" w:cs="Arial" w:eastAsia="Arial" w:hAnsi="Arial"/>
                <w:sz w:val="9"/>
                <w:szCs w:val="9"/>
                <w:color w:val="auto"/>
                <w:w w:val="99"/>
              </w:rPr>
              <w:t>4. Relationship of Reporting Person(s) to Issuer</w:t>
            </w:r>
          </w:p>
        </w:tc>
        <w:tc>
          <w:tcPr>
            <w:tcW w:w="134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060" w:type="dxa"/>
            <w:vAlign w:val="bottom"/>
            <w:gridSpan w:val="2"/>
          </w:tcPr>
          <w:p>
            <w:pPr>
              <w:jc w:val="right"/>
              <w:ind w:right="1130"/>
              <w:spacing w:after="0"/>
              <w:rPr>
                <w:sz w:val="20"/>
                <w:szCs w:val="20"/>
                <w:color w:val="auto"/>
              </w:rPr>
            </w:pPr>
            <w:r>
              <w:rPr>
                <w:rFonts w:ascii="Arial" w:cs="Arial" w:eastAsia="Arial" w:hAnsi="Arial"/>
                <w:sz w:val="9"/>
                <w:szCs w:val="9"/>
                <w:color w:val="auto"/>
                <w:w w:val="99"/>
              </w:rPr>
              <w:t>(Check all applicable)</w:t>
            </w: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440" w:type="dxa"/>
            <w:vAlign w:val="bottom"/>
          </w:tcPr>
          <w:p>
            <w:pPr>
              <w:spacing w:after="0"/>
              <w:rPr>
                <w:sz w:val="4"/>
                <w:szCs w:val="4"/>
                <w:color w:val="auto"/>
              </w:rPr>
            </w:pPr>
          </w:p>
        </w:tc>
        <w:tc>
          <w:tcPr>
            <w:tcW w:w="1620" w:type="dxa"/>
            <w:vAlign w:val="bottom"/>
            <w:vMerge w:val="restart"/>
          </w:tcPr>
          <w:p>
            <w:pPr>
              <w:jc w:val="right"/>
              <w:ind w:right="1150"/>
              <w:spacing w:after="0"/>
              <w:rPr>
                <w:sz w:val="20"/>
                <w:szCs w:val="20"/>
                <w:color w:val="auto"/>
              </w:rPr>
            </w:pPr>
            <w:r>
              <w:rPr>
                <w:rFonts w:ascii="Arial" w:cs="Arial" w:eastAsia="Arial" w:hAnsi="Arial"/>
                <w:sz w:val="9"/>
                <w:szCs w:val="9"/>
                <w:color w:val="auto"/>
              </w:rPr>
              <w:t>Director</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40" w:type="dxa"/>
            <w:vAlign w:val="bottom"/>
            <w:vMerge w:val="restart"/>
          </w:tcPr>
          <w:p>
            <w:pPr>
              <w:ind w:left="240"/>
              <w:spacing w:after="0"/>
              <w:rPr>
                <w:sz w:val="20"/>
                <w:szCs w:val="20"/>
                <w:color w:val="auto"/>
              </w:rPr>
            </w:pPr>
            <w:r>
              <w:rPr>
                <w:rFonts w:ascii="Arial" w:cs="Arial" w:eastAsia="Arial" w:hAnsi="Arial"/>
                <w:sz w:val="12"/>
                <w:szCs w:val="12"/>
                <w:color w:val="0000FF"/>
              </w:rPr>
              <w:t>X</w:t>
            </w:r>
          </w:p>
        </w:tc>
        <w:tc>
          <w:tcPr>
            <w:tcW w:w="16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vMerge w:val="restart"/>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90"/>
        </w:trPr>
        <w:tc>
          <w:tcPr>
            <w:tcW w:w="440" w:type="dxa"/>
            <w:vAlign w:val="bottom"/>
            <w:vMerge w:val="continue"/>
          </w:tcPr>
          <w:p>
            <w:pPr>
              <w:spacing w:after="0"/>
              <w:rPr>
                <w:sz w:val="7"/>
                <w:szCs w:val="7"/>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9"/>
                <w:szCs w:val="9"/>
                <w:color w:val="auto"/>
              </w:rPr>
              <w:t>Officer (give title below)</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Other (specify below)</w:t>
            </w:r>
          </w:p>
        </w:tc>
        <w:tc>
          <w:tcPr>
            <w:tcW w:w="120" w:type="dxa"/>
            <w:vAlign w:val="bottom"/>
            <w:vMerge w:val="continue"/>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restart"/>
          </w:tcPr>
          <w:p>
            <w:pPr>
              <w:ind w:left="100"/>
              <w:spacing w:after="0"/>
              <w:rPr>
                <w:sz w:val="20"/>
                <w:szCs w:val="20"/>
                <w:color w:val="auto"/>
              </w:rPr>
            </w:pPr>
            <w:r>
              <w:rPr>
                <w:rFonts w:ascii="Arial" w:cs="Arial" w:eastAsia="Arial" w:hAnsi="Arial"/>
                <w:sz w:val="12"/>
                <w:szCs w:val="12"/>
                <w:color w:val="0000FF"/>
              </w:rPr>
              <w:t>X</w:t>
            </w:r>
          </w:p>
        </w:tc>
        <w:tc>
          <w:tcPr>
            <w:tcW w:w="2480" w:type="dxa"/>
            <w:vAlign w:val="bottom"/>
            <w:vMerge w:val="restart"/>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960" w:type="dxa"/>
            <w:vAlign w:val="bottom"/>
            <w:gridSpan w:val="2"/>
            <w:vMerge w:val="restart"/>
          </w:tcPr>
          <w:p>
            <w:pPr>
              <w:ind w:left="460"/>
              <w:spacing w:after="0"/>
              <w:rPr>
                <w:sz w:val="20"/>
                <w:szCs w:val="20"/>
                <w:color w:val="auto"/>
              </w:rPr>
            </w:pPr>
            <w:r>
              <w:rPr>
                <w:rFonts w:ascii="Arial" w:cs="Arial" w:eastAsia="Arial" w:hAnsi="Arial"/>
                <w:sz w:val="12"/>
                <w:szCs w:val="12"/>
                <w:color w:val="0000FF"/>
              </w:rPr>
              <w:t>EVP - Operations &amp; Engineering</w:t>
            </w: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40" w:type="dxa"/>
            <w:vAlign w:val="bottom"/>
          </w:tcPr>
          <w:p>
            <w:pPr>
              <w:spacing w:after="0"/>
              <w:rPr>
                <w:sz w:val="8"/>
                <w:szCs w:val="8"/>
                <w:color w:val="auto"/>
              </w:rPr>
            </w:pPr>
          </w:p>
        </w:tc>
        <w:tc>
          <w:tcPr>
            <w:tcW w:w="2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46"/>
        </w:trPr>
        <w:tc>
          <w:tcPr>
            <w:tcW w:w="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sectPr>
          <w:pgSz w:w="11900" w:h="16838" w:orient="portrait"/>
          <w:cols w:equalWidth="0" w:num="3">
            <w:col w:w="3360" w:space="118"/>
            <w:col w:w="1482" w:space="220"/>
            <w:col w:w="630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00"/>
              <w:spacing w:after="0"/>
              <w:rPr>
                <w:sz w:val="20"/>
                <w:szCs w:val="20"/>
                <w:color w:val="auto"/>
              </w:rPr>
            </w:pPr>
            <w:r>
              <w:rPr>
                <w:rFonts w:ascii="Arial" w:cs="Arial" w:eastAsia="Arial" w:hAnsi="Arial"/>
                <w:sz w:val="12"/>
                <w:szCs w:val="12"/>
                <w:color w:val="0000FF"/>
              </w:rPr>
              <w:t>490,014</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Class B Units in Plains AAP, L.P.</w:t>
            </w:r>
            <w:r>
              <w:rPr>
                <w:rFonts w:ascii="Arial" w:cs="Arial" w:eastAsia="Arial" w:hAnsi="Arial"/>
                <w:sz w:val="15"/>
                <w:szCs w:val="15"/>
                <w:color w:val="008000"/>
                <w:vertAlign w:val="superscript"/>
              </w:rPr>
              <w:t>(1)(2)</w:t>
            </w:r>
          </w:p>
        </w:tc>
        <w:tc>
          <w:tcPr>
            <w:tcW w:w="600" w:type="dxa"/>
            <w:vAlign w:val="bottom"/>
            <w:tcBorders>
              <w:bottom w:val="single" w:sz="8" w:color="2C2C2C"/>
            </w:tcBorders>
          </w:tcPr>
          <w:p>
            <w:pPr>
              <w:jc w:val="right"/>
              <w:ind w:right="154"/>
              <w:spacing w:after="0"/>
              <w:rPr>
                <w:sz w:val="20"/>
                <w:szCs w:val="20"/>
                <w:color w:val="auto"/>
              </w:rPr>
            </w:pPr>
            <w:r>
              <w:rPr>
                <w:rFonts w:ascii="Arial" w:cs="Arial" w:eastAsia="Arial" w:hAnsi="Arial"/>
                <w:sz w:val="8"/>
                <w:szCs w:val="8"/>
                <w:color w:val="008000"/>
              </w:rPr>
              <w:t>(1)(2)</w:t>
            </w:r>
          </w:p>
        </w:tc>
        <w:tc>
          <w:tcPr>
            <w:tcW w:w="520" w:type="dxa"/>
            <w:vAlign w:val="bottom"/>
            <w:tcBorders>
              <w:bottom w:val="single" w:sz="8" w:color="2C2C2C"/>
            </w:tcBorders>
          </w:tcPr>
          <w:p>
            <w:pPr>
              <w:jc w:val="right"/>
              <w:ind w:right="99"/>
              <w:spacing w:after="0"/>
              <w:rPr>
                <w:sz w:val="20"/>
                <w:szCs w:val="20"/>
                <w:color w:val="auto"/>
              </w:rPr>
            </w:pPr>
            <w:r>
              <w:rPr>
                <w:rFonts w:ascii="Arial" w:cs="Arial" w:eastAsia="Arial" w:hAnsi="Arial"/>
                <w:sz w:val="8"/>
                <w:szCs w:val="8"/>
                <w:color w:val="008000"/>
              </w:rPr>
              <w:t>(1)(2)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Class A Shares</w:t>
            </w:r>
          </w:p>
        </w:tc>
        <w:tc>
          <w:tcPr>
            <w:tcW w:w="860" w:type="dxa"/>
            <w:vAlign w:val="bottom"/>
            <w:tcBorders>
              <w:bottom w:val="single" w:sz="8" w:color="2C2C2C"/>
            </w:tcBorders>
          </w:tcPr>
          <w:p>
            <w:pPr>
              <w:jc w:val="right"/>
              <w:ind w:right="110"/>
              <w:spacing w:after="0"/>
              <w:rPr>
                <w:sz w:val="20"/>
                <w:szCs w:val="20"/>
                <w:color w:val="auto"/>
              </w:rPr>
            </w:pPr>
            <w:r>
              <w:rPr>
                <w:rFonts w:ascii="Arial" w:cs="Arial" w:eastAsia="Arial" w:hAnsi="Arial"/>
                <w:sz w:val="12"/>
                <w:szCs w:val="12"/>
                <w:color w:val="0000FF"/>
              </w:rPr>
              <w:t>141,200</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Class A Units in Plains AAP, L.P.</w:t>
            </w:r>
          </w:p>
        </w:tc>
        <w:tc>
          <w:tcPr>
            <w:tcW w:w="600" w:type="dxa"/>
            <w:vAlign w:val="bottom"/>
            <w:tcBorders>
              <w:bottom w:val="single" w:sz="8" w:color="2C2C2C"/>
            </w:tcBorders>
          </w:tcPr>
          <w:p>
            <w:pPr>
              <w:jc w:val="right"/>
              <w:ind w:right="114"/>
              <w:spacing w:after="0"/>
              <w:rPr>
                <w:sz w:val="20"/>
                <w:szCs w:val="20"/>
                <w:color w:val="auto"/>
              </w:rPr>
            </w:pPr>
            <w:r>
              <w:rPr>
                <w:rFonts w:ascii="Arial" w:cs="Arial" w:eastAsia="Arial" w:hAnsi="Arial"/>
                <w:sz w:val="8"/>
                <w:szCs w:val="8"/>
                <w:color w:val="008000"/>
              </w:rPr>
              <w:t>(3)(4)(5)</w:t>
            </w:r>
          </w:p>
        </w:tc>
        <w:tc>
          <w:tcPr>
            <w:tcW w:w="520" w:type="dxa"/>
            <w:vAlign w:val="bottom"/>
            <w:tcBorders>
              <w:bottom w:val="single" w:sz="8" w:color="2C2C2C"/>
            </w:tcBorders>
          </w:tcPr>
          <w:p>
            <w:pPr>
              <w:jc w:val="right"/>
              <w:ind w:right="59"/>
              <w:spacing w:after="0"/>
              <w:rPr>
                <w:sz w:val="20"/>
                <w:szCs w:val="20"/>
                <w:color w:val="auto"/>
              </w:rPr>
            </w:pPr>
            <w:r>
              <w:rPr>
                <w:rFonts w:ascii="Arial" w:cs="Arial" w:eastAsia="Arial" w:hAnsi="Arial"/>
                <w:sz w:val="8"/>
                <w:szCs w:val="8"/>
                <w:color w:val="008000"/>
              </w:rPr>
              <w:t>(3)(4)(5)</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Class A Shares</w:t>
            </w:r>
          </w:p>
        </w:tc>
        <w:tc>
          <w:tcPr>
            <w:tcW w:w="860" w:type="dxa"/>
            <w:vAlign w:val="bottom"/>
            <w:tcBorders>
              <w:bottom w:val="single" w:sz="8" w:color="2C2C2C"/>
            </w:tcBorders>
          </w:tcPr>
          <w:p>
            <w:pPr>
              <w:jc w:val="center"/>
              <w:ind w:right="70"/>
              <w:spacing w:after="0"/>
              <w:rPr>
                <w:sz w:val="20"/>
                <w:szCs w:val="20"/>
                <w:color w:val="auto"/>
              </w:rPr>
            </w:pPr>
            <w:r>
              <w:rPr>
                <w:rFonts w:ascii="Arial" w:cs="Arial" w:eastAsia="Arial" w:hAnsi="Arial"/>
                <w:sz w:val="12"/>
                <w:szCs w:val="12"/>
                <w:color w:val="0000FF"/>
              </w:rPr>
              <w:t>13,082</w:t>
            </w:r>
            <w:r>
              <w:rPr>
                <w:rFonts w:ascii="Arial" w:cs="Arial" w:eastAsia="Arial" w:hAnsi="Arial"/>
                <w:sz w:val="15"/>
                <w:szCs w:val="15"/>
                <w:color w:val="008000"/>
                <w:vertAlign w:val="superscript"/>
              </w:rPr>
              <w:t>(6)</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9"/>
                <w:szCs w:val="9"/>
                <w:color w:val="0000FF"/>
                <w:w w:val="77"/>
              </w:rPr>
              <w:t>I</w:t>
            </w:r>
          </w:p>
        </w:tc>
        <w:tc>
          <w:tcPr>
            <w:tcW w:w="17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See Footnotes</w:t>
            </w:r>
            <w:r>
              <w:rPr>
                <w:rFonts w:ascii="Arial" w:cs="Arial" w:eastAsia="Arial" w:hAnsi="Arial"/>
                <w:sz w:val="15"/>
                <w:szCs w:val="15"/>
                <w:color w:val="008000"/>
                <w:vertAlign w:val="superscript"/>
              </w:rPr>
              <w:t>(3)(4)(5)</w:t>
            </w: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right="260" w:hanging="1"/>
        <w:spacing w:after="0" w:line="305" w:lineRule="auto"/>
        <w:tabs>
          <w:tab w:leader="none" w:pos="11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 Class B Units in Plains AAP, L.P. represent a profits interest. The Class B Units become earned (entitled to receive distributions) in 25% increments upon payment by Plains All American Pipeline, L.P. ("PAA") of annualized quarterly distributions of $2.90, $3.15, $3.30 and $3.50 per PAA common unit, respectively. The Class B Units are subject to a call right in the event Reporting Person's employment is terminated under certain circumstances prior to December 31, 2022. If Reporting Person remains employed after such date, the Class B Units will be deemed to have vested.</w:t>
      </w:r>
    </w:p>
    <w:p>
      <w:pPr>
        <w:ind w:left="20" w:right="14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Reporting Person has the right to convert his vested Class B Units into a number of Class A Units in Plains AAP, L.P. and Class B Shares in Plains GP Holdings, L.P. equal to the number of Class B Units converted times a conversion factor of approximately 0.941:1. Following any such conversion, the resulting Class A Units and Class B Shares are exchangeable for Class A Shares of PAGP on a one-for-one basis.</w:t>
      </w:r>
    </w:p>
    <w:p>
      <w:pPr>
        <w:spacing w:after="0" w:line="15"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Reporting Person holds an indirect ownership interest in Plains GP Holdings, L.P. (the "Issuer") through his ownership in PAA Management, L.P. ("PAA Management"). PAA Management owns 21,835,922 Class B shares of the Issuer (the "Class B Shares").</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 limited partnership agreement of Plains AAP, L.P. ("AAP") provides that each limited partner of AAP, including PAA Management, has the right, at any time and from time to time, to immediately exchange (the "Exchange Right") its Class A Units in AAP (the "AAP Units"), together with a like number of</w:t>
      </w:r>
    </w:p>
    <w:p>
      <w:pPr>
        <w:spacing w:after="0" w:line="15" w:lineRule="exact"/>
        <w:rPr>
          <w:rFonts w:ascii="Arial" w:cs="Arial" w:eastAsia="Arial" w:hAnsi="Arial"/>
          <w:sz w:val="8"/>
          <w:szCs w:val="8"/>
          <w:color w:val="008000"/>
        </w:rPr>
      </w:pPr>
    </w:p>
    <w:p>
      <w:pPr>
        <w:ind w:left="20" w:right="80"/>
        <w:spacing w:after="0" w:line="238" w:lineRule="auto"/>
        <w:rPr>
          <w:rFonts w:ascii="Arial" w:cs="Arial" w:eastAsia="Arial" w:hAnsi="Arial"/>
          <w:sz w:val="8"/>
          <w:szCs w:val="8"/>
          <w:color w:val="008000"/>
        </w:rPr>
      </w:pPr>
      <w:r>
        <w:rPr>
          <w:rFonts w:ascii="Arial" w:cs="Arial" w:eastAsia="Arial" w:hAnsi="Arial"/>
          <w:sz w:val="9"/>
          <w:szCs w:val="9"/>
          <w:color w:val="008000"/>
        </w:rPr>
        <w:t>Class B shares and units of the Issuer's general partner (the "GP Units"), for Class A shares of the Issuer (the "Class A Shares") on a one-for-one basis. 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owned by PAA Management that are exchangeable for an equivalent number of Class A shares.</w:t>
      </w:r>
    </w:p>
    <w:p>
      <w:pPr>
        <w:spacing w:after="0" w:line="20" w:lineRule="exact"/>
        <w:rPr>
          <w:rFonts w:ascii="Arial" w:cs="Arial" w:eastAsia="Arial" w:hAnsi="Arial"/>
          <w:sz w:val="8"/>
          <w:szCs w:val="8"/>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As a member of PAA Management LLC, Reporting Person may be deemed to be a beneficial owner of the interests held by PAA Management.</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Reporting Person disclaims beneficial ownership of the securities held by PAA Management, except to the extent of his pecuniary interest therein.</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5"/>
              </w:rPr>
              <w:t>/s/ Daniel J. Nerbonne</w:t>
            </w:r>
          </w:p>
        </w:tc>
        <w:tc>
          <w:tcPr>
            <w:tcW w:w="124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08/29/2016</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with</w:t>
      </w:r>
    </w:p>
    <w:p>
      <w:pPr>
        <w:spacing w:after="0" w:line="146"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29th day of August,2016,</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Daniel J. Nerbonne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6997"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2020-01-19T08:51:10Z</dcterms:created>
  <dcterms:modified xsi:type="dcterms:W3CDTF">2020-01-19T08:51:10Z</dcterms:modified>
</cp:coreProperties>
</file>