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3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40" w:type="dxa"/>
            <w:vAlign w:val="bottom"/>
            <w:vMerge w:val="restart"/>
          </w:tcPr>
          <w:p>
            <w:pPr>
              <w:jc w:val="center"/>
              <w:ind w:right="3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5364480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19050</wp:posOffset>
            </wp:positionV>
            <wp:extent cx="7327900" cy="4942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900" cy="49428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680"/>
            <w:col w:w="8660"/>
          </w:cols>
          <w:pgMar w:left="240" w:top="220" w:right="13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SINNOTT ROBERT V</w:t>
        </w:r>
      </w:hyperlink>
    </w:p>
    <w:p>
      <w:pPr>
        <w:spacing w:after="0" w:line="297"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 OF THE STARS</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3RD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jc w:val="center"/>
        <w:ind w:right="223"/>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09/30/2015</w:t>
      </w:r>
    </w:p>
    <w:p>
      <w:pPr>
        <w:spacing w:after="0" w:line="20" w:lineRule="exact"/>
        <w:rPr>
          <w:sz w:val="24"/>
          <w:szCs w:val="24"/>
          <w:color w:val="auto"/>
        </w:rPr>
      </w:pPr>
      <w:r>
        <w:rPr>
          <w:sz w:val="24"/>
          <w:szCs w:val="24"/>
          <w:color w:val="auto"/>
        </w:rPr>
        <w:br w:type="column"/>
      </w:r>
    </w:p>
    <w:p>
      <w:pPr>
        <w:ind w:left="-3" w:right="840" w:firstLine="3"/>
        <w:spacing w:after="0" w:line="258"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7"/>
        <w:spacing w:after="0"/>
        <w:tabs>
          <w:tab w:leader="none" w:pos="536" w:val="left"/>
          <w:tab w:leader="none" w:pos="215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8" w:lineRule="exact"/>
        <w:rPr>
          <w:sz w:val="24"/>
          <w:szCs w:val="24"/>
          <w:color w:val="auto"/>
        </w:rPr>
      </w:pPr>
    </w:p>
    <w:p>
      <w:pPr>
        <w:jc w:val="right"/>
        <w:ind w:right="52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5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9" w:lineRule="exact"/>
        <w:rPr>
          <w:sz w:val="24"/>
          <w:szCs w:val="24"/>
          <w:color w:val="auto"/>
        </w:rPr>
      </w:pPr>
    </w:p>
    <w:p>
      <w:pPr>
        <w:sectPr>
          <w:pgSz w:w="11900" w:h="16838" w:orient="portrait"/>
          <w:cols w:equalWidth="0" w:num="3">
            <w:col w:w="3340" w:space="720"/>
            <w:col w:w="3263" w:space="720"/>
            <w:col w:w="3477"/>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140" w:type="dxa"/>
            <w:vAlign w:val="bottom"/>
          </w:tcPr>
          <w:p>
            <w:pPr>
              <w:spacing w:after="0"/>
              <w:rPr>
                <w:sz w:val="2"/>
                <w:szCs w:val="2"/>
                <w:color w:val="auto"/>
              </w:rPr>
            </w:pPr>
          </w:p>
        </w:tc>
        <w:tc>
          <w:tcPr>
            <w:tcW w:w="3300" w:type="dxa"/>
            <w:vAlign w:val="bottom"/>
            <w:gridSpan w:val="8"/>
            <w:vMerge w:val="restart"/>
          </w:tcPr>
          <w:p>
            <w:pPr>
              <w:ind w:left="20"/>
              <w:spacing w:after="0"/>
              <w:rPr>
                <w:sz w:val="20"/>
                <w:szCs w:val="20"/>
                <w:color w:val="auto"/>
              </w:rPr>
            </w:pPr>
            <w:r>
              <w:rPr>
                <w:rFonts w:ascii="Arial" w:cs="Arial" w:eastAsia="Arial" w:hAnsi="Arial"/>
                <w:sz w:val="12"/>
                <w:szCs w:val="12"/>
                <w:color w:val="auto"/>
              </w:rPr>
              <w:t>4. If Amendment, Date of Original Filed (Month/Day/Year)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gridSpan w:val="4"/>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gridSpan w:val="8"/>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4"/>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LOS ANGELES</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180"/>
              <w:spacing w:after="0"/>
              <w:rPr>
                <w:sz w:val="20"/>
                <w:szCs w:val="20"/>
                <w:color w:val="auto"/>
              </w:rPr>
            </w:pPr>
            <w:r>
              <w:rPr>
                <w:rFonts w:ascii="Arial" w:cs="Arial" w:eastAsia="Arial" w:hAnsi="Arial"/>
                <w:sz w:val="16"/>
                <w:szCs w:val="16"/>
                <w:color w:val="0000FF"/>
              </w:rPr>
              <w:t>90067</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4"/>
            <w:vMerge w:val="restart"/>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1020" w:type="dxa"/>
            <w:vAlign w:val="bottom"/>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7040" w:type="dxa"/>
            <w:vAlign w:val="bottom"/>
            <w:tcBorders>
              <w:top w:val="single" w:sz="8" w:color="2C2C2C"/>
            </w:tcBorders>
            <w:gridSpan w:val="17"/>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14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60" w:type="dxa"/>
            <w:vAlign w:val="bottom"/>
            <w:gridSpan w:val="4"/>
          </w:tcPr>
          <w:p>
            <w:pPr>
              <w:ind w:left="620"/>
              <w:spacing w:after="0"/>
              <w:rPr>
                <w:sz w:val="20"/>
                <w:szCs w:val="20"/>
                <w:color w:val="auto"/>
              </w:rPr>
            </w:pPr>
            <w:r>
              <w:rPr>
                <w:rFonts w:ascii="Arial" w:cs="Arial" w:eastAsia="Arial" w:hAnsi="Arial"/>
                <w:sz w:val="11"/>
                <w:szCs w:val="11"/>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3. Transaction</w:t>
            </w:r>
          </w:p>
        </w:tc>
        <w:tc>
          <w:tcPr>
            <w:tcW w:w="20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400" w:type="dxa"/>
            <w:vAlign w:val="bottom"/>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ind w:left="620"/>
              <w:spacing w:after="0" w:line="122"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Code (Instr. 8)</w:t>
            </w:r>
          </w:p>
        </w:tc>
        <w:tc>
          <w:tcPr>
            <w:tcW w:w="200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Form: Direct</w:t>
            </w:r>
          </w:p>
        </w:tc>
        <w:tc>
          <w:tcPr>
            <w:tcW w:w="14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560" w:type="dxa"/>
            <w:vAlign w:val="bottom"/>
            <w:gridSpan w:val="4"/>
          </w:tcPr>
          <w:p>
            <w:pPr>
              <w:ind w:left="620"/>
              <w:spacing w:after="0" w:line="125" w:lineRule="exact"/>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14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restart"/>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3"/>
            <w:vMerge w:val="continue"/>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jc w:val="right"/>
              <w:ind w:right="86"/>
              <w:spacing w:after="0" w:line="125" w:lineRule="exact"/>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480" w:type="dxa"/>
            <w:vAlign w:val="bottom"/>
            <w:vMerge w:val="continue"/>
          </w:tcPr>
          <w:p>
            <w:pPr>
              <w:spacing w:after="0"/>
              <w:rPr>
                <w:sz w:val="5"/>
                <w:szCs w:val="5"/>
                <w:color w:val="auto"/>
              </w:rPr>
            </w:pPr>
          </w:p>
        </w:tc>
        <w:tc>
          <w:tcPr>
            <w:tcW w:w="680" w:type="dxa"/>
            <w:vAlign w:val="bottom"/>
            <w:gridSpan w:val="3"/>
            <w:vMerge w:val="restart"/>
          </w:tcPr>
          <w:p>
            <w:pPr>
              <w:ind w:left="80"/>
              <w:spacing w:after="0" w:line="125" w:lineRule="exact"/>
              <w:rPr>
                <w:sz w:val="20"/>
                <w:szCs w:val="20"/>
                <w:color w:val="auto"/>
              </w:rPr>
            </w:pPr>
            <w:r>
              <w:rPr>
                <w:rFonts w:ascii="Arial" w:cs="Arial" w:eastAsia="Arial" w:hAnsi="Arial"/>
                <w:sz w:val="11"/>
                <w:szCs w:val="11"/>
                <w:b w:val="1"/>
                <w:bCs w:val="1"/>
                <w:color w:val="auto"/>
              </w:rPr>
              <w:t>Price</w:t>
            </w:r>
          </w:p>
        </w:tc>
        <w:tc>
          <w:tcPr>
            <w:tcW w:w="15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1100" w:type="dxa"/>
            <w:vAlign w:val="bottom"/>
          </w:tcPr>
          <w:p>
            <w:pPr>
              <w:spacing w:after="0"/>
              <w:rPr>
                <w:sz w:val="22"/>
                <w:szCs w:val="22"/>
                <w:color w:val="auto"/>
              </w:rPr>
            </w:pPr>
          </w:p>
        </w:tc>
        <w:tc>
          <w:tcPr>
            <w:tcW w:w="1560" w:type="dxa"/>
            <w:vAlign w:val="bottom"/>
            <w:gridSpan w:val="4"/>
          </w:tcPr>
          <w:p>
            <w:pPr>
              <w:ind w:left="720"/>
              <w:spacing w:after="0"/>
              <w:rPr>
                <w:sz w:val="20"/>
                <w:szCs w:val="20"/>
                <w:color w:val="auto"/>
              </w:rPr>
            </w:pPr>
            <w:r>
              <w:rPr>
                <w:rFonts w:ascii="Arial" w:cs="Arial" w:eastAsia="Arial" w:hAnsi="Arial"/>
                <w:sz w:val="16"/>
                <w:szCs w:val="16"/>
                <w:color w:val="0000FF"/>
              </w:rPr>
              <w:t>09/30/2015</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2"/>
          </w:tcPr>
          <w:p>
            <w:pPr>
              <w:ind w:left="20"/>
              <w:spacing w:after="0" w:line="263" w:lineRule="exact"/>
              <w:rPr>
                <w:sz w:val="20"/>
                <w:szCs w:val="20"/>
                <w:color w:val="auto"/>
              </w:rPr>
            </w:pPr>
            <w:r>
              <w:rPr>
                <w:rFonts w:ascii="Arial" w:cs="Arial" w:eastAsia="Arial" w:hAnsi="Arial"/>
                <w:sz w:val="24"/>
                <w:szCs w:val="24"/>
                <w:color w:val="0000FF"/>
                <w:w w:val="92"/>
                <w:vertAlign w:val="subscript"/>
              </w:rPr>
              <w:t>A</w:t>
            </w:r>
            <w:r>
              <w:rPr>
                <w:rFonts w:ascii="Arial" w:cs="Arial" w:eastAsia="Arial" w:hAnsi="Arial"/>
                <w:sz w:val="10"/>
                <w:szCs w:val="10"/>
                <w:color w:val="008000"/>
                <w:w w:val="92"/>
              </w:rPr>
              <w:t>(1)(3)(5)</w:t>
            </w:r>
          </w:p>
        </w:tc>
        <w:tc>
          <w:tcPr>
            <w:tcW w:w="340" w:type="dxa"/>
            <w:vAlign w:val="bottom"/>
          </w:tcPr>
          <w:p>
            <w:pPr>
              <w:spacing w:after="0"/>
              <w:rPr>
                <w:sz w:val="22"/>
                <w:szCs w:val="22"/>
                <w:color w:val="auto"/>
              </w:rPr>
            </w:pPr>
          </w:p>
        </w:tc>
        <w:tc>
          <w:tcPr>
            <w:tcW w:w="840" w:type="dxa"/>
            <w:vAlign w:val="bottom"/>
          </w:tcPr>
          <w:p>
            <w:pPr>
              <w:jc w:val="right"/>
              <w:ind w:right="77"/>
              <w:spacing w:after="0"/>
              <w:rPr>
                <w:sz w:val="20"/>
                <w:szCs w:val="20"/>
                <w:color w:val="auto"/>
              </w:rPr>
            </w:pPr>
            <w:r>
              <w:rPr>
                <w:rFonts w:ascii="Arial" w:cs="Arial" w:eastAsia="Arial" w:hAnsi="Arial"/>
                <w:sz w:val="16"/>
                <w:szCs w:val="16"/>
                <w:color w:val="0000FF"/>
              </w:rPr>
              <w:t>492,505</w:t>
            </w:r>
          </w:p>
        </w:tc>
        <w:tc>
          <w:tcPr>
            <w:tcW w:w="480" w:type="dxa"/>
            <w:vAlign w:val="bottom"/>
          </w:tcPr>
          <w:p>
            <w:pPr>
              <w:jc w:val="center"/>
              <w:spacing w:after="0"/>
              <w:rPr>
                <w:sz w:val="20"/>
                <w:szCs w:val="20"/>
                <w:color w:val="auto"/>
              </w:rPr>
            </w:pPr>
            <w:r>
              <w:rPr>
                <w:rFonts w:ascii="Arial" w:cs="Arial" w:eastAsia="Arial" w:hAnsi="Arial"/>
                <w:sz w:val="16"/>
                <w:szCs w:val="16"/>
                <w:color w:val="0000FF"/>
              </w:rPr>
              <w:t>A</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color w:val="0000FF"/>
              </w:rPr>
              <w:t>492,505</w:t>
            </w:r>
          </w:p>
        </w:tc>
        <w:tc>
          <w:tcPr>
            <w:tcW w:w="50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tcPr>
          <w:p>
            <w:pPr>
              <w:ind w:left="80"/>
              <w:spacing w:after="0"/>
              <w:rPr>
                <w:sz w:val="20"/>
                <w:szCs w:val="20"/>
                <w:color w:val="auto"/>
              </w:rPr>
            </w:pPr>
            <w:r>
              <w:rPr>
                <w:rFonts w:ascii="Arial" w:cs="Arial" w:eastAsia="Arial" w:hAnsi="Arial"/>
                <w:sz w:val="16"/>
                <w:szCs w:val="16"/>
                <w:color w:val="0000FF"/>
                <w:w w:val="95"/>
              </w:rPr>
              <w:t>See Footnotes</w:t>
            </w:r>
            <w:r>
              <w:rPr>
                <w:rFonts w:ascii="Arial" w:cs="Arial" w:eastAsia="Arial" w:hAnsi="Arial"/>
                <w:sz w:val="20"/>
                <w:szCs w:val="20"/>
                <w:color w:val="008000"/>
                <w:w w:val="95"/>
                <w:vertAlign w:val="superscript"/>
              </w:rPr>
              <w:t>(1)(2)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ind w:left="80"/>
              <w:spacing w:after="0"/>
              <w:rPr>
                <w:sz w:val="20"/>
                <w:szCs w:val="20"/>
                <w:color w:val="auto"/>
              </w:rPr>
            </w:pPr>
            <w:r>
              <w:rPr>
                <w:rFonts w:ascii="Arial" w:cs="Arial" w:eastAsia="Arial" w:hAnsi="Arial"/>
                <w:sz w:val="10"/>
                <w:szCs w:val="10"/>
                <w:color w:val="008000"/>
              </w:rPr>
              <w:t>(3)(4)(5)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1100" w:type="dxa"/>
            <w:vAlign w:val="bottom"/>
          </w:tcPr>
          <w:p>
            <w:pPr>
              <w:spacing w:after="0"/>
              <w:rPr>
                <w:sz w:val="22"/>
                <w:szCs w:val="22"/>
                <w:color w:val="auto"/>
              </w:rPr>
            </w:pPr>
          </w:p>
        </w:tc>
        <w:tc>
          <w:tcPr>
            <w:tcW w:w="1560" w:type="dxa"/>
            <w:vAlign w:val="bottom"/>
            <w:gridSpan w:val="4"/>
          </w:tcPr>
          <w:p>
            <w:pPr>
              <w:ind w:left="720"/>
              <w:spacing w:after="0"/>
              <w:rPr>
                <w:sz w:val="20"/>
                <w:szCs w:val="20"/>
                <w:color w:val="auto"/>
              </w:rPr>
            </w:pPr>
            <w:r>
              <w:rPr>
                <w:rFonts w:ascii="Arial" w:cs="Arial" w:eastAsia="Arial" w:hAnsi="Arial"/>
                <w:sz w:val="16"/>
                <w:szCs w:val="16"/>
                <w:color w:val="0000FF"/>
              </w:rPr>
              <w:t>09/30/2015</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2"/>
          </w:tcPr>
          <w:p>
            <w:pPr>
              <w:ind w:left="40"/>
              <w:spacing w:after="0" w:line="263" w:lineRule="exact"/>
              <w:rPr>
                <w:sz w:val="20"/>
                <w:szCs w:val="20"/>
                <w:color w:val="auto"/>
              </w:rPr>
            </w:pPr>
            <w:r>
              <w:rPr>
                <w:rFonts w:ascii="Arial" w:cs="Arial" w:eastAsia="Arial" w:hAnsi="Arial"/>
                <w:sz w:val="24"/>
                <w:szCs w:val="24"/>
                <w:color w:val="0000FF"/>
                <w:w w:val="93"/>
                <w:vertAlign w:val="subscript"/>
              </w:rPr>
              <w:t>J</w:t>
            </w:r>
            <w:r>
              <w:rPr>
                <w:rFonts w:ascii="Arial" w:cs="Arial" w:eastAsia="Arial" w:hAnsi="Arial"/>
                <w:sz w:val="10"/>
                <w:szCs w:val="10"/>
                <w:color w:val="008000"/>
                <w:w w:val="93"/>
              </w:rPr>
              <w:t>(1)(3)(5)</w:t>
            </w:r>
          </w:p>
        </w:tc>
        <w:tc>
          <w:tcPr>
            <w:tcW w:w="340" w:type="dxa"/>
            <w:vAlign w:val="bottom"/>
          </w:tcPr>
          <w:p>
            <w:pPr>
              <w:spacing w:after="0"/>
              <w:rPr>
                <w:sz w:val="22"/>
                <w:szCs w:val="22"/>
                <w:color w:val="auto"/>
              </w:rPr>
            </w:pPr>
          </w:p>
        </w:tc>
        <w:tc>
          <w:tcPr>
            <w:tcW w:w="840" w:type="dxa"/>
            <w:vAlign w:val="bottom"/>
          </w:tcPr>
          <w:p>
            <w:pPr>
              <w:jc w:val="right"/>
              <w:ind w:right="77"/>
              <w:spacing w:after="0"/>
              <w:rPr>
                <w:sz w:val="20"/>
                <w:szCs w:val="20"/>
                <w:color w:val="auto"/>
              </w:rPr>
            </w:pPr>
            <w:r>
              <w:rPr>
                <w:rFonts w:ascii="Arial" w:cs="Arial" w:eastAsia="Arial" w:hAnsi="Arial"/>
                <w:sz w:val="16"/>
                <w:szCs w:val="16"/>
                <w:color w:val="0000FF"/>
              </w:rPr>
              <w:t>492,505</w:t>
            </w:r>
          </w:p>
        </w:tc>
        <w:tc>
          <w:tcPr>
            <w:tcW w:w="480" w:type="dxa"/>
            <w:vAlign w:val="bottom"/>
          </w:tcPr>
          <w:p>
            <w:pPr>
              <w:jc w:val="center"/>
              <w:spacing w:after="0"/>
              <w:rPr>
                <w:sz w:val="20"/>
                <w:szCs w:val="20"/>
                <w:color w:val="auto"/>
              </w:rPr>
            </w:pPr>
            <w:r>
              <w:rPr>
                <w:rFonts w:ascii="Arial" w:cs="Arial" w:eastAsia="Arial" w:hAnsi="Arial"/>
                <w:sz w:val="16"/>
                <w:szCs w:val="16"/>
                <w:color w:val="0000FF"/>
              </w:rPr>
              <w:t>D</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0000FF"/>
              </w:rPr>
              <w:t>0</w:t>
            </w:r>
          </w:p>
        </w:tc>
        <w:tc>
          <w:tcPr>
            <w:tcW w:w="80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tcPr>
          <w:p>
            <w:pPr>
              <w:ind w:left="80"/>
              <w:spacing w:after="0"/>
              <w:rPr>
                <w:sz w:val="20"/>
                <w:szCs w:val="20"/>
                <w:color w:val="auto"/>
              </w:rPr>
            </w:pPr>
            <w:r>
              <w:rPr>
                <w:rFonts w:ascii="Arial" w:cs="Arial" w:eastAsia="Arial" w:hAnsi="Arial"/>
                <w:sz w:val="16"/>
                <w:szCs w:val="16"/>
                <w:color w:val="0000FF"/>
                <w:w w:val="95"/>
              </w:rPr>
              <w:t>See Footnotes</w:t>
            </w:r>
            <w:r>
              <w:rPr>
                <w:rFonts w:ascii="Arial" w:cs="Arial" w:eastAsia="Arial" w:hAnsi="Arial"/>
                <w:sz w:val="20"/>
                <w:szCs w:val="20"/>
                <w:color w:val="008000"/>
                <w:w w:val="95"/>
                <w:vertAlign w:val="superscript"/>
              </w:rPr>
              <w:t>(1)(2)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ind w:left="80"/>
              <w:spacing w:after="0"/>
              <w:rPr>
                <w:sz w:val="20"/>
                <w:szCs w:val="20"/>
                <w:color w:val="auto"/>
              </w:rPr>
            </w:pPr>
            <w:r>
              <w:rPr>
                <w:rFonts w:ascii="Arial" w:cs="Arial" w:eastAsia="Arial" w:hAnsi="Arial"/>
                <w:sz w:val="10"/>
                <w:szCs w:val="10"/>
                <w:color w:val="008000"/>
              </w:rPr>
              <w:t>(3)(4)(5)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2820" w:type="dxa"/>
            <w:vAlign w:val="bottom"/>
            <w:tcBorders>
              <w:bottom w:val="single" w:sz="8" w:color="2C2C2C"/>
            </w:tcBorders>
            <w:gridSpan w:val="7"/>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6"/>
          </w:tcPr>
          <w:p>
            <w:pPr>
              <w:jc w:val="center"/>
              <w:ind w:left="25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14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20" w:type="dxa"/>
            <w:vAlign w:val="bottom"/>
            <w:gridSpan w:val="14"/>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4. Transaction</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0" w:type="dxa"/>
            <w:vAlign w:val="bottom"/>
          </w:tcPr>
          <w:p>
            <w:pPr>
              <w:ind w:left="3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10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 8)</w:t>
            </w: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4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Amount of</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  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4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0" w:type="dxa"/>
            <w:vAlign w:val="bottom"/>
          </w:tcPr>
          <w:p>
            <w:pPr>
              <w:ind w:left="320"/>
              <w:spacing w:after="0" w:line="125" w:lineRule="exact"/>
              <w:rPr>
                <w:sz w:val="20"/>
                <w:szCs w:val="20"/>
                <w:color w:val="auto"/>
              </w:rPr>
            </w:pPr>
            <w:r>
              <w:rPr>
                <w:rFonts w:ascii="Arial" w:cs="Arial" w:eastAsia="Arial" w:hAnsi="Arial"/>
                <w:sz w:val="11"/>
                <w:szCs w:val="11"/>
                <w:b w:val="1"/>
                <w:bCs w:val="1"/>
                <w:color w:val="auto"/>
              </w:rPr>
              <w:t>Ownership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Security (Instr. 3</w:t>
            </w: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4)</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40" w:type="dxa"/>
            <w:vAlign w:val="bottom"/>
          </w:tcPr>
          <w:p>
            <w:pPr>
              <w:jc w:val="center"/>
              <w:ind w:left="97"/>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540" w:type="dxa"/>
            <w:vAlign w:val="bottom"/>
          </w:tcPr>
          <w:p>
            <w:pPr>
              <w:ind w:left="400"/>
              <w:spacing w:after="0"/>
              <w:rPr>
                <w:sz w:val="20"/>
                <w:szCs w:val="20"/>
                <w:color w:val="auto"/>
              </w:rPr>
            </w:pPr>
            <w:r>
              <w:rPr>
                <w:rFonts w:ascii="Arial" w:cs="Arial" w:eastAsia="Arial" w:hAnsi="Arial"/>
                <w:sz w:val="11"/>
                <w:szCs w:val="11"/>
                <w:b w:val="1"/>
                <w:bCs w:val="1"/>
                <w:color w:val="auto"/>
              </w:rPr>
              <w:t>V</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0000FF"/>
                <w:w w:val="93"/>
              </w:rPr>
              <w:t>Class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vMerge w:val="restart"/>
          </w:tcPr>
          <w:p>
            <w:pPr>
              <w:ind w:left="1020"/>
              <w:spacing w:after="0"/>
              <w:rPr>
                <w:sz w:val="20"/>
                <w:szCs w:val="20"/>
                <w:color w:val="auto"/>
              </w:rPr>
            </w:pPr>
            <w:r>
              <w:rPr>
                <w:rFonts w:ascii="Arial" w:cs="Arial" w:eastAsia="Arial" w:hAnsi="Arial"/>
                <w:sz w:val="10"/>
                <w:szCs w:val="10"/>
                <w:color w:val="008000"/>
                <w:w w:val="98"/>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gridSpan w:val="3"/>
            <w:vMerge w:val="restart"/>
          </w:tcPr>
          <w:p>
            <w:pPr>
              <w:ind w:left="60"/>
              <w:spacing w:after="0" w:line="184"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(1)(2)(3)(4)(5)</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restart"/>
          </w:tcPr>
          <w:p>
            <w:pPr>
              <w:jc w:val="right"/>
              <w:ind w:right="46"/>
              <w:spacing w:after="0"/>
              <w:rPr>
                <w:sz w:val="20"/>
                <w:szCs w:val="20"/>
                <w:color w:val="auto"/>
              </w:rPr>
            </w:pPr>
            <w:r>
              <w:rPr>
                <w:rFonts w:ascii="Arial" w:cs="Arial" w:eastAsia="Arial" w:hAnsi="Arial"/>
                <w:sz w:val="10"/>
                <w:szCs w:val="10"/>
                <w:color w:val="008000"/>
                <w:w w:val="89"/>
              </w:rPr>
              <w:t>(1)(2)</w:t>
            </w:r>
          </w:p>
        </w:tc>
        <w:tc>
          <w:tcPr>
            <w:tcW w:w="840" w:type="dxa"/>
            <w:vAlign w:val="bottom"/>
            <w:vMerge w:val="restart"/>
          </w:tcPr>
          <w:p>
            <w:pPr>
              <w:jc w:val="right"/>
              <w:ind w:right="157"/>
              <w:spacing w:after="0"/>
              <w:rPr>
                <w:sz w:val="20"/>
                <w:szCs w:val="20"/>
                <w:color w:val="auto"/>
              </w:rPr>
            </w:pPr>
            <w:r>
              <w:rPr>
                <w:rFonts w:ascii="Arial" w:cs="Arial" w:eastAsia="Arial" w:hAnsi="Arial"/>
                <w:sz w:val="10"/>
                <w:szCs w:val="10"/>
                <w:color w:val="008000"/>
              </w:rPr>
              <w:t>(1)(2)</w:t>
            </w:r>
          </w:p>
        </w:tc>
        <w:tc>
          <w:tcPr>
            <w:tcW w:w="480" w:type="dxa"/>
            <w:vAlign w:val="bottom"/>
            <w:vMerge w:val="continue"/>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w w:val="93"/>
              </w:rPr>
              <w:t>492,505</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restart"/>
          </w:tcPr>
          <w:p>
            <w:pPr>
              <w:ind w:left="32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vMerge w:val="restart"/>
          </w:tcPr>
          <w:p>
            <w:pPr>
              <w:ind w:left="300"/>
              <w:spacing w:after="0" w:line="121" w:lineRule="exact"/>
              <w:rPr>
                <w:sz w:val="20"/>
                <w:szCs w:val="20"/>
                <w:color w:val="auto"/>
              </w:rPr>
            </w:pPr>
            <w:r>
              <w:rPr>
                <w:rFonts w:ascii="Arial" w:cs="Arial" w:eastAsia="Arial" w:hAnsi="Arial"/>
                <w:sz w:val="12"/>
                <w:szCs w:val="12"/>
                <w:color w:val="0000FF"/>
              </w:rPr>
              <w:t>09/30/2015</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560" w:type="dxa"/>
            <w:vAlign w:val="bottom"/>
            <w:vMerge w:val="restart"/>
          </w:tcPr>
          <w:p>
            <w:pPr>
              <w:ind w:left="80"/>
              <w:spacing w:after="0" w:line="121" w:lineRule="exact"/>
              <w:rPr>
                <w:sz w:val="20"/>
                <w:szCs w:val="20"/>
                <w:color w:val="auto"/>
              </w:rPr>
            </w:pPr>
            <w:r>
              <w:rPr>
                <w:rFonts w:ascii="Arial" w:cs="Arial" w:eastAsia="Arial" w:hAnsi="Arial"/>
                <w:sz w:val="12"/>
                <w:szCs w:val="12"/>
                <w:color w:val="0000FF"/>
              </w:rPr>
              <w:t>492,505</w:t>
            </w: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4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9"/>
              </w:rPr>
              <w:t>A</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vMerge w:val="restart"/>
          </w:tcPr>
          <w:p>
            <w:pPr>
              <w:ind w:left="80"/>
              <w:spacing w:after="0" w:line="121" w:lineRule="exact"/>
              <w:rPr>
                <w:sz w:val="20"/>
                <w:szCs w:val="20"/>
                <w:color w:val="auto"/>
              </w:rPr>
            </w:pPr>
            <w:r>
              <w:rPr>
                <w:rFonts w:ascii="Arial" w:cs="Arial" w:eastAsia="Arial" w:hAnsi="Arial"/>
                <w:sz w:val="12"/>
                <w:szCs w:val="12"/>
                <w:color w:val="0000FF"/>
              </w:rPr>
              <w:t>100,077,004</w:t>
            </w:r>
          </w:p>
        </w:tc>
        <w:tc>
          <w:tcPr>
            <w:tcW w:w="500" w:type="dxa"/>
            <w:vAlign w:val="bottom"/>
            <w:vMerge w:val="restart"/>
          </w:tcPr>
          <w:p>
            <w:pPr>
              <w:ind w:left="380"/>
              <w:spacing w:after="0" w:line="121" w:lineRule="exact"/>
              <w:rPr>
                <w:sz w:val="20"/>
                <w:szCs w:val="20"/>
                <w:color w:val="auto"/>
              </w:rPr>
            </w:pPr>
            <w:r>
              <w:rPr>
                <w:rFonts w:ascii="Arial" w:cs="Arial" w:eastAsia="Arial" w:hAnsi="Arial"/>
                <w:sz w:val="12"/>
                <w:szCs w:val="12"/>
                <w:color w:val="0000FF"/>
              </w:rPr>
              <w:t>I</w:t>
            </w: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tcPr>
          <w:p>
            <w:pPr>
              <w:ind w:left="320"/>
              <w:spacing w:after="0" w:line="63" w:lineRule="exact"/>
              <w:rPr>
                <w:sz w:val="20"/>
                <w:szCs w:val="20"/>
                <w:color w:val="auto"/>
              </w:rPr>
            </w:pPr>
            <w:r>
              <w:rPr>
                <w:rFonts w:ascii="Arial" w:cs="Arial" w:eastAsia="Arial" w:hAnsi="Arial"/>
                <w:sz w:val="7"/>
                <w:szCs w:val="7"/>
                <w:color w:val="0000FF"/>
              </w:rPr>
              <w:t>See Footnotes</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0000FF"/>
                <w:w w:val="99"/>
              </w:rPr>
              <w:t>Shares</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ind w:left="320"/>
              <w:spacing w:after="0" w:line="92" w:lineRule="exact"/>
              <w:rPr>
                <w:sz w:val="20"/>
                <w:szCs w:val="20"/>
                <w:color w:val="auto"/>
              </w:rPr>
            </w:pPr>
            <w:r>
              <w:rPr>
                <w:rFonts w:ascii="Arial" w:cs="Arial" w:eastAsia="Arial" w:hAnsi="Arial"/>
                <w:sz w:val="10"/>
                <w:szCs w:val="10"/>
                <w:color w:val="008000"/>
              </w:rPr>
              <w:t>(4)(5)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12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22" w:lineRule="exact"/>
        <w:rPr>
          <w:rFonts w:ascii="Arial" w:cs="Arial" w:eastAsia="Arial" w:hAnsi="Arial"/>
          <w:sz w:val="12"/>
          <w:szCs w:val="12"/>
          <w:color w:val="008000"/>
        </w:rPr>
      </w:pPr>
    </w:p>
    <w:p>
      <w:pPr>
        <w:jc w:val="both"/>
        <w:ind w:left="40" w:right="160" w:hanging="3"/>
        <w:spacing w:after="0" w:line="28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connection with the initial public offering of the Issuer,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and KACALP, that are potentially exchangeable for an equivalent number of Class A shares.</w:t>
      </w:r>
    </w:p>
    <w:p>
      <w:pPr>
        <w:spacing w:after="0" w:line="9" w:lineRule="exact"/>
        <w:rPr>
          <w:rFonts w:ascii="Arial" w:cs="Arial" w:eastAsia="Arial" w:hAnsi="Arial"/>
          <w:sz w:val="11"/>
          <w:szCs w:val="11"/>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securities held by KAFU and KACALP, except to the extent of his pecuniary interest therein.</w:t>
      </w:r>
    </w:p>
    <w:p>
      <w:pPr>
        <w:spacing w:after="0" w:line="49" w:lineRule="exact"/>
        <w:rPr>
          <w:rFonts w:ascii="Arial" w:cs="Arial" w:eastAsia="Arial" w:hAnsi="Arial"/>
          <w:sz w:val="12"/>
          <w:szCs w:val="12"/>
          <w:color w:val="008000"/>
        </w:rPr>
      </w:pPr>
    </w:p>
    <w:p>
      <w:pPr>
        <w:ind w:left="40" w:right="22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11"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in-kind distribution to redeeming limited partners of KAFU. Such redemptions were made in-kind with Class A shares.</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Robert V. Sinnott</w:t>
            </w:r>
          </w:p>
        </w:tc>
        <w:tc>
          <w:tcPr>
            <w:tcW w:w="11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10/02/2015</w:t>
            </w:r>
          </w:p>
        </w:tc>
      </w:tr>
      <w:tr>
        <w:trPr>
          <w:trHeight w:val="216"/>
        </w:trPr>
        <w:tc>
          <w:tcPr>
            <w:tcW w:w="23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4280" w:hanging="3"/>
        <w:spacing w:after="0" w:line="324"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2020-01-22T10:23:56Z</dcterms:created>
  <dcterms:modified xsi:type="dcterms:W3CDTF">2020-01-22T10:23:56Z</dcterms:modified>
</cp:coreProperties>
</file>