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November 6,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31" w:lineRule="exact"/>
        <w:rPr>
          <w:sz w:val="24"/>
          <w:szCs w:val="24"/>
          <w:color w:val="auto"/>
        </w:rPr>
      </w:pPr>
    </w:p>
    <w:p>
      <w:pPr>
        <w:ind w:right="300"/>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318770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207010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6, 2017, the Registrant issued a press release reporting its third-quarter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8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Exhibit 99.1 — Press Release dated November 6, 2017</w:t>
        </w:r>
      </w:hyperlink>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58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8160" w:type="dxa"/>
            <w:vAlign w:val="bottom"/>
            <w:gridSpan w:val="3"/>
          </w:tcPr>
          <w:p>
            <w:pPr>
              <w:ind w:left="1460"/>
              <w:spacing w:after="0"/>
              <w:rPr>
                <w:sz w:val="20"/>
                <w:szCs w:val="20"/>
                <w:color w:val="auto"/>
              </w:rPr>
            </w:pPr>
            <w:r>
              <w:rPr>
                <w:rFonts w:ascii="Arial" w:cs="Arial" w:eastAsia="Arial" w:hAnsi="Arial"/>
                <w:sz w:val="18"/>
                <w:szCs w:val="18"/>
                <w:color w:val="auto"/>
              </w:rPr>
              <w:t>PLAINS ALL AMERICAN PIPELINE, L.P.</w:t>
            </w:r>
          </w:p>
        </w:tc>
      </w:tr>
      <w:tr>
        <w:trPr>
          <w:trHeight w:val="594"/>
        </w:trPr>
        <w:tc>
          <w:tcPr>
            <w:tcW w:w="3220" w:type="dxa"/>
            <w:vAlign w:val="bottom"/>
          </w:tcPr>
          <w:p>
            <w:pPr>
              <w:spacing w:after="0"/>
              <w:rPr>
                <w:sz w:val="24"/>
                <w:szCs w:val="24"/>
                <w:color w:val="auto"/>
              </w:rPr>
            </w:pPr>
          </w:p>
        </w:tc>
        <w:tc>
          <w:tcPr>
            <w:tcW w:w="8160" w:type="dxa"/>
            <w:vAlign w:val="bottom"/>
            <w:gridSpan w:val="3"/>
          </w:tcPr>
          <w:p>
            <w:pPr>
              <w:ind w:left="1460"/>
              <w:spacing w:after="0"/>
              <w:rPr>
                <w:sz w:val="20"/>
                <w:szCs w:val="20"/>
                <w:color w:val="auto"/>
              </w:rPr>
            </w:pPr>
            <w:r>
              <w:rPr>
                <w:rFonts w:ascii="Arial" w:cs="Arial" w:eastAsia="Arial" w:hAnsi="Arial"/>
                <w:sz w:val="18"/>
                <w:szCs w:val="18"/>
                <w:color w:val="auto"/>
              </w:rPr>
              <w:t>By:  PAA GP LLC, its general partner</w:t>
            </w:r>
          </w:p>
        </w:tc>
      </w:tr>
      <w:tr>
        <w:trPr>
          <w:trHeight w:val="594"/>
        </w:trPr>
        <w:tc>
          <w:tcPr>
            <w:tcW w:w="3220" w:type="dxa"/>
            <w:vAlign w:val="bottom"/>
          </w:tcPr>
          <w:p>
            <w:pPr>
              <w:spacing w:after="0"/>
              <w:rPr>
                <w:sz w:val="24"/>
                <w:szCs w:val="24"/>
                <w:color w:val="auto"/>
              </w:rPr>
            </w:pPr>
          </w:p>
        </w:tc>
        <w:tc>
          <w:tcPr>
            <w:tcW w:w="8160" w:type="dxa"/>
            <w:vAlign w:val="bottom"/>
            <w:gridSpan w:val="3"/>
          </w:tcPr>
          <w:p>
            <w:pPr>
              <w:ind w:left="1460"/>
              <w:spacing w:after="0"/>
              <w:rPr>
                <w:sz w:val="20"/>
                <w:szCs w:val="20"/>
                <w:color w:val="auto"/>
              </w:rPr>
            </w:pPr>
            <w:r>
              <w:rPr>
                <w:rFonts w:ascii="Arial" w:cs="Arial" w:eastAsia="Arial" w:hAnsi="Arial"/>
                <w:sz w:val="18"/>
                <w:szCs w:val="18"/>
                <w:color w:val="auto"/>
              </w:rPr>
              <w:t>By:  PLAINS AAP, L.P., its sole member</w:t>
            </w:r>
          </w:p>
        </w:tc>
      </w:tr>
      <w:tr>
        <w:trPr>
          <w:trHeight w:val="594"/>
        </w:trPr>
        <w:tc>
          <w:tcPr>
            <w:tcW w:w="3220" w:type="dxa"/>
            <w:vAlign w:val="bottom"/>
          </w:tcPr>
          <w:p>
            <w:pPr>
              <w:spacing w:after="0"/>
              <w:rPr>
                <w:sz w:val="24"/>
                <w:szCs w:val="24"/>
                <w:color w:val="auto"/>
              </w:rPr>
            </w:pPr>
          </w:p>
        </w:tc>
        <w:tc>
          <w:tcPr>
            <w:tcW w:w="8160" w:type="dxa"/>
            <w:vAlign w:val="bottom"/>
            <w:gridSpan w:val="3"/>
          </w:tcPr>
          <w:p>
            <w:pPr>
              <w:ind w:left="1460"/>
              <w:spacing w:after="0"/>
              <w:rPr>
                <w:sz w:val="20"/>
                <w:szCs w:val="20"/>
                <w:color w:val="auto"/>
              </w:rPr>
            </w:pPr>
            <w:r>
              <w:rPr>
                <w:rFonts w:ascii="Arial" w:cs="Arial" w:eastAsia="Arial" w:hAnsi="Arial"/>
                <w:sz w:val="18"/>
                <w:szCs w:val="18"/>
                <w:color w:val="auto"/>
              </w:rPr>
              <w:t>By:  PLAINS ALL AMERICAN GP LLC, its general partner</w:t>
            </w:r>
          </w:p>
        </w:tc>
      </w:tr>
      <w:tr>
        <w:trPr>
          <w:trHeight w:val="594"/>
        </w:trPr>
        <w:tc>
          <w:tcPr>
            <w:tcW w:w="3220" w:type="dxa"/>
            <w:vAlign w:val="bottom"/>
          </w:tcPr>
          <w:p>
            <w:pPr>
              <w:spacing w:after="0"/>
              <w:rPr>
                <w:sz w:val="20"/>
                <w:szCs w:val="20"/>
                <w:color w:val="auto"/>
              </w:rPr>
            </w:pPr>
            <w:r>
              <w:rPr>
                <w:rFonts w:ascii="Arial" w:cs="Arial" w:eastAsia="Arial" w:hAnsi="Arial"/>
                <w:sz w:val="18"/>
                <w:szCs w:val="18"/>
                <w:color w:val="auto"/>
              </w:rPr>
              <w:t>Date: November 6, 2017</w:t>
            </w:r>
          </w:p>
        </w:tc>
        <w:tc>
          <w:tcPr>
            <w:tcW w:w="8160" w:type="dxa"/>
            <w:vAlign w:val="bottom"/>
            <w:gridSpan w:val="3"/>
          </w:tcPr>
          <w:p>
            <w:pPr>
              <w:ind w:left="1460"/>
              <w:spacing w:after="0"/>
              <w:rPr>
                <w:sz w:val="20"/>
                <w:szCs w:val="20"/>
                <w:color w:val="auto"/>
              </w:rPr>
            </w:pPr>
            <w:r>
              <w:rPr>
                <w:rFonts w:ascii="Arial" w:cs="Arial" w:eastAsia="Arial" w:hAnsi="Arial"/>
                <w:sz w:val="18"/>
                <w:szCs w:val="18"/>
                <w:color w:val="auto"/>
              </w:rPr>
              <w:t>By:  /s/ Sharon Spurlin</w:t>
            </w:r>
          </w:p>
        </w:tc>
      </w:tr>
      <w:tr>
        <w:trPr>
          <w:trHeight w:val="27"/>
        </w:trPr>
        <w:tc>
          <w:tcPr>
            <w:tcW w:w="3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6"/>
              </w:rPr>
              <w:t>Name:</w:t>
            </w:r>
          </w:p>
        </w:tc>
        <w:tc>
          <w:tcPr>
            <w:tcW w:w="5760" w:type="dxa"/>
            <w:vAlign w:val="bottom"/>
          </w:tcPr>
          <w:p>
            <w:pPr>
              <w:ind w:left="320"/>
              <w:spacing w:after="0"/>
              <w:rPr>
                <w:sz w:val="20"/>
                <w:szCs w:val="20"/>
                <w:color w:val="auto"/>
              </w:rPr>
            </w:pPr>
            <w:r>
              <w:rPr>
                <w:rFonts w:ascii="Arial" w:cs="Arial" w:eastAsia="Arial" w:hAnsi="Arial"/>
                <w:sz w:val="18"/>
                <w:szCs w:val="18"/>
                <w:color w:val="auto"/>
              </w:rPr>
              <w:t>Sharon Spurlin</w:t>
            </w:r>
          </w:p>
        </w:tc>
      </w:tr>
      <w:tr>
        <w:trPr>
          <w:trHeight w:val="270"/>
        </w:trPr>
        <w:tc>
          <w:tcPr>
            <w:tcW w:w="32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Title:</w:t>
            </w:r>
          </w:p>
        </w:tc>
        <w:tc>
          <w:tcPr>
            <w:tcW w:w="5760" w:type="dxa"/>
            <w:vAlign w:val="bottom"/>
          </w:tcPr>
          <w:p>
            <w:pPr>
              <w:ind w:left="320"/>
              <w:spacing w:after="0"/>
              <w:rPr>
                <w:sz w:val="20"/>
                <w:szCs w:val="20"/>
                <w:color w:val="auto"/>
              </w:rPr>
            </w:pPr>
            <w:r>
              <w:rPr>
                <w:rFonts w:ascii="Arial" w:cs="Arial" w:eastAsia="Arial" w:hAnsi="Arial"/>
                <w:sz w:val="18"/>
                <w:szCs w:val="18"/>
                <w:i w:val="1"/>
                <w:iCs w:val="1"/>
                <w:color w:val="auto"/>
              </w:rPr>
              <w:t>Vice President and Treasurer</w:t>
            </w:r>
          </w:p>
        </w:tc>
      </w:tr>
      <w:tr>
        <w:trPr>
          <w:trHeight w:val="702"/>
        </w:trPr>
        <w:tc>
          <w:tcPr>
            <w:tcW w:w="3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tcPr>
          <w:p>
            <w:pPr>
              <w:jc w:val="right"/>
              <w:ind w:right="5570"/>
              <w:spacing w:after="0"/>
              <w:rPr>
                <w:sz w:val="20"/>
                <w:szCs w:val="20"/>
                <w:color w:val="auto"/>
              </w:rPr>
            </w:pPr>
            <w:r>
              <w:rPr>
                <w:rFonts w:ascii="Arial" w:cs="Arial" w:eastAsia="Arial" w:hAnsi="Arial"/>
                <w:sz w:val="18"/>
                <w:szCs w:val="18"/>
                <w:color w:val="auto"/>
                <w:w w:val="79"/>
              </w:rPr>
              <w:t>3</w:t>
            </w:r>
          </w:p>
        </w:tc>
      </w:tr>
    </w:tbl>
    <w:p>
      <w:pPr>
        <w:sectPr>
          <w:pgSz w:w="11900" w:h="16838" w:orient="portrait"/>
          <w:cols w:equalWidth="0" w:num="1">
            <w:col w:w="11420"/>
          </w:cols>
          <w:pgMar w:left="240" w:top="66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Third-Quarter 2017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2017 Full-Year Guidance</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(Houston — November 6, 2017) Plains All American Pipeline, L.P. (NYSE: PAA) and Plains GP Holdings (NYSE: PAGP) today reported third-quarter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9"/>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9"/>
          </w:tcPr>
          <w:p>
            <w:pPr>
              <w:jc w:val="center"/>
              <w:ind w:right="280"/>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9"/>
          </w:tcPr>
          <w:p>
            <w:pPr>
              <w:ind w:left="380"/>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9"/>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w:t>
            </w:r>
          </w:p>
        </w:tc>
      </w:tr>
      <w:tr>
        <w:trPr>
          <w:trHeight w:val="33"/>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1"/>
        </w:trPr>
        <w:tc>
          <w:tcPr>
            <w:tcW w:w="456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ind w:left="1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ind w:right="134"/>
              <w:spacing w:after="0"/>
              <w:rPr>
                <w:sz w:val="20"/>
                <w:szCs w:val="20"/>
                <w:color w:val="auto"/>
              </w:rPr>
            </w:pPr>
            <w:r>
              <w:rPr>
                <w:rFonts w:ascii="Arial" w:cs="Arial" w:eastAsia="Arial" w:hAnsi="Arial"/>
                <w:sz w:val="16"/>
                <w:szCs w:val="16"/>
                <w:b w:val="1"/>
                <w:bCs w:val="1"/>
                <w:color w:val="auto"/>
              </w:rPr>
              <w:t>Change</w:t>
            </w:r>
          </w:p>
        </w:tc>
      </w:tr>
      <w:tr>
        <w:trPr>
          <w:trHeight w:val="33"/>
        </w:trPr>
        <w:tc>
          <w:tcPr>
            <w:tcW w:w="4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Diluted net income/(loss) per common unit</w:t>
            </w: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1"/>
                <w:szCs w:val="21"/>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0.76</w:t>
            </w:r>
          </w:p>
        </w:tc>
        <w:tc>
          <w:tcPr>
            <w:tcW w:w="40" w:type="dxa"/>
            <w:vAlign w:val="bottom"/>
          </w:tcPr>
          <w:p>
            <w:pPr>
              <w:spacing w:after="0"/>
              <w:rPr>
                <w:sz w:val="21"/>
                <w:szCs w:val="21"/>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4"/>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560"/>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9"/>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9"/>
          </w:tcPr>
          <w:p>
            <w:pPr>
              <w:ind w:left="140"/>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24"/>
                <w:szCs w:val="24"/>
                <w:color w:val="auto"/>
              </w:rPr>
            </w:pPr>
          </w:p>
        </w:tc>
      </w:tr>
      <w:tr>
        <w:trPr>
          <w:trHeight w:val="210"/>
        </w:trPr>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9"/>
          </w:tcPr>
          <w:p>
            <w:pPr>
              <w:ind w:left="340"/>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Pr>
          <w:p>
            <w:pPr>
              <w:jc w:val="right"/>
              <w:ind w:right="35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9"/>
          </w:tcPr>
          <w:p>
            <w:pPr>
              <w:ind w:left="34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jc w:val="right"/>
              <w:ind w:right="354"/>
              <w:spacing w:after="0"/>
              <w:rPr>
                <w:sz w:val="20"/>
                <w:szCs w:val="20"/>
                <w:color w:val="auto"/>
              </w:rPr>
            </w:pPr>
            <w:r>
              <w:rPr>
                <w:rFonts w:ascii="Arial" w:cs="Arial" w:eastAsia="Arial" w:hAnsi="Arial"/>
                <w:sz w:val="16"/>
                <w:szCs w:val="16"/>
                <w:b w:val="1"/>
                <w:bCs w:val="1"/>
                <w:color w:val="auto"/>
              </w:rPr>
              <w:t>%</w:t>
            </w:r>
          </w:p>
        </w:tc>
      </w:tr>
      <w:tr>
        <w:trPr>
          <w:trHeight w:val="33"/>
        </w:trPr>
        <w:tc>
          <w:tcPr>
            <w:tcW w:w="4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Change</w:t>
            </w: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Change</w:t>
            </w:r>
          </w:p>
        </w:tc>
      </w:tr>
      <w:tr>
        <w:trPr>
          <w:trHeight w:val="244"/>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0.21</w:t>
            </w:r>
          </w:p>
        </w:tc>
        <w:tc>
          <w:tcPr>
            <w:tcW w:w="4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40" w:type="dxa"/>
            <w:vAlign w:val="bottom"/>
          </w:tcPr>
          <w:p>
            <w:pPr>
              <w:spacing w:after="0"/>
              <w:rPr>
                <w:sz w:val="21"/>
                <w:szCs w:val="21"/>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5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1,452</w:t>
            </w: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“PAA reported third-quarter results that were slightly above guidance,” stated Greg L. Armstrong, Chairman and CEO of Plains All American Pipeline. “We are on track to execute our leverage reduction plan, on-time and on-budget with our capital program and making progress on a number of additional commercial initiatives. Additionally, due to significant preparation, coordination and execution by our employees, the recent hurricanes had minimal impact on our operations and financial results and we were able to service our customers without interruption. I want to publicly thank our employees and vendors for their commitment and hard work in that regard and also for the actions they took to help one another and our communities in the recovery efforts.”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third quarter and first nine months of 2017 and 2016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363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308</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8"/>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8"/>
                <w:szCs w:val="18"/>
                <w:b w:val="1"/>
                <w:bCs w:val="1"/>
                <w:i w:val="1"/>
                <w:i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15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20955</wp:posOffset>
            </wp:positionV>
            <wp:extent cx="2615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20955</wp:posOffset>
            </wp:positionV>
            <wp:extent cx="2512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8120" w:space="720"/>
            <w:col w:w="258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99"/>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Logistics</w:t>
            </w:r>
          </w:p>
        </w:tc>
        <w:tc>
          <w:tcPr>
            <w:tcW w:w="0" w:type="dxa"/>
            <w:vAlign w:val="bottom"/>
          </w:tcPr>
          <w:p>
            <w:pPr>
              <w:spacing w:after="0"/>
              <w:rPr>
                <w:sz w:val="1"/>
                <w:szCs w:val="1"/>
                <w:color w:val="auto"/>
              </w:rPr>
            </w:pPr>
          </w:p>
        </w:tc>
      </w:tr>
      <w:tr>
        <w:trPr>
          <w:trHeight w:val="263"/>
        </w:trPr>
        <w:tc>
          <w:tcPr>
            <w:tcW w:w="3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8"/>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8"/>
                <w:szCs w:val="18"/>
                <w:b w:val="1"/>
                <w:bCs w:val="1"/>
                <w:i w:val="1"/>
                <w:iCs w:val="1"/>
                <w:color w:val="auto"/>
              </w:rPr>
              <w:t>**</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340" w:right="100" w:hanging="332"/>
        <w:spacing w:after="0" w:line="223"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Prior-period segment amounts have been recast to reflect these changes.</w:t>
      </w:r>
    </w:p>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Third-quarter 2017 Transportation segment adjusted EBITDA increased by 18% over comparable 2016 results. This increase was primarily driven by increased volumes on our Permian Basin systems, in addition to contributions from our Eagle Ford JV system, which receives Permian volumes from our Cactus pipeline.</w:t>
      </w:r>
    </w:p>
    <w:p>
      <w:pPr>
        <w:spacing w:after="0" w:line="18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Third-quarter 2017 Facilities segment adjusted EBITDA increased by 6% versus comparable 2016 results. This increase was primarily driven by higher fee-based revenues at certain of our NGL facilities, partially offset by lower rail activity and the impact of an asset sale completed in June 2017.</w:t>
      </w:r>
    </w:p>
    <w:p>
      <w:pPr>
        <w:spacing w:after="0" w:line="124"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Overall negative Supply &amp; Logistics results for both third-quarter periods primarily relate to the seasonality of our NGL supply business. Third-quarter 2017 Supply and Logistics segment adjusted EBITDA decreased by $39 million relative to comparable 2016 results due to continued competitive pressures, margin compression, and reduced arbitrage opportunities.</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Partnership estimates an approximate $6 million third-quarter 2017 adjusted EBITDA aggregate impact due to lower volumes resulting from operational downtime associated with Hurricane Harvey.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2017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60" w:type="dxa"/>
            <w:vAlign w:val="bottom"/>
            <w:gridSpan w:val="6"/>
          </w:tcPr>
          <w:p>
            <w:pPr>
              <w:jc w:val="right"/>
              <w:ind w:right="30"/>
              <w:spacing w:after="0"/>
              <w:rPr>
                <w:sz w:val="20"/>
                <w:szCs w:val="20"/>
                <w:color w:val="auto"/>
              </w:rPr>
            </w:pPr>
            <w:r>
              <w:rPr>
                <w:rFonts w:ascii="Arial" w:cs="Arial" w:eastAsia="Arial" w:hAnsi="Arial"/>
                <w:sz w:val="16"/>
                <w:szCs w:val="16"/>
                <w:b w:val="1"/>
                <w:bCs w:val="1"/>
                <w:color w:val="auto"/>
              </w:rPr>
              <w:t>Twelve Months Ended December 31,</w:t>
            </w:r>
          </w:p>
        </w:tc>
        <w:tc>
          <w:tcPr>
            <w:tcW w:w="12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 (G)</w:t>
            </w:r>
          </w:p>
        </w:tc>
      </w:tr>
      <w:tr>
        <w:trPr>
          <w:trHeight w:val="33"/>
        </w:trPr>
        <w:tc>
          <w:tcPr>
            <w:tcW w:w="60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631"/>
              <w:spacing w:after="0"/>
              <w:rPr>
                <w:sz w:val="20"/>
                <w:szCs w:val="20"/>
                <w:color w:val="auto"/>
              </w:rPr>
            </w:pPr>
            <w:r>
              <w:rPr>
                <w:rFonts w:ascii="Arial" w:cs="Arial" w:eastAsia="Arial" w:hAnsi="Arial"/>
                <w:sz w:val="16"/>
                <w:szCs w:val="16"/>
                <w:color w:val="auto"/>
              </w:rPr>
              <w:t>+ / -</w:t>
            </w:r>
          </w:p>
        </w:tc>
      </w:tr>
      <w:tr>
        <w:trPr>
          <w:trHeight w:val="33"/>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Adjusted EBITDA</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1120" w:type="dxa"/>
            <w:vAlign w:val="bottom"/>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1,275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120" w:type="dxa"/>
            <w:vAlign w:val="bottom"/>
            <w:tcBorders>
              <w:top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1,644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2,000</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Supply and Logistics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income/(expense), net</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1120" w:type="dxa"/>
            <w:vAlign w:val="bottom"/>
            <w:tcBorders>
              <w:bottom w:val="single" w:sz="8" w:color="auto"/>
            </w:tcBorders>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2,075</w:t>
            </w:r>
          </w:p>
        </w:tc>
      </w:tr>
      <w:tr>
        <w:trPr>
          <w:trHeight w:val="20"/>
        </w:trPr>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Maintenance capital</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Current income tax expense</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304"/>
        </w:trPr>
        <w:tc>
          <w:tcPr>
            <w:tcW w:w="606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1120" w:type="dxa"/>
            <w:vAlign w:val="bottom"/>
            <w:tcBorders>
              <w:top w:val="single" w:sz="8" w:color="auto"/>
              <w:bottom w:val="single" w:sz="8" w:color="auto"/>
            </w:tcBorders>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1,330</w:t>
            </w:r>
          </w:p>
        </w:tc>
      </w:tr>
      <w:tr>
        <w:trPr>
          <w:trHeight w:val="305"/>
        </w:trPr>
        <w:tc>
          <w:tcPr>
            <w:tcW w:w="60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Data</w:t>
            </w: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Transportation</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4,637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5,160</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Facilities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capacity (MMBbls/Mo)</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Average daily volumes (MBbls/d)</w:t>
            </w:r>
          </w:p>
        </w:tc>
        <w:tc>
          <w:tcPr>
            <w:tcW w:w="11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1,205</w:t>
            </w:r>
          </w:p>
        </w:tc>
      </w:tr>
      <w:tr>
        <w:trPr>
          <w:trHeight w:val="27"/>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Segment Adjusted EBITDA per barrel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Expansion Capital</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1,050</w:t>
            </w:r>
          </w:p>
        </w:tc>
      </w:tr>
      <w:tr>
        <w:trPr>
          <w:trHeight w:val="324"/>
        </w:trPr>
        <w:tc>
          <w:tcPr>
            <w:tcW w:w="6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Fourth-Quarter Adjusted EBITDA as Percentage of Full Year</w:t>
            </w: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w:t>
            </w:r>
          </w:p>
        </w:tc>
      </w:tr>
      <w:tr>
        <w:trPr>
          <w:trHeight w:val="27"/>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color w:val="auto"/>
        </w:rPr>
        <w:t>(G) 2017 Guidance forecasts are intended to be + / - amounts.</w:t>
      </w:r>
    </w:p>
    <w:p>
      <w:pPr>
        <w:spacing w:after="0" w:line="165" w:lineRule="exact"/>
        <w:rPr>
          <w:sz w:val="20"/>
          <w:szCs w:val="20"/>
          <w:color w:val="auto"/>
        </w:rPr>
      </w:pPr>
    </w:p>
    <w:p>
      <w:pPr>
        <w:ind w:left="340" w:right="20" w:hanging="332"/>
        <w:spacing w:after="0" w:line="272"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See the section of this release entitled “Non-GAAP Financial Measures and Selected Items Impacting Comparability” and the Financial Data Reconciliations table attached hereto for information regarding non-GAAP financial measures and, for the historical 2015 and 2016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9"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246" w:lineRule="exact"/>
        <w:rPr>
          <w:rFonts w:ascii="Arial" w:cs="Arial" w:eastAsia="Arial" w:hAnsi="Arial"/>
          <w:sz w:val="13"/>
          <w:szCs w:val="13"/>
          <w:color w:val="auto"/>
        </w:rPr>
      </w:pPr>
    </w:p>
    <w:p>
      <w:pPr>
        <w:ind w:left="5520" w:hanging="96"/>
        <w:spacing w:after="0"/>
        <w:tabs>
          <w:tab w:leader="none" w:pos="5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Q3 2017</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2017</w:t>
            </w:r>
          </w:p>
        </w:tc>
        <w:tc>
          <w:tcPr>
            <w:tcW w:w="240" w:type="dxa"/>
            <w:vAlign w:val="bottom"/>
          </w:tcPr>
          <w:p>
            <w:pPr>
              <w:spacing w:after="0"/>
              <w:rPr>
                <w:sz w:val="18"/>
                <w:szCs w:val="18"/>
                <w:color w:val="auto"/>
              </w:rPr>
            </w:pPr>
          </w:p>
        </w:tc>
        <w:tc>
          <w:tcPr>
            <w:tcW w:w="1020" w:type="dxa"/>
            <w:vAlign w:val="bottom"/>
          </w:tcPr>
          <w:p>
            <w:pPr>
              <w:jc w:val="right"/>
              <w:ind w:right="253"/>
              <w:spacing w:after="0"/>
              <w:rPr>
                <w:sz w:val="20"/>
                <w:szCs w:val="20"/>
                <w:color w:val="auto"/>
              </w:rPr>
            </w:pPr>
            <w:r>
              <w:rPr>
                <w:rFonts w:ascii="Arial" w:cs="Arial" w:eastAsia="Arial" w:hAnsi="Arial"/>
                <w:sz w:val="16"/>
                <w:szCs w:val="16"/>
                <w:b w:val="1"/>
                <w:bCs w:val="1"/>
                <w:color w:val="auto"/>
              </w:rPr>
              <w:t>Q3 2016</w:t>
            </w:r>
          </w:p>
        </w:tc>
      </w:tr>
      <w:tr>
        <w:trPr>
          <w:trHeight w:val="33"/>
        </w:trPr>
        <w:tc>
          <w:tcPr>
            <w:tcW w:w="7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5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0.55</w:t>
            </w:r>
          </w:p>
        </w:tc>
      </w:tr>
      <w:tr>
        <w:trPr>
          <w:trHeight w:val="257"/>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Q3 2017 distribution percentage change from prior periods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9:00 a.m. CT on Tuesday, November 7,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third-quarter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To access the internet webcast please go to </w:t>
      </w:r>
      <w:r>
        <w:rPr>
          <w:rFonts w:ascii="Arial" w:cs="Arial" w:eastAsia="Arial" w:hAnsi="Arial"/>
          <w:sz w:val="18"/>
          <w:szCs w:val="18"/>
          <w:u w:val="single" w:color="auto"/>
          <w:color w:val="0000FF"/>
        </w:rPr>
        <w:t>https://event.webcasts.com/starthere.jsp?ei=1165323&amp;tp_key=ec99532516</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or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infrastructure projects, which impacts volumes, margins, returns and overall earnings; unanticipated changes in crude oil and NGL market structure, grade differentials and volatility (or lack thereof); maintenance of our credit rating and ability to receive open credit from our suppliers and trade counterparties;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failure to consummate, or significant delay in consummating, sales of assets or interests as a part of our strategic divestiture program;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6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5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1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13,454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Current income tax benefit/(expense)</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1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INCOME/(LOSS) PER COMMON UNIT:</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6"/>
              </w:rPr>
              <w:t>Net income/(loss) allocated to common unitholders — Basic</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30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Basic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CCEEFF"/>
            </w:tcBorders>
            <w:shd w:val="clear" w:color="auto" w:fill="CCEEFF"/>
          </w:tcPr>
          <w:p>
            <w:pPr>
              <w:spacing w:after="0"/>
              <w:rPr>
                <w:sz w:val="23"/>
                <w:szCs w:val="23"/>
                <w:color w:val="auto"/>
              </w:rPr>
            </w:pPr>
          </w:p>
        </w:tc>
        <w:tc>
          <w:tcPr>
            <w:tcW w:w="17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00"/>
              <w:spacing w:after="0"/>
              <w:rPr>
                <w:sz w:val="20"/>
                <w:szCs w:val="20"/>
                <w:color w:val="auto"/>
              </w:rPr>
            </w:pPr>
            <w:r>
              <w:rPr>
                <w:rFonts w:ascii="Arial" w:cs="Arial" w:eastAsia="Arial" w:hAnsi="Arial"/>
                <w:sz w:val="18"/>
                <w:szCs w:val="18"/>
                <w:color w:val="auto"/>
                <w:w w:val="94"/>
              </w:rPr>
              <w:t>Net income/(loss) allocated to common unitholders — Diluted</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1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64"/>
        </w:trPr>
        <w:tc>
          <w:tcPr>
            <w:tcW w:w="4820" w:type="dxa"/>
            <w:vAlign w:val="bottom"/>
            <w:gridSpan w:val="2"/>
          </w:tcPr>
          <w:p>
            <w:pPr>
              <w:ind w:left="200"/>
              <w:spacing w:after="0"/>
              <w:rPr>
                <w:sz w:val="20"/>
                <w:szCs w:val="20"/>
                <w:color w:val="auto"/>
              </w:rPr>
            </w:pPr>
            <w:r>
              <w:rPr>
                <w:rFonts w:ascii="Arial" w:cs="Arial" w:eastAsia="Arial" w:hAnsi="Arial"/>
                <w:sz w:val="18"/>
                <w:szCs w:val="18"/>
                <w:color w:val="auto"/>
              </w:rPr>
              <w:t>Diluted net income/(loss) per common unit</w:t>
            </w: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1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82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60" w:type="dxa"/>
            <w:vAlign w:val="bottom"/>
            <w:gridSpan w:val="2"/>
          </w:tcPr>
          <w:p>
            <w:pPr>
              <w:jc w:val="right"/>
              <w:ind w:right="690"/>
              <w:spacing w:after="0"/>
              <w:rPr>
                <w:sz w:val="20"/>
                <w:szCs w:val="20"/>
                <w:color w:val="auto"/>
              </w:rPr>
            </w:pPr>
            <w:r>
              <w:rPr>
                <w:rFonts w:ascii="Arial" w:cs="Arial" w:eastAsia="Arial" w:hAnsi="Arial"/>
                <w:sz w:val="18"/>
                <w:szCs w:val="18"/>
                <w:color w:val="auto"/>
              </w:rPr>
              <w:t>- more -</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82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Houston, Texas 77002</w:t>
            </w:r>
          </w:p>
        </w:tc>
        <w:tc>
          <w:tcPr>
            <w:tcW w:w="920" w:type="dxa"/>
            <w:vAlign w:val="bottom"/>
          </w:tcPr>
          <w:p>
            <w:pPr>
              <w:spacing w:after="0"/>
              <w:rPr>
                <w:sz w:val="24"/>
                <w:szCs w:val="24"/>
                <w:color w:val="auto"/>
              </w:rPr>
            </w:pPr>
          </w:p>
        </w:tc>
        <w:tc>
          <w:tcPr>
            <w:tcW w:w="2480" w:type="dxa"/>
            <w:vAlign w:val="bottom"/>
            <w:gridSpan w:val="6"/>
          </w:tcPr>
          <w:p>
            <w:pPr>
              <w:jc w:val="right"/>
              <w:ind w:right="212"/>
              <w:spacing w:after="0"/>
              <w:rPr>
                <w:sz w:val="20"/>
                <w:szCs w:val="20"/>
                <w:color w:val="auto"/>
              </w:rPr>
            </w:pPr>
            <w:r>
              <w:rPr>
                <w:rFonts w:ascii="Arial" w:cs="Arial" w:eastAsia="Arial" w:hAnsi="Arial"/>
                <w:sz w:val="18"/>
                <w:szCs w:val="18"/>
                <w:b w:val="1"/>
                <w:bCs w:val="1"/>
                <w:color w:val="auto"/>
                <w:w w:val="90"/>
              </w:rPr>
              <w:t>713-646-4100 / 866-809-1291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4,016</w:t>
            </w:r>
          </w:p>
        </w:tc>
        <w:tc>
          <w:tcPr>
            <w:tcW w:w="8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4,664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15,203</w:t>
            </w:r>
          </w:p>
        </w:tc>
        <w:tc>
          <w:tcPr>
            <w:tcW w:w="8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8,759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7"/>
        </w:trPr>
        <w:tc>
          <w:tcPr>
            <w:tcW w:w="8420" w:type="dxa"/>
            <w:vAlign w:val="bottom"/>
            <w:gridSpan w:val="2"/>
          </w:tcPr>
          <w:p>
            <w:pPr>
              <w:ind w:left="200"/>
              <w:spacing w:after="0"/>
              <w:rPr>
                <w:sz w:val="20"/>
                <w:szCs w:val="20"/>
                <w:color w:val="auto"/>
              </w:rPr>
            </w:pPr>
            <w:r>
              <w:rPr>
                <w:rFonts w:ascii="Arial" w:cs="Arial" w:eastAsia="Arial" w:hAnsi="Arial"/>
                <w:sz w:val="18"/>
                <w:szCs w:val="18"/>
                <w:color w:val="auto"/>
              </w:rPr>
              <w:t>Total partners' capital</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25,483</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4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15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10,489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11,407</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11,839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10,280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20,769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20" w:type="dxa"/>
            <w:vAlign w:val="bottom"/>
            <w:gridSpan w:val="2"/>
          </w:tcPr>
          <w:p>
            <w:pPr>
              <w:ind w:left="360"/>
              <w:spacing w:after="0"/>
              <w:rPr>
                <w:sz w:val="20"/>
                <w:szCs w:val="20"/>
                <w:color w:val="auto"/>
              </w:rPr>
            </w:pPr>
            <w:r>
              <w:rPr>
                <w:rFonts w:ascii="Arial" w:cs="Arial" w:eastAsia="Arial" w:hAnsi="Arial"/>
                <w:sz w:val="18"/>
                <w:szCs w:val="18"/>
                <w:color w:val="auto"/>
              </w:rPr>
              <w:t>Total book capitalization, including short-term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4"/>
                <w:szCs w:val="24"/>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21,687</w:t>
            </w:r>
          </w:p>
        </w:tc>
        <w:tc>
          <w:tcPr>
            <w:tcW w:w="80" w:type="dxa"/>
            <w:vAlign w:val="bottom"/>
          </w:tcPr>
          <w:p>
            <w:pPr>
              <w:spacing w:after="0"/>
              <w:rPr>
                <w:sz w:val="24"/>
                <w:szCs w:val="24"/>
                <w:color w:val="auto"/>
              </w:rPr>
            </w:pP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20,655</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56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420" w:type="dxa"/>
            <w:vAlign w:val="bottom"/>
            <w:gridSpan w:val="2"/>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82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2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As of September 30, 2017 and December 31, 2016, short-term debt includes borrowings of approximately $724 million and $1,303 million, respectively, for short-term hedged inventory purchases and borrowings of approximately $194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3"/>
          </w:tcPr>
          <w:p>
            <w:pPr>
              <w:jc w:val="right"/>
              <w:ind w:right="3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38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5,341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4,602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w:t>
            </w: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capacity in millions of barrels)</w:t>
            </w:r>
          </w:p>
        </w:tc>
        <w:tc>
          <w:tcPr>
            <w:tcW w:w="1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tcBorders>
              <w:bottom w:val="single" w:sz="8" w:color="CCEEFF"/>
            </w:tcBorders>
          </w:tcPr>
          <w:p>
            <w:pPr>
              <w:ind w:left="40"/>
              <w:spacing w:after="0" w:line="257" w:lineRule="exact"/>
              <w:rPr>
                <w:sz w:val="20"/>
                <w:szCs w:val="20"/>
                <w:color w:val="auto"/>
              </w:rPr>
            </w:pPr>
            <w:r>
              <w:rPr>
                <w:rFonts w:ascii="Arial" w:cs="Arial" w:eastAsia="Arial" w:hAnsi="Arial"/>
                <w:sz w:val="18"/>
                <w:szCs w:val="18"/>
                <w:color w:val="auto"/>
                <w:w w:val="96"/>
              </w:rPr>
              <w:t xml:space="preserve">Facilities segment total volumes (average monthly volumes in millions of barrels) </w:t>
            </w:r>
            <w:r>
              <w:rPr>
                <w:rFonts w:ascii="Arial" w:cs="Arial" w:eastAsia="Arial" w:hAnsi="Arial"/>
                <w:sz w:val="25"/>
                <w:szCs w:val="25"/>
                <w:color w:val="auto"/>
                <w:w w:val="96"/>
                <w:vertAlign w:val="superscript"/>
              </w:rPr>
              <w:t>(3)</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w w:val="92"/>
              </w:rPr>
              <w:t>Supply and Logistics segment (average daily volumes in thousands of barrels per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0"/>
              <w:spacing w:after="0"/>
              <w:rPr>
                <w:sz w:val="20"/>
                <w:szCs w:val="20"/>
                <w:color w:val="auto"/>
              </w:rPr>
            </w:pPr>
            <w:r>
              <w:rPr>
                <w:rFonts w:ascii="Arial" w:cs="Arial" w:eastAsia="Arial" w:hAnsi="Arial"/>
                <w:sz w:val="18"/>
                <w:szCs w:val="18"/>
                <w:b w:val="1"/>
                <w:bCs w:val="1"/>
                <w:color w:val="auto"/>
              </w:rPr>
              <w:t>day):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Average volumes are calculated as total volumes for the period (attributable to our interest) divided by the number of days or months in the period.</w:t>
      </w:r>
    </w:p>
    <w:p>
      <w:pPr>
        <w:spacing w:after="0" w:line="50"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8"/>
        </w:numPr>
        <w:rPr>
          <w:rFonts w:ascii="Arial" w:cs="Arial" w:eastAsia="Arial" w:hAnsi="Arial"/>
          <w:sz w:val="20"/>
          <w:szCs w:val="20"/>
          <w:color w:val="auto"/>
          <w:vertAlign w:val="superscript"/>
        </w:rPr>
      </w:pPr>
      <w:r>
        <w:rPr>
          <w:rFonts w:ascii="Arial" w:cs="Arial" w:eastAsia="Arial" w:hAnsi="Arial"/>
          <w:sz w:val="13"/>
          <w:szCs w:val="13"/>
          <w:color w:val="auto"/>
        </w:rPr>
        <w:t>Region includes volumes (attributable to our interest) from pipelines owned by unconsolidated entities.</w:t>
      </w:r>
    </w:p>
    <w:p>
      <w:pPr>
        <w:spacing w:after="0" w:line="50" w:lineRule="exact"/>
        <w:rPr>
          <w:rFonts w:ascii="Arial" w:cs="Arial" w:eastAsia="Arial" w:hAnsi="Arial"/>
          <w:sz w:val="20"/>
          <w:szCs w:val="20"/>
          <w:color w:val="auto"/>
          <w:vertAlign w:val="superscript"/>
        </w:rPr>
      </w:pPr>
    </w:p>
    <w:p>
      <w:pPr>
        <w:jc w:val="both"/>
        <w:ind w:left="340" w:hanging="332"/>
        <w:spacing w:after="0" w:line="210"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26"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Income/(Loss)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Net Income/(Loss)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income/(loss)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400</w:t>
            </w: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net income/(loss) per common unit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39"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43" w:lineRule="exact"/>
        <w:rPr>
          <w:rFonts w:ascii="Arial" w:cs="Arial" w:eastAsia="Arial" w:hAnsi="Arial"/>
          <w:sz w:val="25"/>
          <w:szCs w:val="25"/>
          <w:color w:val="auto"/>
          <w:vertAlign w:val="superscript"/>
        </w:rPr>
      </w:pPr>
    </w:p>
    <w:p>
      <w:pPr>
        <w:ind w:left="340" w:hanging="332"/>
        <w:spacing w:after="0" w:line="23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 Such LTIP awards were excluded from the calculation of diluted net loss per common unit for the three months ended September 30, 2017 as the effect was antidilutive.</w:t>
      </w:r>
    </w:p>
    <w:p>
      <w:pPr>
        <w:spacing w:after="0" w:line="42" w:lineRule="exact"/>
        <w:rPr>
          <w:rFonts w:ascii="Arial" w:cs="Arial" w:eastAsia="Arial" w:hAnsi="Arial"/>
          <w:sz w:val="25"/>
          <w:szCs w:val="25"/>
          <w:color w:val="auto"/>
          <w:vertAlign w:val="superscript"/>
        </w:rPr>
      </w:pPr>
    </w:p>
    <w:p>
      <w:pPr>
        <w:ind w:left="340" w:right="6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nine months ended September 30, 2017 and 2016 as the effect was antidilutive.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5,574</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(5,729)</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right="300" w:hanging="332"/>
        <w:spacing w:after="0" w:line="221" w:lineRule="auto"/>
        <w:tabs>
          <w:tab w:leader="none" w:pos="340" w:val="left"/>
        </w:tabs>
        <w:numPr>
          <w:ilvl w:val="0"/>
          <w:numId w:val="10"/>
        </w:numPr>
        <w:rPr>
          <w:rFonts w:ascii="Arial" w:cs="Arial" w:eastAsia="Arial" w:hAnsi="Arial"/>
          <w:sz w:val="27"/>
          <w:szCs w:val="27"/>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Includes intersegment amounts.</w:t>
      </w:r>
    </w:p>
    <w:p>
      <w:pPr>
        <w:spacing w:after="0" w:line="51" w:lineRule="exact"/>
        <w:rPr>
          <w:rFonts w:ascii="Arial" w:cs="Arial" w:eastAsia="Arial" w:hAnsi="Arial"/>
          <w:sz w:val="29"/>
          <w:szCs w:val="29"/>
          <w:color w:val="auto"/>
          <w:vertAlign w:val="superscript"/>
        </w:rPr>
      </w:pPr>
    </w:p>
    <w:p>
      <w:pPr>
        <w:ind w:left="340" w:right="360" w:hanging="332"/>
        <w:spacing w:after="0" w:line="185"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Field operating costs and Segment general and administrative expenses exclude equity-indexed compensation expense, which is presented separately in the table above.</w:t>
      </w:r>
    </w:p>
    <w:p>
      <w:pPr>
        <w:spacing w:after="0" w:line="37" w:lineRule="exact"/>
        <w:rPr>
          <w:rFonts w:ascii="Arial" w:cs="Arial" w:eastAsia="Arial" w:hAnsi="Arial"/>
          <w:sz w:val="29"/>
          <w:szCs w:val="29"/>
          <w:color w:val="auto"/>
          <w:vertAlign w:val="superscript"/>
        </w:rPr>
      </w:pPr>
    </w:p>
    <w:p>
      <w:pPr>
        <w:ind w:left="340" w:right="700" w:hanging="332"/>
        <w:spacing w:after="0" w:line="22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7" w:lineRule="exact"/>
        <w:rPr>
          <w:rFonts w:ascii="Arial" w:cs="Arial" w:eastAsia="Arial" w:hAnsi="Arial"/>
          <w:sz w:val="25"/>
          <w:szCs w:val="25"/>
          <w:color w:val="auto"/>
          <w:vertAlign w:val="superscript"/>
        </w:rPr>
      </w:pPr>
    </w:p>
    <w:p>
      <w:pPr>
        <w:ind w:left="340" w:right="280" w:hanging="332"/>
        <w:spacing w:after="0" w:line="207" w:lineRule="auto"/>
        <w:tabs>
          <w:tab w:leader="none" w:pos="34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31"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3"/>
                <w:szCs w:val="13"/>
                <w:color w:val="auto"/>
              </w:rPr>
            </w:pPr>
          </w:p>
        </w:tc>
        <w:tc>
          <w:tcPr>
            <w:tcW w:w="1300" w:type="dxa"/>
            <w:vAlign w:val="bottom"/>
            <w:gridSpan w:val="3"/>
          </w:tcPr>
          <w:p>
            <w:pPr>
              <w:jc w:val="center"/>
              <w:ind w:right="440"/>
              <w:spacing w:after="0" w:line="153" w:lineRule="exact"/>
              <w:rPr>
                <w:sz w:val="20"/>
                <w:szCs w:val="20"/>
                <w:color w:val="auto"/>
              </w:rPr>
            </w:pPr>
            <w:r>
              <w:rPr>
                <w:rFonts w:ascii="Arial" w:cs="Arial" w:eastAsia="Arial" w:hAnsi="Arial"/>
                <w:sz w:val="14"/>
                <w:szCs w:val="14"/>
                <w:b w:val="1"/>
                <w:bCs w:val="1"/>
                <w:color w:val="auto"/>
                <w:w w:val="92"/>
              </w:rPr>
              <w:t>Supply and</w:t>
            </w:r>
          </w:p>
        </w:tc>
        <w:tc>
          <w:tcPr>
            <w:tcW w:w="14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Logistics</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1,260</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17,757</w:t>
            </w:r>
          </w:p>
        </w:tc>
        <w:tc>
          <w:tcPr>
            <w:tcW w:w="140" w:type="dxa"/>
            <w:vAlign w:val="bottom"/>
            <w:tcBorders>
              <w:top w:val="single" w:sz="8" w:color="CCEEFF"/>
              <w:right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13,353</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(17,407)</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(13,031)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6" w:lineRule="exact"/>
        <w:rPr>
          <w:sz w:val="20"/>
          <w:szCs w:val="20"/>
          <w:color w:val="auto"/>
        </w:rPr>
      </w:pPr>
    </w:p>
    <w:p>
      <w:pPr>
        <w:ind w:left="340" w:right="100" w:hanging="332"/>
        <w:spacing w:after="0" w:line="211" w:lineRule="auto"/>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During the fourth quarter of 2016, we modified our primary segment performance measure to segment adjusted EBITDA from segment profit. Segment adjusted EBITDA forms the basis of our internal financial reporting and is the primary measure used by our CODM in assessing performance and allocating resources among our operating segments. Prior period segment amounts have been recast to reflect this change.</w:t>
      </w:r>
    </w:p>
    <w:p>
      <w:pPr>
        <w:ind w:left="340" w:hanging="332"/>
        <w:spacing w:after="0" w:line="184"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Includes intersegment amounts.</w:t>
      </w:r>
    </w:p>
    <w:p>
      <w:pPr>
        <w:spacing w:after="0" w:line="49" w:lineRule="exact"/>
        <w:rPr>
          <w:rFonts w:ascii="Arial" w:cs="Arial" w:eastAsia="Arial" w:hAnsi="Arial"/>
          <w:sz w:val="29"/>
          <w:szCs w:val="29"/>
          <w:color w:val="auto"/>
          <w:vertAlign w:val="superscript"/>
        </w:rPr>
      </w:pPr>
    </w:p>
    <w:p>
      <w:pPr>
        <w:ind w:left="340" w:right="180" w:hanging="332"/>
        <w:spacing w:after="0" w:line="182"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35" w:lineRule="exact"/>
        <w:rPr>
          <w:rFonts w:ascii="Arial" w:cs="Arial" w:eastAsia="Arial" w:hAnsi="Arial"/>
          <w:sz w:val="29"/>
          <w:szCs w:val="29"/>
          <w:color w:val="auto"/>
          <w:vertAlign w:val="superscript"/>
        </w:rPr>
      </w:pPr>
    </w:p>
    <w:p>
      <w:pPr>
        <w:ind w:left="340" w:right="520" w:hanging="332"/>
        <w:spacing w:after="0" w:line="211" w:lineRule="auto"/>
        <w:tabs>
          <w:tab w:leader="none" w:pos="3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4" w:lineRule="exact"/>
        <w:rPr>
          <w:rFonts w:ascii="Arial" w:cs="Arial" w:eastAsia="Arial" w:hAnsi="Arial"/>
          <w:sz w:val="26"/>
          <w:szCs w:val="26"/>
          <w:color w:val="auto"/>
          <w:vertAlign w:val="superscript"/>
        </w:rPr>
      </w:pPr>
    </w:p>
    <w:p>
      <w:pPr>
        <w:ind w:left="340" w:right="120" w:hanging="332"/>
        <w:spacing w:after="0" w:line="201" w:lineRule="auto"/>
        <w:tabs>
          <w:tab w:leader="none" w:pos="3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18" w:lineRule="exact"/>
        <w:rPr>
          <w:rFonts w:ascii="Arial" w:cs="Arial" w:eastAsia="Arial" w:hAnsi="Arial"/>
          <w:sz w:val="29"/>
          <w:szCs w:val="29"/>
          <w:color w:val="auto"/>
          <w:vertAlign w:val="superscript"/>
        </w:rPr>
      </w:pPr>
    </w:p>
    <w:p>
      <w:pPr>
        <w:ind w:left="5520" w:hanging="96"/>
        <w:spacing w:after="0"/>
        <w:tabs>
          <w:tab w:leader="none" w:pos="5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7"/>
                <w:szCs w:val="17"/>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3"/>
          </w:tcPr>
          <w:p>
            <w:pPr>
              <w:jc w:val="right"/>
              <w:ind w:right="232"/>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65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760" w:type="dxa"/>
            <w:vAlign w:val="bottom"/>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(147)</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(25)</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5"/>
                <w:szCs w:val="25"/>
                <w:color w:val="auto"/>
                <w:vertAlign w:val="superscript"/>
              </w:rPr>
              <w:t>(7)</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26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65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(224)</w:t>
            </w: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6520" w:type="dxa"/>
            <w:vAlign w:val="bottom"/>
          </w:tcPr>
          <w:p>
            <w:pPr>
              <w:ind w:left="200"/>
              <w:spacing w:after="0"/>
              <w:rPr>
                <w:sz w:val="20"/>
                <w:szCs w:val="20"/>
                <w:color w:val="auto"/>
              </w:rPr>
            </w:pPr>
            <w:r>
              <w:rPr>
                <w:rFonts w:ascii="Arial" w:cs="Arial" w:eastAsia="Arial" w:hAnsi="Arial"/>
                <w:sz w:val="18"/>
                <w:szCs w:val="18"/>
                <w:color w:val="auto"/>
                <w:w w:val="97"/>
              </w:rPr>
              <w:t>Selected items impacting comparability - Adjusted net income attributable to PAA</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4"/>
          <w:szCs w:val="24"/>
          <w:color w:val="auto"/>
          <w:vertAlign w:val="superscript"/>
        </w:rPr>
      </w:pPr>
    </w:p>
    <w:p>
      <w:pPr>
        <w:ind w:left="340" w:right="20" w:hanging="332"/>
        <w:spacing w:after="0" w:line="236"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43" w:lineRule="exact"/>
        <w:rPr>
          <w:rFonts w:ascii="Arial" w:cs="Arial" w:eastAsia="Arial" w:hAnsi="Arial"/>
          <w:sz w:val="23"/>
          <w:szCs w:val="23"/>
          <w:color w:val="auto"/>
          <w:vertAlign w:val="superscript"/>
        </w:rPr>
      </w:pPr>
    </w:p>
    <w:p>
      <w:pPr>
        <w:ind w:left="340" w:right="180" w:hanging="332"/>
        <w:spacing w:after="0" w:line="250"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7" w:lineRule="exact"/>
        <w:rPr>
          <w:rFonts w:ascii="Arial" w:cs="Arial" w:eastAsia="Arial" w:hAnsi="Arial"/>
          <w:sz w:val="21"/>
          <w:szCs w:val="21"/>
          <w:color w:val="auto"/>
          <w:vertAlign w:val="superscript"/>
        </w:rPr>
      </w:pPr>
    </w:p>
    <w:p>
      <w:pPr>
        <w:ind w:left="340" w:right="40" w:hanging="332"/>
        <w:spacing w:after="0" w:line="266" w:lineRule="auto"/>
        <w:tabs>
          <w:tab w:leader="none" w:pos="340" w:val="left"/>
        </w:tabs>
        <w:numPr>
          <w:ilvl w:val="0"/>
          <w:numId w:val="12"/>
        </w:numPr>
        <w:rPr>
          <w:rFonts w:ascii="Arial" w:cs="Arial" w:eastAsia="Arial" w:hAnsi="Arial"/>
          <w:sz w:val="21"/>
          <w:szCs w:val="21"/>
          <w:color w:val="auto"/>
          <w:vertAlign w:val="superscript"/>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1" w:lineRule="exact"/>
        <w:rPr>
          <w:rFonts w:ascii="Arial" w:cs="Arial" w:eastAsia="Arial" w:hAnsi="Arial"/>
          <w:sz w:val="21"/>
          <w:szCs w:val="21"/>
          <w:color w:val="auto"/>
          <w:vertAlign w:val="superscript"/>
        </w:rPr>
      </w:pPr>
    </w:p>
    <w:p>
      <w:pPr>
        <w:ind w:left="340" w:right="60" w:hanging="332"/>
        <w:spacing w:after="0" w:line="220"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46" w:lineRule="exact"/>
        <w:rPr>
          <w:rFonts w:ascii="Arial" w:cs="Arial" w:eastAsia="Arial" w:hAnsi="Arial"/>
          <w:sz w:val="24"/>
          <w:szCs w:val="24"/>
          <w:color w:val="auto"/>
          <w:vertAlign w:val="superscript"/>
        </w:rPr>
      </w:pPr>
    </w:p>
    <w:p>
      <w:pPr>
        <w:ind w:left="340" w:right="20" w:hanging="332"/>
        <w:spacing w:after="0" w:line="193"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5"/>
          <w:szCs w:val="15"/>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5" w:lineRule="exact"/>
        <w:rPr>
          <w:rFonts w:ascii="Arial" w:cs="Arial" w:eastAsia="Arial" w:hAnsi="Arial"/>
          <w:sz w:val="23"/>
          <w:szCs w:val="23"/>
          <w:color w:val="auto"/>
          <w:vertAlign w:val="superscript"/>
        </w:rPr>
      </w:pPr>
    </w:p>
    <w:p>
      <w:pPr>
        <w:ind w:left="340" w:hanging="332"/>
        <w:spacing w:after="0" w:line="182" w:lineRule="auto"/>
        <w:tabs>
          <w:tab w:leader="none" w:pos="340" w:val="left"/>
        </w:tabs>
        <w:numPr>
          <w:ilvl w:val="0"/>
          <w:numId w:val="12"/>
        </w:numPr>
        <w:rPr>
          <w:rFonts w:ascii="Arial" w:cs="Arial" w:eastAsia="Arial" w:hAnsi="Arial"/>
          <w:sz w:val="20"/>
          <w:szCs w:val="20"/>
          <w:color w:val="auto"/>
          <w:vertAlign w:val="superscript"/>
        </w:rPr>
      </w:pPr>
      <w:r>
        <w:rPr>
          <w:rFonts w:ascii="Arial" w:cs="Arial" w:eastAsia="Arial" w:hAnsi="Arial"/>
          <w:sz w:val="13"/>
          <w:szCs w:val="13"/>
          <w:color w:val="auto"/>
        </w:rPr>
        <w:t>Includes acquisition-related expenses associated with the Alpha Crude Connector acquisition.</w:t>
      </w:r>
    </w:p>
    <w:p>
      <w:pPr>
        <w:spacing w:after="0" w:line="225" w:lineRule="exact"/>
        <w:rPr>
          <w:rFonts w:ascii="Arial" w:cs="Arial" w:eastAsia="Arial" w:hAnsi="Arial"/>
          <w:sz w:val="20"/>
          <w:szCs w:val="20"/>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Income tax (benefit)/expense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benefit/(expense)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5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4" w:lineRule="exact"/>
        <w:rPr>
          <w:rFonts w:ascii="Arial" w:cs="Arial" w:eastAsia="Arial" w:hAnsi="Arial"/>
          <w:sz w:val="24"/>
          <w:szCs w:val="24"/>
          <w:color w:val="auto"/>
          <w:vertAlign w:val="superscript"/>
        </w:rPr>
      </w:pPr>
    </w:p>
    <w:p>
      <w:pPr>
        <w:ind w:left="340" w:hanging="332"/>
        <w:spacing w:after="0" w:line="18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Certain of our non-GAAP financial measures may not be impacted by each of the selected items impacting comparability.</w:t>
      </w:r>
    </w:p>
    <w:p>
      <w:pPr>
        <w:spacing w:after="0" w:line="54" w:lineRule="exact"/>
        <w:rPr>
          <w:rFonts w:ascii="Arial" w:cs="Arial" w:eastAsia="Arial" w:hAnsi="Arial"/>
          <w:sz w:val="23"/>
          <w:szCs w:val="23"/>
          <w:color w:val="auto"/>
          <w:vertAlign w:val="superscript"/>
        </w:rPr>
      </w:pPr>
    </w:p>
    <w:p>
      <w:pPr>
        <w:ind w:left="340" w:hanging="332"/>
        <w:spacing w:after="0" w:line="183" w:lineRule="auto"/>
        <w:tabs>
          <w:tab w:leader="none" w:pos="34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Excludes certain non-cash items impacting interest expense such as amortization of debt issuance costs and terminated interest rate swaps.</w:t>
      </w:r>
    </w:p>
    <w:p>
      <w:pPr>
        <w:spacing w:after="0" w:line="54" w:lineRule="exact"/>
        <w:rPr>
          <w:rFonts w:ascii="Arial" w:cs="Arial" w:eastAsia="Arial" w:hAnsi="Arial"/>
          <w:sz w:val="23"/>
          <w:szCs w:val="23"/>
          <w:color w:val="auto"/>
          <w:vertAlign w:val="superscript"/>
        </w:rPr>
      </w:pPr>
    </w:p>
    <w:p>
      <w:pPr>
        <w:ind w:left="340" w:right="100" w:hanging="332"/>
        <w:spacing w:after="0" w:line="18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1" w:lineRule="exact"/>
        <w:rPr>
          <w:rFonts w:ascii="Arial" w:cs="Arial" w:eastAsia="Arial" w:hAnsi="Arial"/>
          <w:sz w:val="28"/>
          <w:szCs w:val="28"/>
          <w:color w:val="auto"/>
          <w:vertAlign w:val="superscript"/>
        </w:rPr>
      </w:pPr>
    </w:p>
    <w:p>
      <w:pPr>
        <w:ind w:left="340" w:hanging="332"/>
        <w:spacing w:after="0" w:line="191"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Includes cash distributions that pertain to the current period’s net income, which are paid in the subsequent period.</w:t>
      </w:r>
    </w:p>
    <w:p>
      <w:pPr>
        <w:spacing w:after="0" w:line="54" w:lineRule="exact"/>
        <w:rPr>
          <w:rFonts w:ascii="Arial" w:cs="Arial" w:eastAsia="Arial" w:hAnsi="Arial"/>
          <w:sz w:val="28"/>
          <w:szCs w:val="28"/>
          <w:color w:val="auto"/>
          <w:vertAlign w:val="superscript"/>
        </w:rPr>
      </w:pPr>
    </w:p>
    <w:p>
      <w:pPr>
        <w:ind w:left="340" w:right="80" w:hanging="332"/>
        <w:spacing w:after="0" w:line="187" w:lineRule="auto"/>
        <w:tabs>
          <w:tab w:leader="none" w:pos="34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Including net costs recognized during the periods related to the Line 901 incident that occurred in May 2015, Implied DCF would have been $880 million for the nine months ended September 30, 2017, respectively.</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5"/>
        </w:trPr>
        <w:tc>
          <w:tcPr>
            <w:tcW w:w="65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Income/(Loss) Per Common Unit to Adjusted Net Income Per Common Unit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Reconciliation</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items impacting comparability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See the “Selected Items Impacting Comparability” and the “Computation of Basic and Diluted Adjusted Net Income Per Common Unit” tables for additional information.</w:t>
      </w:r>
    </w:p>
    <w:p>
      <w:pPr>
        <w:spacing w:after="0" w:line="141"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906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5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Adjustment to add back our proportionate share of depreciation and amortization expense and gains or losses on significant asset sales of unconsolidated entities.</w:t>
      </w:r>
    </w:p>
    <w:p>
      <w:pPr>
        <w:spacing w:after="0" w:line="50" w:lineRule="exact"/>
        <w:rPr>
          <w:rFonts w:ascii="Arial" w:cs="Arial" w:eastAsia="Arial" w:hAnsi="Arial"/>
          <w:sz w:val="21"/>
          <w:szCs w:val="21"/>
          <w:color w:val="auto"/>
          <w:vertAlign w:val="superscript"/>
        </w:rPr>
      </w:pPr>
    </w:p>
    <w:p>
      <w:pPr>
        <w:ind w:left="340" w:hanging="332"/>
        <w:spacing w:after="0" w:line="182"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51" w:lineRule="exact"/>
        <w:rPr>
          <w:rFonts w:ascii="Arial" w:cs="Arial" w:eastAsia="Arial" w:hAnsi="Arial"/>
          <w:sz w:val="22"/>
          <w:szCs w:val="22"/>
          <w:color w:val="auto"/>
          <w:vertAlign w:val="superscript"/>
        </w:rPr>
      </w:pPr>
    </w:p>
    <w:p>
      <w:pPr>
        <w:ind w:left="340" w:right="100" w:hanging="332"/>
        <w:spacing w:after="0" w:line="209"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ind w:left="340" w:hanging="332"/>
        <w:spacing w:after="0" w:line="230"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cash distributions that pertain to the current period’s net income, which are paid in the subsequent period.</w:t>
      </w:r>
    </w:p>
    <w:p>
      <w:pPr>
        <w:spacing w:after="0" w:line="221" w:lineRule="exact"/>
        <w:rPr>
          <w:rFonts w:ascii="Arial" w:cs="Arial" w:eastAsia="Arial" w:hAnsi="Arial"/>
          <w:sz w:val="22"/>
          <w:szCs w:val="22"/>
          <w:color w:val="auto"/>
          <w:vertAlign w:val="superscript"/>
        </w:rPr>
      </w:pPr>
    </w:p>
    <w:p>
      <w:pPr>
        <w:ind w:left="5520" w:hanging="96"/>
        <w:spacing w:after="0"/>
        <w:tabs>
          <w:tab w:leader="none" w:pos="55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783</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399</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30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0.73</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70"/>
        </w:trPr>
        <w:tc>
          <w:tcPr>
            <w:tcW w:w="65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w w:val="93"/>
              </w:rPr>
              <w:t xml:space="preserve">Selected items impacting comparability - Adjusted net income attributable to PAA </w:t>
            </w:r>
            <w:r>
              <w:rPr>
                <w:rFonts w:ascii="Arial" w:cs="Arial" w:eastAsia="Arial" w:hAnsi="Arial"/>
                <w:sz w:val="25"/>
                <w:szCs w:val="25"/>
                <w:color w:val="auto"/>
                <w:w w:val="93"/>
                <w:vertAlign w:val="superscript"/>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unitholders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8" w:lineRule="exact"/>
        <w:rPr>
          <w:sz w:val="20"/>
          <w:szCs w:val="20"/>
          <w:color w:val="auto"/>
        </w:rPr>
      </w:pPr>
    </w:p>
    <w:p>
      <w:pPr>
        <w:ind w:left="340" w:right="120" w:hanging="332"/>
        <w:spacing w:after="0" w:line="239"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2" w:lineRule="exact"/>
        <w:rPr>
          <w:rFonts w:ascii="Arial" w:cs="Arial" w:eastAsia="Arial" w:hAnsi="Arial"/>
          <w:sz w:val="27"/>
          <w:szCs w:val="27"/>
          <w:color w:val="auto"/>
          <w:vertAlign w:val="superscript"/>
        </w:rPr>
      </w:pPr>
    </w:p>
    <w:p>
      <w:pPr>
        <w:ind w:left="340" w:hanging="332"/>
        <w:spacing w:after="0" w:line="191"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8"/>
          <w:szCs w:val="28"/>
          <w:color w:val="auto"/>
          <w:vertAlign w:val="superscript"/>
        </w:rPr>
      </w:pPr>
    </w:p>
    <w:p>
      <w:pPr>
        <w:ind w:left="340" w:right="20" w:hanging="332"/>
        <w:spacing w:after="0" w:line="214"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6"/>
          <w:szCs w:val="16"/>
          <w:color w:val="auto"/>
        </w:rPr>
        <w:t>Our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2" w:lineRule="exact"/>
        <w:rPr>
          <w:rFonts w:ascii="Arial" w:cs="Arial" w:eastAsia="Arial" w:hAnsi="Arial"/>
          <w:sz w:val="27"/>
          <w:szCs w:val="27"/>
          <w:color w:val="auto"/>
          <w:vertAlign w:val="superscript"/>
        </w:rPr>
      </w:pPr>
    </w:p>
    <w:p>
      <w:pPr>
        <w:ind w:left="340" w:right="200" w:hanging="332"/>
        <w:spacing w:after="0" w:line="193" w:lineRule="auto"/>
        <w:tabs>
          <w:tab w:leader="none" w:pos="34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and nine months ended September 30, 2017 and 2016 as the effect was antidilutive.</w:t>
      </w:r>
    </w:p>
    <w:p>
      <w:pPr>
        <w:spacing w:after="0" w:line="234"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0"/>
              </w:rPr>
              <w:t>September 30,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5,830</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benefit/(expense)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20" w:type="dxa"/>
            <w:vAlign w:val="bottom"/>
            <w:vMerge w:val="restart"/>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right="20" w:hanging="332"/>
        <w:spacing w:after="0" w:line="194"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A reverse split of PAGP’s Class A shares was completed on November 15, 2016. The effect of the reverse split has been retroactively applied to all share and per-share amounts presented.</w:t>
      </w:r>
    </w:p>
    <w:p>
      <w:pPr>
        <w:ind w:left="340" w:hanging="332"/>
        <w:spacing w:after="0" w:line="191" w:lineRule="auto"/>
        <w:tabs>
          <w:tab w:leader="none" w:pos="34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3"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2016</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Consolidating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Consolidating</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 xml:space="preserve">Adjustments </w:t>
            </w:r>
            <w:r>
              <w:rPr>
                <w:rFonts w:ascii="Arial" w:cs="Arial" w:eastAsia="Arial" w:hAnsi="Arial"/>
                <w:sz w:val="21"/>
                <w:szCs w:val="21"/>
                <w:b w:val="1"/>
                <w:bCs w:val="1"/>
                <w:color w:val="auto"/>
                <w:w w:val="91"/>
                <w:vertAlign w:val="superscript"/>
              </w:rPr>
              <w:t>(2)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w w:val="91"/>
              </w:rPr>
              <w:t xml:space="preserve">Adjustments </w:t>
            </w:r>
            <w:r>
              <w:rPr>
                <w:rFonts w:ascii="Arial" w:cs="Arial" w:eastAsia="Arial" w:hAnsi="Arial"/>
                <w:sz w:val="21"/>
                <w:szCs w:val="21"/>
                <w:b w:val="1"/>
                <w:bCs w:val="1"/>
                <w:color w:val="auto"/>
                <w:w w:val="91"/>
                <w:vertAlign w:val="superscript"/>
              </w:rPr>
              <w:t>(2)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16,239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17,726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17,731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Equity earnings in unconsolidated entities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benefit/(expense)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PER CLASS A SHARE</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3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6" w:lineRule="exact"/>
        <w:rPr>
          <w:sz w:val="20"/>
          <w:szCs w:val="20"/>
          <w:color w:val="auto"/>
        </w:rPr>
      </w:pPr>
    </w:p>
    <w:p>
      <w:pPr>
        <w:ind w:left="340" w:hanging="332"/>
        <w:spacing w:after="0" w:line="194" w:lineRule="auto"/>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A reverse split of PAGP’s Class A shares was completed on November 15, 2016. The effect of the reverse split has been retroactively applied to all share and per-share amounts presented.</w:t>
      </w:r>
    </w:p>
    <w:p>
      <w:pPr>
        <w:ind w:left="340" w:hanging="332"/>
        <w:spacing w:after="0" w:line="191" w:lineRule="auto"/>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33" w:lineRule="exact"/>
        <w:rPr>
          <w:rFonts w:ascii="Arial" w:cs="Arial" w:eastAsia="Arial" w:hAnsi="Arial"/>
          <w:sz w:val="28"/>
          <w:szCs w:val="28"/>
          <w:color w:val="auto"/>
          <w:vertAlign w:val="superscript"/>
        </w:rPr>
      </w:pPr>
    </w:p>
    <w:p>
      <w:pPr>
        <w:ind w:left="5520" w:hanging="96"/>
        <w:spacing w:after="0"/>
        <w:tabs>
          <w:tab w:leader="none" w:pos="55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September 30,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8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25,483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27,710</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9,977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12,505</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27,710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8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AAP units and AAP 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6520" w:type="dxa"/>
            <w:vAlign w:val="bottom"/>
          </w:tcPr>
          <w:p>
            <w:pPr>
              <w:ind w:left="180"/>
              <w:spacing w:after="0"/>
              <w:rPr>
                <w:sz w:val="20"/>
                <w:szCs w:val="20"/>
                <w:color w:val="auto"/>
              </w:rPr>
            </w:pPr>
            <w:r>
              <w:rPr>
                <w:rFonts w:ascii="Arial" w:cs="Arial" w:eastAsia="Arial" w:hAnsi="Arial"/>
                <w:sz w:val="18"/>
                <w:szCs w:val="18"/>
                <w:color w:val="auto"/>
                <w:w w:val="97"/>
              </w:rPr>
              <w:t>Net income attributable to PAGP including incremental net income from assumed</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exchange of AAP units and AAP Management Units</w:t>
            </w:r>
          </w:p>
        </w:tc>
        <w:tc>
          <w:tcPr>
            <w:tcW w:w="260" w:type="dxa"/>
            <w:vAlign w:val="bottom"/>
            <w:tcBorders>
              <w:bottom w:val="single" w:sz="8" w:color="auto"/>
            </w:tcBorders>
            <w:vMerge w:val="continue"/>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Management Units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8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share and per-share amounts presented.</w:t>
      </w:r>
    </w:p>
    <w:p>
      <w:pPr>
        <w:spacing w:after="0" w:line="41" w:lineRule="exact"/>
        <w:rPr>
          <w:rFonts w:ascii="Arial" w:cs="Arial" w:eastAsia="Arial" w:hAnsi="Arial"/>
          <w:sz w:val="25"/>
          <w:szCs w:val="25"/>
          <w:color w:val="auto"/>
          <w:vertAlign w:val="superscript"/>
        </w:rPr>
      </w:pPr>
    </w:p>
    <w:p>
      <w:pPr>
        <w:ind w:left="340" w:right="140" w:hanging="332"/>
        <w:spacing w:after="0" w:line="245"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For the three and nine months ended September 30, 2017, and the three months ended September 30, 2016, the possible exchange of any AAP units and certain AAP Management Units would not have had a dilutive effect on basic net income per Class A share. For the nine months ended September 30, 2016, the possible exchange of any AAP units would have had a dilutive effect on basic net income per Class A share and the possible exchange of certain AAP Management Units would not have had a dilutive effect on basic net income per Class A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5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00"/>
              <w:spacing w:after="0"/>
              <w:rPr>
                <w:sz w:val="20"/>
                <w:szCs w:val="20"/>
                <w:color w:val="auto"/>
              </w:rPr>
            </w:pPr>
            <w:r>
              <w:rPr>
                <w:rFonts w:ascii="Arial" w:cs="Arial" w:eastAsia="Arial" w:hAnsi="Arial"/>
                <w:sz w:val="18"/>
                <w:szCs w:val="18"/>
                <w:color w:val="auto"/>
              </w:rPr>
              <w:t>Brett Magill</w:t>
            </w:r>
          </w:p>
        </w:tc>
        <w:tc>
          <w:tcPr>
            <w:tcW w:w="4140" w:type="dxa"/>
            <w:vAlign w:val="bottom"/>
          </w:tcPr>
          <w:p>
            <w:pPr>
              <w:spacing w:after="0"/>
              <w:rPr>
                <w:sz w:val="24"/>
                <w:szCs w:val="24"/>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6980" w:type="dxa"/>
            <w:vAlign w:val="bottom"/>
            <w:gridSpan w:val="2"/>
          </w:tcPr>
          <w:p>
            <w:pPr>
              <w:ind w:left="130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00"/>
              <w:spacing w:after="0"/>
              <w:rPr>
                <w:sz w:val="20"/>
                <w:szCs w:val="20"/>
                <w:color w:val="auto"/>
              </w:rPr>
            </w:pPr>
            <w:r>
              <w:rPr>
                <w:rFonts w:ascii="Arial" w:cs="Arial" w:eastAsia="Arial" w:hAnsi="Arial"/>
                <w:sz w:val="18"/>
                <w:szCs w:val="18"/>
                <w:color w:val="auto"/>
              </w:rPr>
              <w:t>(866) 809-1291</w:t>
            </w:r>
          </w:p>
        </w:tc>
        <w:tc>
          <w:tcPr>
            <w:tcW w:w="4140" w:type="dxa"/>
            <w:vAlign w:val="bottom"/>
          </w:tcPr>
          <w:p>
            <w:pPr>
              <w:spacing w:after="0"/>
              <w:rPr>
                <w:sz w:val="23"/>
                <w:szCs w:val="23"/>
                <w:color w:val="auto"/>
              </w:rPr>
            </w:pPr>
          </w:p>
        </w:tc>
      </w:tr>
      <w:tr>
        <w:trPr>
          <w:trHeight w:val="702"/>
        </w:trPr>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4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4140" w:type="dxa"/>
            <w:vAlign w:val="bottom"/>
          </w:tcPr>
          <w:p>
            <w:pPr>
              <w:spacing w:after="0"/>
              <w:rPr>
                <w:sz w:val="24"/>
                <w:szCs w:val="24"/>
                <w:color w:val="auto"/>
              </w:rPr>
            </w:pPr>
          </w:p>
        </w:tc>
      </w:tr>
      <w:tr>
        <w:trPr>
          <w:trHeight w:val="243"/>
        </w:trPr>
        <w:tc>
          <w:tcPr>
            <w:tcW w:w="6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r>
      <w:tr>
        <w:trPr>
          <w:trHeight w:val="345"/>
        </w:trPr>
        <w:tc>
          <w:tcPr>
            <w:tcW w:w="6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500"/>
              <w:spacing w:after="0"/>
              <w:rPr>
                <w:sz w:val="20"/>
                <w:szCs w:val="20"/>
                <w:color w:val="auto"/>
              </w:rPr>
            </w:pPr>
            <w:r>
              <w:rPr>
                <w:rFonts w:ascii="Arial" w:cs="Arial" w:eastAsia="Arial" w:hAnsi="Arial"/>
                <w:sz w:val="18"/>
                <w:szCs w:val="18"/>
                <w:b w:val="1"/>
                <w:bCs w:val="1"/>
                <w:color w:val="auto"/>
              </w:rPr>
              <w:t>Houston, Texas 77002</w:t>
            </w:r>
          </w:p>
        </w:tc>
        <w:tc>
          <w:tcPr>
            <w:tcW w:w="4140" w:type="dxa"/>
            <w:vAlign w:val="bottom"/>
          </w:tcPr>
          <w:p>
            <w:pPr>
              <w:jc w:val="right"/>
              <w:ind w:right="14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lvl w:ilvl="1">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lvl w:ilvl="1">
      <w:lvlJc w:val="left"/>
      <w:lvlText w:val="-"/>
      <w:numFmt w:val="bullet"/>
      <w:start w:val="1"/>
    </w:lvl>
  </w:abstractNum>
  <w:abstractNum w:abstractNumId="7">
    <w:nsid w:val="DED7263"/>
    <w:multiLevelType w:val="hybridMultilevel"/>
    <w:lvl w:ilvl="0">
      <w:lvlJc w:val="left"/>
      <w:lvlText w:val="(%1)"/>
      <w:numFmt w:val="decimal"/>
      <w:start w:val="1"/>
    </w:lvl>
    <w:lvl w:ilvl="1">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
      <w:numFmt w:val="bullet"/>
      <w:start w:val="1"/>
    </w:lvl>
  </w:abstractNum>
  <w:abstractNum w:abstractNumId="10">
    <w:nsid w:val="41A7C4C9"/>
    <w:multiLevelType w:val="hybridMultilevel"/>
    <w:lvl w:ilvl="0">
      <w:lvlJc w:val="left"/>
      <w:lvlText w:val="(%1)"/>
      <w:numFmt w:val="decimal"/>
      <w:start w:val="1"/>
    </w:lvl>
    <w:lvl w:ilvl="1">
      <w:lvlJc w:val="left"/>
      <w:lvlText w:val="-"/>
      <w:numFmt w:val="bullet"/>
      <w:start w:val="1"/>
    </w:lvl>
  </w:abstractNum>
  <w:abstractNum w:abstractNumId="11">
    <w:nsid w:val="6B68079A"/>
    <w:multiLevelType w:val="hybridMultilevel"/>
    <w:lvl w:ilvl="0">
      <w:lvlJc w:val="left"/>
      <w:lvlText w:val="(%1)"/>
      <w:numFmt w:val="decimal"/>
      <w:start w:val="1"/>
    </w:lvl>
    <w:lvl w:ilvl="1">
      <w:lvlJc w:val="left"/>
      <w:lvlText w:val="-"/>
      <w:numFmt w:val="bullet"/>
      <w:start w:val="1"/>
    </w:lvl>
  </w:abstractNum>
  <w:abstractNum w:abstractNumId="12">
    <w:nsid w:val="4E6AFB66"/>
    <w:multiLevelType w:val="hybridMultilevel"/>
    <w:lvl w:ilvl="0">
      <w:lvlJc w:val="left"/>
      <w:lvlText w:val="(%1)"/>
      <w:numFmt w:val="decimal"/>
      <w:start w:val="1"/>
    </w:lvl>
    <w:lvl w:ilvl="1">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lvl w:ilvl="1">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
      <w:numFmt w:val="bullet"/>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2020-01-18T19:25:30Z</dcterms:created>
  <dcterms:modified xsi:type="dcterms:W3CDTF">2020-01-18T19:25:30Z</dcterms:modified>
</cp:coreProperties>
</file>