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0"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19050</wp:posOffset>
            </wp:positionV>
            <wp:extent cx="7047230" cy="4585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859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Chiang Willie CW</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333 CLAY STREET</w:t>
            </w:r>
          </w:p>
        </w:tc>
        <w:tc>
          <w:tcPr>
            <w:tcW w:w="16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SUITE 1600</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4"/>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760" w:type="dxa"/>
            <w:vAlign w:val="bottom"/>
            <w:gridSpan w:val="2"/>
          </w:tcPr>
          <w:p>
            <w:pPr>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rFonts w:ascii="Arial" w:cs="Arial" w:eastAsia="Arial" w:hAnsi="Arial"/>
                <w:sz w:val="2"/>
                <w:szCs w:val="2"/>
                <w:color w:val="0000FF"/>
              </w:rPr>
            </w:pPr>
            <w:hyperlink r:id="rId13">
              <w:r>
                <w:rPr>
                  <w:rFonts w:ascii="Arial" w:cs="Arial" w:eastAsia="Arial" w:hAnsi="Arial"/>
                  <w:sz w:val="2"/>
                  <w:szCs w:val="2"/>
                  <w:color w:val="0000FF"/>
                </w:rPr>
                <w:t xml:space="preserve">PAA </w:t>
              </w:r>
              <w:r>
                <w:rPr>
                  <w:rFonts w:ascii="Arial" w:cs="Arial" w:eastAsia="Arial" w:hAnsi="Arial"/>
                  <w:sz w:val="2"/>
                  <w:szCs w:val="2"/>
                  <w:color w:val="000000"/>
                </w:rPr>
                <w:t>]</w:t>
              </w:r>
            </w:hyperlink>
          </w:p>
        </w:tc>
        <w:tc>
          <w:tcPr>
            <w:tcW w:w="240" w:type="dxa"/>
            <w:vAlign w:val="bottom"/>
          </w:tcPr>
          <w:p>
            <w:pPr>
              <w:spacing w:after="0"/>
              <w:rPr>
                <w:sz w:val="2"/>
                <w:szCs w:val="2"/>
                <w:color w:val="auto"/>
              </w:rPr>
            </w:pPr>
          </w:p>
        </w:tc>
        <w:tc>
          <w:tcPr>
            <w:tcW w:w="480" w:type="dxa"/>
            <w:vAlign w:val="bottom"/>
          </w:tcPr>
          <w:p>
            <w:pPr>
              <w:ind w:left="260"/>
              <w:spacing w:after="0"/>
              <w:rPr>
                <w:sz w:val="20"/>
                <w:szCs w:val="20"/>
                <w:color w:val="auto"/>
              </w:rPr>
            </w:pPr>
            <w:r>
              <w:rPr>
                <w:rFonts w:ascii="Arial" w:cs="Arial" w:eastAsia="Arial" w:hAnsi="Arial"/>
                <w:sz w:val="2"/>
                <w:szCs w:val="2"/>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3"/>
        </w:trPr>
        <w:tc>
          <w:tcPr>
            <w:tcW w:w="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35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376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600" w:type="dxa"/>
            <w:vAlign w:val="bottom"/>
            <w:gridSpan w:val="2"/>
          </w:tcPr>
          <w:p>
            <w:pPr>
              <w:ind w:left="80"/>
              <w:spacing w:after="0"/>
              <w:rPr>
                <w:sz w:val="20"/>
                <w:szCs w:val="20"/>
                <w:color w:val="auto"/>
              </w:rPr>
            </w:pPr>
            <w:r>
              <w:rPr>
                <w:rFonts w:ascii="Arial" w:cs="Arial" w:eastAsia="Arial" w:hAnsi="Arial"/>
                <w:sz w:val="17"/>
                <w:szCs w:val="17"/>
                <w:color w:val="0000FF"/>
              </w:rPr>
              <w:t>08/17/2023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tcPr>
          <w:p>
            <w:pPr>
              <w:ind w:left="560"/>
              <w:spacing w:after="0"/>
              <w:rPr>
                <w:sz w:val="20"/>
                <w:szCs w:val="20"/>
                <w:color w:val="auto"/>
              </w:rPr>
            </w:pPr>
            <w:r>
              <w:rPr>
                <w:rFonts w:ascii="Arial" w:cs="Arial" w:eastAsia="Arial" w:hAnsi="Arial"/>
                <w:sz w:val="17"/>
                <w:szCs w:val="17"/>
                <w:color w:val="0000FF"/>
              </w:rPr>
              <w:t>Chairman &amp; CEO</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0"/>
          <w:szCs w:val="20"/>
          <w:color w:val="auto"/>
        </w:rPr>
      </w:pPr>
    </w:p>
    <w:p>
      <w:pPr>
        <w:ind w:left="320" w:right="380"/>
        <w:spacing w:after="0" w:line="27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0"/>
          <w:szCs w:val="20"/>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08/17/2023</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324,100</w:t>
            </w:r>
          </w:p>
        </w:tc>
        <w:tc>
          <w:tcPr>
            <w:tcW w:w="220" w:type="dxa"/>
            <w:vAlign w:val="bottom"/>
          </w:tcPr>
          <w:p>
            <w:pPr>
              <w:spacing w:after="0"/>
              <w:rPr>
                <w:sz w:val="15"/>
                <w:szCs w:val="15"/>
                <w:color w:val="auto"/>
              </w:rPr>
            </w:pPr>
          </w:p>
        </w:tc>
        <w:tc>
          <w:tcPr>
            <w:tcW w:w="780" w:type="dxa"/>
            <w:vAlign w:val="bottom"/>
            <w:vMerge w:val="restart"/>
          </w:tcPr>
          <w:p>
            <w:pPr>
              <w:ind w:left="220"/>
              <w:spacing w:after="0"/>
              <w:rPr>
                <w:sz w:val="20"/>
                <w:szCs w:val="20"/>
                <w:color w:val="auto"/>
              </w:rPr>
            </w:pPr>
            <w:r>
              <w:rPr>
                <w:rFonts w:ascii="Arial" w:cs="Arial" w:eastAsia="Arial" w:hAnsi="Arial"/>
                <w:sz w:val="11"/>
                <w:szCs w:val="11"/>
                <w:color w:val="008000"/>
              </w:rPr>
              <w:t>(3)(4)(5)</w:t>
            </w:r>
          </w:p>
        </w:tc>
        <w:tc>
          <w:tcPr>
            <w:tcW w:w="700" w:type="dxa"/>
            <w:vAlign w:val="bottom"/>
            <w:vMerge w:val="restart"/>
          </w:tcPr>
          <w:p>
            <w:pPr>
              <w:jc w:val="right"/>
              <w:ind w:right="104"/>
              <w:spacing w:after="0"/>
              <w:rPr>
                <w:sz w:val="20"/>
                <w:szCs w:val="20"/>
                <w:color w:val="auto"/>
              </w:rPr>
            </w:pPr>
            <w:r>
              <w:rPr>
                <w:rFonts w:ascii="Arial" w:cs="Arial" w:eastAsia="Arial" w:hAnsi="Arial"/>
                <w:sz w:val="11"/>
                <w:szCs w:val="11"/>
                <w:color w:val="008000"/>
              </w:rPr>
              <w:t>(3)(4)(5)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324,100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324,100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28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162,050 phantom units, will vest on the August 2026 distribution date assuming continued service through such date; (b) Tranche 2, consisting of 81,025 phantom units (assuming 100% payout at target), will potentially vest on the August 2026 distribution date at a scaled payout range of between 0% to 200% based on PAA's total shareholder return (TSR) over the three-year period ending June 30, 2026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30" w:lineRule="exact"/>
        <w:rPr>
          <w:rFonts w:ascii="Arial" w:cs="Arial" w:eastAsia="Arial" w:hAnsi="Arial"/>
          <w:sz w:val="13"/>
          <w:szCs w:val="13"/>
          <w:color w:val="008000"/>
        </w:rPr>
      </w:pPr>
    </w:p>
    <w:p>
      <w:pPr>
        <w:ind w:left="40" w:right="220"/>
        <w:spacing w:after="0" w:line="25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 Tranche 3, consisting of 81,025 phantom units (assuming 100% payout at target), will potentially vest on the August 2026 distribution date at a scaled payout range of between 0% and 200% based on PAA achieving cumulative distributable cash flow (DCF) per common unit equivalent (CUE) of $7.45 over the three-year period ending June 30, 2026 (with payout equaling 100% at cumulative DCF/CUE over such period of $7.45 and being equal to 0% for cumulative DCF/CUE over such period of $6.705 or lower and 200% for cumulative DCF/CUE over such period of $8.38125 or higher, with interpolation between such points, and with payout being subject to reduction by 25 basis points if PAA's leverage ratio (long term debt/adjusted EBITDA) as of June 30, 2026 is greater than the leverage ratio that equals the upper end of our then applicable guidance range (e.g., 3.5x is the upper end of PAA's current public guidance range of 3.0x to 3.5x)).</w:t>
      </w:r>
    </w:p>
    <w:p>
      <w:pPr>
        <w:spacing w:after="0" w:line="23" w:lineRule="exact"/>
        <w:rPr>
          <w:rFonts w:ascii="Arial" w:cs="Arial" w:eastAsia="Arial" w:hAnsi="Arial"/>
          <w:sz w:val="12"/>
          <w:szCs w:val="12"/>
          <w:color w:val="008000"/>
        </w:rPr>
      </w:pPr>
    </w:p>
    <w:p>
      <w:pPr>
        <w:ind w:left="40" w:right="22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2024 distribution date; beginning in November 2024, DERs associated with Tranche 1 will be paid quarterly until the phantom units vest or terminate. DERs associated with Tranches 2 and 3 will accrue during the three-year vesting period and be paid in cash in a lump sum on the August 2026 distribution date with respect to each phantom unit that vests, if any, on such date. Any Tranche 2 or Tranche 3 phantom units that are determined to not have vested as of the August 2026 distribution date shall expire as of such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Willie CW Chiang</w:t>
            </w:r>
          </w:p>
        </w:tc>
        <w:tc>
          <w:tcPr>
            <w:tcW w:w="7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08/21/2023</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2023-08-21T18:05:12Z</dcterms:created>
  <dcterms:modified xsi:type="dcterms:W3CDTF">2023-08-21T18:05:12Z</dcterms:modified>
</cp:coreProperties>
</file>