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638175</wp:posOffset>
            </wp:positionV>
            <wp:extent cx="71221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16510"/>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711835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FORM 8-K</w:t>
      </w:r>
    </w:p>
    <w:p>
      <w:pPr>
        <w:spacing w:after="0" w:line="26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August 4, 2023</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100"/>
          </w:cols>
          <w:pgMar w:left="320" w:top="1273" w:right="47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43"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43"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00"/>
        <w:spacing w:after="0"/>
        <w:rPr>
          <w:sz w:val="20"/>
          <w:szCs w:val="20"/>
          <w:color w:val="auto"/>
        </w:rPr>
      </w:pPr>
      <w:r>
        <w:rPr>
          <w:rFonts w:ascii="Arial" w:cs="Arial" w:eastAsia="Arial" w:hAnsi="Arial"/>
          <w:sz w:val="17"/>
          <w:szCs w:val="17"/>
          <w:b w:val="1"/>
          <w:bCs w:val="1"/>
          <w:color w:val="auto"/>
        </w:rPr>
        <w:t>90-1005472</w:t>
      </w:r>
    </w:p>
    <w:p>
      <w:pPr>
        <w:spacing w:after="0" w:line="43"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(IRS Employer Identification No.)</w:t>
      </w:r>
    </w:p>
    <w:p>
      <w:pPr>
        <w:spacing w:after="0" w:line="6" w:lineRule="exact"/>
        <w:rPr>
          <w:sz w:val="24"/>
          <w:szCs w:val="24"/>
          <w:color w:val="auto"/>
        </w:rPr>
      </w:pPr>
    </w:p>
    <w:p>
      <w:pPr>
        <w:sectPr>
          <w:pgSz w:w="11900" w:h="16838" w:orient="portrait"/>
          <w:cols w:equalWidth="0" w:num="3">
            <w:col w:w="3960" w:space="720"/>
            <w:col w:w="2540" w:space="720"/>
            <w:col w:w="3160"/>
          </w:cols>
          <w:pgMar w:left="320" w:top="1273" w:right="47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6"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1"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100"/>
          </w:cols>
          <w:pgMar w:left="320" w:top="1273" w:right="479" w:bottom="1440" w:gutter="0" w:footer="0" w:header="0"/>
          <w:type w:val="continuous"/>
        </w:sect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713-646-4100</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(Registrant’s telephone number, including area code)</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3" w:lineRule="exact"/>
        <w:rPr>
          <w:sz w:val="24"/>
          <w:szCs w:val="24"/>
          <w:color w:val="auto"/>
        </w:rPr>
      </w:pPr>
    </w:p>
    <w:p>
      <w:pPr>
        <w:ind w:right="30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220" w:firstLine="3"/>
        <w:spacing w:after="0" w:line="558"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0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12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2"/>
        </w:trPr>
        <w:tc>
          <w:tcPr>
            <w:tcW w:w="3360" w:type="dxa"/>
            <w:vAlign w:val="bottom"/>
          </w:tcPr>
          <w:p>
            <w:pPr>
              <w:jc w:val="center"/>
              <w:spacing w:after="0"/>
              <w:rPr>
                <w:sz w:val="20"/>
                <w:szCs w:val="20"/>
                <w:color w:val="auto"/>
              </w:rPr>
            </w:pPr>
            <w:r>
              <w:rPr>
                <w:rFonts w:ascii="Arial" w:cs="Arial" w:eastAsia="Arial" w:hAnsi="Arial"/>
                <w:sz w:val="17"/>
                <w:szCs w:val="17"/>
                <w:color w:val="auto"/>
                <w:w w:val="88"/>
              </w:rPr>
              <w:t>Class A Shares</w:t>
            </w: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7"/>
                <w:szCs w:val="17"/>
                <w:color w:val="auto"/>
                <w:w w:val="88"/>
              </w:rPr>
              <w:t>PAGP</w:t>
            </w:r>
          </w:p>
        </w:tc>
        <w:tc>
          <w:tcPr>
            <w:tcW w:w="12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312" w:lineRule="exact"/>
        <w:rPr>
          <w:sz w:val="24"/>
          <w:szCs w:val="24"/>
          <w:color w:val="auto"/>
        </w:rPr>
      </w:pPr>
    </w:p>
    <w:p>
      <w:pPr>
        <w:ind w:right="60"/>
        <w:spacing w:after="0" w:line="28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6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946150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147320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204470</wp:posOffset>
            </wp:positionV>
            <wp:extent cx="70891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6510"/>
                    </a:xfrm>
                    <a:prstGeom prst="rect">
                      <a:avLst/>
                    </a:prstGeom>
                    <a:noFill/>
                  </pic:spPr>
                </pic:pic>
              </a:graphicData>
            </a:graphic>
          </wp:anchor>
        </w:drawing>
      </w:r>
    </w:p>
    <w:p>
      <w:pPr>
        <w:sectPr>
          <w:pgSz w:w="11900" w:h="16838" w:orient="portrait"/>
          <w:cols w:equalWidth="0" w:num="1">
            <w:col w:w="11100"/>
          </w:cols>
          <w:pgMar w:left="320" w:top="1273"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49" w:lineRule="exact"/>
        <w:rPr>
          <w:sz w:val="20"/>
          <w:szCs w:val="20"/>
          <w:color w:val="auto"/>
        </w:rPr>
      </w:pPr>
    </w:p>
    <w:p>
      <w:pPr>
        <w:ind w:firstLine="172"/>
        <w:spacing w:after="0" w:line="283" w:lineRule="auto"/>
        <w:rPr>
          <w:sz w:val="20"/>
          <w:szCs w:val="20"/>
          <w:color w:val="auto"/>
        </w:rPr>
      </w:pPr>
      <w:r>
        <w:rPr>
          <w:rFonts w:ascii="Arial" w:cs="Arial" w:eastAsia="Arial" w:hAnsi="Arial"/>
          <w:sz w:val="16"/>
          <w:szCs w:val="16"/>
          <w:color w:val="auto"/>
        </w:rPr>
        <w:t>On August 4, 2023, the Registrant issued a press release reporting its second-quarter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Exhibit 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Description</w:t>
            </w:r>
          </w:p>
        </w:tc>
      </w:tr>
      <w:tr>
        <w:trPr>
          <w:trHeight w:val="176"/>
        </w:trPr>
        <w:tc>
          <w:tcPr>
            <w:tcW w:w="1120" w:type="dxa"/>
            <w:vAlign w:val="bottom"/>
          </w:tcPr>
          <w:p>
            <w:pPr>
              <w:jc w:val="right"/>
              <w:ind w:right="318"/>
              <w:spacing w:after="0" w:line="176" w:lineRule="exact"/>
              <w:rPr>
                <w:sz w:val="20"/>
                <w:szCs w:val="20"/>
                <w:color w:val="auto"/>
              </w:rPr>
            </w:pPr>
            <w:r>
              <w:rPr>
                <w:rFonts w:ascii="Arial" w:cs="Arial" w:eastAsia="Arial" w:hAnsi="Arial"/>
                <w:sz w:val="17"/>
                <w:szCs w:val="17"/>
                <w:color w:val="auto"/>
              </w:rPr>
              <w:t>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20" w:type="dxa"/>
            <w:vAlign w:val="bottom"/>
            <w:gridSpan w:val="2"/>
          </w:tcPr>
          <w:p>
            <w:pPr>
              <w:spacing w:after="0" w:line="176" w:lineRule="exact"/>
              <w:rPr>
                <w:sz w:val="20"/>
                <w:szCs w:val="20"/>
                <w:color w:val="auto"/>
              </w:rPr>
            </w:pPr>
            <w:r>
              <w:rPr>
                <w:rFonts w:ascii="Arial" w:cs="Arial" w:eastAsia="Arial" w:hAnsi="Arial"/>
                <w:sz w:val="17"/>
                <w:szCs w:val="17"/>
                <w:color w:val="0000FF"/>
              </w:rPr>
              <w:t>Press Release dated August 4, 2023</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39" w:lineRule="exact"/>
        <w:rPr>
          <w:sz w:val="20"/>
          <w:szCs w:val="20"/>
          <w:color w:val="auto"/>
        </w:rPr>
      </w:pPr>
    </w:p>
    <w:p>
      <w:pPr>
        <w:ind w:left="1860" w:hanging="808"/>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4" w:lineRule="exact"/>
        <w:rPr>
          <w:sz w:val="20"/>
          <w:szCs w:val="20"/>
          <w:color w:val="auto"/>
        </w:rPr>
      </w:pPr>
    </w:p>
    <w:p>
      <w:pPr>
        <w:ind w:right="8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6"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2980" w:type="dxa"/>
            <w:vAlign w:val="bottom"/>
          </w:tcPr>
          <w:p>
            <w:pPr>
              <w:spacing w:after="0"/>
              <w:rPr>
                <w:sz w:val="18"/>
                <w:szCs w:val="18"/>
                <w:color w:val="auto"/>
              </w:rPr>
            </w:pPr>
          </w:p>
        </w:tc>
        <w:tc>
          <w:tcPr>
            <w:tcW w:w="7720" w:type="dxa"/>
            <w:vAlign w:val="bottom"/>
            <w:gridSpan w:val="3"/>
          </w:tcPr>
          <w:p>
            <w:pPr>
              <w:ind w:left="1520"/>
              <w:spacing w:after="0"/>
              <w:rPr>
                <w:sz w:val="20"/>
                <w:szCs w:val="20"/>
                <w:color w:val="auto"/>
              </w:rPr>
            </w:pPr>
            <w:r>
              <w:rPr>
                <w:rFonts w:ascii="Arial" w:cs="Arial" w:eastAsia="Arial" w:hAnsi="Arial"/>
                <w:sz w:val="17"/>
                <w:szCs w:val="17"/>
                <w:color w:val="auto"/>
              </w:rPr>
              <w:t>PLAINS GP HOLDINGS, L.P.</w:t>
            </w:r>
          </w:p>
        </w:tc>
      </w:tr>
      <w:tr>
        <w:trPr>
          <w:trHeight w:val="478"/>
        </w:trPr>
        <w:tc>
          <w:tcPr>
            <w:tcW w:w="2980" w:type="dxa"/>
            <w:vAlign w:val="bottom"/>
          </w:tcPr>
          <w:p>
            <w:pPr>
              <w:spacing w:after="0"/>
              <w:rPr>
                <w:sz w:val="24"/>
                <w:szCs w:val="24"/>
                <w:color w:val="auto"/>
              </w:rPr>
            </w:pPr>
          </w:p>
        </w:tc>
        <w:tc>
          <w:tcPr>
            <w:tcW w:w="1980" w:type="dxa"/>
            <w:vAlign w:val="bottom"/>
          </w:tcPr>
          <w:p>
            <w:pPr>
              <w:ind w:left="1520"/>
              <w:spacing w:after="0"/>
              <w:rPr>
                <w:sz w:val="20"/>
                <w:szCs w:val="20"/>
                <w:color w:val="auto"/>
              </w:rPr>
            </w:pPr>
            <w:r>
              <w:rPr>
                <w:rFonts w:ascii="Arial" w:cs="Arial" w:eastAsia="Arial" w:hAnsi="Arial"/>
                <w:sz w:val="17"/>
                <w:szCs w:val="17"/>
                <w:color w:val="auto"/>
              </w:rPr>
              <w:t>By:</w:t>
            </w:r>
          </w:p>
        </w:tc>
        <w:tc>
          <w:tcPr>
            <w:tcW w:w="5740" w:type="dxa"/>
            <w:vAlign w:val="bottom"/>
            <w:gridSpan w:val="2"/>
          </w:tcPr>
          <w:p>
            <w:pPr>
              <w:ind w:left="20"/>
              <w:spacing w:after="0"/>
              <w:rPr>
                <w:sz w:val="20"/>
                <w:szCs w:val="20"/>
                <w:color w:val="auto"/>
              </w:rPr>
            </w:pPr>
            <w:r>
              <w:rPr>
                <w:rFonts w:ascii="Arial" w:cs="Arial" w:eastAsia="Arial" w:hAnsi="Arial"/>
                <w:sz w:val="17"/>
                <w:szCs w:val="17"/>
                <w:color w:val="auto"/>
              </w:rPr>
              <w:t>PAA GP Holdings LLC, its general partner</w:t>
            </w:r>
          </w:p>
        </w:tc>
      </w:tr>
      <w:tr>
        <w:trPr>
          <w:trHeight w:val="491"/>
        </w:trPr>
        <w:tc>
          <w:tcPr>
            <w:tcW w:w="2980" w:type="dxa"/>
            <w:vAlign w:val="bottom"/>
          </w:tcPr>
          <w:p>
            <w:pPr>
              <w:spacing w:after="0"/>
              <w:rPr>
                <w:sz w:val="20"/>
                <w:szCs w:val="20"/>
                <w:color w:val="auto"/>
              </w:rPr>
            </w:pPr>
            <w:r>
              <w:rPr>
                <w:rFonts w:ascii="Arial" w:cs="Arial" w:eastAsia="Arial" w:hAnsi="Arial"/>
                <w:sz w:val="17"/>
                <w:szCs w:val="17"/>
                <w:color w:val="auto"/>
              </w:rPr>
              <w:t>Date: August 4, 2023</w:t>
            </w:r>
          </w:p>
        </w:tc>
        <w:tc>
          <w:tcPr>
            <w:tcW w:w="1980" w:type="dxa"/>
            <w:vAlign w:val="bottom"/>
          </w:tcPr>
          <w:p>
            <w:pPr>
              <w:ind w:left="1520"/>
              <w:spacing w:after="0"/>
              <w:rPr>
                <w:sz w:val="20"/>
                <w:szCs w:val="20"/>
                <w:color w:val="auto"/>
              </w:rPr>
            </w:pPr>
            <w:r>
              <w:rPr>
                <w:rFonts w:ascii="Arial" w:cs="Arial" w:eastAsia="Arial" w:hAnsi="Arial"/>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Al Swanson</w:t>
            </w:r>
          </w:p>
        </w:tc>
      </w:tr>
      <w:tr>
        <w:trPr>
          <w:trHeight w:val="212"/>
        </w:trPr>
        <w:tc>
          <w:tcPr>
            <w:tcW w:w="2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Name:</w:t>
            </w:r>
          </w:p>
        </w:tc>
        <w:tc>
          <w:tcPr>
            <w:tcW w:w="5080" w:type="dxa"/>
            <w:vAlign w:val="bottom"/>
          </w:tcPr>
          <w:p>
            <w:pPr>
              <w:ind w:left="180"/>
              <w:spacing w:after="0"/>
              <w:rPr>
                <w:sz w:val="20"/>
                <w:szCs w:val="20"/>
                <w:color w:val="auto"/>
              </w:rPr>
            </w:pPr>
            <w:r>
              <w:rPr>
                <w:rFonts w:ascii="Arial" w:cs="Arial" w:eastAsia="Arial" w:hAnsi="Arial"/>
                <w:sz w:val="17"/>
                <w:szCs w:val="17"/>
                <w:color w:val="auto"/>
              </w:rPr>
              <w:t>Al Swanson</w:t>
            </w:r>
          </w:p>
        </w:tc>
      </w:tr>
      <w:tr>
        <w:trPr>
          <w:trHeight w:val="219"/>
        </w:trPr>
        <w:tc>
          <w:tcPr>
            <w:tcW w:w="2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5080" w:type="dxa"/>
            <w:vAlign w:val="bottom"/>
          </w:tcPr>
          <w:p>
            <w:pPr>
              <w:ind w:left="18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280670</wp:posOffset>
            </wp:positionV>
            <wp:extent cx="4728845" cy="745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2884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Second-Quarter 2023 Results and Provides Updated 2023 Guidance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Announces Permian Bolt-On Acquisition and NGL Segment Updates</w:t>
      </w:r>
    </w:p>
    <w:p>
      <w:pPr>
        <w:spacing w:after="0" w:line="209"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 xml:space="preserve">Houston, TX – August 4, 2023 – Plains All American Pipeline, L.P. (Nasdaq: </w:t>
      </w:r>
      <w:r>
        <w:rPr>
          <w:rFonts w:ascii="Arial" w:cs="Arial" w:eastAsia="Arial" w:hAnsi="Arial"/>
          <w:sz w:val="17"/>
          <w:szCs w:val="17"/>
          <w:color w:val="0000FF"/>
        </w:rPr>
        <w:t>PAA</w:t>
      </w:r>
      <w:r>
        <w:rPr>
          <w:rFonts w:ascii="Arial" w:cs="Arial" w:eastAsia="Arial" w:hAnsi="Arial"/>
          <w:sz w:val="17"/>
          <w:szCs w:val="17"/>
          <w:color w:val="auto"/>
        </w:rPr>
        <w:t xml:space="preserve">) and Plains GP Holdings (Nasdaq: </w:t>
      </w:r>
      <w:r>
        <w:rPr>
          <w:rFonts w:ascii="Arial" w:cs="Arial" w:eastAsia="Arial" w:hAnsi="Arial"/>
          <w:sz w:val="17"/>
          <w:szCs w:val="17"/>
          <w:color w:val="0000FF"/>
        </w:rPr>
        <w:t>PAGP</w:t>
      </w:r>
      <w:r>
        <w:rPr>
          <w:rFonts w:ascii="Arial" w:cs="Arial" w:eastAsia="Arial" w:hAnsi="Arial"/>
          <w:sz w:val="17"/>
          <w:szCs w:val="17"/>
          <w:color w:val="auto"/>
        </w:rPr>
        <w:t>) today reported second-quarter 2023 results and provided updated 2023 guidance as highlighted below. Plains also announced a bolt-on acquisition in the Permian and provided updates regarding its NGL segment.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Second-Quarter Results</w:t>
      </w:r>
    </w:p>
    <w:p>
      <w:pPr>
        <w:spacing w:after="0" w:line="12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Reported Net income attributable to PAA of $293 million &amp; Net cash provided by operating activities of $888 million.</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Delivered strong results with Adjusted EBITDA attributable to PAA of $597 million.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Permian Bolt-on Acquisition</w:t>
      </w:r>
    </w:p>
    <w:p>
      <w:pPr>
        <w:spacing w:after="0" w:line="120" w:lineRule="exact"/>
        <w:rPr>
          <w:sz w:val="20"/>
          <w:szCs w:val="20"/>
          <w:color w:val="auto"/>
        </w:rPr>
      </w:pPr>
    </w:p>
    <w:p>
      <w:pPr>
        <w:ind w:left="620" w:right="80" w:hanging="307"/>
        <w:spacing w:after="0" w:line="280"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subsidiary of Plains Oryx Permian Basin LLC acquired Diamondback Energy’s 43% interest in OMOG JV LLC for approximately $225 million ($145 million net to PAA’s interest), which closed on July 28th.</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NGL Segment Updates</w:t>
      </w:r>
    </w:p>
    <w:p>
      <w:pPr>
        <w:spacing w:after="0" w:line="120" w:lineRule="exact"/>
        <w:rPr>
          <w:sz w:val="20"/>
          <w:szCs w:val="20"/>
          <w:color w:val="auto"/>
        </w:rPr>
      </w:pPr>
    </w:p>
    <w:p>
      <w:pPr>
        <w:ind w:left="620" w:hanging="307"/>
        <w:spacing w:after="0" w:line="266"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Sanctioned Plains Fort Saskatchewan (PFS) Train 1 debottlenecking project (~30 Mb/d of additional capacity) and additional connectivity projects to both Co-Ed Pipeline &amp; Fort Sask complex. Substantially increased weighted average contract tenor to approximately 10-years across Fort Sask fractionation capacity and Co-Ed Pipeline.</w:t>
      </w:r>
    </w:p>
    <w:p>
      <w:pPr>
        <w:spacing w:after="0" w:line="201"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 sanctioned projects and new contracts on existing assets to largely offset a third-party NGL supply agreement expiring year-end 2024, that reduces frac spread exposed volumes by ~15 Mb/d.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Guidance Update</w:t>
      </w:r>
    </w:p>
    <w:p>
      <w:pPr>
        <w:spacing w:after="0" w:line="120" w:lineRule="exact"/>
        <w:rPr>
          <w:sz w:val="20"/>
          <w:szCs w:val="20"/>
          <w:color w:val="auto"/>
        </w:rPr>
      </w:pPr>
    </w:p>
    <w:p>
      <w:pPr>
        <w:ind w:left="620" w:right="480" w:hanging="307"/>
        <w:spacing w:after="0" w:line="280"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Expect to be at the high end of our guidance range of $2.45 - $2.55 billion Adjusted EBITDA attributable to PAA for full-year 2023; year-end 2023 leverage now expected to be &lt;3.5x.</w:t>
      </w:r>
    </w:p>
    <w:p>
      <w:pPr>
        <w:spacing w:after="0" w:line="189" w:lineRule="exact"/>
        <w:rPr>
          <w:rFonts w:ascii="Arial" w:cs="Arial" w:eastAsia="Arial" w:hAnsi="Arial"/>
          <w:sz w:val="17"/>
          <w:szCs w:val="17"/>
          <w:color w:val="auto"/>
        </w:rPr>
      </w:pPr>
    </w:p>
    <w:p>
      <w:pPr>
        <w:ind w:left="620" w:right="120" w:hanging="307"/>
        <w:spacing w:after="0" w:line="280"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Maintaining 2023 investment and maintenance capital guidance of $325 million and $195 million respectively, net to PAA (inclusive of sanctioned NGL project); demonstrating a continued focus on capital discipline.</w:t>
      </w:r>
    </w:p>
    <w:p>
      <w:pPr>
        <w:spacing w:after="0" w:line="189" w:lineRule="exact"/>
        <w:rPr>
          <w:rFonts w:ascii="Arial" w:cs="Arial" w:eastAsia="Arial" w:hAnsi="Arial"/>
          <w:sz w:val="17"/>
          <w:szCs w:val="17"/>
          <w:color w:val="auto"/>
        </w:rPr>
      </w:pPr>
    </w:p>
    <w:p>
      <w:pPr>
        <w:ind w:left="620" w:right="140" w:hanging="307"/>
        <w:spacing w:after="0" w:line="280"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Free cash flow generation remains robust with approximately $1.6 billion of Free Cash Flow expected in 2023, while meaningfully increasing returns of capital to equity holders and further reducing absolute debt.</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team remains focused on execution while continuing to identify and progress capital efficient growth opportunities; as a result, we expect to be at the high-end of our 2023 EBITDA guidance range,” said Willie Chiang, Chairman &amp; CEO of Plains. “We announced multiple strategic actions this quarter including a bolt-on acquisition in the Permian that will complement our existing geographic footprint. Additionally, we took steps to improve the long-term durability and quality of our cash flow stream in the NGL segment by sanctioning the debottlenecking project at our Fort Sask complex and extending the duration of our contracts across our NGL portfolio. This will help offset commodity exposed NGL contracts that are expiring at the end of next year and should result in increased contribution from the more stable fee-based part of our business. These actions align with our ongoing goals of remaining capital disciplined, generating multi-year Free Cash Flow, reducing leverage and increasing returns of capital to our unitholders.”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vMerge w:val="restart"/>
          </w:tcPr>
          <w:p>
            <w:pPr>
              <w:jc w:val="center"/>
              <w:ind w:left="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center"/>
              <w:ind w:right="117"/>
              <w:spacing w:after="0"/>
              <w:rPr>
                <w:sz w:val="20"/>
                <w:szCs w:val="20"/>
                <w:color w:val="auto"/>
              </w:rPr>
            </w:pPr>
            <w:r>
              <w:rPr>
                <w:rFonts w:ascii="Arial" w:cs="Arial" w:eastAsia="Arial" w:hAnsi="Arial"/>
                <w:sz w:val="14"/>
                <w:szCs w:val="14"/>
                <w:b w:val="1"/>
                <w:bCs w:val="1"/>
                <w:color w:val="auto"/>
                <w:w w:val="88"/>
              </w:rPr>
              <w:t>Six Months Ended</w:t>
            </w:r>
          </w:p>
        </w:tc>
        <w:tc>
          <w:tcPr>
            <w:tcW w:w="1000" w:type="dxa"/>
            <w:vAlign w:val="bottom"/>
            <w:gridSpan w:val="3"/>
            <w:vMerge w:val="restart"/>
          </w:tcPr>
          <w:p>
            <w:pPr>
              <w:jc w:val="center"/>
              <w:ind w:left="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GAAP Results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9"/>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attributable to PAA</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83 %</w:t>
            </w:r>
          </w:p>
        </w:tc>
        <w:tc>
          <w:tcPr>
            <w:tcW w:w="0" w:type="dxa"/>
            <w:vAlign w:val="bottom"/>
          </w:tcPr>
          <w:p>
            <w:pPr>
              <w:spacing w:after="0"/>
              <w:rPr>
                <w:sz w:val="1"/>
                <w:szCs w:val="1"/>
                <w:color w:val="auto"/>
              </w:rPr>
            </w:pPr>
          </w:p>
        </w:tc>
      </w:tr>
      <w:tr>
        <w:trPr>
          <w:trHeight w:val="225"/>
        </w:trPr>
        <w:tc>
          <w:tcPr>
            <w:tcW w:w="5160" w:type="dxa"/>
            <w:vAlign w:val="bottom"/>
            <w:gridSpan w:val="3"/>
          </w:tcPr>
          <w:p>
            <w:pPr>
              <w:spacing w:after="0"/>
              <w:rPr>
                <w:sz w:val="20"/>
                <w:szCs w:val="20"/>
                <w:color w:val="auto"/>
              </w:rPr>
            </w:pPr>
            <w:r>
              <w:rPr>
                <w:rFonts w:ascii="Arial" w:cs="Arial" w:eastAsia="Arial" w:hAnsi="Arial"/>
                <w:sz w:val="17"/>
                <w:szCs w:val="17"/>
                <w:color w:val="auto"/>
              </w:rPr>
              <w:t>Diluted net income per common unit</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0.32</w:t>
            </w:r>
          </w:p>
        </w:tc>
        <w:tc>
          <w:tcPr>
            <w:tcW w:w="38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0.22</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45 %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0.84</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0.41</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27"/>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5160" w:type="dxa"/>
            <w:vAlign w:val="bottom"/>
            <w:gridSpan w:val="3"/>
          </w:tcPr>
          <w:p>
            <w:pPr>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888</w:t>
            </w:r>
          </w:p>
        </w:tc>
        <w:tc>
          <w:tcPr>
            <w:tcW w:w="38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792</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1,631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1,132</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33"/>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Distribution per common unit declared for the period</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0.2675</w:t>
            </w: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0.4350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571"/>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vMerge w:val="restart"/>
          </w:tcPr>
          <w:p>
            <w:pPr>
              <w:jc w:val="center"/>
              <w:ind w:left="36"/>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4"/>
          </w:tcPr>
          <w:p>
            <w:pPr>
              <w:jc w:val="center"/>
              <w:ind w:right="117"/>
              <w:spacing w:after="0"/>
              <w:rPr>
                <w:sz w:val="20"/>
                <w:szCs w:val="20"/>
                <w:color w:val="auto"/>
              </w:rPr>
            </w:pPr>
            <w:r>
              <w:rPr>
                <w:rFonts w:ascii="Arial" w:cs="Arial" w:eastAsia="Arial" w:hAnsi="Arial"/>
                <w:sz w:val="14"/>
                <w:szCs w:val="14"/>
                <w:b w:val="1"/>
                <w:bCs w:val="1"/>
                <w:color w:val="auto"/>
                <w:w w:val="88"/>
              </w:rPr>
              <w:t>Six Months Ended</w:t>
            </w:r>
          </w:p>
        </w:tc>
        <w:tc>
          <w:tcPr>
            <w:tcW w:w="1000" w:type="dxa"/>
            <w:vAlign w:val="bottom"/>
            <w:gridSpan w:val="3"/>
            <w:vMerge w:val="restart"/>
          </w:tcPr>
          <w:p>
            <w:pPr>
              <w:jc w:val="center"/>
              <w:ind w:left="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7"/>
                <w:szCs w:val="17"/>
                <w:b w:val="1"/>
                <w:bCs w:val="1"/>
                <w:i w:val="1"/>
                <w:iCs w:val="1"/>
                <w:color w:val="auto"/>
                <w:vertAlign w:val="superscript"/>
              </w:rPr>
              <w:t>(1)</w:t>
            </w: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gridSpan w:val="2"/>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4"/>
        </w:trPr>
        <w:tc>
          <w:tcPr>
            <w:tcW w:w="510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net income attributable to PAA</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19"/>
        </w:trPr>
        <w:tc>
          <w:tcPr>
            <w:tcW w:w="5160" w:type="dxa"/>
            <w:vAlign w:val="bottom"/>
            <w:gridSpan w:val="3"/>
          </w:tcPr>
          <w:p>
            <w:pPr>
              <w:spacing w:after="0"/>
              <w:rPr>
                <w:sz w:val="20"/>
                <w:szCs w:val="20"/>
                <w:color w:val="auto"/>
              </w:rPr>
            </w:pPr>
            <w:r>
              <w:rPr>
                <w:rFonts w:ascii="Arial" w:cs="Arial" w:eastAsia="Arial" w:hAnsi="Arial"/>
                <w:sz w:val="17"/>
                <w:szCs w:val="17"/>
                <w:color w:val="auto"/>
              </w:rPr>
              <w:t>Diluted adjusted net income per common unit</w:t>
            </w: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0.25</w:t>
            </w:r>
          </w:p>
        </w:tc>
        <w:tc>
          <w:tcPr>
            <w:tcW w:w="3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0.30</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0.66</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0.60</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32"/>
        </w:trPr>
        <w:tc>
          <w:tcPr>
            <w:tcW w:w="5160" w:type="dxa"/>
            <w:vAlign w:val="bottom"/>
            <w:gridSpan w:val="3"/>
          </w:tcPr>
          <w:p>
            <w:pPr>
              <w:spacing w:after="0" w:line="23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597</w:t>
            </w:r>
          </w:p>
        </w:tc>
        <w:tc>
          <w:tcPr>
            <w:tcW w:w="3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1,312</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1,228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19"/>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Implied DCF per common unit and common unit equivalent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19"/>
        </w:trPr>
        <w:tc>
          <w:tcPr>
            <w:tcW w:w="5160" w:type="dxa"/>
            <w:vAlign w:val="bottom"/>
            <w:gridSpan w:val="3"/>
          </w:tcPr>
          <w:p>
            <w:pPr>
              <w:spacing w:after="0"/>
              <w:rPr>
                <w:sz w:val="20"/>
                <w:szCs w:val="20"/>
                <w:color w:val="auto"/>
              </w:rPr>
            </w:pPr>
            <w:r>
              <w:rPr>
                <w:rFonts w:ascii="Arial" w:cs="Arial" w:eastAsia="Arial" w:hAnsi="Arial"/>
                <w:sz w:val="17"/>
                <w:szCs w:val="17"/>
                <w:color w:val="auto"/>
              </w:rPr>
              <w:t>Free Cash Flow</w:t>
            </w: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650</w:t>
            </w:r>
          </w:p>
        </w:tc>
        <w:tc>
          <w:tcPr>
            <w:tcW w:w="3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688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1,474</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888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66 %</w:t>
            </w:r>
          </w:p>
        </w:tc>
        <w:tc>
          <w:tcPr>
            <w:tcW w:w="0" w:type="dxa"/>
            <w:vAlign w:val="bottom"/>
          </w:tcPr>
          <w:p>
            <w:pPr>
              <w:spacing w:after="0"/>
              <w:rPr>
                <w:sz w:val="1"/>
                <w:szCs w:val="1"/>
                <w:color w:val="auto"/>
              </w:rPr>
            </w:pPr>
          </w:p>
        </w:tc>
      </w:tr>
      <w:tr>
        <w:trPr>
          <w:trHeight w:val="233"/>
        </w:trPr>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Free Cash Flow after Distributions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6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80" w:hanging="317"/>
        <w:spacing w:after="0" w:line="251" w:lineRule="auto"/>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33" w:lineRule="exact"/>
        <w:rPr>
          <w:rFonts w:ascii="Arial" w:cs="Arial" w:eastAsia="Arial" w:hAnsi="Arial"/>
          <w:sz w:val="21"/>
          <w:szCs w:val="21"/>
          <w:color w:val="auto"/>
          <w:vertAlign w:val="superscript"/>
        </w:rPr>
      </w:pPr>
    </w:p>
    <w:p>
      <w:pPr>
        <w:ind w:left="320" w:right="120" w:hanging="317"/>
        <w:spacing w:after="0" w:line="226" w:lineRule="auto"/>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Cactus II Pipeline LLC (beginning November 2022) and Red River Pipeline LLC.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5"/>
                <w:szCs w:val="15"/>
                <w:b w:val="1"/>
                <w:bCs w:val="1"/>
                <w:color w:val="auto"/>
              </w:rPr>
              <w:t>Segment Adjusted EBITDA</w:t>
            </w:r>
          </w:p>
        </w:tc>
      </w:tr>
      <w:tr>
        <w:trPr>
          <w:trHeight w:val="200"/>
        </w:trPr>
        <w:tc>
          <w:tcPr>
            <w:tcW w:w="7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b w:val="1"/>
                <w:bCs w:val="1"/>
                <w:color w:val="auto"/>
              </w:rPr>
              <w:t>Crude Oil</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NGL</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2023</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62</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4"/>
        </w:trPr>
        <w:tc>
          <w:tcPr>
            <w:tcW w:w="7860" w:type="dxa"/>
            <w:vAlign w:val="bottom"/>
          </w:tcPr>
          <w:p>
            <w:pPr>
              <w:ind w:left="20"/>
              <w:spacing w:after="0"/>
              <w:rPr>
                <w:sz w:val="20"/>
                <w:szCs w:val="20"/>
                <w:color w:val="auto"/>
              </w:rPr>
            </w:pPr>
            <w:r>
              <w:rPr>
                <w:rFonts w:ascii="Arial" w:cs="Arial" w:eastAsia="Arial" w:hAnsi="Arial"/>
                <w:sz w:val="17"/>
                <w:szCs w:val="17"/>
                <w:color w:val="auto"/>
              </w:rPr>
              <w:t>Three Months Ended June 30, 2022</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494</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6"/>
              <w:spacing w:after="0"/>
              <w:rPr>
                <w:sz w:val="20"/>
                <w:szCs w:val="20"/>
                <w:color w:val="auto"/>
              </w:rPr>
            </w:pPr>
            <w:r>
              <w:rPr>
                <w:rFonts w:ascii="Arial" w:cs="Arial" w:eastAsia="Arial" w:hAnsi="Arial"/>
                <w:sz w:val="17"/>
                <w:szCs w:val="17"/>
                <w:color w:val="auto"/>
              </w:rPr>
              <w:t>120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86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7"/>
                <w:szCs w:val="17"/>
                <w:b w:val="1"/>
                <w:bCs w:val="1"/>
                <w:i w:val="1"/>
                <w:iCs w:val="1"/>
                <w:color w:val="auto"/>
              </w:rPr>
              <w:t>Percentage change in Segment Adjusted EBITDA versus 2022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b w:val="1"/>
                <w:bCs w:val="1"/>
                <w:i w:val="1"/>
                <w:iCs w:val="1"/>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b w:val="1"/>
                <w:bCs w:val="1"/>
                <w:i w:val="1"/>
                <w:iCs w:val="1"/>
                <w:color w:val="auto"/>
              </w:rPr>
              <w:t>(48)%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8"/>
        </w:trPr>
        <w:tc>
          <w:tcPr>
            <w:tcW w:w="7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5"/>
                <w:szCs w:val="15"/>
                <w:b w:val="1"/>
                <w:bCs w:val="1"/>
                <w:color w:val="auto"/>
              </w:rPr>
              <w:t>Segment Adjusted EBITDA</w:t>
            </w:r>
          </w:p>
        </w:tc>
      </w:tr>
      <w:tr>
        <w:trPr>
          <w:trHeight w:val="200"/>
        </w:trPr>
        <w:tc>
          <w:tcPr>
            <w:tcW w:w="7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b w:val="1"/>
                <w:bCs w:val="1"/>
                <w:color w:val="auto"/>
              </w:rPr>
              <w:t>Crude Oil</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NGL</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Six Months Ended June 30, 2023</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254</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4"/>
        </w:trPr>
        <w:tc>
          <w:tcPr>
            <w:tcW w:w="7860" w:type="dxa"/>
            <w:vAlign w:val="bottom"/>
          </w:tcPr>
          <w:p>
            <w:pPr>
              <w:ind w:left="20"/>
              <w:spacing w:after="0"/>
              <w:rPr>
                <w:sz w:val="20"/>
                <w:szCs w:val="20"/>
                <w:color w:val="auto"/>
              </w:rPr>
            </w:pPr>
            <w:r>
              <w:rPr>
                <w:rFonts w:ascii="Arial" w:cs="Arial" w:eastAsia="Arial" w:hAnsi="Arial"/>
                <w:sz w:val="17"/>
                <w:szCs w:val="17"/>
                <w:color w:val="auto"/>
              </w:rPr>
              <w:t>Six Months Ended June 30, 2022</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946</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6"/>
              <w:spacing w:after="0"/>
              <w:rPr>
                <w:sz w:val="20"/>
                <w:szCs w:val="20"/>
                <w:color w:val="auto"/>
              </w:rPr>
            </w:pPr>
            <w:r>
              <w:rPr>
                <w:rFonts w:ascii="Arial" w:cs="Arial" w:eastAsia="Arial" w:hAnsi="Arial"/>
                <w:sz w:val="17"/>
                <w:szCs w:val="17"/>
                <w:color w:val="auto"/>
              </w:rPr>
              <w:t>281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2022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right="200" w:firstLine="620"/>
        <w:spacing w:after="0" w:line="291" w:lineRule="auto"/>
        <w:rPr>
          <w:sz w:val="20"/>
          <w:szCs w:val="20"/>
          <w:color w:val="auto"/>
        </w:rPr>
      </w:pPr>
      <w:r>
        <w:rPr>
          <w:rFonts w:ascii="Arial" w:cs="Arial" w:eastAsia="Arial" w:hAnsi="Arial"/>
          <w:sz w:val="16"/>
          <w:szCs w:val="16"/>
          <w:color w:val="auto"/>
        </w:rPr>
        <w:t>Second-quarter 2023 Crude Oil Segment Adjusted EBITDA increased 7% versus comparable 2022 results primarily due to higher tariff volumes across our asset base, tariff escalations and Canadian market-based opportunities. These items were partially offset by the impact of increased operating expenses, minimum volume commitment deficiency payments received in the second quarter of 2022 and lower commodity prices.</w:t>
      </w:r>
    </w:p>
    <w:p>
      <w:pPr>
        <w:spacing w:after="0" w:line="183" w:lineRule="exact"/>
        <w:rPr>
          <w:sz w:val="20"/>
          <w:szCs w:val="20"/>
          <w:color w:val="auto"/>
        </w:rPr>
      </w:pPr>
    </w:p>
    <w:p>
      <w:pPr>
        <w:ind w:right="300" w:firstLine="620"/>
        <w:spacing w:after="0" w:line="312" w:lineRule="auto"/>
        <w:rPr>
          <w:sz w:val="20"/>
          <w:szCs w:val="20"/>
          <w:color w:val="auto"/>
        </w:rPr>
      </w:pPr>
      <w:r>
        <w:rPr>
          <w:rFonts w:ascii="Arial" w:cs="Arial" w:eastAsia="Arial" w:hAnsi="Arial"/>
          <w:sz w:val="16"/>
          <w:szCs w:val="16"/>
          <w:color w:val="auto"/>
        </w:rPr>
        <w:t>Second-quarter 2023 NGL Segment Adjusted EBITDA decreased 48% versus comparable 2022 results primarily due to lower propane sales volumes, impacted by turnarounds and deferring sales due to market structure, and the absence of weather events that benefited the 2022 period.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49" w:lineRule="exact"/>
        <w:rPr>
          <w:sz w:val="20"/>
          <w:szCs w:val="20"/>
          <w:color w:val="auto"/>
        </w:rPr>
      </w:pPr>
    </w:p>
    <w:p>
      <w:pPr>
        <w:ind w:right="20" w:firstLine="620"/>
        <w:spacing w:after="0" w:line="26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and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PAA and PAGP will hold a joint conference call at 9:00 a.m. CT on Friday, August 4, 2023 to discuss second-quarter performance and related items.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https://edge.media-server.com/mmc/p/w4wbvvbs.</w:t>
      </w:r>
    </w:p>
    <w:p>
      <w:pPr>
        <w:spacing w:after="0" w:line="243" w:lineRule="exact"/>
        <w:rPr>
          <w:sz w:val="20"/>
          <w:szCs w:val="20"/>
          <w:color w:val="auto"/>
        </w:rPr>
      </w:pPr>
    </w:p>
    <w:p>
      <w:pPr>
        <w:ind w:right="120" w:firstLine="620"/>
        <w:spacing w:after="0" w:line="291" w:lineRule="auto"/>
        <w:rPr>
          <w:sz w:val="20"/>
          <w:szCs w:val="20"/>
          <w:color w:val="auto"/>
        </w:rPr>
      </w:pPr>
      <w:r>
        <w:rPr>
          <w:rFonts w:ascii="Arial" w:cs="Arial" w:eastAsia="Arial" w:hAnsi="Arial"/>
          <w:sz w:val="16"/>
          <w:szCs w:val="16"/>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at the above referenced website.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20" w:firstLine="620"/>
        <w:spacing w:after="0" w:line="283"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24" w:lineRule="exact"/>
        <w:rPr>
          <w:sz w:val="20"/>
          <w:szCs w:val="20"/>
          <w:color w:val="auto"/>
        </w:rPr>
      </w:pPr>
    </w:p>
    <w:p>
      <w:pPr>
        <w:ind w:right="40" w:firstLine="620"/>
        <w:spacing w:after="0" w:line="273"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Non-GAAP Financial Performance Measures</w:t>
      </w:r>
    </w:p>
    <w:p>
      <w:pPr>
        <w:spacing w:after="0" w:line="133" w:lineRule="exact"/>
        <w:rPr>
          <w:sz w:val="20"/>
          <w:szCs w:val="20"/>
          <w:color w:val="auto"/>
        </w:rPr>
      </w:pPr>
    </w:p>
    <w:p>
      <w:pPr>
        <w:ind w:firstLine="620"/>
        <w:spacing w:after="0" w:line="290" w:lineRule="auto"/>
        <w:rPr>
          <w:sz w:val="20"/>
          <w:szCs w:val="20"/>
          <w:color w:val="auto"/>
        </w:rPr>
      </w:pPr>
      <w:r>
        <w:rPr>
          <w:rFonts w:ascii="Arial" w:cs="Arial" w:eastAsia="Arial" w:hAnsi="Arial"/>
          <w:sz w:val="15"/>
          <w:szCs w:val="15"/>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01" w:lineRule="exact"/>
        <w:rPr>
          <w:sz w:val="20"/>
          <w:szCs w:val="20"/>
          <w:color w:val="auto"/>
        </w:rPr>
      </w:pPr>
    </w:p>
    <w:p>
      <w:pPr>
        <w:ind w:firstLine="620"/>
        <w:spacing w:after="0" w:line="260"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Non-GAAP Financial Liquidity Measures</w:t>
      </w:r>
    </w:p>
    <w:p>
      <w:pPr>
        <w:spacing w:after="0" w:line="133" w:lineRule="exact"/>
        <w:rPr>
          <w:sz w:val="20"/>
          <w:szCs w:val="20"/>
          <w:color w:val="auto"/>
        </w:rPr>
      </w:pPr>
    </w:p>
    <w:p>
      <w:pPr>
        <w:ind w:right="120" w:firstLine="620"/>
        <w:spacing w:after="0" w:line="258" w:lineRule="auto"/>
        <w:rPr>
          <w:sz w:val="20"/>
          <w:szCs w:val="20"/>
          <w:color w:val="auto"/>
        </w:rPr>
      </w:pPr>
      <w:r>
        <w:rPr>
          <w:rFonts w:ascii="Arial" w:cs="Arial" w:eastAsia="Arial" w:hAnsi="Arial"/>
          <w:sz w:val="17"/>
          <w:szCs w:val="17"/>
          <w:color w:val="auto"/>
        </w:rPr>
        <w:t>Management also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20"/>
          </w:cols>
          <w:pgMar w:left="320" w:top="359"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7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23,943</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30,053</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15,324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28,109</w:t>
            </w:r>
          </w:p>
        </w:tc>
      </w:tr>
      <w:tr>
        <w:trPr>
          <w:trHeight w:val="227"/>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33"/>
        </w:trPr>
        <w:tc>
          <w:tcPr>
            <w:tcW w:w="2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29,349</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INCOME/(EXPENSE)</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Equity earnings in unconsolidated entities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27"/>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Other income/(expense), net</w:t>
            </w: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38"/>
        </w:trPr>
        <w:tc>
          <w:tcPr>
            <w:tcW w:w="2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INCOME BEFORE TAX</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544</w:t>
            </w: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32"/>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 expense</w:t>
            </w:r>
          </w:p>
        </w:tc>
        <w:tc>
          <w:tcPr>
            <w:tcW w:w="1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26"/>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476</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1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26"/>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NET INCOME ATTRIBUTABLE TO PAA</w:t>
            </w:r>
          </w:p>
        </w:tc>
        <w:tc>
          <w:tcPr>
            <w:tcW w:w="17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293</w:t>
            </w:r>
          </w:p>
        </w:tc>
        <w:tc>
          <w:tcPr>
            <w:tcW w:w="4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203</w:t>
            </w:r>
          </w:p>
        </w:tc>
        <w:tc>
          <w:tcPr>
            <w:tcW w:w="4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715</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NET INCOME PER COMMON UNIT: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Net income allocated to common unitholders — Basic and Diluted</w:t>
            </w:r>
          </w:p>
        </w:tc>
        <w:tc>
          <w:tcPr>
            <w:tcW w:w="17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19"/>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7"/>
                <w:szCs w:val="17"/>
                <w:color w:val="auto"/>
                <w:w w:val="97"/>
              </w:rPr>
              <w:t>Basic and diluted weighted average common units outstanding</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703</w:t>
            </w:r>
          </w:p>
        </w:tc>
      </w:tr>
      <w:tr>
        <w:trPr>
          <w:trHeight w:val="253"/>
        </w:trPr>
        <w:tc>
          <w:tcPr>
            <w:tcW w:w="2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Basic and diluted net income per common unit</w:t>
            </w:r>
          </w:p>
        </w:tc>
        <w:tc>
          <w:tcPr>
            <w:tcW w:w="1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60" w:type="dxa"/>
            <w:vAlign w:val="bottom"/>
            <w:gridSpan w:val="2"/>
          </w:tcPr>
          <w:p>
            <w:pPr>
              <w:jc w:val="right"/>
              <w:ind w:right="554"/>
              <w:spacing w:after="0"/>
              <w:rPr>
                <w:sz w:val="20"/>
                <w:szCs w:val="20"/>
                <w:color w:val="auto"/>
              </w:rPr>
            </w:pPr>
            <w:r>
              <w:rPr>
                <w:rFonts w:ascii="Arial" w:cs="Arial" w:eastAsia="Arial" w:hAnsi="Arial"/>
                <w:sz w:val="17"/>
                <w:szCs w:val="17"/>
                <w:color w:val="auto"/>
              </w:rPr>
              <w:t>- more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314"/>
        </w:trPr>
        <w:tc>
          <w:tcPr>
            <w:tcW w:w="20" w:type="dxa"/>
            <w:vAlign w:val="bottom"/>
          </w:tcPr>
          <w:p>
            <w:pPr>
              <w:spacing w:after="0"/>
              <w:rPr>
                <w:sz w:val="24"/>
                <w:szCs w:val="24"/>
                <w:color w:val="auto"/>
              </w:rPr>
            </w:pPr>
          </w:p>
        </w:tc>
        <w:tc>
          <w:tcPr>
            <w:tcW w:w="4760" w:type="dxa"/>
            <w:vAlign w:val="bottom"/>
          </w:tcPr>
          <w:p>
            <w:pPr>
              <w:ind w:left="1740"/>
              <w:spacing w:after="0"/>
              <w:rPr>
                <w:sz w:val="20"/>
                <w:szCs w:val="20"/>
                <w:color w:val="auto"/>
              </w:rPr>
            </w:pPr>
            <w:r>
              <w:rPr>
                <w:rFonts w:ascii="Arial" w:cs="Arial" w:eastAsia="Arial" w:hAnsi="Arial"/>
                <w:sz w:val="17"/>
                <w:szCs w:val="17"/>
                <w:b w:val="1"/>
                <w:bCs w:val="1"/>
                <w:color w:val="auto"/>
              </w:rPr>
              <w:t>333 Clay Street, Suite 1600</w:t>
            </w:r>
          </w:p>
        </w:tc>
        <w:tc>
          <w:tcPr>
            <w:tcW w:w="1760" w:type="dxa"/>
            <w:vAlign w:val="bottom"/>
            <w:gridSpan w:val="2"/>
          </w:tcPr>
          <w:p>
            <w:pPr>
              <w:jc w:val="right"/>
              <w:ind w:right="34"/>
              <w:spacing w:after="0"/>
              <w:rPr>
                <w:sz w:val="20"/>
                <w:szCs w:val="20"/>
                <w:color w:val="auto"/>
              </w:rPr>
            </w:pPr>
            <w:r>
              <w:rPr>
                <w:rFonts w:ascii="Arial" w:cs="Arial" w:eastAsia="Arial" w:hAnsi="Arial"/>
                <w:sz w:val="17"/>
                <w:szCs w:val="17"/>
                <w:b w:val="1"/>
                <w:bCs w:val="1"/>
                <w:color w:val="auto"/>
                <w:w w:val="90"/>
              </w:rPr>
              <w:t>Houston, Texas 77002</w:t>
            </w:r>
          </w:p>
        </w:tc>
        <w:tc>
          <w:tcPr>
            <w:tcW w:w="880" w:type="dxa"/>
            <w:vAlign w:val="bottom"/>
          </w:tcPr>
          <w:p>
            <w:pPr>
              <w:spacing w:after="0"/>
              <w:rPr>
                <w:sz w:val="24"/>
                <w:szCs w:val="24"/>
                <w:color w:val="auto"/>
              </w:rPr>
            </w:pPr>
          </w:p>
        </w:tc>
        <w:tc>
          <w:tcPr>
            <w:tcW w:w="2540" w:type="dxa"/>
            <w:vAlign w:val="bottom"/>
            <w:gridSpan w:val="6"/>
          </w:tcPr>
          <w:p>
            <w:pPr>
              <w:ind w:left="80"/>
              <w:spacing w:after="0"/>
              <w:rPr>
                <w:sz w:val="20"/>
                <w:szCs w:val="20"/>
                <w:color w:val="auto"/>
              </w:rPr>
            </w:pPr>
            <w:r>
              <w:rPr>
                <w:rFonts w:ascii="Arial" w:cs="Arial" w:eastAsia="Arial" w:hAnsi="Arial"/>
                <w:sz w:val="17"/>
                <w:szCs w:val="17"/>
                <w:b w:val="1"/>
                <w:bCs w:val="1"/>
                <w:color w:val="auto"/>
              </w:rPr>
              <w:t>713-646-4100 / 866-809-1291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40"/>
          </w:cols>
          <w:pgMar w:left="320" w:top="35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$933 and $401, respectively)</w:t>
            </w:r>
          </w:p>
        </w:tc>
        <w:tc>
          <w:tcPr>
            <w:tcW w:w="198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5,355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3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Linefill</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tcPr>
          <w:p>
            <w:pPr>
              <w:spacing w:after="0"/>
              <w:rPr>
                <w:sz w:val="18"/>
                <w:szCs w:val="18"/>
                <w:color w:val="auto"/>
              </w:rPr>
            </w:pPr>
          </w:p>
        </w:tc>
        <w:tc>
          <w:tcPr>
            <w:tcW w:w="198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26,900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Senior notes, net</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14,567</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10,057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27,892</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1940" w:type="dxa"/>
            <w:vAlign w:val="bottom"/>
            <w:vMerge w:val="restart"/>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tcBorders>
              <w:bottom w:val="single" w:sz="8" w:color="auto"/>
            </w:tcBorders>
            <w:gridSpan w:val="2"/>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40" w:type="dxa"/>
            <w:vAlign w:val="bottom"/>
            <w:gridSpan w:val="3"/>
          </w:tcPr>
          <w:p>
            <w:pPr>
              <w:spacing w:after="0"/>
              <w:rPr>
                <w:sz w:val="20"/>
                <w:szCs w:val="20"/>
                <w:color w:val="auto"/>
              </w:rPr>
            </w:pPr>
            <w:r>
              <w:rPr>
                <w:rFonts w:ascii="Arial" w:cs="Arial" w:eastAsia="Arial" w:hAnsi="Arial"/>
                <w:sz w:val="17"/>
                <w:szCs w:val="17"/>
                <w:color w:val="auto"/>
              </w:rPr>
              <w:t>(in millions)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156"/>
              <w:spacing w:after="0" w:line="157"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56"/>
              <w:spacing w:after="0" w:line="15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980" w:type="dxa"/>
            <w:vAlign w:val="bottom"/>
            <w:gridSpan w:val="2"/>
          </w:tcPr>
          <w:p>
            <w:pPr>
              <w:jc w:val="right"/>
              <w:ind w:right="34"/>
              <w:spacing w:after="0" w:line="191"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1" w:lineRule="exact"/>
              <w:rPr>
                <w:sz w:val="20"/>
                <w:szCs w:val="20"/>
                <w:color w:val="auto"/>
              </w:rPr>
            </w:pPr>
            <w:r>
              <w:rPr>
                <w:rFonts w:ascii="Arial" w:cs="Arial" w:eastAsia="Arial" w:hAnsi="Arial"/>
                <w:sz w:val="17"/>
                <w:szCs w:val="17"/>
                <w:color w:val="auto"/>
              </w:rPr>
              <w:t>18,376</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18,503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620" w:type="dxa"/>
            <w:vAlign w:val="bottom"/>
            <w:gridSpan w:val="2"/>
          </w:tcPr>
          <w:p>
            <w:pPr>
              <w:ind w:left="174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74"/>
              <w:spacing w:after="0"/>
              <w:rPr>
                <w:sz w:val="20"/>
                <w:szCs w:val="20"/>
                <w:color w:val="auto"/>
              </w:rPr>
            </w:pPr>
            <w:r>
              <w:rPr>
                <w:rFonts w:ascii="Arial" w:cs="Arial" w:eastAsia="Arial" w:hAnsi="Arial"/>
                <w:sz w:val="17"/>
                <w:szCs w:val="17"/>
                <w:b w:val="1"/>
                <w:bCs w:val="1"/>
                <w:color w:val="auto"/>
                <w:w w:val="89"/>
              </w:rPr>
              <w:t>Houston, Texas 77002</w:t>
            </w:r>
          </w:p>
        </w:tc>
        <w:tc>
          <w:tcPr>
            <w:tcW w:w="2960" w:type="dxa"/>
            <w:vAlign w:val="bottom"/>
            <w:gridSpan w:val="3"/>
          </w:tcPr>
          <w:p>
            <w:pPr>
              <w:jc w:val="right"/>
              <w:ind w:right="236"/>
              <w:spacing w:after="0"/>
              <w:rPr>
                <w:sz w:val="20"/>
                <w:szCs w:val="20"/>
                <w:color w:val="auto"/>
              </w:rPr>
            </w:pPr>
            <w:r>
              <w:rPr>
                <w:rFonts w:ascii="Arial" w:cs="Arial" w:eastAsia="Arial" w:hAnsi="Arial"/>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19"/>
        </w:trPr>
        <w:tc>
          <w:tcPr>
            <w:tcW w:w="20" w:type="dxa"/>
            <w:vAlign w:val="bottom"/>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Basic and Diluted Net Income per Common Unit</w:t>
            </w: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7"/>
                <w:szCs w:val="17"/>
                <w:color w:val="auto"/>
              </w:rPr>
              <w:t>Net income attributable to PAA</w:t>
            </w:r>
          </w:p>
        </w:tc>
        <w:tc>
          <w:tcPr>
            <w:tcW w:w="780" w:type="dxa"/>
            <w:vAlign w:val="bottom"/>
          </w:tcPr>
          <w:p>
            <w:pPr>
              <w:jc w:val="right"/>
              <w:ind w:right="60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293</w:t>
            </w:r>
          </w:p>
        </w:tc>
        <w:tc>
          <w:tcPr>
            <w:tcW w:w="8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203</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715</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33"/>
        </w:trPr>
        <w:tc>
          <w:tcPr>
            <w:tcW w:w="20" w:type="dxa"/>
            <w:vAlign w:val="bottom"/>
          </w:tcPr>
          <w:p>
            <w:pPr>
              <w:spacing w:after="0"/>
              <w:rPr>
                <w:sz w:val="20"/>
                <w:szCs w:val="20"/>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Distributions to Series A preferred unitholders</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9"/>
        </w:trPr>
        <w:tc>
          <w:tcPr>
            <w:tcW w:w="20" w:type="dxa"/>
            <w:vAlign w:val="bottom"/>
          </w:tcPr>
          <w:p>
            <w:pPr>
              <w:spacing w:after="0"/>
              <w:rPr>
                <w:sz w:val="19"/>
                <w:szCs w:val="19"/>
                <w:color w:val="auto"/>
              </w:rPr>
            </w:pPr>
          </w:p>
        </w:tc>
        <w:tc>
          <w:tcPr>
            <w:tcW w:w="6160" w:type="dxa"/>
            <w:vAlign w:val="bottom"/>
            <w:gridSpan w:val="2"/>
          </w:tcPr>
          <w:p>
            <w:pPr>
              <w:ind w:left="160"/>
              <w:spacing w:after="0"/>
              <w:rPr>
                <w:sz w:val="20"/>
                <w:szCs w:val="20"/>
                <w:color w:val="auto"/>
              </w:rPr>
            </w:pPr>
            <w:r>
              <w:rPr>
                <w:rFonts w:ascii="Arial" w:cs="Arial" w:eastAsia="Arial" w:hAnsi="Arial"/>
                <w:sz w:val="17"/>
                <w:szCs w:val="17"/>
                <w:color w:val="auto"/>
              </w:rPr>
              <w:t>Distributions to Series B preferred unitholders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20" w:type="dxa"/>
            <w:vAlign w:val="bottom"/>
          </w:tcPr>
          <w:p>
            <w:pPr>
              <w:spacing w:after="0"/>
              <w:rPr>
                <w:sz w:val="19"/>
                <w:szCs w:val="19"/>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Amounts allocated to participating securities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20" w:type="dxa"/>
            <w:vAlign w:val="bottom"/>
          </w:tcPr>
          <w:p>
            <w:pPr>
              <w:spacing w:after="0"/>
              <w:rPr>
                <w:sz w:val="20"/>
                <w:szCs w:val="20"/>
                <w:color w:val="auto"/>
              </w:rPr>
            </w:pPr>
          </w:p>
        </w:tc>
        <w:tc>
          <w:tcPr>
            <w:tcW w:w="6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Other</w:t>
            </w: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20" w:type="dxa"/>
            <w:vAlign w:val="bottom"/>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allocated to common unitholders</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616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r>
      <w:tr>
        <w:trPr>
          <w:trHeight w:val="245"/>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and diluted net income per common unit</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0.32</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130" w:lineRule="exact"/>
        <w:rPr>
          <w:sz w:val="20"/>
          <w:szCs w:val="20"/>
          <w:color w:val="auto"/>
        </w:rPr>
      </w:pPr>
    </w:p>
    <w:p>
      <w:pPr>
        <w:ind w:left="320" w:right="160" w:hanging="317"/>
        <w:spacing w:after="0" w:line="239"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41" w:lineRule="exact"/>
        <w:rPr>
          <w:rFonts w:ascii="Arial" w:cs="Arial" w:eastAsia="Arial" w:hAnsi="Arial"/>
          <w:sz w:val="22"/>
          <w:szCs w:val="22"/>
          <w:color w:val="auto"/>
          <w:vertAlign w:val="superscript"/>
        </w:rPr>
      </w:pPr>
    </w:p>
    <w:p>
      <w:pPr>
        <w:ind w:left="320" w:right="40" w:hanging="317"/>
        <w:spacing w:after="0" w:line="226"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 per common unit for each of the three and six months ended June 30, 2023 and 2022 as the effect was antidilutive.</w:t>
      </w:r>
    </w:p>
    <w:p>
      <w:pPr>
        <w:spacing w:after="0" w:line="42" w:lineRule="exact"/>
        <w:rPr>
          <w:rFonts w:ascii="Arial" w:cs="Arial" w:eastAsia="Arial" w:hAnsi="Arial"/>
          <w:sz w:val="22"/>
          <w:szCs w:val="22"/>
          <w:color w:val="auto"/>
          <w:vertAlign w:val="superscript"/>
        </w:rPr>
      </w:pPr>
    </w:p>
    <w:p>
      <w:pPr>
        <w:ind w:left="320" w:right="20" w:hanging="317"/>
        <w:spacing w:after="0" w:line="239"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CASH FLOW DATA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Six Months Ended</w:t>
      </w:r>
    </w:p>
    <w:p>
      <w:pPr>
        <w:jc w:val="center"/>
        <w:ind w:left="8660"/>
        <w:spacing w:after="0"/>
        <w:rPr>
          <w:sz w:val="20"/>
          <w:szCs w:val="20"/>
          <w:color w:val="auto"/>
        </w:rPr>
      </w:pPr>
      <w:r>
        <w:rPr>
          <w:rFonts w:ascii="Arial" w:cs="Arial" w:eastAsia="Arial" w:hAnsi="Arial"/>
          <w:sz w:val="14"/>
          <w:szCs w:val="14"/>
          <w:b w:val="1"/>
          <w:bCs w:val="1"/>
          <w:color w:val="auto"/>
        </w:rPr>
        <w:t>June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87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824</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476</w:t>
            </w:r>
          </w:p>
        </w:tc>
      </w:tr>
      <w:tr>
        <w:trPr>
          <w:trHeight w:val="233"/>
        </w:trPr>
        <w:tc>
          <w:tcPr>
            <w:tcW w:w="8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Reconciliation of net income to net cash provided by operating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9"/>
        </w:trPr>
        <w:tc>
          <w:tcPr>
            <w:tcW w:w="870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473</w:t>
            </w:r>
          </w:p>
        </w:tc>
      </w:tr>
      <w:tr>
        <w:trPr>
          <w:trHeight w:val="220"/>
        </w:trPr>
        <w:tc>
          <w:tcPr>
            <w:tcW w:w="8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Gains on asset sales and asset impairments,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5"/>
        </w:trPr>
        <w:tc>
          <w:tcPr>
            <w:tcW w:w="8700" w:type="dxa"/>
            <w:vAlign w:val="bottom"/>
          </w:tcPr>
          <w:p>
            <w:pPr>
              <w:ind w:left="1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27"/>
        </w:trPr>
        <w:tc>
          <w:tcPr>
            <w:tcW w:w="8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19"/>
        </w:trPr>
        <w:tc>
          <w:tcPr>
            <w:tcW w:w="8700" w:type="dxa"/>
            <w:vAlign w:val="bottom"/>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33"/>
        </w:trPr>
        <w:tc>
          <w:tcPr>
            <w:tcW w:w="8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Changes in assets and liabilities, net of acquisitions</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2"/>
        </w:trPr>
        <w:tc>
          <w:tcPr>
            <w:tcW w:w="8700" w:type="dxa"/>
            <w:vAlign w:val="bottom"/>
          </w:tcPr>
          <w:p>
            <w:pPr>
              <w:ind w:left="2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1,132</w:t>
            </w:r>
          </w:p>
        </w:tc>
      </w:tr>
      <w:tr>
        <w:trPr>
          <w:trHeight w:val="259"/>
        </w:trPr>
        <w:tc>
          <w:tcPr>
            <w:tcW w:w="8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19"/>
        </w:trPr>
        <w:tc>
          <w:tcPr>
            <w:tcW w:w="87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2"/>
        </w:trPr>
        <w:tc>
          <w:tcPr>
            <w:tcW w:w="8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58"/>
        </w:trPr>
        <w:tc>
          <w:tcPr>
            <w:tcW w:w="8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8700" w:type="dxa"/>
            <w:vAlign w:val="bottom"/>
          </w:tcPr>
          <w:p>
            <w:pPr>
              <w:ind w:left="12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(1,196)</w:t>
            </w:r>
          </w:p>
        </w:tc>
      </w:tr>
      <w:tr>
        <w:trPr>
          <w:trHeight w:val="259"/>
        </w:trPr>
        <w:tc>
          <w:tcPr>
            <w:tcW w:w="8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5"/>
        </w:trPr>
        <w:tc>
          <w:tcPr>
            <w:tcW w:w="8700" w:type="dxa"/>
            <w:vAlign w:val="bottom"/>
          </w:tcPr>
          <w:p>
            <w:pPr>
              <w:ind w:left="120"/>
              <w:spacing w:after="0"/>
              <w:rPr>
                <w:sz w:val="20"/>
                <w:szCs w:val="20"/>
                <w:color w:val="auto"/>
              </w:rPr>
            </w:pPr>
            <w:r>
              <w:rPr>
                <w:rFonts w:ascii="Arial" w:cs="Arial" w:eastAsia="Arial" w:hAnsi="Arial"/>
                <w:sz w:val="17"/>
                <w:szCs w:val="17"/>
                <w:color w:val="auto"/>
              </w:rPr>
              <w:t>Effect of translation adjustment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65"/>
        </w:trPr>
        <w:tc>
          <w:tcPr>
            <w:tcW w:w="8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9"/>
        </w:trPr>
        <w:tc>
          <w:tcPr>
            <w:tcW w:w="8700" w:type="dxa"/>
            <w:vAlign w:val="bottom"/>
          </w:tcPr>
          <w:p>
            <w:pPr>
              <w:ind w:left="20"/>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59"/>
        </w:trPr>
        <w:tc>
          <w:tcPr>
            <w:tcW w:w="8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19"/>
        </w:trPr>
        <w:tc>
          <w:tcPr>
            <w:tcW w:w="8700" w:type="dxa"/>
            <w:vAlign w:val="bottom"/>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r>
      <w:tr>
        <w:trPr>
          <w:trHeight w:val="246"/>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 EXPENDITURES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 xml:space="preserve">Net to PAA </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25"/>
        </w:trPr>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4"/>
          </w:tcPr>
          <w:p>
            <w:pPr>
              <w:jc w:val="right"/>
              <w:spacing w:after="0" w:line="125" w:lineRule="exact"/>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4"/>
          </w:tcPr>
          <w:p>
            <w:pPr>
              <w:jc w:val="right"/>
              <w:ind w:right="277"/>
              <w:spacing w:after="0" w:line="125" w:lineRule="exact"/>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4"/>
          </w:tcPr>
          <w:p>
            <w:pPr>
              <w:jc w:val="right"/>
              <w:ind w:right="199"/>
              <w:spacing w:after="0" w:line="125"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4"/>
          </w:tcPr>
          <w:p>
            <w:pPr>
              <w:jc w:val="right"/>
              <w:ind w:right="277"/>
              <w:spacing w:after="0" w:line="125" w:lineRule="exact"/>
              <w:rPr>
                <w:sz w:val="20"/>
                <w:szCs w:val="20"/>
                <w:color w:val="auto"/>
              </w:rPr>
            </w:pPr>
            <w:r>
              <w:rPr>
                <w:rFonts w:ascii="Arial" w:cs="Arial" w:eastAsia="Arial" w:hAnsi="Arial"/>
                <w:sz w:val="14"/>
                <w:szCs w:val="14"/>
                <w:b w:val="1"/>
                <w:bCs w:val="1"/>
                <w:color w:val="auto"/>
              </w:rPr>
              <w:t>Six Months Ended</w:t>
            </w:r>
          </w:p>
        </w:tc>
      </w:tr>
      <w:tr>
        <w:trPr>
          <w:trHeight w:val="184"/>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85"/>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2022</w:t>
            </w:r>
          </w:p>
        </w:tc>
      </w:tr>
      <w:tr>
        <w:trPr>
          <w:trHeight w:val="21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capital expenditures:</w:t>
            </w:r>
          </w:p>
        </w:tc>
        <w:tc>
          <w:tcPr>
            <w:tcW w:w="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r>
      <w:tr>
        <w:trPr>
          <w:trHeight w:val="219"/>
        </w:trPr>
        <w:tc>
          <w:tcPr>
            <w:tcW w:w="3560" w:type="dxa"/>
            <w:vAlign w:val="bottom"/>
          </w:tcPr>
          <w:p>
            <w:pPr>
              <w:ind w:left="120"/>
              <w:spacing w:after="0"/>
              <w:rPr>
                <w:sz w:val="20"/>
                <w:szCs w:val="20"/>
                <w:color w:val="auto"/>
              </w:rPr>
            </w:pPr>
            <w:r>
              <w:rPr>
                <w:rFonts w:ascii="Arial" w:cs="Arial" w:eastAsia="Arial" w:hAnsi="Arial"/>
                <w:sz w:val="17"/>
                <w:szCs w:val="17"/>
                <w:color w:val="auto"/>
              </w:rPr>
              <w:t>Crude Oil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1"/>
              <w:spacing w:after="0"/>
              <w:rPr>
                <w:sz w:val="20"/>
                <w:szCs w:val="20"/>
                <w:color w:val="auto"/>
              </w:rPr>
            </w:pPr>
            <w:r>
              <w:rPr>
                <w:rFonts w:ascii="Arial" w:cs="Arial" w:eastAsia="Arial" w:hAnsi="Arial"/>
                <w:sz w:val="17"/>
                <w:szCs w:val="17"/>
                <w:color w:val="auto"/>
              </w:rPr>
              <w:t>52</w:t>
            </w:r>
          </w:p>
        </w:tc>
        <w:tc>
          <w:tcPr>
            <w:tcW w:w="68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94"/>
              </w:rPr>
              <w:t>40</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130</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143</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19"/>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NGL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3560" w:type="dxa"/>
            <w:vAlign w:val="bottom"/>
          </w:tcPr>
          <w:p>
            <w:pPr>
              <w:ind w:left="20"/>
              <w:spacing w:after="0"/>
              <w:rPr>
                <w:sz w:val="20"/>
                <w:szCs w:val="20"/>
                <w:color w:val="auto"/>
              </w:rPr>
            </w:pPr>
            <w:r>
              <w:rPr>
                <w:rFonts w:ascii="Arial" w:cs="Arial" w:eastAsia="Arial" w:hAnsi="Arial"/>
                <w:sz w:val="17"/>
                <w:szCs w:val="17"/>
                <w:color w:val="auto"/>
              </w:rPr>
              <w:t>Total Investment capital expenditures</w:t>
            </w:r>
          </w:p>
        </w:tc>
        <w:tc>
          <w:tcPr>
            <w:tcW w:w="180" w:type="dxa"/>
            <w:vAlign w:val="bottom"/>
          </w:tcPr>
          <w:p>
            <w:pPr>
              <w:spacing w:after="0"/>
              <w:rPr>
                <w:sz w:val="19"/>
                <w:szCs w:val="19"/>
                <w:color w:val="auto"/>
              </w:rPr>
            </w:pPr>
          </w:p>
        </w:tc>
        <w:tc>
          <w:tcPr>
            <w:tcW w:w="680" w:type="dxa"/>
            <w:vAlign w:val="bottom"/>
            <w:gridSpan w:val="2"/>
          </w:tcPr>
          <w:p>
            <w:pPr>
              <w:jc w:val="right"/>
              <w:ind w:right="11"/>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4"/>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181</w:t>
            </w:r>
          </w:p>
        </w:tc>
      </w:tr>
      <w:tr>
        <w:trPr>
          <w:trHeight w:val="226"/>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2"/>
        </w:trPr>
        <w:tc>
          <w:tcPr>
            <w:tcW w:w="3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1"/>
              <w:spacing w:after="0"/>
              <w:rPr>
                <w:sz w:val="20"/>
                <w:szCs w:val="20"/>
                <w:color w:val="auto"/>
              </w:rPr>
            </w:pPr>
            <w:r>
              <w:rPr>
                <w:rFonts w:ascii="Arial" w:cs="Arial" w:eastAsia="Arial" w:hAnsi="Arial"/>
                <w:sz w:val="17"/>
                <w:szCs w:val="17"/>
                <w:color w:val="auto"/>
              </w:rPr>
              <w:t>141</w:t>
            </w:r>
          </w:p>
        </w:tc>
        <w:tc>
          <w:tcPr>
            <w:tcW w:w="68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94"/>
              </w:rPr>
              <w:t>98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218</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164</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0"/>
        </w:trPr>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47"/>
        </w:trPr>
        <w:tc>
          <w:tcPr>
            <w:tcW w:w="3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94" w:lineRule="exact"/>
        <w:rPr>
          <w:sz w:val="20"/>
          <w:szCs w:val="20"/>
          <w:color w:val="auto"/>
        </w:rPr>
      </w:pPr>
    </w:p>
    <w:p>
      <w:pPr>
        <w:ind w:left="320" w:hanging="317"/>
        <w:spacing w:after="0"/>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Excludes expenditures attributable to noncontrolling interests.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Computation of Basic and Diluted Adjusted Net Income Per Common Unit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62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5"/>
        </w:trPr>
        <w:tc>
          <w:tcPr>
            <w:tcW w:w="6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19"/>
        </w:trPr>
        <w:tc>
          <w:tcPr>
            <w:tcW w:w="6280" w:type="dxa"/>
            <w:vAlign w:val="bottom"/>
          </w:tcPr>
          <w:p>
            <w:pPr>
              <w:ind w:left="20"/>
              <w:spacing w:after="0"/>
              <w:rPr>
                <w:sz w:val="20"/>
                <w:szCs w:val="20"/>
                <w:color w:val="auto"/>
              </w:rPr>
            </w:pPr>
            <w:r>
              <w:rPr>
                <w:rFonts w:ascii="Arial" w:cs="Arial" w:eastAsia="Arial" w:hAnsi="Arial"/>
                <w:sz w:val="17"/>
                <w:szCs w:val="17"/>
                <w:color w:val="auto"/>
              </w:rPr>
              <w:t>Net income attributable to PAA</w:t>
            </w:r>
          </w:p>
        </w:tc>
        <w:tc>
          <w:tcPr>
            <w:tcW w:w="780" w:type="dxa"/>
            <w:vAlign w:val="bottom"/>
          </w:tcPr>
          <w:p>
            <w:pPr>
              <w:jc w:val="right"/>
              <w:ind w:right="58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293</w:t>
            </w:r>
          </w:p>
        </w:tc>
        <w:tc>
          <w:tcPr>
            <w:tcW w:w="8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203</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715</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33"/>
        </w:trPr>
        <w:tc>
          <w:tcPr>
            <w:tcW w:w="6280" w:type="dxa"/>
            <w:vAlign w:val="bottom"/>
            <w:shd w:val="clear" w:color="auto" w:fill="CCEEFF"/>
          </w:tcPr>
          <w:p>
            <w:pPr>
              <w:ind w:left="180"/>
              <w:spacing w:after="0" w:line="233"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12"/>
        </w:trPr>
        <w:tc>
          <w:tcPr>
            <w:tcW w:w="6280" w:type="dxa"/>
            <w:vAlign w:val="bottom"/>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80" w:type="dxa"/>
            <w:vAlign w:val="bottom"/>
          </w:tcPr>
          <w:p>
            <w:pPr>
              <w:jc w:val="right"/>
              <w:ind w:right="58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243</w:t>
            </w:r>
          </w:p>
        </w:tc>
        <w:tc>
          <w:tcPr>
            <w:tcW w:w="8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586</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526</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5"/>
        </w:trPr>
        <w:tc>
          <w:tcPr>
            <w:tcW w:w="6280" w:type="dxa"/>
            <w:vAlign w:val="bottom"/>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7"/>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allocated to participating securities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9"/>
        </w:trPr>
        <w:tc>
          <w:tcPr>
            <w:tcW w:w="6280" w:type="dxa"/>
            <w:vAlign w:val="bottom"/>
          </w:tcPr>
          <w:p>
            <w:pPr>
              <w:ind w:left="180"/>
              <w:spacing w:after="0"/>
              <w:rPr>
                <w:sz w:val="20"/>
                <w:szCs w:val="20"/>
                <w:color w:val="auto"/>
              </w:rPr>
            </w:pPr>
            <w:r>
              <w:rPr>
                <w:rFonts w:ascii="Arial" w:cs="Arial" w:eastAsia="Arial" w:hAnsi="Arial"/>
                <w:sz w:val="17"/>
                <w:szCs w:val="17"/>
                <w:color w:val="auto"/>
              </w:rPr>
              <w:t>Other</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8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6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r>
      <w:tr>
        <w:trPr>
          <w:trHeight w:val="258"/>
        </w:trPr>
        <w:tc>
          <w:tcPr>
            <w:tcW w:w="6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9"/>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8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0.25</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2466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right="100" w:hanging="317"/>
        <w:spacing w:after="0" w:line="266" w:lineRule="auto"/>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7"/>
        <w:spacing w:after="0"/>
        <w:tabs>
          <w:tab w:leader="none" w:pos="32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See the “Selected Items Impacting Comparability” table for additional information.</w:t>
      </w:r>
    </w:p>
    <w:p>
      <w:pPr>
        <w:spacing w:after="0" w:line="61" w:lineRule="exact"/>
        <w:rPr>
          <w:rFonts w:ascii="Arial" w:cs="Arial" w:eastAsia="Arial" w:hAnsi="Arial"/>
          <w:sz w:val="20"/>
          <w:szCs w:val="20"/>
          <w:color w:val="auto"/>
          <w:vertAlign w:val="superscript"/>
        </w:rPr>
      </w:pPr>
    </w:p>
    <w:p>
      <w:pPr>
        <w:ind w:left="320" w:right="80" w:hanging="317"/>
        <w:spacing w:after="0" w:line="217" w:lineRule="auto"/>
        <w:tabs>
          <w:tab w:leader="none" w:pos="32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possible conversion of our Series A preferred units was excluded from the calculation of diluted adjusted net income per common unit for each of the three and six months ended June 30, 2023 and 2022 as the effect was antidilutive.</w:t>
      </w:r>
    </w:p>
    <w:p>
      <w:pPr>
        <w:spacing w:after="0" w:line="37" w:lineRule="exact"/>
        <w:rPr>
          <w:rFonts w:ascii="Arial" w:cs="Arial" w:eastAsia="Arial" w:hAnsi="Arial"/>
          <w:sz w:val="20"/>
          <w:szCs w:val="20"/>
          <w:color w:val="auto"/>
          <w:vertAlign w:val="superscript"/>
        </w:rPr>
      </w:pPr>
    </w:p>
    <w:p>
      <w:pPr>
        <w:ind w:left="320" w:right="20" w:hanging="317"/>
        <w:spacing w:after="0" w:line="266" w:lineRule="auto"/>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Adjusted Net Income Per Common Unit Reconciliation: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4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r>
      <w:tr>
        <w:trPr>
          <w:trHeight w:val="21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 per common unit</w:t>
            </w: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0.32</w:t>
            </w:r>
          </w:p>
        </w:tc>
        <w:tc>
          <w:tcPr>
            <w:tcW w:w="86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0.22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center"/>
              <w:ind w:left="383"/>
              <w:spacing w:after="0"/>
              <w:rPr>
                <w:sz w:val="20"/>
                <w:szCs w:val="20"/>
                <w:color w:val="auto"/>
              </w:rPr>
            </w:pPr>
            <w:r>
              <w:rPr>
                <w:rFonts w:ascii="Arial" w:cs="Arial" w:eastAsia="Arial" w:hAnsi="Arial"/>
                <w:sz w:val="17"/>
                <w:szCs w:val="17"/>
                <w:color w:val="auto"/>
                <w:w w:val="90"/>
              </w:rPr>
              <w:t>0.84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19"/>
        </w:trPr>
        <w:tc>
          <w:tcPr>
            <w:tcW w:w="624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(0.07)</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0.08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43"/>
              <w:spacing w:after="0"/>
              <w:rPr>
                <w:sz w:val="20"/>
                <w:szCs w:val="20"/>
                <w:color w:val="auto"/>
              </w:rPr>
            </w:pPr>
            <w:r>
              <w:rPr>
                <w:rFonts w:ascii="Arial" w:cs="Arial" w:eastAsia="Arial" w:hAnsi="Arial"/>
                <w:sz w:val="17"/>
                <w:szCs w:val="17"/>
                <w:color w:val="auto"/>
                <w:w w:val="94"/>
              </w:rPr>
              <w:t>(0.18)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0.19</w:t>
            </w:r>
          </w:p>
        </w:tc>
      </w:tr>
      <w:tr>
        <w:trPr>
          <w:trHeight w:val="245"/>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0.25</w:t>
            </w:r>
          </w:p>
        </w:tc>
        <w:tc>
          <w:tcPr>
            <w:tcW w:w="86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0.30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center"/>
              <w:ind w:left="383"/>
              <w:spacing w:after="0"/>
              <w:rPr>
                <w:sz w:val="20"/>
                <w:szCs w:val="20"/>
                <w:color w:val="auto"/>
              </w:rPr>
            </w:pPr>
            <w:r>
              <w:rPr>
                <w:rFonts w:ascii="Arial" w:cs="Arial" w:eastAsia="Arial" w:hAnsi="Arial"/>
                <w:sz w:val="17"/>
                <w:szCs w:val="17"/>
                <w:color w:val="auto"/>
                <w:w w:val="90"/>
              </w:rPr>
              <w:t>0.66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110"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See the “Selected Items Impacting Comparability” and the “Computation of Basic and Diluted Adjusted Net Income Per Common Unit” tables for additional information.</w:t>
      </w:r>
    </w:p>
    <w:p>
      <w:pPr>
        <w:spacing w:after="0" w:line="160"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to Adjusted EBITDA attributable to PAA and Implied DCF Reconciliation: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120"/>
              <w:spacing w:after="0" w:line="220" w:lineRule="exact"/>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700</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704</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1,513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0" w:type="dxa"/>
            <w:vAlign w:val="bottom"/>
            <w:gridSpan w:val="2"/>
          </w:tcPr>
          <w:p>
            <w:pPr>
              <w:ind w:left="20"/>
              <w:spacing w:after="0"/>
              <w:rPr>
                <w:sz w:val="20"/>
                <w:szCs w:val="20"/>
                <w:color w:val="auto"/>
              </w:rPr>
            </w:pPr>
            <w:r>
              <w:rPr>
                <w:rFonts w:ascii="Arial" w:cs="Arial" w:eastAsia="Arial" w:hAnsi="Arial"/>
                <w:sz w:val="16"/>
                <w:szCs w:val="16"/>
                <w:color w:val="auto"/>
              </w:rPr>
              <w:t>Adjusted EBITDA attributable to PAA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597</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615</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1,312</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700</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704</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1,513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gridSpan w:val="2"/>
            <w:shd w:val="clear" w:color="auto" w:fill="CCEEFF"/>
          </w:tcPr>
          <w:p>
            <w:pPr>
              <w:ind w:left="120"/>
              <w:spacing w:after="0" w:line="227" w:lineRule="exact"/>
              <w:rPr>
                <w:sz w:val="20"/>
                <w:szCs w:val="20"/>
                <w:color w:val="auto"/>
              </w:rPr>
            </w:pPr>
            <w:r>
              <w:rPr>
                <w:rFonts w:ascii="Arial" w:cs="Arial" w:eastAsia="Arial" w:hAnsi="Arial"/>
                <w:sz w:val="16"/>
                <w:szCs w:val="16"/>
                <w:color w:val="auto"/>
              </w:rPr>
              <w:t xml:space="preserve">Interest expense, net of certain non-cash items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Maintenance capital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line="233" w:lineRule="exact"/>
              <w:rPr>
                <w:sz w:val="20"/>
                <w:szCs w:val="20"/>
                <w:color w:val="auto"/>
              </w:rPr>
            </w:pPr>
            <w:r>
              <w:rPr>
                <w:rFonts w:ascii="Arial" w:cs="Arial" w:eastAsia="Arial" w:hAnsi="Arial"/>
                <w:sz w:val="16"/>
                <w:szCs w:val="16"/>
                <w:color w:val="auto"/>
              </w:rPr>
              <w:t xml:space="preserve">Investment capital of noncontrolling interests </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5"/>
              </w:rPr>
              <w:t>Distributions from unconsolidated entities in excess of/(less than) adjusted equity earnings</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Borders>
              <w:bottom w:val="single" w:sz="8" w:color="CCEEFF"/>
            </w:tcBorders>
            <w:shd w:val="clear" w:color="auto" w:fill="CCEEFF"/>
          </w:tcPr>
          <w:p>
            <w:pPr>
              <w:ind w:left="120"/>
              <w:spacing w:after="0" w:line="116" w:lineRule="exact"/>
              <w:rPr>
                <w:sz w:val="20"/>
                <w:szCs w:val="20"/>
                <w:color w:val="auto"/>
              </w:rPr>
            </w:pPr>
            <w:r>
              <w:rPr>
                <w:rFonts w:ascii="Arial" w:cs="Arial" w:eastAsia="Arial" w:hAnsi="Arial"/>
                <w:sz w:val="11"/>
                <w:szCs w:val="11"/>
                <w:color w:val="auto"/>
              </w:rPr>
              <w:t>(5)</w:t>
            </w:r>
          </w:p>
        </w:tc>
        <w:tc>
          <w:tcPr>
            <w:tcW w:w="23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120"/>
              <w:spacing w:after="0" w:line="220" w:lineRule="exact"/>
              <w:rPr>
                <w:sz w:val="20"/>
                <w:szCs w:val="20"/>
                <w:color w:val="auto"/>
              </w:rPr>
            </w:pPr>
            <w:r>
              <w:rPr>
                <w:rFonts w:ascii="Arial" w:cs="Arial" w:eastAsia="Arial" w:hAnsi="Arial"/>
                <w:sz w:val="16"/>
                <w:szCs w:val="16"/>
                <w:color w:val="auto"/>
              </w:rPr>
              <w:t xml:space="preserve">Distributions to noncontrolling interests </w:t>
            </w:r>
            <w:r>
              <w:rPr>
                <w:rFonts w:ascii="Arial" w:cs="Arial" w:eastAsia="Arial" w:hAnsi="Arial"/>
                <w:sz w:val="21"/>
                <w:szCs w:val="21"/>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Implied DCF</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CCEEFF"/>
            </w:tcBorders>
            <w:gridSpan w:val="2"/>
          </w:tcPr>
          <w:p>
            <w:pPr>
              <w:ind w:left="160"/>
              <w:spacing w:after="0" w:line="220" w:lineRule="exact"/>
              <w:rPr>
                <w:sz w:val="20"/>
                <w:szCs w:val="20"/>
                <w:color w:val="auto"/>
              </w:rPr>
            </w:pPr>
            <w:r>
              <w:rPr>
                <w:rFonts w:ascii="Arial" w:cs="Arial" w:eastAsia="Arial" w:hAnsi="Arial"/>
                <w:sz w:val="16"/>
                <w:szCs w:val="16"/>
                <w:color w:val="auto"/>
              </w:rPr>
              <w:t xml:space="preserve">Preferred unit distributions paid </w:t>
            </w:r>
            <w:r>
              <w:rPr>
                <w:rFonts w:ascii="Arial" w:cs="Arial" w:eastAsia="Arial" w:hAnsi="Arial"/>
                <w:sz w:val="21"/>
                <w:szCs w:val="21"/>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Implied DCF Available to Common Unitholders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Common Units Outstanding</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spacing w:after="0" w:line="220" w:lineRule="exact"/>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(7)</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0.53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0.57</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1.17</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 xml:space="preserve">Implied DCF per Common Unit and Common Unit Equivalent </w:t>
            </w:r>
            <w:r>
              <w:rPr>
                <w:rFonts w:ascii="Arial" w:cs="Arial" w:eastAsia="Arial" w:hAnsi="Arial"/>
                <w:sz w:val="21"/>
                <w:szCs w:val="21"/>
                <w:color w:val="auto"/>
                <w:vertAlign w:val="superscript"/>
              </w:rPr>
              <w:t>(8)</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Distribution Paid per Common Unit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0.2675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spacing w:after="0" w:line="220" w:lineRule="exact"/>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(6)</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187</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153</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Unit Distribution Coverage Ratio</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1.98x</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2.61x</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2.18x</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Implied DCF Excess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8"/>
          <w:szCs w:val="8"/>
          <w:color w:val="auto"/>
        </w:rPr>
      </w:pPr>
      <w:r>
        <w:rPr>
          <w:rFonts w:ascii="Arial" w:cs="Arial" w:eastAsia="Arial" w:hAnsi="Arial"/>
          <w:sz w:val="13"/>
          <w:szCs w:val="13"/>
          <w:color w:val="auto"/>
        </w:rPr>
        <w:t>Adjustment to exclude our proportionate share of depreciation and amortization expense (including write-downs related to cancelled projects and impairments) of unconsolidated entities.</w:t>
      </w:r>
    </w:p>
    <w:p>
      <w:pPr>
        <w:spacing w:after="0" w:line="25" w:lineRule="exact"/>
        <w:rPr>
          <w:rFonts w:ascii="Arial" w:cs="Arial" w:eastAsia="Arial" w:hAnsi="Arial"/>
          <w:sz w:val="8"/>
          <w:szCs w:val="8"/>
          <w:color w:val="auto"/>
        </w:rPr>
      </w:pPr>
    </w:p>
    <w:p>
      <w:pPr>
        <w:ind w:left="320" w:hanging="317"/>
        <w:spacing w:after="0"/>
        <w:tabs>
          <w:tab w:leader="none" w:pos="3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See the “Selected Items Impacting Comparability” table for additional information.</w:t>
      </w:r>
    </w:p>
    <w:p>
      <w:pPr>
        <w:spacing w:after="0" w:line="30" w:lineRule="exact"/>
        <w:rPr>
          <w:rFonts w:ascii="Arial" w:cs="Arial" w:eastAsia="Arial" w:hAnsi="Arial"/>
          <w:sz w:val="18"/>
          <w:szCs w:val="18"/>
          <w:color w:val="auto"/>
          <w:vertAlign w:val="superscript"/>
        </w:rPr>
      </w:pPr>
    </w:p>
    <w:p>
      <w:pPr>
        <w:ind w:left="320" w:hanging="317"/>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9"/>
          <w:szCs w:val="9"/>
          <w:color w:val="auto"/>
        </w:rPr>
      </w:pPr>
    </w:p>
    <w:p>
      <w:pPr>
        <w:ind w:left="320" w:hanging="317"/>
        <w:spacing w:after="0"/>
        <w:tabs>
          <w:tab w:leader="none" w:pos="3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Investment capital expenditures attributable to noncontrolling interests that reduce Implied DCF available to PAA common unitholders.</w:t>
      </w:r>
    </w:p>
    <w:p>
      <w:pPr>
        <w:spacing w:after="0" w:line="30" w:lineRule="exact"/>
        <w:rPr>
          <w:rFonts w:ascii="Arial" w:cs="Arial" w:eastAsia="Arial" w:hAnsi="Arial"/>
          <w:sz w:val="18"/>
          <w:szCs w:val="18"/>
          <w:color w:val="auto"/>
          <w:vertAlign w:val="superscript"/>
        </w:rPr>
      </w:pPr>
    </w:p>
    <w:p>
      <w:pPr>
        <w:ind w:left="320" w:right="40" w:hanging="317"/>
        <w:spacing w:after="0" w:line="215" w:lineRule="auto"/>
        <w:tabs>
          <w:tab w:leader="none" w:pos="3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9" w:lineRule="exact"/>
        <w:rPr>
          <w:rFonts w:ascii="Arial" w:cs="Arial" w:eastAsia="Arial" w:hAnsi="Arial"/>
          <w:sz w:val="18"/>
          <w:szCs w:val="18"/>
          <w:color w:val="auto"/>
          <w:vertAlign w:val="superscript"/>
        </w:rPr>
      </w:pPr>
    </w:p>
    <w:p>
      <w:pPr>
        <w:ind w:left="320" w:hanging="317"/>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Cash distributions paid during the period presented.</w:t>
      </w:r>
    </w:p>
    <w:p>
      <w:pPr>
        <w:spacing w:after="0" w:line="13" w:lineRule="exact"/>
        <w:rPr>
          <w:rFonts w:ascii="Arial" w:cs="Arial" w:eastAsia="Arial" w:hAnsi="Arial"/>
          <w:sz w:val="9"/>
          <w:szCs w:val="9"/>
          <w:color w:val="auto"/>
        </w:rPr>
      </w:pPr>
    </w:p>
    <w:p>
      <w:pPr>
        <w:ind w:left="320" w:hanging="317"/>
        <w:spacing w:after="0"/>
        <w:tabs>
          <w:tab w:leader="none" w:pos="3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30" w:lineRule="exact"/>
        <w:rPr>
          <w:rFonts w:ascii="Arial" w:cs="Arial" w:eastAsia="Arial" w:hAnsi="Arial"/>
          <w:sz w:val="18"/>
          <w:szCs w:val="18"/>
          <w:color w:val="auto"/>
          <w:vertAlign w:val="superscript"/>
        </w:rPr>
      </w:pPr>
    </w:p>
    <w:p>
      <w:pPr>
        <w:ind w:left="320" w:right="120" w:hanging="317"/>
        <w:spacing w:after="0" w:line="251" w:lineRule="auto"/>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Implied DCF Per Common Unit and Common Unit Equivalent Reconciliation: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r>
      <w:tr>
        <w:trPr>
          <w:trHeight w:val="219"/>
        </w:trPr>
        <w:tc>
          <w:tcPr>
            <w:tcW w:w="20" w:type="dxa"/>
            <w:vAlign w:val="bottom"/>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income per common unit</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0.32</w:t>
            </w:r>
          </w:p>
        </w:tc>
        <w:tc>
          <w:tcPr>
            <w:tcW w:w="86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0.22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32"/>
        </w:trPr>
        <w:tc>
          <w:tcPr>
            <w:tcW w:w="20" w:type="dxa"/>
            <w:vAlign w:val="bottom"/>
          </w:tcPr>
          <w:p>
            <w:pPr>
              <w:spacing w:after="0"/>
              <w:rPr>
                <w:sz w:val="20"/>
                <w:szCs w:val="20"/>
                <w:color w:val="auto"/>
              </w:rPr>
            </w:pPr>
          </w:p>
        </w:tc>
        <w:tc>
          <w:tcPr>
            <w:tcW w:w="6120" w:type="dxa"/>
            <w:vAlign w:val="bottom"/>
            <w:tcBorders>
              <w:bottom w:val="single" w:sz="8" w:color="CCEEFF"/>
            </w:tcBorders>
            <w:gridSpan w:val="2"/>
          </w:tcPr>
          <w:p>
            <w:pPr>
              <w:spacing w:after="0" w:line="232"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0.21</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0.35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0.73</w:t>
            </w:r>
          </w:p>
        </w:tc>
      </w:tr>
      <w:tr>
        <w:trPr>
          <w:trHeight w:val="232"/>
        </w:trPr>
        <w:tc>
          <w:tcPr>
            <w:tcW w:w="20" w:type="dxa"/>
            <w:vAlign w:val="bottom"/>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Implied DCF per common unit</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0.53</w:t>
            </w:r>
          </w:p>
        </w:tc>
        <w:tc>
          <w:tcPr>
            <w:tcW w:w="86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0.57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income per common unit</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0.32</w:t>
            </w:r>
          </w:p>
        </w:tc>
        <w:tc>
          <w:tcPr>
            <w:tcW w:w="86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0.22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32"/>
        </w:trPr>
        <w:tc>
          <w:tcPr>
            <w:tcW w:w="20" w:type="dxa"/>
            <w:vAlign w:val="bottom"/>
          </w:tcPr>
          <w:p>
            <w:pPr>
              <w:spacing w:after="0"/>
              <w:rPr>
                <w:sz w:val="20"/>
                <w:szCs w:val="20"/>
                <w:color w:val="auto"/>
              </w:rPr>
            </w:pPr>
          </w:p>
        </w:tc>
        <w:tc>
          <w:tcPr>
            <w:tcW w:w="6120" w:type="dxa"/>
            <w:vAlign w:val="bottom"/>
            <w:tcBorders>
              <w:bottom w:val="single" w:sz="8" w:color="CCEEFF"/>
            </w:tcBorders>
            <w:gridSpan w:val="2"/>
          </w:tcPr>
          <w:p>
            <w:pPr>
              <w:spacing w:after="0" w:line="232"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0.22</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0.35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0.72</w:t>
            </w:r>
          </w:p>
        </w:tc>
      </w:tr>
      <w:tr>
        <w:trPr>
          <w:trHeight w:val="232"/>
        </w:trPr>
        <w:tc>
          <w:tcPr>
            <w:tcW w:w="20" w:type="dxa"/>
            <w:vAlign w:val="bottom"/>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Implied DCF per common unit and common unit equivalent</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0.54</w:t>
            </w:r>
          </w:p>
        </w:tc>
        <w:tc>
          <w:tcPr>
            <w:tcW w:w="86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0.57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30" w:lineRule="exact"/>
        <w:rPr>
          <w:sz w:val="20"/>
          <w:szCs w:val="20"/>
          <w:color w:val="auto"/>
        </w:rPr>
      </w:pPr>
    </w:p>
    <w:p>
      <w:pPr>
        <w:ind w:left="320" w:right="80" w:hanging="317"/>
        <w:spacing w:after="0" w:line="226" w:lineRule="auto"/>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698 million, 702 million, 698 million and 703 million, respectively.</w:t>
      </w:r>
    </w:p>
    <w:p>
      <w:pPr>
        <w:spacing w:after="0" w:line="54" w:lineRule="exact"/>
        <w:rPr>
          <w:rFonts w:ascii="Arial" w:cs="Arial" w:eastAsia="Arial" w:hAnsi="Arial"/>
          <w:sz w:val="22"/>
          <w:szCs w:val="22"/>
          <w:color w:val="auto"/>
          <w:vertAlign w:val="superscript"/>
        </w:rPr>
      </w:pPr>
    </w:p>
    <w:p>
      <w:pPr>
        <w:ind w:left="320" w:right="140" w:hanging="317"/>
        <w:spacing w:after="0" w:line="219" w:lineRule="auto"/>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2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r>
      <w:tr>
        <w:trPr>
          <w:trHeight w:val="21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840" w:type="dxa"/>
            <w:vAlign w:val="bottom"/>
            <w:gridSpan w:val="2"/>
            <w:shd w:val="clear" w:color="auto" w:fill="CCEEFF"/>
          </w:tcPr>
          <w:p>
            <w:pPr>
              <w:jc w:val="right"/>
              <w:ind w:right="571"/>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w:t>
            </w:r>
          </w:p>
        </w:tc>
      </w:tr>
      <w:tr>
        <w:trPr>
          <w:trHeight w:val="225"/>
        </w:trPr>
        <w:tc>
          <w:tcPr>
            <w:tcW w:w="6240" w:type="dxa"/>
            <w:vAlign w:val="bottom"/>
            <w:gridSpan w:val="2"/>
          </w:tcPr>
          <w:p>
            <w:pPr>
              <w:ind w:left="20"/>
              <w:spacing w:after="0"/>
              <w:rPr>
                <w:sz w:val="20"/>
                <w:szCs w:val="20"/>
                <w:color w:val="auto"/>
              </w:rPr>
            </w:pPr>
            <w:r>
              <w:rPr>
                <w:rFonts w:ascii="Arial" w:cs="Arial" w:eastAsia="Arial" w:hAnsi="Arial"/>
                <w:sz w:val="17"/>
                <w:szCs w:val="17"/>
                <w:color w:val="auto"/>
                <w:w w:val="96"/>
              </w:rPr>
              <w:t>Adjustments to reconcile Net cash provided by operating activities to Free Cash Flow:</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(165)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19"/>
        </w:trPr>
        <w:tc>
          <w:tcPr>
            <w:tcW w:w="624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r>
      <w:tr>
        <w:trPr>
          <w:trHeight w:val="212"/>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840" w:type="dxa"/>
            <w:vAlign w:val="bottom"/>
            <w:gridSpan w:val="2"/>
            <w:shd w:val="clear" w:color="auto" w:fill="CCEEFF"/>
          </w:tcPr>
          <w:p>
            <w:pPr>
              <w:jc w:val="right"/>
              <w:ind w:right="571"/>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r>
      <w:tr>
        <w:trPr>
          <w:trHeight w:val="219"/>
        </w:trPr>
        <w:tc>
          <w:tcPr>
            <w:tcW w:w="624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(246)</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(215)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r>
      <w:tr>
        <w:trPr>
          <w:trHeight w:val="245"/>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40" w:type="dxa"/>
            <w:vAlign w:val="bottom"/>
            <w:gridSpan w:val="2"/>
            <w:shd w:val="clear" w:color="auto" w:fill="CCEEFF"/>
          </w:tcPr>
          <w:p>
            <w:pPr>
              <w:jc w:val="right"/>
              <w:ind w:right="571"/>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17" w:lineRule="exact"/>
        <w:rPr>
          <w:sz w:val="20"/>
          <w:szCs w:val="20"/>
          <w:color w:val="auto"/>
        </w:rPr>
      </w:pPr>
    </w:p>
    <w:p>
      <w:pPr>
        <w:ind w:left="320" w:right="320" w:hanging="317"/>
        <w:spacing w:after="0" w:line="226" w:lineRule="auto"/>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6"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4" w:lineRule="exact"/>
        <w:rPr>
          <w:rFonts w:ascii="Arial" w:cs="Arial" w:eastAsia="Arial" w:hAnsi="Arial"/>
          <w:sz w:val="22"/>
          <w:szCs w:val="22"/>
          <w:color w:val="auto"/>
          <w:vertAlign w:val="superscript"/>
        </w:rPr>
      </w:pPr>
    </w:p>
    <w:p>
      <w:pPr>
        <w:ind w:left="320" w:hanging="317"/>
        <w:spacing w:after="0" w:line="192" w:lineRule="auto"/>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preferred and common unitholders during the period.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80" w:type="dxa"/>
            <w:vAlign w:val="bottom"/>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r>
      <w:tr>
        <w:trPr>
          <w:trHeight w:val="207"/>
        </w:trPr>
        <w:tc>
          <w:tcPr>
            <w:tcW w:w="20" w:type="dxa"/>
            <w:vAlign w:val="bottom"/>
          </w:tcPr>
          <w:p>
            <w:pPr>
              <w:spacing w:after="0"/>
              <w:rPr>
                <w:sz w:val="17"/>
                <w:szCs w:val="17"/>
                <w:color w:val="auto"/>
              </w:rPr>
            </w:pPr>
          </w:p>
        </w:tc>
        <w:tc>
          <w:tcPr>
            <w:tcW w:w="6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Derivative activities and inventory valuation adjustments </w:t>
            </w:r>
            <w:r>
              <w:rPr>
                <w:rFonts w:ascii="Arial" w:cs="Arial" w:eastAsia="Arial" w:hAnsi="Arial"/>
                <w:sz w:val="21"/>
                <w:szCs w:val="21"/>
                <w:color w:val="auto"/>
                <w:vertAlign w:val="superscript"/>
              </w:rPr>
              <w:t>(2)</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86</w:t>
            </w:r>
          </w:p>
        </w:tc>
        <w:tc>
          <w:tcPr>
            <w:tcW w:w="900" w:type="dxa"/>
            <w:vAlign w:val="bottom"/>
            <w:gridSpan w:val="2"/>
          </w:tcPr>
          <w:p>
            <w:pPr>
              <w:jc w:val="right"/>
              <w:ind w:right="61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gridSpan w:val="2"/>
          </w:tcPr>
          <w:p>
            <w:pPr>
              <w:jc w:val="right"/>
              <w:ind w:right="9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42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20" w:type="dxa"/>
            <w:vAlign w:val="bottom"/>
          </w:tcPr>
          <w:p>
            <w:pPr>
              <w:spacing w:after="0"/>
              <w:rPr>
                <w:sz w:val="17"/>
                <w:szCs w:val="17"/>
                <w:color w:val="auto"/>
              </w:rPr>
            </w:pPr>
          </w:p>
        </w:tc>
        <w:tc>
          <w:tcPr>
            <w:tcW w:w="62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tcPr>
          <w:p>
            <w:pPr>
              <w:spacing w:after="0"/>
              <w:rPr>
                <w:sz w:val="19"/>
                <w:szCs w:val="19"/>
                <w:color w:val="auto"/>
              </w:rPr>
            </w:pPr>
          </w:p>
        </w:tc>
        <w:tc>
          <w:tcPr>
            <w:tcW w:w="620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Foreign currency revaluation </w:t>
            </w:r>
            <w:r>
              <w:rPr>
                <w:rFonts w:ascii="Arial" w:cs="Arial" w:eastAsia="Arial" w:hAnsi="Arial"/>
                <w:sz w:val="21"/>
                <w:szCs w:val="21"/>
                <w:color w:val="auto"/>
                <w:vertAlign w:val="superscript"/>
              </w:rPr>
              <w:t>(6)</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20" w:type="dxa"/>
            <w:vAlign w:val="bottom"/>
          </w:tcPr>
          <w:p>
            <w:pPr>
              <w:spacing w:after="0"/>
              <w:rPr>
                <w:sz w:val="17"/>
                <w:szCs w:val="17"/>
                <w:color w:val="auto"/>
              </w:rPr>
            </w:pPr>
          </w:p>
        </w:tc>
        <w:tc>
          <w:tcPr>
            <w:tcW w:w="6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8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199"/>
        </w:trPr>
        <w:tc>
          <w:tcPr>
            <w:tcW w:w="20" w:type="dxa"/>
            <w:vAlign w:val="bottom"/>
          </w:tcPr>
          <w:p>
            <w:pPr>
              <w:spacing w:after="0"/>
              <w:rPr>
                <w:sz w:val="17"/>
                <w:szCs w:val="17"/>
                <w:color w:val="auto"/>
              </w:rPr>
            </w:pPr>
          </w:p>
        </w:tc>
        <w:tc>
          <w:tcPr>
            <w:tcW w:w="62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800" w:type="dxa"/>
            <w:vAlign w:val="bottom"/>
          </w:tcPr>
          <w:p>
            <w:pPr>
              <w:jc w:val="right"/>
              <w:ind w:right="618"/>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32"/>
        </w:trPr>
        <w:tc>
          <w:tcPr>
            <w:tcW w:w="20" w:type="dxa"/>
            <w:vAlign w:val="bottom"/>
          </w:tcPr>
          <w:p>
            <w:pPr>
              <w:spacing w:after="0"/>
              <w:rPr>
                <w:sz w:val="20"/>
                <w:szCs w:val="20"/>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activities</w:t>
            </w: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20" w:type="dxa"/>
            <w:vAlign w:val="bottom"/>
          </w:tcPr>
          <w:p>
            <w:pPr>
              <w:spacing w:after="0"/>
              <w:rPr>
                <w:sz w:val="19"/>
                <w:szCs w:val="19"/>
                <w:color w:val="auto"/>
              </w:rPr>
            </w:pPr>
          </w:p>
        </w:tc>
        <w:tc>
          <w:tcPr>
            <w:tcW w:w="620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20" w:type="dxa"/>
            <w:vAlign w:val="bottom"/>
          </w:tcPr>
          <w:p>
            <w:pPr>
              <w:spacing w:after="0"/>
              <w:rPr>
                <w:sz w:val="17"/>
                <w:szCs w:val="17"/>
                <w:color w:val="auto"/>
              </w:rPr>
            </w:pPr>
          </w:p>
        </w:tc>
        <w:tc>
          <w:tcPr>
            <w:tcW w:w="6200" w:type="dxa"/>
            <w:vAlign w:val="bottom"/>
            <w:gridSpan w:val="2"/>
          </w:tcPr>
          <w:p>
            <w:pPr>
              <w:ind w:left="20"/>
              <w:spacing w:after="0"/>
              <w:rPr>
                <w:sz w:val="20"/>
                <w:szCs w:val="20"/>
                <w:color w:val="auto"/>
              </w:rPr>
            </w:pPr>
            <w:r>
              <w:rPr>
                <w:rFonts w:ascii="Arial" w:cs="Arial" w:eastAsia="Arial" w:hAnsi="Arial"/>
                <w:sz w:val="16"/>
                <w:szCs w:val="16"/>
                <w:color w:val="auto"/>
              </w:rPr>
              <w:t>Aggregate selected items impacting noncontrolling interests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tcPr>
          <w:p>
            <w:pPr>
              <w:spacing w:after="0"/>
              <w:rPr>
                <w:sz w:val="20"/>
                <w:szCs w:val="20"/>
                <w:color w:val="auto"/>
              </w:rPr>
            </w:pPr>
          </w:p>
        </w:tc>
        <w:tc>
          <w:tcPr>
            <w:tcW w:w="6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90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24" w:lineRule="exact"/>
        <w:rPr>
          <w:sz w:val="20"/>
          <w:szCs w:val="20"/>
          <w:color w:val="auto"/>
        </w:rPr>
      </w:pPr>
    </w:p>
    <w:p>
      <w:pPr>
        <w:ind w:left="320" w:right="60" w:hanging="317"/>
        <w:spacing w:after="0" w:line="225" w:lineRule="auto"/>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33" w:lineRule="exact"/>
        <w:rPr>
          <w:rFonts w:ascii="Arial" w:cs="Arial" w:eastAsia="Arial" w:hAnsi="Arial"/>
          <w:sz w:val="18"/>
          <w:szCs w:val="18"/>
          <w:color w:val="auto"/>
          <w:vertAlign w:val="superscript"/>
        </w:rPr>
      </w:pPr>
    </w:p>
    <w:p>
      <w:pPr>
        <w:ind w:left="320" w:hanging="317"/>
        <w:spacing w:after="0" w:line="259" w:lineRule="auto"/>
        <w:tabs>
          <w:tab w:leader="none" w:pos="32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In addition, for applicable periods, we excluded gains and losses from the mark-to-market of the embedded derivative associated with the Preferred Distribution Rate Reset Option of our Series A preferred units.</w:t>
      </w:r>
    </w:p>
    <w:p>
      <w:pPr>
        <w:spacing w:after="0" w:line="8" w:lineRule="exact"/>
        <w:rPr>
          <w:rFonts w:ascii="Arial" w:cs="Arial" w:eastAsia="Arial" w:hAnsi="Arial"/>
          <w:sz w:val="17"/>
          <w:szCs w:val="17"/>
          <w:color w:val="auto"/>
          <w:vertAlign w:val="superscript"/>
        </w:rPr>
      </w:pPr>
    </w:p>
    <w:p>
      <w:pPr>
        <w:ind w:left="320" w:right="60" w:hanging="317"/>
        <w:spacing w:after="0" w:line="250" w:lineRule="auto"/>
        <w:tabs>
          <w:tab w:leader="none" w:pos="32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6" w:lineRule="exact"/>
        <w:rPr>
          <w:rFonts w:ascii="Arial" w:cs="Arial" w:eastAsia="Arial" w:hAnsi="Arial"/>
          <w:sz w:val="17"/>
          <w:szCs w:val="17"/>
          <w:color w:val="auto"/>
          <w:vertAlign w:val="superscript"/>
        </w:rPr>
      </w:pPr>
    </w:p>
    <w:p>
      <w:pPr>
        <w:ind w:left="320" w:hanging="317"/>
        <w:spacing w:after="0" w:line="259" w:lineRule="auto"/>
        <w:tabs>
          <w:tab w:leader="none" w:pos="32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1" w:lineRule="exact"/>
        <w:rPr>
          <w:rFonts w:ascii="Arial" w:cs="Arial" w:eastAsia="Arial" w:hAnsi="Arial"/>
          <w:sz w:val="17"/>
          <w:szCs w:val="17"/>
          <w:color w:val="auto"/>
          <w:vertAlign w:val="superscript"/>
        </w:rPr>
      </w:pPr>
    </w:p>
    <w:p>
      <w:pPr>
        <w:ind w:left="320" w:right="20" w:hanging="317"/>
        <w:spacing w:after="0" w:line="231" w:lineRule="auto"/>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2" w:lineRule="exact"/>
        <w:rPr>
          <w:rFonts w:ascii="Arial" w:cs="Arial" w:eastAsia="Arial" w:hAnsi="Arial"/>
          <w:sz w:val="18"/>
          <w:szCs w:val="18"/>
          <w:color w:val="auto"/>
          <w:vertAlign w:val="superscript"/>
        </w:rPr>
      </w:pPr>
    </w:p>
    <w:p>
      <w:pPr>
        <w:ind w:left="320" w:right="40" w:hanging="317"/>
        <w:spacing w:after="0" w:line="225" w:lineRule="auto"/>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8"/>
          <w:szCs w:val="18"/>
          <w:color w:val="auto"/>
          <w:vertAlign w:val="superscript"/>
        </w:rPr>
      </w:pPr>
    </w:p>
    <w:p>
      <w:pPr>
        <w:ind w:left="320" w:hanging="317"/>
        <w:spacing w:after="0"/>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r>
      <w:tr>
        <w:trPr>
          <w:trHeight w:val="184"/>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2023</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r>
      <w:tr>
        <w:trPr>
          <w:trHeight w:val="198"/>
        </w:trPr>
        <w:tc>
          <w:tcPr>
            <w:tcW w:w="388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Crude Oil</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Crude Oil</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9"/>
        </w:trPr>
        <w:tc>
          <w:tcPr>
            <w:tcW w:w="614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w:t>
            </w:r>
          </w:p>
        </w:tc>
      </w:tr>
      <w:tr>
        <w:trPr>
          <w:trHeight w:val="219"/>
        </w:trPr>
        <w:tc>
          <w:tcPr>
            <w:tcW w:w="614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(312)</w:t>
            </w:r>
          </w:p>
        </w:tc>
      </w:tr>
      <w:tr>
        <w:trPr>
          <w:trHeight w:val="232"/>
        </w:trPr>
        <w:tc>
          <w:tcPr>
            <w:tcW w:w="614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9"/>
        </w:trPr>
        <w:tc>
          <w:tcPr>
            <w:tcW w:w="614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2"/>
        </w:trPr>
        <w:tc>
          <w:tcPr>
            <w:tcW w:w="614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19"/>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5"/>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Foreign currency revaluation</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614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2"/>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3" w:lineRule="exact"/>
        <w:rPr>
          <w:sz w:val="20"/>
          <w:szCs w:val="20"/>
          <w:color w:val="auto"/>
        </w:rPr>
      </w:pPr>
    </w:p>
    <w:p>
      <w:pPr>
        <w:sectPr>
          <w:pgSz w:w="11900" w:h="16838" w:orient="portrait"/>
          <w:cols w:equalWidth="0" w:num="1">
            <w:col w:w="11240"/>
          </w:cols>
          <w:pgMar w:left="320" w:top="359"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59" w:right="339" w:bottom="1440" w:gutter="0" w:footer="0" w:header="0"/>
          <w:type w:val="continuous"/>
        </w:sectPr>
      </w:pPr>
    </w:p>
    <w:p>
      <w:pPr>
        <w:ind w:left="320" w:right="580" w:hanging="317"/>
        <w:spacing w:after="0" w:line="281" w:lineRule="auto"/>
        <w:tabs>
          <w:tab w:leader="none" w:pos="32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 w:lineRule="exact"/>
        <w:rPr>
          <w:rFonts w:ascii="Arial" w:cs="Arial" w:eastAsia="Arial" w:hAnsi="Arial"/>
          <w:sz w:val="19"/>
          <w:szCs w:val="19"/>
          <w:color w:val="auto"/>
          <w:vertAlign w:val="superscript"/>
        </w:rPr>
      </w:pPr>
    </w:p>
    <w:p>
      <w:pPr>
        <w:ind w:left="320" w:right="180" w:hanging="317"/>
        <w:spacing w:after="0" w:line="234" w:lineRule="auto"/>
        <w:tabs>
          <w:tab w:leader="none" w:pos="32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2"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2023</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r>
      <w:tr>
        <w:trPr>
          <w:trHeight w:val="198"/>
        </w:trPr>
        <w:tc>
          <w:tcPr>
            <w:tcW w:w="388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Crude Oil</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Crude Oil</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9"/>
        </w:trPr>
        <w:tc>
          <w:tcPr>
            <w:tcW w:w="614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23,053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r>
      <w:tr>
        <w:trPr>
          <w:trHeight w:val="219"/>
        </w:trPr>
        <w:tc>
          <w:tcPr>
            <w:tcW w:w="614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(21,430)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(823)</w:t>
            </w:r>
          </w:p>
        </w:tc>
      </w:tr>
      <w:tr>
        <w:trPr>
          <w:trHeight w:val="232"/>
        </w:trPr>
        <w:tc>
          <w:tcPr>
            <w:tcW w:w="614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19"/>
        </w:trPr>
        <w:tc>
          <w:tcPr>
            <w:tcW w:w="614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2"/>
        </w:trPr>
        <w:tc>
          <w:tcPr>
            <w:tcW w:w="614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19"/>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5"/>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7"/>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Foreign currency revaluation</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140" w:type="dxa"/>
            <w:vAlign w:val="bottom"/>
            <w:gridSpan w:val="2"/>
          </w:tcPr>
          <w:p>
            <w:pPr>
              <w:ind w:left="180"/>
              <w:spacing w:after="0"/>
              <w:rPr>
                <w:sz w:val="20"/>
                <w:szCs w:val="20"/>
                <w:color w:val="auto"/>
              </w:rPr>
            </w:pPr>
            <w:r>
              <w:rPr>
                <w:rFonts w:ascii="Arial" w:cs="Arial" w:eastAsia="Arial" w:hAnsi="Arial"/>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40" w:type="dxa"/>
            <w:vAlign w:val="bottom"/>
            <w:tcBorders>
              <w:bottom w:val="single" w:sz="8" w:color="CCEEFF"/>
            </w:tcBorders>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6140" w:type="dxa"/>
            <w:vAlign w:val="bottom"/>
            <w:gridSpan w:val="2"/>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1,046</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254</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946</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59"/>
        </w:trPr>
        <w:tc>
          <w:tcPr>
            <w:tcW w:w="6140" w:type="dxa"/>
            <w:vAlign w:val="bottom"/>
            <w:gridSpan w:val="2"/>
          </w:tcPr>
          <w:p>
            <w:pPr>
              <w:ind w:left="20"/>
              <w:spacing w:after="0"/>
              <w:rPr>
                <w:sz w:val="20"/>
                <w:szCs w:val="20"/>
                <w:color w:val="auto"/>
              </w:rPr>
            </w:pPr>
            <w:r>
              <w:rPr>
                <w:rFonts w:ascii="Arial" w:cs="Arial" w:eastAsia="Arial" w:hAnsi="Arial"/>
                <w:sz w:val="17"/>
                <w:szCs w:val="17"/>
                <w:color w:val="auto"/>
              </w:rPr>
              <w:t>Maintenance capital expenditures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right w:val="single" w:sz="8" w:color="auto"/>
            </w:tcBorders>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147"/>
        </w:trPr>
        <w:tc>
          <w:tcPr>
            <w:tcW w:w="3880" w:type="dxa"/>
            <w:vAlign w:val="bottom"/>
            <w:tcBorders>
              <w:bottom w:val="single" w:sz="8" w:color="auto"/>
            </w:tcBorders>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bl>
    <w:p>
      <w:pPr>
        <w:spacing w:after="0" w:line="123" w:lineRule="exact"/>
        <w:rPr>
          <w:sz w:val="20"/>
          <w:szCs w:val="20"/>
          <w:color w:val="auto"/>
        </w:rPr>
      </w:pPr>
    </w:p>
    <w:p>
      <w:pPr>
        <w:sectPr>
          <w:pgSz w:w="11900" w:h="16838" w:orient="portrait"/>
          <w:cols w:equalWidth="0" w:num="1">
            <w:col w:w="11240"/>
          </w:cols>
          <w:pgMar w:left="320" w:top="359"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59" w:right="339" w:bottom="1440" w:gutter="0" w:footer="0" w:header="0"/>
          <w:type w:val="continuous"/>
        </w:sectPr>
      </w:pPr>
    </w:p>
    <w:p>
      <w:pPr>
        <w:ind w:left="320" w:right="580" w:hanging="317"/>
        <w:spacing w:after="0" w:line="281" w:lineRule="auto"/>
        <w:tabs>
          <w:tab w:leader="none" w:pos="3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 w:lineRule="exact"/>
        <w:rPr>
          <w:rFonts w:ascii="Arial" w:cs="Arial" w:eastAsia="Arial" w:hAnsi="Arial"/>
          <w:sz w:val="19"/>
          <w:szCs w:val="19"/>
          <w:color w:val="auto"/>
          <w:vertAlign w:val="superscript"/>
        </w:rPr>
      </w:pPr>
    </w:p>
    <w:p>
      <w:pPr>
        <w:ind w:left="320" w:right="180" w:hanging="317"/>
        <w:spacing w:after="0" w:line="234" w:lineRule="auto"/>
        <w:tabs>
          <w:tab w:leader="none" w:pos="32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2"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Six Months Ended</w:t>
            </w:r>
          </w:p>
        </w:tc>
      </w:tr>
      <w:tr>
        <w:trPr>
          <w:trHeight w:val="184"/>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67"/>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Borders>
              <w:bottom w:val="single" w:sz="8" w:color="auto"/>
            </w:tcBorders>
          </w:tcPr>
          <w:p>
            <w:pPr>
              <w:spacing w:after="0"/>
              <w:rPr>
                <w:sz w:val="16"/>
                <w:szCs w:val="16"/>
                <w:color w:val="auto"/>
              </w:rPr>
            </w:pPr>
          </w:p>
        </w:tc>
      </w:tr>
      <w:tr>
        <w:trPr>
          <w:trHeight w:val="185"/>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21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624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pipeline tariff volumes (by region) </w:t>
            </w:r>
            <w:r>
              <w:rPr>
                <w:rFonts w:ascii="Arial" w:cs="Arial" w:eastAsia="Arial" w:hAnsi="Arial"/>
                <w:sz w:val="22"/>
                <w:szCs w:val="22"/>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6240" w:type="dxa"/>
            <w:vAlign w:val="bottom"/>
            <w:gridSpan w:val="2"/>
            <w:shd w:val="clear" w:color="auto" w:fill="CCEEFF"/>
          </w:tcPr>
          <w:p>
            <w:pPr>
              <w:ind w:left="220"/>
              <w:spacing w:after="0" w:line="232"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6,299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5,324</w:t>
            </w:r>
          </w:p>
        </w:tc>
      </w:tr>
      <w:tr>
        <w:trPr>
          <w:trHeight w:val="219"/>
        </w:trPr>
        <w:tc>
          <w:tcPr>
            <w:tcW w:w="624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352</w:t>
            </w:r>
          </w:p>
        </w:tc>
      </w:tr>
      <w:tr>
        <w:trPr>
          <w:trHeight w:val="219"/>
        </w:trPr>
        <w:tc>
          <w:tcPr>
            <w:tcW w:w="624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r>
      <w:tr>
        <w:trPr>
          <w:trHeight w:val="225"/>
        </w:trPr>
        <w:tc>
          <w:tcPr>
            <w:tcW w:w="6240" w:type="dxa"/>
            <w:vAlign w:val="bottom"/>
            <w:gridSpan w:val="2"/>
          </w:tcPr>
          <w:p>
            <w:pPr>
              <w:ind w:left="220"/>
              <w:spacing w:after="0"/>
              <w:rPr>
                <w:sz w:val="20"/>
                <w:szCs w:val="20"/>
                <w:color w:val="auto"/>
              </w:rPr>
            </w:pPr>
            <w:r>
              <w:rPr>
                <w:rFonts w:ascii="Arial" w:cs="Arial" w:eastAsia="Arial" w:hAnsi="Arial"/>
                <w:sz w:val="17"/>
                <w:szCs w:val="17"/>
                <w:color w:val="auto"/>
              </w:rPr>
              <w:t>Gulf Coast</w:t>
            </w:r>
          </w:p>
        </w:tc>
        <w:tc>
          <w:tcPr>
            <w:tcW w:w="118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27"/>
        </w:trPr>
        <w:tc>
          <w:tcPr>
            <w:tcW w:w="6240" w:type="dxa"/>
            <w:vAlign w:val="bottom"/>
            <w:gridSpan w:val="2"/>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19"/>
        </w:trPr>
        <w:tc>
          <w:tcPr>
            <w:tcW w:w="6240" w:type="dxa"/>
            <w:vAlign w:val="bottom"/>
            <w:gridSpan w:val="2"/>
          </w:tcPr>
          <w:p>
            <w:pPr>
              <w:ind w:left="220"/>
              <w:spacing w:after="0"/>
              <w:rPr>
                <w:sz w:val="20"/>
                <w:szCs w:val="20"/>
                <w:color w:val="auto"/>
              </w:rPr>
            </w:pPr>
            <w:r>
              <w:rPr>
                <w:rFonts w:ascii="Arial" w:cs="Arial" w:eastAsia="Arial" w:hAnsi="Arial"/>
                <w:sz w:val="17"/>
                <w:szCs w:val="17"/>
                <w:color w:val="auto"/>
              </w:rPr>
              <w:t>Western</w:t>
            </w:r>
          </w:p>
        </w:tc>
        <w:tc>
          <w:tcPr>
            <w:tcW w:w="118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33"/>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12"/>
        </w:trPr>
        <w:tc>
          <w:tcPr>
            <w:tcW w:w="6240" w:type="dxa"/>
            <w:vAlign w:val="bottom"/>
            <w:gridSpan w:val="2"/>
          </w:tcPr>
          <w:p>
            <w:pPr>
              <w:ind w:left="120"/>
              <w:spacing w:after="0" w:line="212" w:lineRule="exact"/>
              <w:rPr>
                <w:sz w:val="20"/>
                <w:szCs w:val="20"/>
                <w:color w:val="auto"/>
              </w:rPr>
            </w:pPr>
            <w:r>
              <w:rPr>
                <w:rFonts w:ascii="Arial" w:cs="Arial" w:eastAsia="Arial" w:hAnsi="Arial"/>
                <w:sz w:val="17"/>
                <w:szCs w:val="17"/>
                <w:color w:val="auto"/>
              </w:rPr>
              <w:t xml:space="preserve">Total crude oil pipeline tariff volumes </w:t>
            </w:r>
            <w:r>
              <w:rPr>
                <w:rFonts w:ascii="Arial" w:cs="Arial" w:eastAsia="Arial" w:hAnsi="Arial"/>
                <w:sz w:val="22"/>
                <w:szCs w:val="22"/>
                <w:color w:val="auto"/>
                <w:vertAlign w:val="superscript"/>
              </w:rPr>
              <w:t>(1) (2)</w:t>
            </w:r>
          </w:p>
        </w:tc>
        <w:tc>
          <w:tcPr>
            <w:tcW w:w="1180" w:type="dxa"/>
            <w:vAlign w:val="bottom"/>
          </w:tcPr>
          <w:p>
            <w:pPr>
              <w:jc w:val="right"/>
              <w:spacing w:after="0"/>
              <w:rPr>
                <w:sz w:val="20"/>
                <w:szCs w:val="20"/>
                <w:color w:val="auto"/>
              </w:rPr>
            </w:pPr>
            <w:r>
              <w:rPr>
                <w:rFonts w:ascii="Arial" w:cs="Arial" w:eastAsia="Arial" w:hAnsi="Arial"/>
                <w:sz w:val="17"/>
                <w:szCs w:val="17"/>
                <w:color w:val="auto"/>
              </w:rPr>
              <w:t>8,392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7,417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7,289</w:t>
            </w:r>
          </w:p>
        </w:tc>
      </w:tr>
      <w:tr>
        <w:trPr>
          <w:trHeight w:val="245"/>
        </w:trPr>
        <w:tc>
          <w:tcPr>
            <w:tcW w:w="3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19"/>
        </w:trPr>
        <w:tc>
          <w:tcPr>
            <w:tcW w:w="624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Commercial crude oil storage capacity </w:t>
            </w:r>
            <w:r>
              <w:rPr>
                <w:rFonts w:ascii="Arial" w:cs="Arial" w:eastAsia="Arial" w:hAnsi="Arial"/>
                <w:sz w:val="22"/>
                <w:szCs w:val="22"/>
                <w:color w:val="auto"/>
                <w:vertAlign w:val="superscript"/>
              </w:rPr>
              <w:t>(2) (3)</w:t>
            </w:r>
          </w:p>
        </w:tc>
        <w:tc>
          <w:tcPr>
            <w:tcW w:w="11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45"/>
        </w:trPr>
        <w:tc>
          <w:tcPr>
            <w:tcW w:w="3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19"/>
        </w:trPr>
        <w:tc>
          <w:tcPr>
            <w:tcW w:w="624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lease gathering purchases </w:t>
            </w:r>
            <w:r>
              <w:rPr>
                <w:rFonts w:ascii="Arial" w:cs="Arial" w:eastAsia="Arial" w:hAnsi="Arial"/>
                <w:sz w:val="22"/>
                <w:szCs w:val="22"/>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7"/>
                <w:szCs w:val="17"/>
                <w:color w:val="auto"/>
              </w:rPr>
              <w:t>1,408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1,368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1,418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1,364</w:t>
            </w:r>
          </w:p>
        </w:tc>
      </w:tr>
      <w:tr>
        <w:trPr>
          <w:trHeight w:val="245"/>
        </w:trPr>
        <w:tc>
          <w:tcPr>
            <w:tcW w:w="3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19"/>
        </w:trPr>
        <w:tc>
          <w:tcPr>
            <w:tcW w:w="6240" w:type="dxa"/>
            <w:vAlign w:val="bottom"/>
            <w:gridSpan w:val="2"/>
          </w:tcPr>
          <w:p>
            <w:pPr>
              <w:ind w:left="20"/>
              <w:spacing w:after="0" w:line="220" w:lineRule="exact"/>
              <w:rPr>
                <w:sz w:val="20"/>
                <w:szCs w:val="20"/>
                <w:color w:val="auto"/>
              </w:rPr>
            </w:pPr>
            <w:r>
              <w:rPr>
                <w:rFonts w:ascii="Arial" w:cs="Arial" w:eastAsia="Arial" w:hAnsi="Arial"/>
                <w:sz w:val="17"/>
                <w:szCs w:val="17"/>
                <w:b w:val="1"/>
                <w:bCs w:val="1"/>
                <w:color w:val="auto"/>
              </w:rPr>
              <w:t xml:space="preserve">NGL Segment Volumes </w:t>
            </w:r>
            <w:r>
              <w:rPr>
                <w:rFonts w:ascii="Arial" w:cs="Arial" w:eastAsia="Arial" w:hAnsi="Arial"/>
                <w:sz w:val="22"/>
                <w:szCs w:val="22"/>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NGL fractionation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25"/>
        </w:trPr>
        <w:tc>
          <w:tcPr>
            <w:tcW w:w="6240" w:type="dxa"/>
            <w:vAlign w:val="bottom"/>
            <w:gridSpan w:val="2"/>
          </w:tcPr>
          <w:p>
            <w:pPr>
              <w:ind w:left="180"/>
              <w:spacing w:after="0"/>
              <w:rPr>
                <w:sz w:val="20"/>
                <w:szCs w:val="20"/>
                <w:color w:val="auto"/>
              </w:rPr>
            </w:pPr>
            <w:r>
              <w:rPr>
                <w:rFonts w:ascii="Arial" w:cs="Arial" w:eastAsia="Arial" w:hAnsi="Arial"/>
                <w:sz w:val="17"/>
                <w:szCs w:val="17"/>
                <w:color w:val="auto"/>
              </w:rPr>
              <w:t>NGL pipeline tariff volumes</w:t>
            </w:r>
          </w:p>
        </w:tc>
        <w:tc>
          <w:tcPr>
            <w:tcW w:w="11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7"/>
        </w:trPr>
        <w:tc>
          <w:tcPr>
            <w:tcW w:w="6240" w:type="dxa"/>
            <w:vAlign w:val="bottom"/>
            <w:gridSpan w:val="2"/>
            <w:shd w:val="clear" w:color="auto" w:fill="CCEEFF"/>
          </w:tcPr>
          <w:p>
            <w:pPr>
              <w:ind w:left="180"/>
              <w:spacing w:after="0" w:line="227" w:lineRule="exact"/>
              <w:rPr>
                <w:sz w:val="20"/>
                <w:szCs w:val="20"/>
                <w:color w:val="auto"/>
              </w:rPr>
            </w:pPr>
            <w:r>
              <w:rPr>
                <w:rFonts w:ascii="Arial" w:cs="Arial" w:eastAsia="Arial" w:hAnsi="Arial"/>
                <w:sz w:val="17"/>
                <w:szCs w:val="17"/>
                <w:color w:val="auto"/>
              </w:rPr>
              <w:t xml:space="preserve">Propane and butane sales </w:t>
            </w:r>
            <w:r>
              <w:rPr>
                <w:rFonts w:ascii="Arial" w:cs="Arial" w:eastAsia="Arial" w:hAnsi="Arial"/>
                <w:sz w:val="22"/>
                <w:szCs w:val="22"/>
                <w:color w:val="auto"/>
                <w:vertAlign w:val="superscript"/>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155"/>
        </w:trPr>
        <w:tc>
          <w:tcPr>
            <w:tcW w:w="3880" w:type="dxa"/>
            <w:vAlign w:val="bottom"/>
            <w:tcBorders>
              <w:bottom w:val="single" w:sz="8" w:color="auto"/>
            </w:tcBorders>
          </w:tcPr>
          <w:p>
            <w:pPr>
              <w:spacing w:after="0"/>
              <w:rPr>
                <w:sz w:val="13"/>
                <w:szCs w:val="13"/>
                <w:color w:val="auto"/>
              </w:rPr>
            </w:pPr>
          </w:p>
        </w:tc>
        <w:tc>
          <w:tcPr>
            <w:tcW w:w="2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30" w:lineRule="exact"/>
        <w:rPr>
          <w:sz w:val="20"/>
          <w:szCs w:val="20"/>
          <w:color w:val="auto"/>
        </w:rPr>
      </w:pPr>
    </w:p>
    <w:p>
      <w:pPr>
        <w:ind w:left="320" w:right="320" w:hanging="317"/>
        <w:spacing w:after="0" w:line="251"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ind w:left="320" w:hanging="317"/>
        <w:spacing w:after="0"/>
        <w:tabs>
          <w:tab w:leader="none" w:pos="32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assets owned by unconsolidated entities.</w:t>
      </w:r>
    </w:p>
    <w:p>
      <w:pPr>
        <w:spacing w:after="0" w:line="54" w:lineRule="exact"/>
        <w:rPr>
          <w:rFonts w:ascii="Arial" w:cs="Arial" w:eastAsia="Arial" w:hAnsi="Arial"/>
          <w:sz w:val="22"/>
          <w:szCs w:val="22"/>
          <w:color w:val="auto"/>
          <w:vertAlign w:val="superscript"/>
        </w:rPr>
      </w:pPr>
    </w:p>
    <w:p>
      <w:pPr>
        <w:ind w:left="320" w:hanging="317"/>
        <w:spacing w:after="0" w:line="192" w:lineRule="auto"/>
        <w:tabs>
          <w:tab w:leader="none" w:pos="32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monthly capacity in millions of barrels calculated as total volumes for the period divided by the number of months in the period.</w:t>
      </w:r>
    </w:p>
    <w:p>
      <w:pPr>
        <w:spacing w:after="0" w:line="55" w:lineRule="exact"/>
        <w:rPr>
          <w:rFonts w:ascii="Arial" w:cs="Arial" w:eastAsia="Arial" w:hAnsi="Arial"/>
          <w:sz w:val="22"/>
          <w:szCs w:val="22"/>
          <w:color w:val="auto"/>
          <w:vertAlign w:val="superscript"/>
        </w:rPr>
      </w:pPr>
    </w:p>
    <w:p>
      <w:pPr>
        <w:ind w:left="320" w:right="200" w:hanging="317"/>
        <w:spacing w:after="0" w:line="235" w:lineRule="auto"/>
        <w:tabs>
          <w:tab w:leader="none" w:pos="32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2022, we modified our reported sales volumes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3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5"/>
        </w:trPr>
        <w:tc>
          <w:tcPr>
            <w:tcW w:w="3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r>
      <w:tr>
        <w:trPr>
          <w:trHeight w:val="21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Crude Oil Segment Adjusted EBITDA</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88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r>
      <w:tr>
        <w:trPr>
          <w:trHeight w:val="232"/>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NGL Segment Adjusted EBITDA</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r>
      <w:tr>
        <w:trPr>
          <w:trHeight w:val="213"/>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Segment Adjusted EBITDA</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88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r>
      <w:tr>
        <w:trPr>
          <w:trHeight w:val="219"/>
        </w:trPr>
        <w:tc>
          <w:tcPr>
            <w:tcW w:w="61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45"/>
        </w:trPr>
        <w:tc>
          <w:tcPr>
            <w:tcW w:w="6160" w:type="dxa"/>
            <w:vAlign w:val="bottom"/>
            <w:gridSpan w:val="2"/>
            <w:shd w:val="clear" w:color="auto" w:fill="CCEEFF"/>
          </w:tcPr>
          <w:p>
            <w:pPr>
              <w:ind w:left="120"/>
              <w:spacing w:after="0" w:line="225"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88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30" w:lineRule="exact"/>
        <w:rPr>
          <w:sz w:val="20"/>
          <w:szCs w:val="20"/>
          <w:color w:val="auto"/>
        </w:rPr>
      </w:pPr>
    </w:p>
    <w:p>
      <w:pPr>
        <w:ind w:left="320" w:hanging="317"/>
        <w:spacing w:after="0" w:line="283" w:lineRule="auto"/>
        <w:tabs>
          <w:tab w:leader="none" w:pos="32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Represents “Other income/(expense), net” as reported on our Condensed Consolidated Statements of Operations, excluding other income/(expense), net attributable to noncontrolling interests, adjusted for selected items impacting comparability of $(14) million and $119 million for the three months ended June 30, 2023 and 2022, respectively and $(72) million and $156 million for the six months ended June 30, 2023 and 2022, respectively. See the “Selected Items Impacting Comparability” table for additional information. Other income/(expense), net attributable to noncontrolling interests was $1 million for the six months ended June 30, 2023 and less than $1 million for the three months ended June 30, 2023 and the three and six months ended June 30, 2022.</w:t>
      </w:r>
    </w:p>
    <w:p>
      <w:pPr>
        <w:ind w:left="320" w:hanging="317"/>
        <w:spacing w:after="0"/>
        <w:tabs>
          <w:tab w:leader="none" w:pos="32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80"/>
          </w:cols>
          <w:pgMar w:left="320" w:top="359" w:right="39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3"/>
          </w:tcPr>
          <w:p>
            <w:pPr>
              <w:jc w:val="center"/>
              <w:ind w:left="4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June 30, 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June 30, 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Consolidating</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Consolidating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11,602</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10,544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10,544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15,324</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15,951</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187"/>
        </w:trPr>
        <w:tc>
          <w:tcPr>
            <w:tcW w:w="3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Deferred 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180"/>
              <w:spacing w:after="0" w:line="181"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6"/>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4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NET INCOME ATTRIBUTABLE TO PAGP </w:t>
            </w: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293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(245)</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right w:val="single" w:sz="8" w:color="auto"/>
            </w:tcBorders>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203</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(172)</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40" w:type="dxa"/>
            <w:vAlign w:val="bottom"/>
            <w:gridSpan w:val="4"/>
          </w:tcPr>
          <w:p>
            <w:pPr>
              <w:ind w:left="20"/>
              <w:spacing w:after="0"/>
              <w:rPr>
                <w:sz w:val="20"/>
                <w:szCs w:val="20"/>
                <w:color w:val="auto"/>
              </w:rPr>
            </w:pPr>
            <w:r>
              <w:rPr>
                <w:rFonts w:ascii="Arial" w:cs="Arial" w:eastAsia="Arial" w:hAnsi="Arial"/>
                <w:sz w:val="17"/>
                <w:szCs w:val="17"/>
                <w:color w:val="auto"/>
                <w:w w:val="93"/>
              </w:rPr>
              <w:t>Basic and diluted weighted average Class A shares outstanding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360" w:type="dxa"/>
            <w:vAlign w:val="bottom"/>
          </w:tcPr>
          <w:p>
            <w:pPr>
              <w:ind w:left="20"/>
              <w:spacing w:after="0"/>
              <w:rPr>
                <w:sz w:val="20"/>
                <w:szCs w:val="20"/>
                <w:color w:val="auto"/>
              </w:rPr>
            </w:pPr>
            <w:r>
              <w:rPr>
                <w:rFonts w:ascii="Arial" w:cs="Arial" w:eastAsia="Arial" w:hAnsi="Arial"/>
                <w:sz w:val="17"/>
                <w:szCs w:val="17"/>
                <w:color w:val="auto"/>
                <w:w w:val="92"/>
              </w:rPr>
              <w:t>Basic and diluted net income per Class A share</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121"/>
        </w:trPr>
        <w:tc>
          <w:tcPr>
            <w:tcW w:w="3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June 30, 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June 30, 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Consolidating</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Consolidating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23,943</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30,053</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21,867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21,867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28,109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28,109</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8"/>
        </w:trPr>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29,354</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1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187"/>
        </w:trPr>
        <w:tc>
          <w:tcPr>
            <w:tcW w:w="3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915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Deferred 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180"/>
              <w:spacing w:after="0" w:line="181"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6"/>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4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NET INCOME ATTRIBUTABLE TO PAGP </w:t>
            </w: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715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(598)</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right w:val="single" w:sz="8" w:color="auto"/>
            </w:tcBorders>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(337)</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40" w:type="dxa"/>
            <w:vAlign w:val="bottom"/>
            <w:gridSpan w:val="4"/>
          </w:tcPr>
          <w:p>
            <w:pPr>
              <w:ind w:left="20"/>
              <w:spacing w:after="0"/>
              <w:rPr>
                <w:sz w:val="20"/>
                <w:szCs w:val="20"/>
                <w:color w:val="auto"/>
              </w:rPr>
            </w:pPr>
            <w:r>
              <w:rPr>
                <w:rFonts w:ascii="Arial" w:cs="Arial" w:eastAsia="Arial" w:hAnsi="Arial"/>
                <w:sz w:val="17"/>
                <w:szCs w:val="17"/>
                <w:color w:val="auto"/>
                <w:w w:val="93"/>
              </w:rPr>
              <w:t>Basic and diluted weighted average Class A shares outstanding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360" w:type="dxa"/>
            <w:vAlign w:val="bottom"/>
          </w:tcPr>
          <w:p>
            <w:pPr>
              <w:ind w:left="20"/>
              <w:spacing w:after="0"/>
              <w:rPr>
                <w:sz w:val="20"/>
                <w:szCs w:val="20"/>
                <w:color w:val="auto"/>
              </w:rPr>
            </w:pPr>
            <w:r>
              <w:rPr>
                <w:rFonts w:ascii="Arial" w:cs="Arial" w:eastAsia="Arial" w:hAnsi="Arial"/>
                <w:sz w:val="17"/>
                <w:szCs w:val="17"/>
                <w:color w:val="auto"/>
                <w:w w:val="92"/>
              </w:rPr>
              <w:t>Basic and diluted net income per Class A share</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0.60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122"/>
        </w:trPr>
        <w:tc>
          <w:tcPr>
            <w:tcW w:w="3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June 30, 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December 31, 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Consolidating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85"/>
              </w:rPr>
              <w:t>Consolidating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right"/>
              <w:ind w:right="374"/>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8"/>
                <w:szCs w:val="8"/>
                <w:b w:val="1"/>
                <w:bCs w:val="1"/>
                <w:color w:val="auto"/>
                <w:w w:val="89"/>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8"/>
                <w:szCs w:val="8"/>
                <w:b w:val="1"/>
                <w:bCs w:val="1"/>
                <w:color w:val="auto"/>
                <w:w w:val="89"/>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4,657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4,660</w:t>
            </w:r>
          </w:p>
        </w:tc>
        <w:tc>
          <w:tcPr>
            <w:tcW w:w="120" w:type="dxa"/>
            <w:vAlign w:val="bottom"/>
            <w:tcBorders>
              <w:right w:val="single" w:sz="8" w:color="auto"/>
            </w:tcBorders>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5,355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5,358</w:t>
            </w: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15,222</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w:t>
            </w: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3,062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3,084</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1,309</w:t>
            </w: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line="168" w:lineRule="exact"/>
              <w:rPr>
                <w:sz w:val="20"/>
                <w:szCs w:val="20"/>
                <w:color w:val="auto"/>
              </w:rPr>
            </w:pPr>
            <w:r>
              <w:rPr>
                <w:rFonts w:ascii="Arial" w:cs="Arial" w:eastAsia="Arial" w:hAnsi="Arial"/>
                <w:sz w:val="17"/>
                <w:szCs w:val="17"/>
                <w:color w:val="auto"/>
                <w:w w:val="94"/>
              </w:rPr>
              <w:t>Long-term operating lease right-of-use assets,</w:t>
            </w:r>
          </w:p>
        </w:tc>
        <w:tc>
          <w:tcPr>
            <w:tcW w:w="2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7"/>
                <w:szCs w:val="17"/>
                <w:color w:val="auto"/>
              </w:rPr>
              <w:t>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386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46"/>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28,167</w:t>
            </w:r>
          </w:p>
        </w:tc>
        <w:tc>
          <w:tcPr>
            <w:tcW w:w="120" w:type="dxa"/>
            <w:vAlign w:val="bottom"/>
            <w:tcBorders>
              <w:right w:val="single" w:sz="8" w:color="auto"/>
            </w:tcBorders>
            <w:shd w:val="clear" w:color="auto" w:fill="CCEEFF"/>
          </w:tcPr>
          <w:p>
            <w:pPr>
              <w:spacing w:after="0"/>
              <w:rPr>
                <w:sz w:val="21"/>
                <w:szCs w:val="21"/>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4,652</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4,654</w:t>
            </w:r>
          </w:p>
        </w:tc>
        <w:tc>
          <w:tcPr>
            <w:tcW w:w="120" w:type="dxa"/>
            <w:vAlign w:val="bottom"/>
            <w:tcBorders>
              <w:right w:val="single" w:sz="8" w:color="auto"/>
            </w:tcBorders>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5,891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5,893</w:t>
            </w: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32"/>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5"/>
              </w:rPr>
              <w:t>Other long-term liabilities and deferred credits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1,059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14,569</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10,379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(8,811)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2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3,223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13,299</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13,114</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13,602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66"/>
        </w:trPr>
        <w:tc>
          <w:tcPr>
            <w:tcW w:w="3340" w:type="dxa"/>
            <w:vAlign w:val="bottom"/>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26,900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1,267</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28,167</w:t>
            </w:r>
          </w:p>
        </w:tc>
        <w:tc>
          <w:tcPr>
            <w:tcW w:w="12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27,892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1,315</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29,207</w:t>
            </w:r>
          </w:p>
        </w:tc>
        <w:tc>
          <w:tcPr>
            <w:tcW w:w="0" w:type="dxa"/>
            <w:vAlign w:val="bottom"/>
          </w:tcPr>
          <w:p>
            <w:pPr>
              <w:spacing w:after="0"/>
              <w:rPr>
                <w:sz w:val="1"/>
                <w:szCs w:val="1"/>
                <w:color w:val="auto"/>
              </w:rPr>
            </w:pPr>
          </w:p>
        </w:tc>
      </w:tr>
      <w:tr>
        <w:trPr>
          <w:trHeight w:val="147"/>
        </w:trPr>
        <w:tc>
          <w:tcPr>
            <w:tcW w:w="334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30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374" w:lineRule="exact"/>
        <w:rPr>
          <w:sz w:val="20"/>
          <w:szCs w:val="20"/>
          <w:color w:val="auto"/>
        </w:rPr>
      </w:pPr>
    </w:p>
    <w:p>
      <w:pPr>
        <w:ind w:right="4920"/>
        <w:spacing w:after="0" w:line="287" w:lineRule="auto"/>
        <w:rPr>
          <w:sz w:val="20"/>
          <w:szCs w:val="20"/>
          <w:color w:val="auto"/>
        </w:rPr>
      </w:pPr>
      <w:r>
        <w:rPr>
          <w:rFonts w:ascii="Arial" w:cs="Arial" w:eastAsia="Arial" w:hAnsi="Arial"/>
          <w:sz w:val="17"/>
          <w:szCs w:val="17"/>
          <w:b w:val="1"/>
          <w:bCs w:val="1"/>
          <w:u w:val="single" w:color="auto"/>
          <w:color w:val="auto"/>
        </w:rPr>
        <w:t xml:space="preserve">COMPUTATION OF BASIC AND DILUTED NET INCOME PER CLASS A SHARE </w:t>
      </w:r>
      <w:r>
        <w:rPr>
          <w:rFonts w:ascii="Arial" w:cs="Arial" w:eastAsia="Arial" w:hAnsi="Arial"/>
          <w:sz w:val="17"/>
          <w:szCs w:val="17"/>
          <w:color w:val="auto"/>
        </w:rPr>
        <w:t>(in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6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5"/>
        </w:trPr>
        <w:tc>
          <w:tcPr>
            <w:tcW w:w="60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8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19"/>
        </w:trPr>
        <w:tc>
          <w:tcPr>
            <w:tcW w:w="6040" w:type="dxa"/>
            <w:vAlign w:val="bottom"/>
          </w:tcPr>
          <w:p>
            <w:pPr>
              <w:ind w:left="140"/>
              <w:spacing w:after="0"/>
              <w:rPr>
                <w:sz w:val="20"/>
                <w:szCs w:val="20"/>
                <w:color w:val="auto"/>
              </w:rPr>
            </w:pPr>
            <w:r>
              <w:rPr>
                <w:rFonts w:ascii="Arial" w:cs="Arial" w:eastAsia="Arial" w:hAnsi="Arial"/>
                <w:sz w:val="17"/>
                <w:szCs w:val="17"/>
                <w:color w:val="auto"/>
              </w:rPr>
              <w:t>Net income attributable to PAGP</w:t>
            </w:r>
          </w:p>
        </w:tc>
        <w:tc>
          <w:tcPr>
            <w:tcW w:w="840" w:type="dxa"/>
            <w:vAlign w:val="bottom"/>
          </w:tcPr>
          <w:p>
            <w:pPr>
              <w:jc w:val="right"/>
              <w:ind w:right="643"/>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48</w:t>
            </w:r>
          </w:p>
        </w:tc>
        <w:tc>
          <w:tcPr>
            <w:tcW w:w="96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31</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117</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3"/>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32"/>
        </w:trPr>
        <w:tc>
          <w:tcPr>
            <w:tcW w:w="6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5"/>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and diluted net income per Class A share</w:t>
            </w:r>
          </w:p>
        </w:tc>
        <w:tc>
          <w:tcPr>
            <w:tcW w:w="840" w:type="dxa"/>
            <w:vAlign w:val="bottom"/>
            <w:shd w:val="clear" w:color="auto" w:fill="CCEEFF"/>
          </w:tcPr>
          <w:p>
            <w:pPr>
              <w:jc w:val="right"/>
              <w:ind w:right="64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95" w:lineRule="exact"/>
        <w:rPr>
          <w:sz w:val="20"/>
          <w:szCs w:val="20"/>
          <w:color w:val="auto"/>
        </w:rPr>
      </w:pPr>
    </w:p>
    <w:p>
      <w:pPr>
        <w:ind w:firstLine="620"/>
        <w:spacing w:after="0" w:line="266"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1" w:lineRule="exact"/>
        <w:rPr>
          <w:sz w:val="20"/>
          <w:szCs w:val="20"/>
          <w:color w:val="auto"/>
        </w:rPr>
      </w:pPr>
    </w:p>
    <w:p>
      <w:pPr>
        <w:ind w:left="620" w:right="40" w:hanging="307"/>
        <w:spacing w:after="0" w:line="243"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9" w:lineRule="exact"/>
        <w:rPr>
          <w:rFonts w:ascii="Arial" w:cs="Arial" w:eastAsia="Arial" w:hAnsi="Arial"/>
          <w:sz w:val="21"/>
          <w:szCs w:val="21"/>
          <w:color w:val="auto"/>
        </w:rPr>
      </w:pPr>
    </w:p>
    <w:p>
      <w:pPr>
        <w:ind w:left="620" w:right="140" w:hanging="307"/>
        <w:spacing w:after="0" w:line="250"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earn or the commercial opportunities that might otherwise be available to us;</w:t>
      </w:r>
    </w:p>
    <w:p>
      <w:pPr>
        <w:spacing w:after="0" w:line="124" w:lineRule="exact"/>
        <w:rPr>
          <w:rFonts w:ascii="Arial" w:cs="Arial" w:eastAsia="Arial" w:hAnsi="Arial"/>
          <w:sz w:val="21"/>
          <w:szCs w:val="21"/>
          <w:color w:val="auto"/>
        </w:rPr>
      </w:pPr>
    </w:p>
    <w:p>
      <w:pPr>
        <w:ind w:left="620" w:right="500" w:hanging="307"/>
        <w:spacing w:after="0" w:line="232"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08"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31" w:lineRule="exact"/>
        <w:rPr>
          <w:rFonts w:ascii="Arial" w:cs="Arial" w:eastAsia="Arial" w:hAnsi="Arial"/>
          <w:sz w:val="21"/>
          <w:szCs w:val="21"/>
          <w:color w:val="auto"/>
        </w:rPr>
      </w:pPr>
    </w:p>
    <w:p>
      <w:pPr>
        <w:ind w:left="620" w:right="20" w:hanging="307"/>
        <w:spacing w:after="0" w:line="239"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31" w:lineRule="exact"/>
        <w:rPr>
          <w:rFonts w:ascii="Arial" w:cs="Arial" w:eastAsia="Arial" w:hAnsi="Arial"/>
          <w:sz w:val="21"/>
          <w:szCs w:val="21"/>
          <w:color w:val="auto"/>
        </w:rPr>
      </w:pPr>
    </w:p>
    <w:p>
      <w:pPr>
        <w:ind w:left="620" w:right="240" w:hanging="307"/>
        <w:spacing w:after="0" w:line="232"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8"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environmental liabilities, litigation or other events that are not covered by an indemnity, insurance or existing reserves;</w:t>
      </w:r>
    </w:p>
    <w:p>
      <w:pPr>
        <w:spacing w:after="0" w:line="144" w:lineRule="exact"/>
        <w:rPr>
          <w:rFonts w:ascii="Arial" w:cs="Arial" w:eastAsia="Arial" w:hAnsi="Arial"/>
          <w:sz w:val="21"/>
          <w:szCs w:val="21"/>
          <w:color w:val="auto"/>
        </w:rPr>
      </w:pPr>
    </w:p>
    <w:p>
      <w:pPr>
        <w:ind w:left="620" w:right="360" w:hanging="307"/>
        <w:spacing w:after="0" w:line="232"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39"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31" w:lineRule="exact"/>
        <w:rPr>
          <w:rFonts w:ascii="Arial" w:cs="Arial" w:eastAsia="Arial" w:hAnsi="Arial"/>
          <w:sz w:val="21"/>
          <w:szCs w:val="21"/>
          <w:color w:val="auto"/>
        </w:rPr>
      </w:pPr>
    </w:p>
    <w:p>
      <w:pPr>
        <w:ind w:left="620" w:hanging="307"/>
        <w:spacing w:after="0" w:line="243"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05"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loss of key personnel and inability to attract and retain new talent;</w:t>
      </w:r>
    </w:p>
    <w:p>
      <w:pPr>
        <w:spacing w:after="0" w:line="144" w:lineRule="exact"/>
        <w:rPr>
          <w:rFonts w:ascii="Arial" w:cs="Arial" w:eastAsia="Arial" w:hAnsi="Arial"/>
          <w:sz w:val="21"/>
          <w:szCs w:val="21"/>
          <w:color w:val="auto"/>
        </w:rPr>
      </w:pPr>
    </w:p>
    <w:p>
      <w:pPr>
        <w:ind w:left="620" w:right="420" w:hanging="307"/>
        <w:spacing w:after="0" w:line="232"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08"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31" w:lineRule="exact"/>
        <w:rPr>
          <w:rFonts w:ascii="Arial" w:cs="Arial" w:eastAsia="Arial" w:hAnsi="Arial"/>
          <w:sz w:val="21"/>
          <w:szCs w:val="21"/>
          <w:color w:val="auto"/>
        </w:rPr>
      </w:pPr>
    </w:p>
    <w:p>
      <w:pPr>
        <w:ind w:left="620" w:right="20" w:hanging="307"/>
        <w:spacing w:after="0" w:line="239"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8"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31" w:lineRule="exact"/>
        <w:rPr>
          <w:rFonts w:ascii="Arial" w:cs="Arial" w:eastAsia="Arial" w:hAnsi="Arial"/>
          <w:sz w:val="21"/>
          <w:szCs w:val="21"/>
          <w:color w:val="auto"/>
        </w:rPr>
      </w:pPr>
    </w:p>
    <w:p>
      <w:pPr>
        <w:ind w:left="620" w:right="40" w:hanging="307"/>
        <w:spacing w:after="0" w:line="262" w:lineRule="auto"/>
        <w:tabs>
          <w:tab w:leader="none" w:pos="620" w:val="left"/>
        </w:tabs>
        <w:numPr>
          <w:ilvl w:val="0"/>
          <w:numId w:val="24"/>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4" w:lineRule="exact"/>
        <w:rPr>
          <w:rFonts w:ascii="Arial" w:cs="Arial" w:eastAsia="Arial" w:hAnsi="Arial"/>
          <w:sz w:val="20"/>
          <w:szCs w:val="20"/>
          <w:color w:val="auto"/>
        </w:rPr>
      </w:pPr>
    </w:p>
    <w:p>
      <w:pPr>
        <w:jc w:val="both"/>
        <w:ind w:left="620" w:right="140" w:hanging="307"/>
        <w:spacing w:after="0" w:line="301"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Arial" w:cs="Arial" w:eastAsia="Arial" w:hAnsi="Arial"/>
          <w:sz w:val="18"/>
          <w:szCs w:val="18"/>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31" w:lineRule="exact"/>
        <w:rPr>
          <w:rFonts w:ascii="Arial" w:cs="Arial" w:eastAsia="Arial" w:hAnsi="Arial"/>
          <w:sz w:val="21"/>
          <w:szCs w:val="21"/>
          <w:color w:val="auto"/>
        </w:rPr>
      </w:pPr>
    </w:p>
    <w:p>
      <w:pPr>
        <w:ind w:left="620" w:right="100" w:hanging="307"/>
        <w:spacing w:after="0" w:line="232"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32" w:lineRule="exact"/>
        <w:rPr>
          <w:rFonts w:ascii="Arial" w:cs="Arial" w:eastAsia="Arial" w:hAnsi="Arial"/>
          <w:sz w:val="21"/>
          <w:szCs w:val="21"/>
          <w:color w:val="auto"/>
        </w:rPr>
      </w:pPr>
    </w:p>
    <w:p>
      <w:pPr>
        <w:ind w:left="620" w:right="300" w:hanging="307"/>
        <w:spacing w:after="0" w:line="269" w:lineRule="auto"/>
        <w:tabs>
          <w:tab w:leader="none" w:pos="620" w:val="left"/>
        </w:tabs>
        <w:numPr>
          <w:ilvl w:val="0"/>
          <w:numId w:val="24"/>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79" w:lineRule="exact"/>
        <w:rPr>
          <w:rFonts w:ascii="Arial" w:cs="Arial" w:eastAsia="Arial" w:hAnsi="Arial"/>
          <w:sz w:val="20"/>
          <w:szCs w:val="20"/>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131" w:lineRule="exact"/>
        <w:rPr>
          <w:rFonts w:ascii="Arial" w:cs="Arial" w:eastAsia="Arial" w:hAnsi="Arial"/>
          <w:sz w:val="21"/>
          <w:szCs w:val="21"/>
          <w:color w:val="auto"/>
        </w:rPr>
      </w:pPr>
    </w:p>
    <w:p>
      <w:pPr>
        <w:ind w:left="620" w:right="660" w:hanging="307"/>
        <w:spacing w:after="0" w:line="232"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2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39"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9"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31" w:lineRule="exact"/>
        <w:rPr>
          <w:rFonts w:ascii="Arial" w:cs="Arial" w:eastAsia="Arial" w:hAnsi="Arial"/>
          <w:sz w:val="21"/>
          <w:szCs w:val="21"/>
          <w:color w:val="auto"/>
        </w:rPr>
      </w:pPr>
    </w:p>
    <w:p>
      <w:pPr>
        <w:ind w:left="620" w:right="60" w:hanging="307"/>
        <w:spacing w:after="0" w:line="252" w:lineRule="auto"/>
        <w:tabs>
          <w:tab w:leader="none" w:pos="620" w:val="left"/>
        </w:tabs>
        <w:numPr>
          <w:ilvl w:val="0"/>
          <w:numId w:val="25"/>
        </w:numPr>
        <w:rPr>
          <w:rFonts w:ascii="Arial" w:cs="Arial" w:eastAsia="Arial" w:hAnsi="Arial"/>
          <w:sz w:val="20"/>
          <w:szCs w:val="20"/>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95" w:lineRule="exact"/>
        <w:rPr>
          <w:sz w:val="20"/>
          <w:szCs w:val="20"/>
          <w:color w:val="auto"/>
        </w:rPr>
      </w:pPr>
    </w:p>
    <w:p>
      <w:pPr>
        <w:ind w:firstLine="620"/>
        <w:spacing w:after="0" w:line="283"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8 million barrels per day of crude oil and NGL.</w:t>
      </w:r>
    </w:p>
    <w:p>
      <w:pPr>
        <w:spacing w:after="0" w:line="191" w:lineRule="exact"/>
        <w:rPr>
          <w:sz w:val="20"/>
          <w:szCs w:val="20"/>
          <w:color w:val="auto"/>
        </w:rPr>
      </w:pPr>
    </w:p>
    <w:p>
      <w:pPr>
        <w:ind w:right="20" w:firstLine="620"/>
        <w:spacing w:after="0" w:line="280"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Blake Fernandez</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Gladstein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31115</wp:posOffset>
            </wp:positionV>
            <wp:extent cx="7122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40"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5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2023-08-04T07:37:56Z</dcterms:created>
  <dcterms:modified xsi:type="dcterms:W3CDTF">2023-08-04T07:37:56Z</dcterms:modified>
</cp:coreProperties>
</file>