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January 13, 2025</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Plains GP Holdings, L.P.</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7"/>
          <w:szCs w:val="17"/>
          <w:b w:val="1"/>
          <w:bCs w:val="1"/>
          <w:color w:val="auto"/>
        </w:rPr>
        <w:t>1-36132</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90-1005472</w:t>
      </w:r>
    </w:p>
    <w:p>
      <w:pPr>
        <w:spacing w:after="0" w:line="43" w:lineRule="exact"/>
        <w:rPr>
          <w:sz w:val="24"/>
          <w:szCs w:val="24"/>
          <w:color w:val="auto"/>
        </w:rPr>
      </w:pPr>
    </w:p>
    <w:p>
      <w:pPr>
        <w:sectPr>
          <w:pgSz w:w="11900" w:h="16838" w:orient="portrait"/>
          <w:cols w:equalWidth="0" w:num="3">
            <w:col w:w="4620" w:space="720"/>
            <w:col w:w="2900" w:space="720"/>
            <w:col w:w="2280"/>
          </w:cols>
          <w:pgMar w:left="320" w:top="754" w:right="339" w:bottom="1440" w:gutter="0" w:footer="0" w:header="0"/>
          <w:type w:val="continuous"/>
        </w:sectPr>
      </w:pPr>
    </w:p>
    <w:p>
      <w:pPr>
        <w:ind w:left="90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34" w:lineRule="exact"/>
        <w:rPr>
          <w:sz w:val="24"/>
          <w:szCs w:val="24"/>
          <w:color w:val="auto"/>
        </w:rPr>
      </w:pPr>
    </w:p>
    <w:p>
      <w:pPr>
        <w:sectPr>
          <w:pgSz w:w="11900" w:h="16838" w:orient="portrait"/>
          <w:cols w:equalWidth="0" w:num="3">
            <w:col w:w="3920" w:space="720"/>
            <w:col w:w="2800" w:space="720"/>
            <w:col w:w="3080"/>
          </w:cols>
          <w:pgMar w:left="320" w:top="754" w:right="339"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1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4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754" w:right="339" w:bottom="1440" w:gutter="0" w:footer="0" w:header="0"/>
          <w:type w:val="continuous"/>
        </w:sectPr>
      </w:pPr>
    </w:p>
    <w:p>
      <w:pPr>
        <w:spacing w:after="0" w:line="21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A Shares</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PAGP</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93"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January 15, 2025, the registrant’s consolidated subsidiaries, Plains All American Pipeline, L.P. (“PAA”) and PAA Finance Corp. (together with PAA, the “Issuers”) completed the public offering (the “Offering”) of $1 billion aggregate principal amount of the Issuers’ 5.950% Senior Notes due 2035 (the “Notes”).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terms of the Notes are governed by the indenture (the “Base Indenture,” </w:t>
      </w:r>
      <w:r>
        <w:rPr>
          <w:rFonts w:ascii="Times New Roman" w:cs="Times New Roman" w:eastAsia="Times New Roman" w:hAnsi="Times New Roman"/>
          <w:sz w:val="18"/>
          <w:szCs w:val="18"/>
          <w:color w:val="212529"/>
        </w:rPr>
        <w:t>and as amended and supplemented by the Supplemental Indenture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(defined below), the “Indenture”) dated as of September 25, 2002 by and among the Issuers and U.S. Bank Trust Company, National Association (as successor trustee), as trustee (the “Trustee”), as supplemented by the Thirty-Fourth Supplemental Indenture dated as of January 15, 2025 by and among the Issuers and the Trustee (the “Supplemental Indenture”).</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212529"/>
        </w:rPr>
        <w:t>The Notes will mature on June 15, 2035. Interest is payable on the Notes on each June 15 and December 15, commencing on June 15, 2025. The Issuers may redeem some or all of the Notes at any time and from time to time prior to maturity at the redemption prices specified in the Indenture.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212529"/>
        </w:rPr>
        <w:t>The Notes are PAA’s senior unsecured obligations, will rank equally in right of payment with all of PAA’s existing and future senior debt, and will rank senior in right of payment to all of PAA’s future subordinated debt. The Notes will be effectively subordinated to all of PAA’s existing and future secured debt to the extent of the value of the collateral securing such indebtedness.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212529"/>
        </w:rPr>
        <w:t>In certain circumstances, the Indenture restricts PAA’s ability and the ability of certain of its subsidiaries to: (i) enter into sale and leaseback transactions; (ii) incur liens; (iii) merge or consolidate with another company; and (iv) transfer and sell assets. These covenants are subject to a number of important exceptions and qualifications.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Indenture contains customary events of default with respect to the Notes, including:</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any payment of interest on any Note of that series when due, continued for 60 days;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or premium, if any, on any Note of that series when due;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PAA to comply with its obligations under the Indenture, in certain cases subject to notice and grace periods;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defaults and accelerations with respect to other indebtedness of PAA and its Subsidiaries (as defined in the Indenture) in the aggregate principal amount of $150.0 million or more;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of PAA or, if and so long as the Notes of that series are guaranteed by a subsidiary guarantor, by such subsidiary guarantor;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so long as the Notes of that series are guaranteed by a subsidiary guarantor: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by such subsidiary guarantor ceases to be in full force and effect, except as otherwise provided in the Indenture;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by such subsidiary guarantor is declared null and void in a judicial proceeding;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subsidiary guarantor denies or disaffirms its obligations under the Indenture or its guarantee.</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212529"/>
        </w:rPr>
        <w:t>If an event of default under the Indenture occurs and is continuing, the Trustee or the holders of at least 25% in principal amount of the outstanding Notes may declare the principal of, premium, if any, and accrued and unpaid interest, if any, on the Notes to be due and payable, or, in the case of certain events of default relating to bankruptcy, insolvency or reorganization, those amounts will automatically become immediately due and payable.</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212529"/>
        </w:rPr>
        <w:t>Other material terms of the Notes, the Base Indenture and the Supplemental Indenture are described in the prospectus supplement, dated January 13, 2025 (the “prospectus supplement”), to the prospectus, dated September 6, 2024, which is included in the Registration Statement (as defined below). The foregoing descriptions of the Indenture and the Notes are qualified in their entirety by reference to such Indenture (including the form of Notes attached thereto). A copy of the Supplemental Indenture is filed as Exhibit 4.1 to PAA’s Current Report on Form 8-K, filed as of the date hereof and is incorporated herein by reference.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contained in Item 1.01 is incorporated by reference into this Item 2.03.</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January 13, 2025, the Issuers entered into an underwriting agreement (the “Underwriting Agreement”) with J.P. Morgan Securities LLC, BMO Capital Markets Corp., Mizuho Securities USA LLC and Scotia Capital (USA) Inc., as representatives of the several underwriters named therein (collectively, the “Underwriters”), relating to the Offering of the Notes.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Notes were offered and sold under the Issuers’ shelf registration statement on Form S-3 (Registration No. 333-281967) filed with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on September 6, 2024 (the “Registration Statement”), and are described in the prospectus supplement.</w:t>
      </w:r>
    </w:p>
    <w:p>
      <w:pPr>
        <w:spacing w:after="0" w:line="20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Underwriting Agreement is filed as Exhibit 1.1 to PAA’s Current Report on Form 8-K, filed as of the date hereof and is incorporated herein by reference.</w:t>
      </w:r>
    </w:p>
    <w:p>
      <w:pPr>
        <w:sectPr>
          <w:pgSz w:w="11900" w:h="16838" w:orient="portrait"/>
          <w:cols w:equalWidth="0" w:num="1">
            <w:col w:w="11240"/>
          </w:cols>
          <w:pgMar w:left="320" w:top="900"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 Exhibits.</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0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EE"/>
        </w:rPr>
        <w:t>1.1</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19685</wp:posOffset>
            </wp:positionV>
            <wp:extent cx="62750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75070" cy="8255"/>
                    </a:xfrm>
                    <a:prstGeom prst="rect">
                      <a:avLst/>
                    </a:prstGeom>
                    <a:noFill/>
                  </pic:spPr>
                </pic:pic>
              </a:graphicData>
            </a:graphic>
          </wp:anchor>
        </w:drawing>
      </w:r>
    </w:p>
    <w:p>
      <w:pPr>
        <w:spacing w:after="0" w:line="223" w:lineRule="exact"/>
        <w:rPr>
          <w:sz w:val="20"/>
          <w:szCs w:val="20"/>
          <w:color w:val="auto"/>
        </w:rPr>
      </w:pPr>
    </w:p>
    <w:p>
      <w:pPr>
        <w:jc w:val="both"/>
        <w:ind w:left="60"/>
        <w:spacing w:after="0" w:line="261" w:lineRule="auto"/>
        <w:rPr>
          <w:sz w:val="20"/>
          <w:szCs w:val="20"/>
          <w:color w:val="auto"/>
        </w:rPr>
      </w:pPr>
      <w:r>
        <w:rPr>
          <w:rFonts w:ascii="Times New Roman" w:cs="Times New Roman" w:eastAsia="Times New Roman" w:hAnsi="Times New Roman"/>
          <w:sz w:val="18"/>
          <w:szCs w:val="18"/>
          <w:u w:val="single" w:color="auto"/>
          <w:color w:val="0000EE"/>
        </w:rPr>
        <w:t>Underwriting Agreement dated January 13, 2025 by and among Plains All American Pipeline, L.P., PAA Finance Corp., and J.P. Morgan Securities LLC, BMO Capital Markets Corp., Mizuho Securities USA LLC and Scotia Capital (USA) Inc. as representatives of the several underwriters named therein (incorporated by reference to Exhibit 1.1 of Plains All American Pipeline, L.P.’s Current Report on Form 8-K filed on January 15, 2025).</w:t>
      </w:r>
    </w:p>
    <w:p>
      <w:pPr>
        <w:spacing w:after="0" w:line="180" w:lineRule="exact"/>
        <w:rPr>
          <w:sz w:val="20"/>
          <w:szCs w:val="20"/>
          <w:color w:val="auto"/>
        </w:rPr>
      </w:pPr>
    </w:p>
    <w:p>
      <w:pPr>
        <w:sectPr>
          <w:pgSz w:w="11900" w:h="16838" w:orient="portrait"/>
          <w:cols w:equalWidth="0" w:num="2">
            <w:col w:w="900" w:space="400"/>
            <w:col w:w="9940"/>
          </w:cols>
          <w:pgMar w:left="320" w:top="900" w:right="339" w:bottom="1440" w:gutter="0" w:footer="0" w:header="0"/>
          <w:type w:val="continuous"/>
        </w:sectPr>
      </w:pP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EE"/>
        </w:rPr>
        <w:t>4.1</w:t>
      </w:r>
    </w:p>
    <w:p>
      <w:pPr>
        <w:spacing w:after="0" w:line="200" w:lineRule="exact"/>
        <w:rPr>
          <w:sz w:val="20"/>
          <w:szCs w:val="20"/>
          <w:color w:val="auto"/>
        </w:rPr>
      </w:pPr>
    </w:p>
    <w:p>
      <w:pPr>
        <w:spacing w:after="0" w:line="3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EE"/>
        </w:rPr>
        <w:t>4.2</w:t>
      </w:r>
    </w:p>
    <w:p>
      <w:pPr>
        <w:spacing w:after="0" w:line="3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0000EE"/>
        </w:rPr>
        <w:t>Thirty-Fourth Supplemental Indenture, dated January 15, 2025, by and among Plains All American Pipeline, L.P., PAA Finance Corp. and U.S. Bank Trust Company, National Association, as trustee (incorporated by reference to Exhibit 4.1 of PAA’s Current Report on Form 8-K filed on January 15, 2025).</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0000EE"/>
        </w:rPr>
        <w:t>Form of 5.950% Senior Notes due 2035 (included as Exhibit A in Exhibit 4.1) (incorporated by reference to Exhibit 4.2 of PAA’s Current Report on Form 8-K filed on January 15,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sz w:val="20"/>
          <w:szCs w:val="20"/>
          <w:color w:val="auto"/>
        </w:rPr>
      </w:pPr>
    </w:p>
    <w:p>
      <w:pPr>
        <w:sectPr>
          <w:pgSz w:w="11900" w:h="16838" w:orient="portrait"/>
          <w:cols w:equalWidth="0" w:num="2">
            <w:col w:w="720" w:space="640"/>
            <w:col w:w="9880"/>
          </w:cols>
          <w:pgMar w:left="320" w:top="900" w:right="339" w:bottom="1440" w:gutter="0" w:footer="0" w:header="0"/>
          <w:type w:val="continuous"/>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15, 2025</w:t>
            </w: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PLAINS GP HOLDINGS, L.P.</w:t>
            </w:r>
          </w:p>
        </w:tc>
      </w:tr>
      <w:tr>
        <w:trPr>
          <w:trHeight w:val="432"/>
        </w:trPr>
        <w:tc>
          <w:tcPr>
            <w:tcW w:w="3700" w:type="dxa"/>
            <w:vAlign w:val="bottom"/>
          </w:tcPr>
          <w:p>
            <w:pPr>
              <w:spacing w:after="0"/>
              <w:rPr>
                <w:sz w:val="24"/>
                <w:szCs w:val="24"/>
                <w:color w:val="auto"/>
              </w:rPr>
            </w:pP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PAA GP Holdings LLC, its general partner</w:t>
            </w:r>
          </w:p>
        </w:tc>
      </w:tr>
      <w:tr>
        <w:trPr>
          <w:trHeight w:val="432"/>
        </w:trPr>
        <w:tc>
          <w:tcPr>
            <w:tcW w:w="3700" w:type="dxa"/>
            <w:vAlign w:val="bottom"/>
          </w:tcPr>
          <w:p>
            <w:pPr>
              <w:spacing w:after="0"/>
              <w:rPr>
                <w:sz w:val="24"/>
                <w:szCs w:val="24"/>
                <w:color w:val="auto"/>
              </w:rPr>
            </w:pP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McGee</w:t>
            </w:r>
          </w:p>
        </w:tc>
      </w:tr>
      <w:tr>
        <w:trPr>
          <w:trHeight w:val="191"/>
        </w:trPr>
        <w:tc>
          <w:tcPr>
            <w:tcW w:w="37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Richard McGee</w:t>
            </w:r>
          </w:p>
        </w:tc>
      </w:tr>
      <w:tr>
        <w:trPr>
          <w:trHeight w:val="234"/>
        </w:trPr>
        <w:tc>
          <w:tcPr>
            <w:tcW w:w="37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Executive Vice President</w:t>
            </w:r>
          </w:p>
        </w:tc>
      </w:tr>
      <w:tr>
        <w:trPr>
          <w:trHeight w:val="432"/>
        </w:trPr>
        <w:tc>
          <w:tcPr>
            <w:tcW w:w="37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PAA FINANCE CORP.</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$1,000,000,000 5.950% Senior Notes due 2035</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13,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BMO Capital Markets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Scotia Capital (USA)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10179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Plains All American Pipeline, L.P., a Delaware limited partnership (the “</w:t>
      </w:r>
      <w:r>
        <w:rPr>
          <w:rFonts w:ascii="Times New Roman" w:cs="Times New Roman" w:eastAsia="Times New Roman" w:hAnsi="Times New Roman"/>
          <w:sz w:val="18"/>
          <w:szCs w:val="18"/>
          <w:b w:val="1"/>
          <w:bCs w:val="1"/>
          <w:u w:val="single" w:color="auto"/>
          <w:color w:val="auto"/>
        </w:rPr>
        <w:t>Partnership</w:t>
      </w:r>
      <w:r>
        <w:rPr>
          <w:rFonts w:ascii="Times New Roman" w:cs="Times New Roman" w:eastAsia="Times New Roman" w:hAnsi="Times New Roman"/>
          <w:sz w:val="18"/>
          <w:szCs w:val="18"/>
          <w:color w:val="auto"/>
        </w:rPr>
        <w:t>”), and PAA Finance Corp., a Delaware corporation (“</w:t>
      </w:r>
      <w:r>
        <w:rPr>
          <w:rFonts w:ascii="Times New Roman" w:cs="Times New Roman" w:eastAsia="Times New Roman" w:hAnsi="Times New Roman"/>
          <w:sz w:val="18"/>
          <w:szCs w:val="18"/>
          <w:b w:val="1"/>
          <w:bCs w:val="1"/>
          <w:u w:val="single" w:color="auto"/>
          <w:color w:val="auto"/>
        </w:rPr>
        <w:t>PAA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Finance</w:t>
      </w:r>
      <w:r>
        <w:rPr>
          <w:rFonts w:ascii="Times New Roman" w:cs="Times New Roman" w:eastAsia="Times New Roman" w:hAnsi="Times New Roman"/>
          <w:sz w:val="18"/>
          <w:szCs w:val="18"/>
          <w:color w:val="auto"/>
        </w:rPr>
        <w:t>” and, together with the Partnership, the “</w:t>
      </w:r>
      <w:r>
        <w:rPr>
          <w:rFonts w:ascii="Times New Roman" w:cs="Times New Roman" w:eastAsia="Times New Roman" w:hAnsi="Times New Roman"/>
          <w:sz w:val="18"/>
          <w:szCs w:val="18"/>
          <w:b w:val="1"/>
          <w:bCs w:val="1"/>
          <w:u w:val="single" w:color="auto"/>
          <w:color w:val="auto"/>
        </w:rPr>
        <w:t>Issuers</w:t>
      </w:r>
      <w:r>
        <w:rPr>
          <w:rFonts w:ascii="Times New Roman" w:cs="Times New Roman" w:eastAsia="Times New Roman" w:hAnsi="Times New Roman"/>
          <w:sz w:val="18"/>
          <w:szCs w:val="18"/>
          <w:color w:val="auto"/>
        </w:rPr>
        <w:t>”), propose to issue and sell to the several underwriters named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Underwriters</w:t>
      </w:r>
      <w:r>
        <w:rPr>
          <w:rFonts w:ascii="Times New Roman" w:cs="Times New Roman" w:eastAsia="Times New Roman" w:hAnsi="Times New Roman"/>
          <w:sz w:val="18"/>
          <w:szCs w:val="18"/>
          <w:color w:val="auto"/>
        </w:rPr>
        <w:t>”), for whom J.P. Morgan Securities LLC, BMO Capital Markets Corp., Mizuho Securities USA LLC and Scotia Capital (USA) Inc. are acting as the representatives (the “</w:t>
      </w:r>
      <w:r>
        <w:rPr>
          <w:rFonts w:ascii="Times New Roman" w:cs="Times New Roman" w:eastAsia="Times New Roman" w:hAnsi="Times New Roman"/>
          <w:sz w:val="18"/>
          <w:szCs w:val="18"/>
          <w:b w:val="1"/>
          <w:bCs w:val="1"/>
          <w:u w:val="single" w:color="auto"/>
          <w:color w:val="auto"/>
        </w:rPr>
        <w:t>Representatives</w:t>
      </w:r>
      <w:r>
        <w:rPr>
          <w:rFonts w:ascii="Times New Roman" w:cs="Times New Roman" w:eastAsia="Times New Roman" w:hAnsi="Times New Roman"/>
          <w:sz w:val="18"/>
          <w:szCs w:val="18"/>
          <w:color w:val="auto"/>
        </w:rPr>
        <w:t>”), $1,000,000,000 aggregate principal amount of 5.950% Senior Notes due 2035 (the “</w:t>
      </w:r>
      <w:r>
        <w:rPr>
          <w:rFonts w:ascii="Times New Roman" w:cs="Times New Roman" w:eastAsia="Times New Roman" w:hAnsi="Times New Roman"/>
          <w:sz w:val="18"/>
          <w:szCs w:val="18"/>
          <w:b w:val="1"/>
          <w:bCs w:val="1"/>
          <w:u w:val="single" w:color="auto"/>
          <w:color w:val="auto"/>
        </w:rPr>
        <w:t>Notes</w:t>
      </w:r>
      <w:r>
        <w:rPr>
          <w:rFonts w:ascii="Times New Roman" w:cs="Times New Roman" w:eastAsia="Times New Roman" w:hAnsi="Times New Roman"/>
          <w:sz w:val="18"/>
          <w:szCs w:val="18"/>
          <w:color w:val="auto"/>
        </w:rPr>
        <w:t>”). The Notes are to be issued under an indenture dated as of September 25, 2002 (the “</w:t>
      </w:r>
      <w:r>
        <w:rPr>
          <w:rFonts w:ascii="Times New Roman" w:cs="Times New Roman" w:eastAsia="Times New Roman" w:hAnsi="Times New Roman"/>
          <w:sz w:val="18"/>
          <w:szCs w:val="18"/>
          <w:b w:val="1"/>
          <w:bCs w:val="1"/>
          <w:u w:val="single" w:color="auto"/>
          <w:color w:val="auto"/>
        </w:rPr>
        <w:t>Base Indenture</w:t>
      </w:r>
      <w:r>
        <w:rPr>
          <w:rFonts w:ascii="Times New Roman" w:cs="Times New Roman" w:eastAsia="Times New Roman" w:hAnsi="Times New Roman"/>
          <w:sz w:val="18"/>
          <w:szCs w:val="18"/>
          <w:color w:val="auto"/>
        </w:rPr>
        <w:t>”), among the Issuers and U.S. Bank Trust Company, National Association, as successor trustee (the “</w:t>
      </w:r>
      <w:r>
        <w:rPr>
          <w:rFonts w:ascii="Times New Roman" w:cs="Times New Roman" w:eastAsia="Times New Roman" w:hAnsi="Times New Roman"/>
          <w:sz w:val="18"/>
          <w:szCs w:val="18"/>
          <w:b w:val="1"/>
          <w:bCs w:val="1"/>
          <w:u w:val="single" w:color="auto"/>
          <w:color w:val="auto"/>
        </w:rPr>
        <w:t>Trustee</w:t>
      </w:r>
      <w:r>
        <w:rPr>
          <w:rFonts w:ascii="Times New Roman" w:cs="Times New Roman" w:eastAsia="Times New Roman" w:hAnsi="Times New Roman"/>
          <w:sz w:val="18"/>
          <w:szCs w:val="18"/>
          <w:color w:val="auto"/>
        </w:rPr>
        <w:t>”), as supplemented by the Thirty-Fourth Supplemental Indenture to be dated as of January 15, 2025, among the Issuers and the Trustee (the “</w:t>
      </w:r>
      <w:r>
        <w:rPr>
          <w:rFonts w:ascii="Times New Roman" w:cs="Times New Roman" w:eastAsia="Times New Roman" w:hAnsi="Times New Roman"/>
          <w:sz w:val="18"/>
          <w:szCs w:val="18"/>
          <w:b w:val="1"/>
          <w:bCs w:val="1"/>
          <w:u w:val="single" w:color="auto"/>
          <w:color w:val="auto"/>
        </w:rPr>
        <w:t>Supplemental Indenture</w:t>
      </w:r>
      <w:r>
        <w:rPr>
          <w:rFonts w:ascii="Times New Roman" w:cs="Times New Roman" w:eastAsia="Times New Roman" w:hAnsi="Times New Roman"/>
          <w:sz w:val="18"/>
          <w:szCs w:val="18"/>
          <w:color w:val="auto"/>
        </w:rPr>
        <w:t>” and, together with the Base Indenture, the “</w:t>
      </w:r>
      <w:r>
        <w:rPr>
          <w:rFonts w:ascii="Times New Roman" w:cs="Times New Roman" w:eastAsia="Times New Roman" w:hAnsi="Times New Roman"/>
          <w:sz w:val="18"/>
          <w:szCs w:val="18"/>
          <w:b w:val="1"/>
          <w:bCs w:val="1"/>
          <w:u w:val="single" w:color="auto"/>
          <w:color w:val="auto"/>
        </w:rPr>
        <w:t>Indenture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PAA GP LLC, a Delaware limited liability company (the “</w:t>
      </w:r>
      <w:r>
        <w:rPr>
          <w:rFonts w:ascii="Times New Roman" w:cs="Times New Roman" w:eastAsia="Times New Roman" w:hAnsi="Times New Roman"/>
          <w:sz w:val="18"/>
          <w:szCs w:val="18"/>
          <w:b w:val="1"/>
          <w:bCs w:val="1"/>
          <w:u w:val="single" w:color="auto"/>
          <w:color w:val="auto"/>
        </w:rPr>
        <w:t>General Partner</w:t>
      </w:r>
      <w:r>
        <w:rPr>
          <w:rFonts w:ascii="Times New Roman" w:cs="Times New Roman" w:eastAsia="Times New Roman" w:hAnsi="Times New Roman"/>
          <w:sz w:val="18"/>
          <w:szCs w:val="18"/>
          <w:color w:val="auto"/>
        </w:rPr>
        <w:t>”), is the general partner of the Partnership. Plains AAP, L.P., a Delaware limited partnership (“</w:t>
      </w:r>
      <w:r>
        <w:rPr>
          <w:rFonts w:ascii="Times New Roman" w:cs="Times New Roman" w:eastAsia="Times New Roman" w:hAnsi="Times New Roman"/>
          <w:sz w:val="18"/>
          <w:szCs w:val="18"/>
          <w:b w:val="1"/>
          <w:bCs w:val="1"/>
          <w:u w:val="single" w:color="auto"/>
          <w:color w:val="auto"/>
        </w:rPr>
        <w:t>Plains AAP</w:t>
      </w:r>
      <w:r>
        <w:rPr>
          <w:rFonts w:ascii="Times New Roman" w:cs="Times New Roman" w:eastAsia="Times New Roman" w:hAnsi="Times New Roman"/>
          <w:sz w:val="18"/>
          <w:szCs w:val="18"/>
          <w:color w:val="auto"/>
        </w:rPr>
        <w:t>”), owns a 100% membership interest in the General Partner. Plains All American GP LLC, a Delaware limited liability company (“</w:t>
      </w:r>
      <w:r>
        <w:rPr>
          <w:rFonts w:ascii="Times New Roman" w:cs="Times New Roman" w:eastAsia="Times New Roman" w:hAnsi="Times New Roman"/>
          <w:sz w:val="18"/>
          <w:szCs w:val="18"/>
          <w:b w:val="1"/>
          <w:bCs w:val="1"/>
          <w:u w:val="single" w:color="auto"/>
          <w:color w:val="auto"/>
        </w:rPr>
        <w:t>GP LLC</w:t>
      </w:r>
      <w:r>
        <w:rPr>
          <w:rFonts w:ascii="Times New Roman" w:cs="Times New Roman" w:eastAsia="Times New Roman" w:hAnsi="Times New Roman"/>
          <w:sz w:val="18"/>
          <w:szCs w:val="18"/>
          <w:color w:val="auto"/>
        </w:rPr>
        <w:t>”), is the general partner of Plains AAP. Plains GP Holdings, L.P., a Delaware limited partnership (“</w:t>
      </w:r>
      <w:r>
        <w:rPr>
          <w:rFonts w:ascii="Times New Roman" w:cs="Times New Roman" w:eastAsia="Times New Roman" w:hAnsi="Times New Roman"/>
          <w:sz w:val="18"/>
          <w:szCs w:val="18"/>
          <w:b w:val="1"/>
          <w:bCs w:val="1"/>
          <w:u w:val="single" w:color="auto"/>
          <w:color w:val="auto"/>
        </w:rPr>
        <w:t>PAGP</w:t>
      </w:r>
      <w:r>
        <w:rPr>
          <w:rFonts w:ascii="Times New Roman" w:cs="Times New Roman" w:eastAsia="Times New Roman" w:hAnsi="Times New Roman"/>
          <w:sz w:val="18"/>
          <w:szCs w:val="18"/>
          <w:color w:val="auto"/>
        </w:rPr>
        <w:t>”), owns a 100% membership interest in GP LLC. PAA GP Holdings LLC, a Delaware limited liability company (“</w:t>
      </w:r>
      <w:r>
        <w:rPr>
          <w:rFonts w:ascii="Times New Roman" w:cs="Times New Roman" w:eastAsia="Times New Roman" w:hAnsi="Times New Roman"/>
          <w:sz w:val="18"/>
          <w:szCs w:val="18"/>
          <w:b w:val="1"/>
          <w:bCs w:val="1"/>
          <w:u w:val="single" w:color="auto"/>
          <w:color w:val="auto"/>
        </w:rPr>
        <w:t>PAGP GP</w:t>
      </w:r>
      <w:r>
        <w:rPr>
          <w:rFonts w:ascii="Times New Roman" w:cs="Times New Roman" w:eastAsia="Times New Roman" w:hAnsi="Times New Roman"/>
          <w:sz w:val="18"/>
          <w:szCs w:val="18"/>
          <w:color w:val="auto"/>
        </w:rPr>
        <w:t>” and, collectively with the General Partner, Plains AAP, GP LLC and PAGP, the “</w:t>
      </w:r>
      <w:r>
        <w:rPr>
          <w:rFonts w:ascii="Times New Roman" w:cs="Times New Roman" w:eastAsia="Times New Roman" w:hAnsi="Times New Roman"/>
          <w:sz w:val="18"/>
          <w:szCs w:val="18"/>
          <w:b w:val="1"/>
          <w:bCs w:val="1"/>
          <w:u w:val="single" w:color="auto"/>
          <w:color w:val="auto"/>
        </w:rPr>
        <w:t>GP Entities</w:t>
      </w:r>
      <w:r>
        <w:rPr>
          <w:rFonts w:ascii="Times New Roman" w:cs="Times New Roman" w:eastAsia="Times New Roman" w:hAnsi="Times New Roman"/>
          <w:sz w:val="18"/>
          <w:szCs w:val="18"/>
          <w:color w:val="auto"/>
        </w:rPr>
        <w:t>”), is the general partner of PAGP.</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The subsidiaries of the Partnership listed on </w:t>
      </w:r>
      <w:r>
        <w:rPr>
          <w:rFonts w:ascii="Times New Roman" w:cs="Times New Roman" w:eastAsia="Times New Roman" w:hAnsi="Times New Roman"/>
          <w:sz w:val="18"/>
          <w:szCs w:val="18"/>
          <w:u w:val="single" w:color="auto"/>
          <w:color w:val="auto"/>
        </w:rPr>
        <w:t>Schedule III</w:t>
      </w:r>
      <w:r>
        <w:rPr>
          <w:rFonts w:ascii="Times New Roman" w:cs="Times New Roman" w:eastAsia="Times New Roman" w:hAnsi="Times New Roman"/>
          <w:sz w:val="18"/>
          <w:szCs w:val="18"/>
          <w:color w:val="auto"/>
        </w:rPr>
        <w:t xml:space="preserve"> attached hereto are referred to herein as the “</w:t>
      </w:r>
      <w:r>
        <w:rPr>
          <w:rFonts w:ascii="Times New Roman" w:cs="Times New Roman" w:eastAsia="Times New Roman" w:hAnsi="Times New Roman"/>
          <w:sz w:val="18"/>
          <w:szCs w:val="18"/>
          <w:b w:val="1"/>
          <w:bCs w:val="1"/>
          <w:u w:val="single" w:color="auto"/>
          <w:color w:val="auto"/>
        </w:rPr>
        <w:t>Material Subsidiaries</w:t>
      </w:r>
      <w:r>
        <w:rPr>
          <w:rFonts w:ascii="Times New Roman" w:cs="Times New Roman" w:eastAsia="Times New Roman" w:hAnsi="Times New Roman"/>
          <w:sz w:val="18"/>
          <w:szCs w:val="18"/>
          <w:color w:val="auto"/>
        </w:rPr>
        <w:t xml:space="preserve">,” and the Material Subsidiaries listed on </w:t>
      </w:r>
      <w:r>
        <w:rPr>
          <w:rFonts w:ascii="Times New Roman" w:cs="Times New Roman" w:eastAsia="Times New Roman" w:hAnsi="Times New Roman"/>
          <w:sz w:val="18"/>
          <w:szCs w:val="18"/>
          <w:u w:val="single" w:color="auto"/>
          <w:color w:val="auto"/>
        </w:rPr>
        <w:t>Schedule IV</w:t>
      </w:r>
      <w:r>
        <w:rPr>
          <w:rFonts w:ascii="Times New Roman" w:cs="Times New Roman" w:eastAsia="Times New Roman" w:hAnsi="Times New Roman"/>
          <w:sz w:val="18"/>
          <w:szCs w:val="18"/>
          <w:color w:val="auto"/>
        </w:rPr>
        <w:t xml:space="preserve"> attached hereto are referred to herein as the “</w:t>
      </w:r>
      <w:r>
        <w:rPr>
          <w:rFonts w:ascii="Times New Roman" w:cs="Times New Roman" w:eastAsia="Times New Roman" w:hAnsi="Times New Roman"/>
          <w:sz w:val="18"/>
          <w:szCs w:val="18"/>
          <w:b w:val="1"/>
          <w:bCs w:val="1"/>
          <w:u w:val="single" w:color="auto"/>
          <w:color w:val="auto"/>
        </w:rPr>
        <w:t>Domestic Subsidiaries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ind w:left="660"/>
        <w:spacing w:after="0"/>
        <w:rPr>
          <w:sz w:val="20"/>
          <w:szCs w:val="20"/>
          <w:color w:val="auto"/>
        </w:rPr>
      </w:pPr>
      <w:r>
        <w:rPr>
          <w:rFonts w:ascii="Times New Roman" w:cs="Times New Roman" w:eastAsia="Times New Roman" w:hAnsi="Times New Roman"/>
          <w:sz w:val="18"/>
          <w:szCs w:val="18"/>
          <w:color w:val="auto"/>
        </w:rPr>
        <w:t>This is to confirm the agreement among the Issuers and the Underwriters concerning the several purchases of the Notes by the Underwriters.</w:t>
      </w:r>
    </w:p>
    <w:p>
      <w:pPr>
        <w:spacing w:after="0" w:line="22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Representations and Warranties of the Issuers</w:t>
      </w:r>
      <w:r>
        <w:rPr>
          <w:rFonts w:ascii="Times New Roman" w:cs="Times New Roman" w:eastAsia="Times New Roman" w:hAnsi="Times New Roman"/>
          <w:sz w:val="18"/>
          <w:szCs w:val="18"/>
          <w:color w:val="auto"/>
        </w:rPr>
        <w:t>. The Issuers, jointly and severally, represent and warrant to the Underwriters that: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Registration</w:t>
      </w:r>
      <w:r>
        <w:rPr>
          <w:rFonts w:ascii="Times New Roman" w:cs="Times New Roman" w:eastAsia="Times New Roman" w:hAnsi="Times New Roman"/>
          <w:sz w:val="18"/>
          <w:szCs w:val="18"/>
          <w:color w:val="auto"/>
        </w:rPr>
        <w:t>. A registration statement on Form S-3 relating to the Notes (File No. 333-281967) (i) has been prepared by the Issuers in conformity with the requirements of the Securities Act of 1933, as amended (the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and the rules and regulations (the “</w:t>
      </w:r>
      <w:r>
        <w:rPr>
          <w:rFonts w:ascii="Times New Roman" w:cs="Times New Roman" w:eastAsia="Times New Roman" w:hAnsi="Times New Roman"/>
          <w:sz w:val="18"/>
          <w:szCs w:val="18"/>
          <w:b w:val="1"/>
          <w:bCs w:val="1"/>
          <w:u w:val="single" w:color="auto"/>
          <w:color w:val="auto"/>
        </w:rPr>
        <w:t>Rules and Regulations</w:t>
      </w:r>
      <w:r>
        <w:rPr>
          <w:rFonts w:ascii="Times New Roman" w:cs="Times New Roman" w:eastAsia="Times New Roman" w:hAnsi="Times New Roman"/>
          <w:sz w:val="18"/>
          <w:szCs w:val="18"/>
          <w:color w:val="auto"/>
        </w:rPr>
        <w:t>”) of the Securities and Exchange Commission (the “</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 thereunder; (ii) has been filed with the Commission under the Securities Act; and (iii) is effective under the Securities Act. Copies of such registration statement and any amendment thereto have been delivered by the Issuers to the Representatives. As used in this Agreement: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u w:val="single" w:color="auto"/>
          <w:color w:val="auto"/>
        </w:rPr>
        <w:t>Applicable Time</w:t>
      </w:r>
      <w:r>
        <w:rPr>
          <w:rFonts w:ascii="Times New Roman" w:cs="Times New Roman" w:eastAsia="Times New Roman" w:hAnsi="Times New Roman"/>
          <w:sz w:val="18"/>
          <w:szCs w:val="18"/>
          <w:color w:val="auto"/>
        </w:rPr>
        <w:t>” means 4:15 p.m., New York City time, on January 13, 2025, which the Underwriters have informed the Issuers and their counsel is a time prior to the first sale of the Notes;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b w:val="1"/>
          <w:bCs w:val="1"/>
          <w:u w:val="single" w:color="auto"/>
          <w:color w:val="auto"/>
        </w:rPr>
        <w:t>Base Prospectus</w:t>
      </w:r>
      <w:r>
        <w:rPr>
          <w:rFonts w:ascii="Times New Roman" w:cs="Times New Roman" w:eastAsia="Times New Roman" w:hAnsi="Times New Roman"/>
          <w:sz w:val="18"/>
          <w:szCs w:val="18"/>
          <w:color w:val="auto"/>
        </w:rPr>
        <w:t>” means the base prospectus included in the Registration Statement at the Applicable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b w:val="1"/>
          <w:bCs w:val="1"/>
          <w:u w:val="single" w:color="auto"/>
          <w:color w:val="auto"/>
        </w:rPr>
        <w:t>Effective Date</w:t>
      </w:r>
      <w:r>
        <w:rPr>
          <w:rFonts w:ascii="Times New Roman" w:cs="Times New Roman" w:eastAsia="Times New Roman" w:hAnsi="Times New Roman"/>
          <w:sz w:val="18"/>
          <w:szCs w:val="18"/>
          <w:color w:val="auto"/>
        </w:rPr>
        <w:t>” means any date as of which any part of the Registration Statement relating to the Notes became, or is deemed to have become, effective under the Securities Act in accordance with the Rules and Regulations;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b w:val="1"/>
          <w:bCs w:val="1"/>
          <w:u w:val="single" w:color="auto"/>
          <w:color w:val="auto"/>
        </w:rPr>
        <w:t>Issuer Free Writing Prospectus</w:t>
      </w:r>
      <w:r>
        <w:rPr>
          <w:rFonts w:ascii="Times New Roman" w:cs="Times New Roman" w:eastAsia="Times New Roman" w:hAnsi="Times New Roman"/>
          <w:sz w:val="18"/>
          <w:szCs w:val="18"/>
          <w:color w:val="auto"/>
        </w:rPr>
        <w:t>” means each “free writing prospectus” (as defined in Rule 405 of the Rules and Regulations) or “issuer free writing prospectus” (as defined in Rule 433 of the Rules and Regulations) prepared by or on behalf of the Issuers or used or referred to by the Issuers in connection with the offering of the Notes;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b w:val="1"/>
          <w:bCs w:val="1"/>
          <w:u w:val="single" w:color="auto"/>
          <w:color w:val="auto"/>
        </w:rPr>
        <w:t>Preliminary Prospectus</w:t>
      </w:r>
      <w:r>
        <w:rPr>
          <w:rFonts w:ascii="Times New Roman" w:cs="Times New Roman" w:eastAsia="Times New Roman" w:hAnsi="Times New Roman"/>
          <w:sz w:val="18"/>
          <w:szCs w:val="18"/>
          <w:color w:val="auto"/>
        </w:rPr>
        <w:t>” means any preliminary prospectus relating to the Notes included in the Registration Statement or filed with the Commission pursuant to Rule 424(b) of the Rules and Regulations, including the Base Prospectus and any preliminary prospectus supplement thereto relating to the Notes;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(vi)            “</w:t>
      </w:r>
      <w:r>
        <w:rPr>
          <w:rFonts w:ascii="Times New Roman" w:cs="Times New Roman" w:eastAsia="Times New Roman" w:hAnsi="Times New Roman"/>
          <w:sz w:val="18"/>
          <w:szCs w:val="18"/>
          <w:b w:val="1"/>
          <w:bCs w:val="1"/>
          <w:u w:val="single" w:color="auto"/>
          <w:color w:val="auto"/>
        </w:rPr>
        <w:t>Pricing Disclosure Package</w:t>
      </w:r>
      <w:r>
        <w:rPr>
          <w:rFonts w:ascii="Times New Roman" w:cs="Times New Roman" w:eastAsia="Times New Roman" w:hAnsi="Times New Roman"/>
          <w:sz w:val="18"/>
          <w:szCs w:val="18"/>
          <w:color w:val="auto"/>
        </w:rPr>
        <w:t xml:space="preserve">” means, as of the Applicable Time, (A) the most recent Preliminary Prospectus, (B) the Issuer Free Writing Prospectus attached as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and (C) each other Issuer Free Writing Prospectus filed or used by the Issuers on or before the Applicable Time identified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other than a road show that is an Issuer Free Writing Prospectus under Rule 433 of the Rules and Regulations;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(vii)            “</w:t>
      </w:r>
      <w:r>
        <w:rPr>
          <w:rFonts w:ascii="Times New Roman" w:cs="Times New Roman" w:eastAsia="Times New Roman" w:hAnsi="Times New Roman"/>
          <w:sz w:val="18"/>
          <w:szCs w:val="18"/>
          <w:b w:val="1"/>
          <w:bCs w:val="1"/>
          <w:u w:val="single" w:color="auto"/>
          <w:color w:val="auto"/>
        </w:rPr>
        <w:t>Prospectus</w:t>
      </w:r>
      <w:r>
        <w:rPr>
          <w:rFonts w:ascii="Times New Roman" w:cs="Times New Roman" w:eastAsia="Times New Roman" w:hAnsi="Times New Roman"/>
          <w:sz w:val="18"/>
          <w:szCs w:val="18"/>
          <w:color w:val="auto"/>
        </w:rPr>
        <w:t>” means the final prospectus relating to the Notes, including the Base Prospectus and any prospectus supplement thereto relating to the Notes, as filed with the Commission pursuant to Rule 424(b) of the Rules and Regulations;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firstLine="648"/>
        <w:spacing w:after="0" w:line="250" w:lineRule="auto"/>
        <w:rPr>
          <w:sz w:val="20"/>
          <w:szCs w:val="20"/>
          <w:color w:val="auto"/>
        </w:rPr>
      </w:pPr>
      <w:r>
        <w:rPr>
          <w:rFonts w:ascii="Times New Roman" w:cs="Times New Roman" w:eastAsia="Times New Roman" w:hAnsi="Times New Roman"/>
          <w:sz w:val="18"/>
          <w:szCs w:val="18"/>
          <w:color w:val="auto"/>
        </w:rPr>
        <w:t>(viii)            “</w:t>
      </w:r>
      <w:r>
        <w:rPr>
          <w:rFonts w:ascii="Times New Roman" w:cs="Times New Roman" w:eastAsia="Times New Roman" w:hAnsi="Times New Roman"/>
          <w:sz w:val="18"/>
          <w:szCs w:val="18"/>
          <w:b w:val="1"/>
          <w:bCs w:val="1"/>
          <w:u w:val="single" w:color="auto"/>
          <w:color w:val="auto"/>
        </w:rPr>
        <w:t>Registration Statement</w:t>
      </w:r>
      <w:r>
        <w:rPr>
          <w:rFonts w:ascii="Times New Roman" w:cs="Times New Roman" w:eastAsia="Times New Roman" w:hAnsi="Times New Roman"/>
          <w:sz w:val="18"/>
          <w:szCs w:val="18"/>
          <w:color w:val="auto"/>
        </w:rPr>
        <w:t>” means the registration statement on Form S-3 (File No. 333-281967), as amended as of the Effective Date, including any Preliminary Prospectus or the Prospectus and all exhibits to such registration statement.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Any reference to the Registration Statement, any Preliminary Prospectus, the Pricing Disclosure Package or the Prospectus shall be deemed to refer to and include any documents incorporated by reference therein pursuant to Form S-3 under the Securities Act as of the Effective Date of such Registration Statement or as of the date of such Preliminary Prospectus or Prospectus, as the case may be, or in the case of the Pricing Disclosure Package, as of the Applicable Time. Any reference to the “</w:t>
      </w:r>
      <w:r>
        <w:rPr>
          <w:rFonts w:ascii="Times New Roman" w:cs="Times New Roman" w:eastAsia="Times New Roman" w:hAnsi="Times New Roman"/>
          <w:sz w:val="18"/>
          <w:szCs w:val="18"/>
          <w:b w:val="1"/>
          <w:bCs w:val="1"/>
          <w:u w:val="single" w:color="auto"/>
          <w:color w:val="auto"/>
        </w:rPr>
        <w:t>most recent Preliminary Prospectus</w:t>
      </w:r>
      <w:r>
        <w:rPr>
          <w:rFonts w:ascii="Times New Roman" w:cs="Times New Roman" w:eastAsia="Times New Roman" w:hAnsi="Times New Roman"/>
          <w:sz w:val="18"/>
          <w:szCs w:val="18"/>
          <w:color w:val="auto"/>
        </w:rPr>
        <w:t>” shall be deemed to refer to the latest Preliminary Prospectus included in the Registration Statement or filed pursuant to Rule 424(b) of the Rules and Regulations prior to or on the date hereof (including, for purposes hereof, any documents incorporated by reference therein prior to or on the date hereof). Any reference to any amendment or supplement to any Preliminary Prospectus or the Prospectus shall be deemed to refer to and include any document filed under the Securities Exchange Act of 1934, as amended (the “</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after the date of such Preliminary Prospectus or the Prospectus, as the case may be, and incorporated by reference in such Preliminary Prospectus or the Prospectus, as the case may be. Any reference to any amendment to the Registration Statement shall be deemed to include any annual report of the Partnership filed with the Commission pursuant to Section 13(a) or 15(d) of the Exchange Act after the Effective Date that is incorporated by reference in the Registration Statement. As used herein, the term “</w:t>
      </w:r>
      <w:r>
        <w:rPr>
          <w:rFonts w:ascii="Times New Roman" w:cs="Times New Roman" w:eastAsia="Times New Roman" w:hAnsi="Times New Roman"/>
          <w:sz w:val="18"/>
          <w:szCs w:val="18"/>
          <w:b w:val="1"/>
          <w:bCs w:val="1"/>
          <w:u w:val="single" w:color="auto"/>
          <w:color w:val="auto"/>
        </w:rPr>
        <w:t>Incorporated Documents</w:t>
      </w:r>
      <w:r>
        <w:rPr>
          <w:rFonts w:ascii="Times New Roman" w:cs="Times New Roman" w:eastAsia="Times New Roman" w:hAnsi="Times New Roman"/>
          <w:sz w:val="18"/>
          <w:szCs w:val="18"/>
          <w:color w:val="auto"/>
        </w:rPr>
        <w:t>” means the documents that at the time are incorporated by reference in the Registration Statement, the Preliminary Prospectus or the Prospectus or any amendment or supplement thereto. The Commission has not issued any order preventing or suspending the use of any Preliminary Prospectus or the Prospectus or suspending the effectiveness of the Registration Statement, and no proceeding for such purpose has been instituted or, to the Issuers’ knowledge, threatened by the Commission. The Commission has not notified the Issuers of any objection to the use of the form of the Registration Statement.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Form of Documents</w:t>
      </w:r>
      <w:r>
        <w:rPr>
          <w:rFonts w:ascii="Times New Roman" w:cs="Times New Roman" w:eastAsia="Times New Roman" w:hAnsi="Times New Roman"/>
          <w:sz w:val="18"/>
          <w:szCs w:val="18"/>
          <w:color w:val="auto"/>
        </w:rPr>
        <w:t>. The Registration Statement conformed in all material respects on the Effective Date and on the Delivery Date (as defined herein) will conform, and any amendment to the Registration Statement filed after the date hereof will conform in all material respects when filed, to the applicable requirements of the Securities Act and the Rules and Regulations. The most recent Preliminary Prospectus conformed, and the Prospectus will conform, in all material respects when filed with the Commission pursuant to Rule 424(b) of the Rules and Regulations and on the Delivery Date to the requirements of the Securities Act and the Rules and Regulations. The Incorporated Documents conformed and will conform, when filed with the Commission, in all material respects to the requirements of the Exchange Act or the Securities Act, as applicable, and the rules and regulations of the Commission thereunder. The Registration Statement conforms in all material respects to the requirements applicable to it under the Trust Indenture Act of 1939, as amended (the “</w:t>
      </w:r>
      <w:r>
        <w:rPr>
          <w:rFonts w:ascii="Times New Roman" w:cs="Times New Roman" w:eastAsia="Times New Roman" w:hAnsi="Times New Roman"/>
          <w:sz w:val="18"/>
          <w:szCs w:val="18"/>
          <w:b w:val="1"/>
          <w:bCs w:val="1"/>
          <w:u w:val="single" w:color="auto"/>
          <w:color w:val="auto"/>
        </w:rPr>
        <w:t>Trust Indenture Act</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Material Misstatements or Omissions in Registration Statement</w:t>
      </w:r>
      <w:r>
        <w:rPr>
          <w:rFonts w:ascii="Times New Roman" w:cs="Times New Roman" w:eastAsia="Times New Roman" w:hAnsi="Times New Roman"/>
          <w:sz w:val="18"/>
          <w:szCs w:val="18"/>
          <w:color w:val="auto"/>
        </w:rPr>
        <w:t xml:space="preserve">. The Registration Statement did not, as of its most recent Effective Date, contain an untrue statement of a material fact or omit to state a material fact required to be stated therein or necessary to make the statements therein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representation or warranty is made as to information contained in or omitted from the Registration Statement in reliance upon and in conformity with written information furnished to the Issuers through the Representatives by or on behalf of any Underwriter specifically for inclusion therein, which information is specified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Material Misstatements or Omissions in Prospectus</w:t>
      </w:r>
      <w:r>
        <w:rPr>
          <w:rFonts w:ascii="Times New Roman" w:cs="Times New Roman" w:eastAsia="Times New Roman" w:hAnsi="Times New Roman"/>
          <w:sz w:val="18"/>
          <w:szCs w:val="18"/>
          <w:color w:val="auto"/>
        </w:rPr>
        <w:t xml:space="preserve">. The Prospectus will not, as of its date and on the Delivery Date, include an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representation or warranty is made as to information contained in or omitted from the Prospectus in reliance upon and in conformity with written information furnished to the Issuers through the Representatives by or on behalf of any Underwriter specifically for inclusion therein, which information is specified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Material Misstatements or Omissions in Documents Incorporated by Reference</w:t>
      </w:r>
      <w:r>
        <w:rPr>
          <w:rFonts w:ascii="Times New Roman" w:cs="Times New Roman" w:eastAsia="Times New Roman" w:hAnsi="Times New Roman"/>
          <w:sz w:val="18"/>
          <w:szCs w:val="18"/>
          <w:color w:val="auto"/>
        </w:rPr>
        <w:t>. The Incorporated Documents, when filed with the Commission, did not and will not include an untrue statement of a material fact or omit to state a material fact necessary in order to make the statements therein, in the light of the circumstances under which they were made, not misleading.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17"/>
          <w:szCs w:val="17"/>
          <w:color w:val="auto"/>
        </w:rPr>
        <w:t>(f)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b w:val="1"/>
          <w:bCs w:val="1"/>
          <w:u w:val="single" w:color="auto"/>
          <w:color w:val="auto"/>
        </w:rPr>
        <w:t>No Material Misstatements or Omissions in Pricing Disclosure Package</w:t>
      </w:r>
      <w:r>
        <w:rPr>
          <w:rFonts w:ascii="Times New Roman" w:cs="Times New Roman" w:eastAsia="Times New Roman" w:hAnsi="Times New Roman"/>
          <w:sz w:val="17"/>
          <w:szCs w:val="17"/>
          <w:color w:val="auto"/>
        </w:rPr>
        <w:t xml:space="preserve">. The Pricing Disclosure Package did not, as of the Applicable Time, include an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representation or warranty is made as to information contained in or omitted from the Pricing Disclosure Package in reliance upon and in conformity with written information furnished to the Issuers through the Representatives by or on behalf of any Underwriter specifically for inclusion therein, which information is specified in </w:t>
      </w:r>
      <w:r>
        <w:rPr>
          <w:rFonts w:ascii="Times New Roman" w:cs="Times New Roman" w:eastAsia="Times New Roman" w:hAnsi="Times New Roman"/>
          <w:sz w:val="17"/>
          <w:szCs w:val="17"/>
          <w:u w:val="single" w:color="auto"/>
          <w:color w:val="auto"/>
        </w:rPr>
        <w:t>Section 12</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Material Misstatements or Omissions in Issuer Free Writing Prospectus and Pricing Disclosure Package</w:t>
      </w:r>
      <w:r>
        <w:rPr>
          <w:rFonts w:ascii="Times New Roman" w:cs="Times New Roman" w:eastAsia="Times New Roman" w:hAnsi="Times New Roman"/>
          <w:sz w:val="18"/>
          <w:szCs w:val="18"/>
          <w:color w:val="auto"/>
        </w:rPr>
        <w:t xml:space="preserve">. Each Issuer Free Writing Prospectus (including, without limitation, any road show that is an Issuer Free Writing Prospectus under Rule 433 of the Rules and Regulations), when considered together with the Pricing Disclosure Package as of the Applicable Time, did not include an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representation or warranty is made as to information contained in or omitted from such Issuer Free Writing Prospectus in reliance upon and in conformity with written information furnished to the Issuers through the Representatives by or on behalf of any Underwriter specifically for inclusion therein, which information is specified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Issuer Free Writing Prospectuses Conform to the Requirements of the Securities Act</w:t>
      </w:r>
      <w:r>
        <w:rPr>
          <w:rFonts w:ascii="Times New Roman" w:cs="Times New Roman" w:eastAsia="Times New Roman" w:hAnsi="Times New Roman"/>
          <w:sz w:val="18"/>
          <w:szCs w:val="18"/>
          <w:color w:val="auto"/>
        </w:rPr>
        <w:t>. Each Issuer Free Writing Prospectus conformed or will conform in all material respects to the requirements of the Securities Act and the Rules and Regulations on the date of first use, and the Issuers have complied with any filing requirements applicable to such Issuer Free Writing Prospectus pursuant to the Rules and Regulations. The Issuers have not made any offer relating to the Notes that would constitute an Issuer Free Writing Prospectus without the prior written consent of the Representatives. The Issuers have retained in accordance with the Rules and Regulations all Issuer Free Writing Prospectuses that were not required to be filed pursuant to the Rules and Regulations. The Issuers have taken all actions necessary so that any road show (as defined in Rule 433 of the Rules and Regulations) in connection with the offering of the Notes will not be required to be filed pursuant to the Rules and Regulations.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Well-Known Seasoned Issuer and Not an Ineligible Issuer</w:t>
      </w:r>
      <w:r>
        <w:rPr>
          <w:rFonts w:ascii="Times New Roman" w:cs="Times New Roman" w:eastAsia="Times New Roman" w:hAnsi="Times New Roman"/>
          <w:sz w:val="18"/>
          <w:szCs w:val="18"/>
          <w:color w:val="auto"/>
        </w:rPr>
        <w:t>. Each of the Issuers is a “well-known seasoned issuer” (as defined in Rule 405 of the Rules and Regulations). For purposes of firm commitment underwritten offerings contemplated under the Registration Statement, at the earliest time after the initial filing of the Registration Statement that the Issuers or another offering participant made a bona fide offer (within the meaning of Rule 164(h)(2) of the Rules and Regulations) of the Notes, neither of the Issuers was an “ineligible issuer,” as defined in Rule 405 of the Rules and Regulations.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Formation and Qualification of Certain Entities</w:t>
      </w:r>
      <w:r>
        <w:rPr>
          <w:rFonts w:ascii="Times New Roman" w:cs="Times New Roman" w:eastAsia="Times New Roman" w:hAnsi="Times New Roman"/>
          <w:sz w:val="18"/>
          <w:szCs w:val="18"/>
          <w:color w:val="auto"/>
        </w:rPr>
        <w:t xml:space="preserve">. Each of the Issuers, the GP Entities and the Material Subsidiaries has been duly formed or incorporated and is validly existing in good standing as a limited partnership, limited liability company, corporation or unlimited liability company under the laws of its jurisdiction of formation or incorporation with full corporate, partnership, limited liability company or unlimited liability company power and authority, as the case may be, to own or lease its properties and to conduct its business, in each case in all material respects. Each of the Issuers, the GP Entities and the Material Subsidiaries is duly registered or qualified as a foreign corporation, limited partnership, limited liability company or unlimited liability company, as the case may be, for the transaction of business under the laws of each jurisdiction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this Agreement) in which the character of the business conducted by it or the nature or location of the properties owned or leased by it makes such registration or qualification necessary, except where the failure so to register or qualify would not (i) reasonably be expected to have a material adverse effect upon the condition (financial or other), business, prospects, properties, net worth or results of operations of the Partnership’s direct and indirect majority owned subsidiaries (collectively, the “</w:t>
      </w:r>
      <w:r>
        <w:rPr>
          <w:rFonts w:ascii="Times New Roman" w:cs="Times New Roman" w:eastAsia="Times New Roman" w:hAnsi="Times New Roman"/>
          <w:sz w:val="18"/>
          <w:szCs w:val="18"/>
          <w:b w:val="1"/>
          <w:bCs w:val="1"/>
          <w:u w:val="single" w:color="auto"/>
          <w:color w:val="auto"/>
        </w:rPr>
        <w:t>Subsidiaries</w:t>
      </w:r>
      <w:r>
        <w:rPr>
          <w:rFonts w:ascii="Times New Roman" w:cs="Times New Roman" w:eastAsia="Times New Roman" w:hAnsi="Times New Roman"/>
          <w:sz w:val="18"/>
          <w:szCs w:val="18"/>
          <w:color w:val="auto"/>
        </w:rPr>
        <w:t>”) and the Partnership (collectively, the “</w:t>
      </w:r>
      <w:r>
        <w:rPr>
          <w:rFonts w:ascii="Times New Roman" w:cs="Times New Roman" w:eastAsia="Times New Roman" w:hAnsi="Times New Roman"/>
          <w:sz w:val="18"/>
          <w:szCs w:val="18"/>
          <w:b w:val="1"/>
          <w:bCs w:val="1"/>
          <w:u w:val="single" w:color="auto"/>
          <w:color w:val="auto"/>
        </w:rPr>
        <w:t>Plains Entities</w:t>
      </w:r>
      <w:r>
        <w:rPr>
          <w:rFonts w:ascii="Times New Roman" w:cs="Times New Roman" w:eastAsia="Times New Roman" w:hAnsi="Times New Roman"/>
          <w:sz w:val="18"/>
          <w:szCs w:val="18"/>
          <w:color w:val="auto"/>
        </w:rPr>
        <w:t>”), taken as a whole (a “</w:t>
      </w:r>
      <w:r>
        <w:rPr>
          <w:rFonts w:ascii="Times New Roman" w:cs="Times New Roman" w:eastAsia="Times New Roman" w:hAnsi="Times New Roman"/>
          <w:sz w:val="18"/>
          <w:szCs w:val="18"/>
          <w:b w:val="1"/>
          <w:bCs w:val="1"/>
          <w:u w:val="single" w:color="auto"/>
          <w:color w:val="auto"/>
        </w:rPr>
        <w:t>Material Adverse Effect</w:t>
      </w:r>
      <w:r>
        <w:rPr>
          <w:rFonts w:ascii="Times New Roman" w:cs="Times New Roman" w:eastAsia="Times New Roman" w:hAnsi="Times New Roman"/>
          <w:sz w:val="18"/>
          <w:szCs w:val="18"/>
          <w:color w:val="auto"/>
        </w:rPr>
        <w:t>”), or (ii) subject the limited partners of the Partnership to any material liability or disability.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General Partners</w:t>
      </w:r>
      <w:r>
        <w:rPr>
          <w:rFonts w:ascii="Times New Roman" w:cs="Times New Roman" w:eastAsia="Times New Roman" w:hAnsi="Times New Roman"/>
          <w:sz w:val="18"/>
          <w:szCs w:val="18"/>
          <w:color w:val="auto"/>
        </w:rPr>
        <w:t>. Each Plains Entity or GP Entity that serves as a general partner of another Plains Entity or GP Entity has full corporate or limited liability company power and authority, as the case may be, to serve as general partner of such Plains Entity or GP Entity, in each case in all material respects, as disclosed in the Registration Statement, the Pricing Disclosure Package and the Prospectus.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Ownership of Interests in the Partnership, the General Partner, Plains AAP, GP LLC and PAGP</w:t>
      </w:r>
      <w:r>
        <w:rPr>
          <w:rFonts w:ascii="Times New Roman" w:cs="Times New Roman" w:eastAsia="Times New Roman" w:hAnsi="Times New Roman"/>
          <w:sz w:val="18"/>
          <w:szCs w:val="18"/>
          <w:color w:val="auto"/>
        </w:rPr>
        <w:t>. The respective general partner interests, limited partner interests or membership interests in the Partnership, the General Partner, Plains AAP, GP LLC and PAGP owned by the GP Entities, as such interests are described in the Registration Statement, the Pricing Disclosure Package and the Prospectus, have been duly authorized and validly issued in accordance with the agreement or certificate of limited partnership, limited liability company agreement, certificate of formation or other similar organizational documents, as applicable (in each case as in effect on the date hereof and as the same may be amended or restated on or prior to the Delivery Date) (any such agreement, document or certificate for an entity, an “</w:t>
      </w:r>
      <w:r>
        <w:rPr>
          <w:rFonts w:ascii="Times New Roman" w:cs="Times New Roman" w:eastAsia="Times New Roman" w:hAnsi="Times New Roman"/>
          <w:sz w:val="18"/>
          <w:szCs w:val="18"/>
          <w:b w:val="1"/>
          <w:bCs w:val="1"/>
          <w:u w:val="single" w:color="auto"/>
          <w:color w:val="auto"/>
        </w:rPr>
        <w:t>Organizational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Document</w:t>
      </w:r>
      <w:r>
        <w:rPr>
          <w:rFonts w:ascii="Times New Roman" w:cs="Times New Roman" w:eastAsia="Times New Roman" w:hAnsi="Times New Roman"/>
          <w:sz w:val="18"/>
          <w:szCs w:val="18"/>
          <w:color w:val="auto"/>
        </w:rPr>
        <w:t>”) of the Partnership and the GP Entities, and such membership interests and limited partner interests are fully paid (to the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under their applicable Organizational Documents) and nonassessable (except (A) in the case of a limited partnership or Delaware limited liability company, as such nonassessability may be affected by Sections 17-303, 17-607 and 17-804 of the Delaware Revised Uniform Limited Partnership Act (the “</w:t>
      </w:r>
      <w:r>
        <w:rPr>
          <w:rFonts w:ascii="Times New Roman" w:cs="Times New Roman" w:eastAsia="Times New Roman" w:hAnsi="Times New Roman"/>
          <w:sz w:val="18"/>
          <w:szCs w:val="18"/>
          <w:b w:val="1"/>
          <w:bCs w:val="1"/>
          <w:u w:val="single" w:color="auto"/>
          <w:color w:val="auto"/>
        </w:rPr>
        <w:t>Delaware LP Act</w:t>
      </w:r>
      <w:r>
        <w:rPr>
          <w:rFonts w:ascii="Times New Roman" w:cs="Times New Roman" w:eastAsia="Times New Roman" w:hAnsi="Times New Roman"/>
          <w:sz w:val="18"/>
          <w:szCs w:val="18"/>
          <w:color w:val="auto"/>
        </w:rPr>
        <w:t>”) or Sections 18-607 and 18-804 of the Delaware Limited Liability Company Act (the “</w:t>
      </w:r>
      <w:r>
        <w:rPr>
          <w:rFonts w:ascii="Times New Roman" w:cs="Times New Roman" w:eastAsia="Times New Roman" w:hAnsi="Times New Roman"/>
          <w:sz w:val="18"/>
          <w:szCs w:val="18"/>
          <w:b w:val="1"/>
          <w:bCs w:val="1"/>
          <w:u w:val="single" w:color="auto"/>
          <w:color w:val="auto"/>
        </w:rPr>
        <w:t>Delaware LLC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Act</w:t>
      </w:r>
      <w:r>
        <w:rPr>
          <w:rFonts w:ascii="Times New Roman" w:cs="Times New Roman" w:eastAsia="Times New Roman" w:hAnsi="Times New Roman"/>
          <w:sz w:val="18"/>
          <w:szCs w:val="18"/>
          <w:color w:val="auto"/>
        </w:rPr>
        <w:t>”), as applicable, or (B) with respect to the general partner interest of any such entity); and such general partner, limited partner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membership interests held by the GP Entities are owned by the applicable GP Entity free and clear of all liens, encumbrances, security interests, equities, charges or claims (“</w:t>
      </w:r>
      <w:r>
        <w:rPr>
          <w:rFonts w:ascii="Times New Roman" w:cs="Times New Roman" w:eastAsia="Times New Roman" w:hAnsi="Times New Roman"/>
          <w:sz w:val="18"/>
          <w:szCs w:val="18"/>
          <w:b w:val="1"/>
          <w:bCs w:val="1"/>
          <w:u w:val="single" w:color="auto"/>
          <w:color w:val="auto"/>
        </w:rPr>
        <w:t>Liens</w:t>
      </w:r>
      <w:r>
        <w:rPr>
          <w:rFonts w:ascii="Times New Roman" w:cs="Times New Roman" w:eastAsia="Times New Roman" w:hAnsi="Times New Roman"/>
          <w:sz w:val="18"/>
          <w:szCs w:val="18"/>
          <w:color w:val="auto"/>
        </w:rPr>
        <w:t>”), except (i) as disclosed in the Registration Statement, the Pricing Disclosure Package and the Prospectus, (ii) as contained in the Organizational Documents of the applicable GP Entity or (iii) such as would not reasonably be expected to result in a change of control of the Partnership (in the case of any general partner or membership interests held by the GP Entities) or reasonably be expected to materially adversely affect the ability of the Plains Entities considered as a whole to conduct their businesses as currently conducted and as contemplated by the Registration Statement, the Pricing Disclosure Package and the Prospectus to be conducted.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Ownership of the Material Subsidiaries</w:t>
      </w:r>
      <w:r>
        <w:rPr>
          <w:rFonts w:ascii="Times New Roman" w:cs="Times New Roman" w:eastAsia="Times New Roman" w:hAnsi="Times New Roman"/>
          <w:sz w:val="18"/>
          <w:szCs w:val="18"/>
          <w:color w:val="auto"/>
        </w:rPr>
        <w:t>. All of the outstanding shares of capital stock or other equity interests of each Material Subsidiary are owned, directly or indirectly, by the Partnership, except for a (i) 30% noncontrolling interest in Cactus II Pipeline LLC, (ii) 33% noncontrolling interest in Red River Pipeline Company LLC and (iii) 35% noncontrolling interest in each of Plains Oryx Permian Basin Pipeline LLC, Plains Oryx Permian Basin Marketing LLC, Oryx Delaware Oil Transport LLC and Oryx Midland Oil Gathering LLC. Such shares of capital stock or other equity interests owned, directly or indirectly, by the Partnership (i) have been duly authorized and validly issued (in accordance with the Organizational Documents of such Material Subsidiary), are fully paid (in the case of an interest in a limited partnership or limited liability company, to the extent required under the Organizational Documents of such Material Subsidiary) and nonassessable (except (A) in the case of an interest in a Delaware limited partnership or Delaware limited liability company, as such nonassessability may be affected by Sections 17-303, 17-607 and 17-804 of the Delaware LP Act or Sections 18-607 and 18-804 of the Delaware LLC Act, as applicable, (B) in the case of an interest in a limited partnership or limited liability company formed under the laws of another domestic state, as such nonassessability may be affected by similar provisions of such state’s limited partnership or limited liability company statute, as applicable, (C) in the case of an interest in an entity formed under the laws of a foreign jurisdiction, as such nonassessability may be affected by similar provisions of such jurisdiction’s partnership, limited or unlimited liability company statute, if any, as applicable, or (D) with respect to the general partner interest of any Material Subsidiary) and (ii) are owned free and clear of all Liens. The Subsidiaries other than the Material Subsidiaries did not, individually or in the aggregate, account for (A) more than 10% of the total consolidated assets of the Plains Entities, taken as a whole, as of the most recent fiscal year end or (B) more than 10% of the consolidated net income of the Plains Entities, taken as a whole, for the most recent fiscal year.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Registration Rights</w:t>
      </w:r>
      <w:r>
        <w:rPr>
          <w:rFonts w:ascii="Times New Roman" w:cs="Times New Roman" w:eastAsia="Times New Roman" w:hAnsi="Times New Roman"/>
          <w:sz w:val="18"/>
          <w:szCs w:val="18"/>
          <w:color w:val="auto"/>
        </w:rPr>
        <w:t>. The offering and sale of the Notes as contemplated by this Agreement do not give rise to any rights for or relating to the registration of any other securities of the Issuers, except such rights as have been waived or satisfied.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Conformity to Description of Notes</w:t>
      </w:r>
      <w:r>
        <w:rPr>
          <w:rFonts w:ascii="Times New Roman" w:cs="Times New Roman" w:eastAsia="Times New Roman" w:hAnsi="Times New Roman"/>
          <w:sz w:val="18"/>
          <w:szCs w:val="18"/>
          <w:color w:val="auto"/>
        </w:rPr>
        <w:t>. The Notes, when issued and delivered against payment therefor as provided herein and in the Indenture, and the Indenture will conform in all material respects to the descriptions thereof contained in the Pricing Disclosure Package and the Prospectus (and any amendment or supplement thereto).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Authority</w:t>
      </w:r>
      <w:r>
        <w:rPr>
          <w:rFonts w:ascii="Times New Roman" w:cs="Times New Roman" w:eastAsia="Times New Roman" w:hAnsi="Times New Roman"/>
          <w:sz w:val="18"/>
          <w:szCs w:val="18"/>
          <w:color w:val="auto"/>
        </w:rPr>
        <w:t>. Each of the Issuers has all requisite partnership or corporate, as applicable, power and authority to issue, sell and deliver the Notes in accordance with and upon the terms and conditions set forth in this Agreement, its Organizational Documents, the Indenture, the Registration Statement, the Pricing Disclosure Package and the Prospectus. At the Delivery Date, all action required to be taken by each of the Issuers or its partners or stockholder for (i) the due and proper authorization, execution and delivery of this Agreement and the Indenture, (ii) the authorization, issuance, sale and delivery of the Notes and (iii) the consummation of the other transactions contemplated hereby and thereby shall have been duly and validly taken.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Authorization, Execution and Delivery of this Agreement</w:t>
      </w:r>
      <w:r>
        <w:rPr>
          <w:rFonts w:ascii="Times New Roman" w:cs="Times New Roman" w:eastAsia="Times New Roman" w:hAnsi="Times New Roman"/>
          <w:sz w:val="18"/>
          <w:szCs w:val="18"/>
          <w:color w:val="auto"/>
        </w:rPr>
        <w:t>. This Agreement has been duly and validly authorized, executed and delivered by or on behalf of the Issuers.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Enforceability of the Indenture</w:t>
      </w:r>
      <w:r>
        <w:rPr>
          <w:rFonts w:ascii="Times New Roman" w:cs="Times New Roman" w:eastAsia="Times New Roman" w:hAnsi="Times New Roman"/>
          <w:sz w:val="18"/>
          <w:szCs w:val="18"/>
          <w:color w:val="auto"/>
        </w:rPr>
        <w:t xml:space="preserve">. The execution and delivery of the Supplemental Indenture and the performance by each of the Issuers of their respective obligations under the Indenture have been duly and validly authorized by each of the Issuers; the Indenture has been duly qualified under the Trust Indenture Act and, assuming due authorization, execution and delivery of the Base Indenture and the Supplemental Indenture by the Trustee, when the Supplemental Indenture is executed and delivered by each of the Issuers, will constitute the valid and legally binding agreement of each of the Issuers, enforceable against each of the Issuers in accordance with its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enforceability thereof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 and except as rights to indemnity and contribution thereunder may be limited by federal or state securities laws.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Valid Issuance of the Notes</w:t>
      </w:r>
      <w:r>
        <w:rPr>
          <w:rFonts w:ascii="Times New Roman" w:cs="Times New Roman" w:eastAsia="Times New Roman" w:hAnsi="Times New Roman"/>
          <w:sz w:val="18"/>
          <w:szCs w:val="18"/>
          <w:color w:val="auto"/>
        </w:rPr>
        <w:t xml:space="preserve">. The Notes have been duly authorized, and, when executed and authenticated in accordance with the provisions of the Indenture and delivered to and paid for by the Underwriters, will have been duly executed and delivered by each of the Issuers and will constitute the valid and legally binding obligations of the Issuers, enforceable against the Issuers in accordance with their terms and entitled to the benefits of the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enforceability thereof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 and except as rights to indemnity and contribution thereunder may be limited by federal or state securities laws.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Authorization, Execution and Enforceability of the Organizational Documents</w:t>
      </w:r>
      <w:r>
        <w:rPr>
          <w:rFonts w:ascii="Times New Roman" w:cs="Times New Roman" w:eastAsia="Times New Roman" w:hAnsi="Times New Roman"/>
          <w:sz w:val="18"/>
          <w:szCs w:val="18"/>
          <w:color w:val="auto"/>
        </w:rPr>
        <w:t xml:space="preserve">. The Organizational Documents of each of the Issuers, the GP Entities and the Material Subsidiaries have been duly authorized, executed and delivered by the parties thereto and are valid and legally binding agreements of such parties thereto, enforceable against the parties thereto in accordance with their respective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each such agreement, the enforceability thereof may be limited by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Conflicts or Violations</w:t>
      </w:r>
      <w:r>
        <w:rPr>
          <w:rFonts w:ascii="Times New Roman" w:cs="Times New Roman" w:eastAsia="Times New Roman" w:hAnsi="Times New Roman"/>
          <w:sz w:val="18"/>
          <w:szCs w:val="18"/>
          <w:color w:val="auto"/>
        </w:rPr>
        <w:t xml:space="preserve">. None of (i) the offering, issuance and sale by the Issuers of the Notes, (ii) the execution, delivery and performance of this Agreement by each of the Issuers, (iii) the consummation of the transactions contemplated by this Agreement or (iv) the execution and delivery of the Supplemental Indenture, the performance of the Indenture by each of the Issuers or the consummation of the transactions contemplated thereby (A) conflicts or will conflict with or constitutes or will constitute a violation of the Organizational Documents of either of the Issuers, any of the GP Entities or any of the Material Subsidiaries, (B) conflicts or will conflict with or constitutes or will constitute a breach or violation of, a change of control or a default under (or an event that, with notice or lapse of time or both, would constitute such an event), any indenture, mortgage, deed of trust, loan agreement, lease or other agreement or instrument to which either of the Issuers, any of the GP Entities or any of the Material Subsidiaries is a party or by which any of them or any of their respective properties may be bound, (C) violates or will violate any statute, law or regulation or any order, judgment, decree or injunction of any court or governmental agency or body directed to either of the Issuers, any of the GP Entities or any of the Material Subsidiaries or any of their properties in a proceeding to which any of them or their property is a party or (D) results or will result in the creation or imposition of any Lien upon any property or assets of either of the Issuers, any of the GP Entities or any of the Material Subsidiaries, which conflicts, breaches, violations, defaults or Liens, in the case of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 </w:t>
      </w:r>
      <w:r>
        <w:rPr>
          <w:rFonts w:ascii="Times New Roman" w:cs="Times New Roman" w:eastAsia="Times New Roman" w:hAnsi="Times New Roman"/>
          <w:sz w:val="18"/>
          <w:szCs w:val="18"/>
          <w:color w:val="auto"/>
        </w:rPr>
        <w:t>or</w:t>
      </w:r>
    </w:p>
    <w:p>
      <w:pPr>
        <w:spacing w:after="0" w:line="5"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would reasonably be expected to have a Material Adverse Effect or materially impair the ability of the Issuers to consummate the transactions contemplated by this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Consents</w:t>
      </w:r>
      <w:r>
        <w:rPr>
          <w:rFonts w:ascii="Times New Roman" w:cs="Times New Roman" w:eastAsia="Times New Roman" w:hAnsi="Times New Roman"/>
          <w:sz w:val="18"/>
          <w:szCs w:val="18"/>
          <w:color w:val="auto"/>
        </w:rPr>
        <w:t>. No consent, approval, authorization, filing with or order of any court, governmental agency or body having jurisdiction over any of the Plains Entities or any of the GP Entities or any of their respective properties is required in connection with (i) the offering, issuance and sale by the Issuers of the Notes, (ii) the execution, delivery and performance of, or the consummation by each of the Issuers of the transactions contemplated by, this Agreement or (iii) the execution and delivery of the Supplemental Indenture, and the performance of the Indenture, by each of the Issuers or the consummation of the transactions contemplated thereby, except (A) such as have been obtained or are required under the Securities Act, (B) such as may be required under the blue sky laws of any jurisdiction or the by-laws and rules of the Financial Industry Regulatory Authority, Inc. (“</w:t>
      </w:r>
      <w:r>
        <w:rPr>
          <w:rFonts w:ascii="Times New Roman" w:cs="Times New Roman" w:eastAsia="Times New Roman" w:hAnsi="Times New Roman"/>
          <w:sz w:val="18"/>
          <w:szCs w:val="18"/>
          <w:b w:val="1"/>
          <w:bCs w:val="1"/>
          <w:u w:val="single" w:color="auto"/>
          <w:color w:val="auto"/>
        </w:rPr>
        <w:t>FINRA</w:t>
      </w:r>
      <w:r>
        <w:rPr>
          <w:rFonts w:ascii="Times New Roman" w:cs="Times New Roman" w:eastAsia="Times New Roman" w:hAnsi="Times New Roman"/>
          <w:sz w:val="18"/>
          <w:szCs w:val="18"/>
          <w:color w:val="auto"/>
        </w:rPr>
        <w:t>”) in connection with the purchase and distribution by the Underwriters of the Notes in the manner contemplated herein and in the Registration Statement, the Pricing Disclosure Package and the Prospectus and (C) such that the failure to obtain or make would not reasonably be expected to have a Material Adverse Effect or materially impair the ability of the Issuers to consummate the transactions contemplated by this Agreement.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17"/>
          <w:szCs w:val="17"/>
          <w:color w:val="auto"/>
        </w:rPr>
        <w:t>(w)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b w:val="1"/>
          <w:bCs w:val="1"/>
          <w:u w:val="single" w:color="auto"/>
          <w:color w:val="auto"/>
        </w:rPr>
        <w:t>No Default</w:t>
      </w:r>
      <w:r>
        <w:rPr>
          <w:rFonts w:ascii="Times New Roman" w:cs="Times New Roman" w:eastAsia="Times New Roman" w:hAnsi="Times New Roman"/>
          <w:sz w:val="17"/>
          <w:szCs w:val="17"/>
          <w:color w:val="auto"/>
        </w:rPr>
        <w:t xml:space="preserve">. (i) None of the Issuers or the GP Entities or the Material Subsidiaries is in violation of its Organizational Documents in any material respect; (ii) none of the Issuers, the GP Entities or the Material Subsidiaries is in violation of any law, statute, ordinance, administrative or governmental rule or regulation applicable to it or of any decree of any court or governmental agency or body having jurisdiction over it and (iii) none of the Issuers, the GP Entities or the Material Subsidiaries is in breach, default (or an event that, with notice or lapse of time or both, would constitute such an event) or violation in the performance of any obligation, covenant or condition contained in any bond, debenture, note or any other evidence of indebtedness or in any agreement, indenture, lease or other instrument to which it is a party or by which it or any of its properties may be bound, which breach, default or violation, in the case of </w:t>
      </w:r>
      <w:r>
        <w:rPr>
          <w:rFonts w:ascii="Times New Roman" w:cs="Times New Roman" w:eastAsia="Times New Roman" w:hAnsi="Times New Roman"/>
          <w:sz w:val="17"/>
          <w:szCs w:val="17"/>
          <w:u w:val="single" w:color="auto"/>
          <w:color w:val="auto"/>
        </w:rPr>
        <w:t>clause (ii) </w:t>
      </w:r>
      <w:r>
        <w:rPr>
          <w:rFonts w:ascii="Times New Roman" w:cs="Times New Roman" w:eastAsia="Times New Roman" w:hAnsi="Times New Roman"/>
          <w:sz w:val="17"/>
          <w:szCs w:val="17"/>
          <w:color w:val="auto"/>
        </w:rPr>
        <w:t xml:space="preserve">or </w:t>
      </w:r>
      <w:r>
        <w:rPr>
          <w:rFonts w:ascii="Times New Roman" w:cs="Times New Roman" w:eastAsia="Times New Roman" w:hAnsi="Times New Roman"/>
          <w:sz w:val="17"/>
          <w:szCs w:val="17"/>
          <w:u w:val="single" w:color="auto"/>
          <w:color w:val="auto"/>
        </w:rPr>
        <w:t>clause (iii) </w:t>
      </w:r>
      <w:r>
        <w:rPr>
          <w:rFonts w:ascii="Times New Roman" w:cs="Times New Roman" w:eastAsia="Times New Roman" w:hAnsi="Times New Roman"/>
          <w:sz w:val="17"/>
          <w:szCs w:val="17"/>
          <w:color w:val="auto"/>
        </w:rPr>
        <w:t>would, if continued, reasonably be expected to have a Material Adverse Effect or materially impair the ability of either of the Issuers to perform its obligations under this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Independent Registered Public Accounting Firm</w:t>
      </w:r>
      <w:r>
        <w:rPr>
          <w:rFonts w:ascii="Times New Roman" w:cs="Times New Roman" w:eastAsia="Times New Roman" w:hAnsi="Times New Roman"/>
          <w:sz w:val="18"/>
          <w:szCs w:val="18"/>
          <w:color w:val="auto"/>
        </w:rPr>
        <w:t>. PricewaterhouseCoopers LLP, which has certified the audited financial statements included or incorporated by reference in the Registration Statement, the Pricing Disclosure Package and the Prospectus (and any amendment or supplement thereto), is an independent registered public accounting firm with respect to the GP Entities and the Partnership and its consolidated subsidiaries, as required by the Securities Act and the Rules and Regulations and the Public Company Accounting Oversight Board.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Financial Statements</w:t>
      </w:r>
      <w:r>
        <w:rPr>
          <w:rFonts w:ascii="Times New Roman" w:cs="Times New Roman" w:eastAsia="Times New Roman" w:hAnsi="Times New Roman"/>
          <w:sz w:val="18"/>
          <w:szCs w:val="18"/>
          <w:color w:val="auto"/>
        </w:rPr>
        <w:t>. At September 30, 2024, the Partnership had, on an as adjusted basis as indicated in the Prospectus (and any amendment or supplement thereto), an approximate total capitalization as set forth therein. The financial statements (including the related notes and supporting schedules) and other financial information included or incorporated by reference in the Registration Statement, the Pricing Disclosure Package and the Prospectus (and any amendment or supplement thereto) present fairly in all material respects the financial position, results of operations and cash flows of the entities purported to be shown thereby, at the dates and for the periods indicated, and have been prepared in conformity with generally accepted accounting principles applied on a consistent basis throughout the periods indicated, except to the extent disclosed therein. No other financial statements or schedules of the Issuers are required by the Securities Act or the Exchange Act to be included in the Registration Statement, the most recent Preliminary Prospectus or the Prospectus.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Material Adverse Change</w:t>
      </w:r>
      <w:r>
        <w:rPr>
          <w:rFonts w:ascii="Times New Roman" w:cs="Times New Roman" w:eastAsia="Times New Roman" w:hAnsi="Times New Roman"/>
          <w:sz w:val="18"/>
          <w:szCs w:val="18"/>
          <w:color w:val="auto"/>
        </w:rPr>
        <w:t>. None of the Plains Entities or the GP Entities has sustained, since the date of the latest audited or reviewed financial statements included in the Registration Statement, the Pricing Disclosure Package and the Prospectus, any material loss or interference with its business from fire, explosion, flood or other calamity, whether or not covered by insurance, or from any labor dispute or court or governmental action, investigation, order or decree, other than as set forth or contemplated in the Registration Statement, the Pricing Disclosure Package and the Prospectus and other than as would not reasonably be expected to have a Material Adverse Effect. Except as disclosed in the Registration Statement, the Pricing Disclosure Package and the Prospectus, subsequent to the respective dates as of which information is given in the Registration Statement, the Pricing Disclosure Package and the Prospectus, in each case excluding any amendments or supplements to the foregoing made after the execution of this Agreement, there has not been (i) any Material Adverse Effect, or any development that would, individually or in the aggregate, reasonably be expected to have a Material Adverse Effect, (ii) any transaction which is material to the Plains Entities or the GP Entities taken as a whole, other than transactions in the ordinary course of business as such business is described in the Registration Statement, the Pricing Disclosure Package and the Prospectus or (iii) any dividend or distribution of any kind, other than quarterly distributions of Available Cash (as defined in the Seventh Amended and Restated Agreement of Limited Partnership of the Partnership, as amended) and other than dividends or distributions from any Subsidiary to another Subsidiary or the Partnership or from a GP Entity to its members or other equity owners in the ordinary course of business, declared, paid or made on the security interests of any of the Plains Entities or the GP Entities.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Required Disclosures and Descriptions</w:t>
      </w:r>
      <w:r>
        <w:rPr>
          <w:rFonts w:ascii="Times New Roman" w:cs="Times New Roman" w:eastAsia="Times New Roman" w:hAnsi="Times New Roman"/>
          <w:sz w:val="18"/>
          <w:szCs w:val="18"/>
          <w:color w:val="auto"/>
        </w:rPr>
        <w:t>. There are no agreements, contracts, indentures, leases or other instruments that are required to be described in the Registration Statement, the Pricing Disclosure Package or the Prospectus or to be filed as an exhibit to the Registration Statement that are not described or filed as required by the Securities Act or the Exchange Act.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(bb)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Title to Properties</w:t>
      </w:r>
      <w:r>
        <w:rPr>
          <w:rFonts w:ascii="Times New Roman" w:cs="Times New Roman" w:eastAsia="Times New Roman" w:hAnsi="Times New Roman"/>
          <w:sz w:val="18"/>
          <w:szCs w:val="18"/>
          <w:color w:val="auto"/>
        </w:rPr>
        <w:t>. The Plains Entities, directly or indirectly, have good and indefeasible title to all real property and good title to all personal property described in the Registration Statement, the Pricing Disclosure Package and the Prospectus as being owned by them, free and clear of all Liens except (i) as provided in the Fourth Amended and Restated Credit Agreement dated as of August 20, 2021, as amended (the “</w:t>
      </w:r>
      <w:r>
        <w:rPr>
          <w:rFonts w:ascii="Times New Roman" w:cs="Times New Roman" w:eastAsia="Times New Roman" w:hAnsi="Times New Roman"/>
          <w:sz w:val="18"/>
          <w:szCs w:val="18"/>
          <w:b w:val="1"/>
          <w:bCs w:val="1"/>
          <w:u w:val="single" w:color="auto"/>
          <w:color w:val="auto"/>
        </w:rPr>
        <w:t>Hedged Inventory Facility</w:t>
      </w:r>
      <w:r>
        <w:rPr>
          <w:rFonts w:ascii="Times New Roman" w:cs="Times New Roman" w:eastAsia="Times New Roman" w:hAnsi="Times New Roman"/>
          <w:sz w:val="18"/>
          <w:szCs w:val="18"/>
          <w:color w:val="auto"/>
        </w:rPr>
        <w:t>”), among Plains Marketing, L.P., a Texas limited partnership (“</w:t>
      </w:r>
      <w:r>
        <w:rPr>
          <w:rFonts w:ascii="Times New Roman" w:cs="Times New Roman" w:eastAsia="Times New Roman" w:hAnsi="Times New Roman"/>
          <w:sz w:val="18"/>
          <w:szCs w:val="18"/>
          <w:b w:val="1"/>
          <w:bCs w:val="1"/>
          <w:u w:val="single" w:color="auto"/>
          <w:color w:val="auto"/>
        </w:rPr>
        <w:t>Plains Marketing</w:t>
      </w:r>
      <w:r>
        <w:rPr>
          <w:rFonts w:ascii="Times New Roman" w:cs="Times New Roman" w:eastAsia="Times New Roman" w:hAnsi="Times New Roman"/>
          <w:sz w:val="18"/>
          <w:szCs w:val="18"/>
          <w:color w:val="auto"/>
        </w:rPr>
        <w:t>”), and Plains Midstream Canada ULC, a British Columbia unlimited liability company (“</w:t>
      </w:r>
      <w:r>
        <w:rPr>
          <w:rFonts w:ascii="Times New Roman" w:cs="Times New Roman" w:eastAsia="Times New Roman" w:hAnsi="Times New Roman"/>
          <w:sz w:val="18"/>
          <w:szCs w:val="18"/>
          <w:b w:val="1"/>
          <w:bCs w:val="1"/>
          <w:u w:val="single" w:color="auto"/>
          <w:color w:val="auto"/>
        </w:rPr>
        <w:t>Plains Midstream Canada</w:t>
      </w:r>
      <w:r>
        <w:rPr>
          <w:rFonts w:ascii="Times New Roman" w:cs="Times New Roman" w:eastAsia="Times New Roman" w:hAnsi="Times New Roman"/>
          <w:sz w:val="18"/>
          <w:szCs w:val="18"/>
          <w:color w:val="auto"/>
        </w:rPr>
        <w:t>”), as borrowers, the Partnership, as guarantor, Bank of America, N.A., as administrative agent and swing line lender thereunder, Bank of America, N.A., Citibank, N.A., JPMorgan Chase Bank, N.A. and Wells Fargo Bank, National Association, as letters of credit issuers, and the other lenders from time to time party thereto, described in the Registration Statement, the Pricing Disclosure Package and the Prospectus and (ii) such as would not reasonably be expected to have, individually or in the aggregate, a Material Adverse Effect; and all real property and buildings held under lease by the Plains Entities are held, directly or indirectly, under valid and subsisting and enforceable leases with such exceptions as would not reasonably be expected to have a Material Adverse Effect or as described in the Registration Statement, the Pricing Disclosure Package and the Prospectus.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(cc)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Permits</w:t>
      </w:r>
      <w:r>
        <w:rPr>
          <w:rFonts w:ascii="Times New Roman" w:cs="Times New Roman" w:eastAsia="Times New Roman" w:hAnsi="Times New Roman"/>
          <w:sz w:val="18"/>
          <w:szCs w:val="18"/>
          <w:color w:val="auto"/>
        </w:rPr>
        <w:t>. Each of the Plains Entities, directly or indirectly, has such permits, consents, licenses, franchises, certificates and authorizations of governmental or regulatory authorities (“</w:t>
      </w:r>
      <w:r>
        <w:rPr>
          <w:rFonts w:ascii="Times New Roman" w:cs="Times New Roman" w:eastAsia="Times New Roman" w:hAnsi="Times New Roman"/>
          <w:sz w:val="18"/>
          <w:szCs w:val="18"/>
          <w:b w:val="1"/>
          <w:bCs w:val="1"/>
          <w:u w:val="single" w:color="auto"/>
          <w:color w:val="auto"/>
        </w:rPr>
        <w:t>Permits</w:t>
      </w:r>
      <w:r>
        <w:rPr>
          <w:rFonts w:ascii="Times New Roman" w:cs="Times New Roman" w:eastAsia="Times New Roman" w:hAnsi="Times New Roman"/>
          <w:sz w:val="18"/>
          <w:szCs w:val="18"/>
          <w:color w:val="auto"/>
        </w:rPr>
        <w:t>”) as are necessary to own its properties and to conduct its business in the manner described in the Registration Statement, the Pricing Disclosure Package and the Prospectus, subject to such qualifications as may be set forth in the Registration Statement, the Pricing Disclosure Package and the Prospectus and except for such Permits the failure of which to have obtained would not reasonably be expected to have, individually or in the aggregate, a Material Adverse Effect; and none of the Plains Entities has received, directly or indirectly, any notice of proceedings relating to the revocation or modification of any such permit which, individually or in the aggregate, if the subject of an unfavorable decision, ruling or finding would reasonably be expected to have a Material Adverse Effect, except as set forth in or contemplated in the Registration Statement, the Pricing Disclosure Package and the Prospectus.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(dd)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Rights-of-Way</w:t>
      </w:r>
      <w:r>
        <w:rPr>
          <w:rFonts w:ascii="Times New Roman" w:cs="Times New Roman" w:eastAsia="Times New Roman" w:hAnsi="Times New Roman"/>
          <w:sz w:val="18"/>
          <w:szCs w:val="18"/>
          <w:color w:val="auto"/>
        </w:rPr>
        <w:t>. Each of the Plains Entities, directly or indirectly, has such consents, easements, rights-of-way or licenses from any person (“</w:t>
      </w:r>
      <w:r>
        <w:rPr>
          <w:rFonts w:ascii="Times New Roman" w:cs="Times New Roman" w:eastAsia="Times New Roman" w:hAnsi="Times New Roman"/>
          <w:sz w:val="18"/>
          <w:szCs w:val="18"/>
          <w:b w:val="1"/>
          <w:bCs w:val="1"/>
          <w:u w:val="single" w:color="auto"/>
          <w:color w:val="auto"/>
        </w:rPr>
        <w:t>rights-of-way</w:t>
      </w:r>
      <w:r>
        <w:rPr>
          <w:rFonts w:ascii="Times New Roman" w:cs="Times New Roman" w:eastAsia="Times New Roman" w:hAnsi="Times New Roman"/>
          <w:sz w:val="18"/>
          <w:szCs w:val="18"/>
          <w:color w:val="auto"/>
        </w:rPr>
        <w:t>”) as are necessary to conduct its business in the manner described in the Registration Statement, the Pricing Disclosure Package and the Prospectus, subject to such qualifications as may be set forth in the Registration Statement, the Pricing Disclosure Package and the Prospectus and except for such rights-of-way the failure of which to have obtained would not reasonably be expected to have, individually or in the aggregate, a Material Adverse Effect; each of the Plains Entities, directly or indirectly, has fulfilled and performed all its material obligations with respect to such rights-of-way and no event has occurred that allows, or after notice or lapse of time would allow, revocation or termination thereof or would result in any impairment of the rights of the holder of any such rights-of-way, except for such failures to perform, revocations, terminations and impairments that would not reasonably be expected to have, individually or in the aggregate, a Material Adverse Effect, subject in each case to such qualification as may be set forth in the Registration Statement, the Pricing Disclosure Package and the Prospectus.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(ee)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Intellectual Property</w:t>
      </w:r>
      <w:r>
        <w:rPr>
          <w:rFonts w:ascii="Times New Roman" w:cs="Times New Roman" w:eastAsia="Times New Roman" w:hAnsi="Times New Roman"/>
          <w:sz w:val="18"/>
          <w:szCs w:val="18"/>
          <w:color w:val="auto"/>
        </w:rPr>
        <w:t>. Each of the Plains Entities (A) own or possess rights to use all material patents, patent applications, trademarks, service marks, trade names, trademark registrations, service mark registrations, copyrights, know-how, systems, trade secrets, and technology necessary for the conduct of their respective businesses in the manner described in the Registration Statement, the Pricing Disclosure Package and the Prospectus and (B) have no reason to believe that the conduct of their respective businesses will conflict with, and have not received any written notice of any claim of conflict with, any such rights of others, except for such conflict that would not, in the case of either clause (A) or clause (B), individually or in the aggregate, reasonably be expected to have a Material Adverse Effect.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(ff)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Cybersecurity</w:t>
      </w:r>
      <w:r>
        <w:rPr>
          <w:rFonts w:ascii="Times New Roman" w:cs="Times New Roman" w:eastAsia="Times New Roman" w:hAnsi="Times New Roman"/>
          <w:sz w:val="18"/>
          <w:szCs w:val="18"/>
          <w:color w:val="auto"/>
        </w:rPr>
        <w:t>. (A) To the knowledge of the Issuers, in the last two years, there has been no material security breach or unauthorized access of or relating to any of the Plains Entities’, the GP Entities’ or their respective subsidiaries’ information technology, computer systems, networks, hardware, software, sensitive data and databases, that are used in connection with their respective businesses as described in the Registration Statement, the Pricing Disclosure Package and the Prospectus (collectively, “</w:t>
      </w:r>
      <w:r>
        <w:rPr>
          <w:rFonts w:ascii="Times New Roman" w:cs="Times New Roman" w:eastAsia="Times New Roman" w:hAnsi="Times New Roman"/>
          <w:sz w:val="18"/>
          <w:szCs w:val="18"/>
          <w:b w:val="1"/>
          <w:bCs w:val="1"/>
          <w:u w:val="single" w:color="auto"/>
          <w:color w:val="auto"/>
        </w:rPr>
        <w:t>IT Systems and Sensitive Data</w:t>
      </w:r>
      <w:r>
        <w:rPr>
          <w:rFonts w:ascii="Times New Roman" w:cs="Times New Roman" w:eastAsia="Times New Roman" w:hAnsi="Times New Roman"/>
          <w:sz w:val="18"/>
          <w:szCs w:val="18"/>
          <w:color w:val="auto"/>
        </w:rPr>
        <w:t>”) and (B) none of the Plains Entities nor any of the GP Entities, in the last two years, have been notified in writing of, and the Issuers have no knowledge of any event or conditions that would be reasonably expected to result in any material security breach or unauthorized access of their and their subsidiaries’ respective IT Systems and Sensitive Data, except, in the case of either clause (A) or clause (B), for those that (i) would not, individually or in the aggregate, reasonably be expected to result in a Material Adverse Effect, or (ii) have been remedied without material cost or liability. To the knowledge of the Issuers, the Plains Entities, the GP Entities and each of their respective subsidiaries are presently in compliance in all material respects with all applicable laws or statutes and all judgments, orders, rules and regulations of any applicable court or arbitrator or any applicable governmental or regulatory authority applicable to the privacy and security of their IT Systems and Sensitive Data and to the protection of such IT Systems and Data from unauthorized use, access or modification, except for such non-compliance which would not, individually or in the aggregate, reasonably be expected to have a Material Adverse Effect. The Plains Entities and the GP Entities have each implemented and maintained commercially reasonable controls, policies, procedures and safeguards designed to maintain and protect the integrity, continuous operation, redundancy and security of their IT Systems and Sensitive Data as required by applicable laws.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(gg)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Investment Company</w:t>
      </w:r>
      <w:r>
        <w:rPr>
          <w:rFonts w:ascii="Times New Roman" w:cs="Times New Roman" w:eastAsia="Times New Roman" w:hAnsi="Times New Roman"/>
          <w:sz w:val="18"/>
          <w:szCs w:val="18"/>
          <w:color w:val="auto"/>
        </w:rPr>
        <w:t>. None of the Plains Entities is now, and after sale of the Notes to be sold by the Issuers hereunder and application of the net proceeds from such sale as described in the Pricing Disclosure Package and the Prospectus under the caption “Use of Proceeds,” none of the Plains Entities will be, (i) an “investment company” or a company “controlled by” an “investment company,” each within the meaning of the Investment Company Act of 1940, as amended (the “</w:t>
      </w:r>
      <w:r>
        <w:rPr>
          <w:rFonts w:ascii="Times New Roman" w:cs="Times New Roman" w:eastAsia="Times New Roman" w:hAnsi="Times New Roman"/>
          <w:sz w:val="18"/>
          <w:szCs w:val="18"/>
          <w:b w:val="1"/>
          <w:bCs w:val="1"/>
          <w:u w:val="single" w:color="auto"/>
          <w:color w:val="auto"/>
        </w:rPr>
        <w:t>Investment Company Act</w:t>
      </w:r>
      <w:r>
        <w:rPr>
          <w:rFonts w:ascii="Times New Roman" w:cs="Times New Roman" w:eastAsia="Times New Roman" w:hAnsi="Times New Roman"/>
          <w:sz w:val="18"/>
          <w:szCs w:val="18"/>
          <w:color w:val="auto"/>
        </w:rPr>
        <w:t>”), (ii) a “gas utility,” within the meaning of Tex. Util. Code §§ 101.003 or 121.001 or (iii) a “public utility” or “utility” within the meaning of the Public Utility Regulatory Act of Texas or under the utility laws of any state in which any such Plains Entity does business; in the case of clauses (ii) and (iii), (y) excluding any circumstances where any Plains Entity is a “common carrier” under any such laws and (z) other than in respect of any Plains Entity that is under the jurisdiction of the California Public Utility Commission.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(hh)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Environmental Compliance</w:t>
      </w:r>
      <w:r>
        <w:rPr>
          <w:rFonts w:ascii="Times New Roman" w:cs="Times New Roman" w:eastAsia="Times New Roman" w:hAnsi="Times New Roman"/>
          <w:sz w:val="18"/>
          <w:szCs w:val="18"/>
          <w:color w:val="auto"/>
        </w:rPr>
        <w:t>. Except as described in the Registration Statement, the Pricing Disclosure Package and the Prospectus, none of the Plains Entities, directly or indirectly, has violated any environmental, safety, health or similar law or regulation applicable to its business relating to the protection of human health and safety, the environment or hazardous or toxic substances or wastes, pollutants or contaminants (“</w:t>
      </w:r>
      <w:r>
        <w:rPr>
          <w:rFonts w:ascii="Times New Roman" w:cs="Times New Roman" w:eastAsia="Times New Roman" w:hAnsi="Times New Roman"/>
          <w:sz w:val="18"/>
          <w:szCs w:val="18"/>
          <w:b w:val="1"/>
          <w:bCs w:val="1"/>
          <w:u w:val="single" w:color="auto"/>
          <w:color w:val="auto"/>
        </w:rPr>
        <w:t>Environmental Laws</w:t>
      </w:r>
      <w:r>
        <w:rPr>
          <w:rFonts w:ascii="Times New Roman" w:cs="Times New Roman" w:eastAsia="Times New Roman" w:hAnsi="Times New Roman"/>
          <w:sz w:val="18"/>
          <w:szCs w:val="18"/>
          <w:color w:val="auto"/>
        </w:rPr>
        <w:t>”), or lacks any permits, licenses or other approvals required of them under applicable Environmental Laws to own, lease or operate their properties and conduct their business as described in the Registration Statement, the Pricing Disclosure Package and the Prospectus or is violating any terms and conditions of any such permit, license or approval, which in each case would reasonably be expected to have a Material Adverse Effect.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Labor Disputes</w:t>
      </w:r>
      <w:r>
        <w:rPr>
          <w:rFonts w:ascii="Times New Roman" w:cs="Times New Roman" w:eastAsia="Times New Roman" w:hAnsi="Times New Roman"/>
          <w:sz w:val="18"/>
          <w:szCs w:val="18"/>
          <w:color w:val="auto"/>
        </w:rPr>
        <w:t>. No labor dispute with the employees of any of the Plains Entities or the GP Entities exists or, to the knowledge of the Issuers, is imminent, that would reasonably be expected to have a Material Adverse Effect.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(jj)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Insurance</w:t>
      </w:r>
      <w:r>
        <w:rPr>
          <w:rFonts w:ascii="Times New Roman" w:cs="Times New Roman" w:eastAsia="Times New Roman" w:hAnsi="Times New Roman"/>
          <w:sz w:val="18"/>
          <w:szCs w:val="18"/>
          <w:color w:val="auto"/>
        </w:rPr>
        <w:t>. The Partnership maintains or is entitled to the benefits of insurance covering its properties, operations, personnel and businesses against such losses and risks as are reasonably adequate to protect it and its businesses in a manner consistent with other businesses similarly situated. All such insurance is outstanding and duly in force on the date hereof and will be outstanding and duly in force on the Delivery Date, except for such insurance for which the failure to be outstanding and duly in force would not reasonably be expected to have a Material Adverse Effect.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(kk)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Legal Actions</w:t>
      </w:r>
      <w:r>
        <w:rPr>
          <w:rFonts w:ascii="Times New Roman" w:cs="Times New Roman" w:eastAsia="Times New Roman" w:hAnsi="Times New Roman"/>
          <w:sz w:val="18"/>
          <w:szCs w:val="18"/>
          <w:color w:val="auto"/>
        </w:rPr>
        <w:t xml:space="preserve">. Except as described in the Registration Statement, the Pricing Disclosure Package and the Prospectus, there is (i) no action, suit or proceeding before or by any court, arbitrator or governmental agency, body or official, domestic or foreign, now pending or, to the knowledge of the Issuers, threatened, to which any of the Plains Entities or the GP Entities is or may be a party or to which the business or property of any of the Plains Entities or the GP Entities is or may be subject, and (ii) no injunction, restraining order or order of any nature issued by a federal or state court or foreign court of competent jurisdiction to which any of the Plains Entities or the GP Entities is or may be subject, that, in the case of </w:t>
      </w:r>
      <w:r>
        <w:rPr>
          <w:rFonts w:ascii="Times New Roman" w:cs="Times New Roman" w:eastAsia="Times New Roman" w:hAnsi="Times New Roman"/>
          <w:sz w:val="18"/>
          <w:szCs w:val="18"/>
          <w:u w:val="single" w:color="auto"/>
          <w:color w:val="auto"/>
        </w:rPr>
        <w:t>clauses (i)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(ii) </w:t>
      </w:r>
      <w:r>
        <w:rPr>
          <w:rFonts w:ascii="Times New Roman" w:cs="Times New Roman" w:eastAsia="Times New Roman" w:hAnsi="Times New Roman"/>
          <w:sz w:val="18"/>
          <w:szCs w:val="18"/>
          <w:color w:val="auto"/>
        </w:rPr>
        <w:t>above, would reasonably be expected to have, individually or in the aggregate, a Material Adverse Effect or prevent or result in the suspension of the offering and issuance of the Notes.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(ll)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Distribution Restrictions</w:t>
      </w:r>
      <w:r>
        <w:rPr>
          <w:rFonts w:ascii="Times New Roman" w:cs="Times New Roman" w:eastAsia="Times New Roman" w:hAnsi="Times New Roman"/>
          <w:sz w:val="18"/>
          <w:szCs w:val="18"/>
          <w:color w:val="auto"/>
        </w:rPr>
        <w:t>. No Subsidiary is currently prohibited, directly or indirectly, from making any distributions to the Partnership or another Subsidiary, from making any other distribution on such Subsidiary’s equity interests, from repaying to the Partnership or another Subsidiary any loans or advances to such Subsidiary from the Partnership or another Subsidiary or from transferring any of such Subsidiary’s property or assets to the Partnership or any other Subsidiary, except (i) as described in or contemplated by the Registration Statement, the Pricing Disclosure Package and the Prospectus (exclusive of any amendment or supplement thereto), (ii) such prohibitions mandated by the laws of each such Subsidiary’s state of formation and the terms of any such Subsidiary’s Organizational Documents and (iii) where such prohibition would not reasonably be expected to have a Material Adverse Effect.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(mm)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Distribution of Other Offering Materials</w:t>
      </w:r>
      <w:r>
        <w:rPr>
          <w:rFonts w:ascii="Times New Roman" w:cs="Times New Roman" w:eastAsia="Times New Roman" w:hAnsi="Times New Roman"/>
          <w:sz w:val="18"/>
          <w:szCs w:val="18"/>
          <w:color w:val="auto"/>
        </w:rPr>
        <w:t xml:space="preserve">. None of the Plains Entities or the GP Entities has distributed and, prior to the later to occur of (i) the Delivery Date and (ii) completion of the distribution of the Notes, as the case may be, will not distribute, any prospectus (as defined under the Securities Act) in connection with the offering and sale of the Notes other than any Preliminary Prospectus, the Prospectus, any Issuer Free Writing Prospectus, subject to the conditions in </w:t>
      </w:r>
      <w:r>
        <w:rPr>
          <w:rFonts w:ascii="Times New Roman" w:cs="Times New Roman" w:eastAsia="Times New Roman" w:hAnsi="Times New Roman"/>
          <w:sz w:val="18"/>
          <w:szCs w:val="18"/>
          <w:u w:val="single" w:color="auto"/>
          <w:color w:val="auto"/>
        </w:rPr>
        <w:t>Section 1(h) </w:t>
      </w:r>
      <w:r>
        <w:rPr>
          <w:rFonts w:ascii="Times New Roman" w:cs="Times New Roman" w:eastAsia="Times New Roman" w:hAnsi="Times New Roman"/>
          <w:sz w:val="18"/>
          <w:szCs w:val="18"/>
          <w:color w:val="auto"/>
        </w:rPr>
        <w:t>of this Agreement, or other materials, if any, permitted by the Securities Act, including Rule 134 of the Rules and Regulations.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(nn)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Books and Records; Accounting Controls</w:t>
      </w:r>
      <w:r>
        <w:rPr>
          <w:rFonts w:ascii="Times New Roman" w:cs="Times New Roman" w:eastAsia="Times New Roman" w:hAnsi="Times New Roman"/>
          <w:sz w:val="18"/>
          <w:szCs w:val="18"/>
          <w:color w:val="auto"/>
        </w:rPr>
        <w:t>. The Partnership maintains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Sarbanes-Oxley Act</w:t>
      </w:r>
      <w:r>
        <w:rPr>
          <w:rFonts w:ascii="Times New Roman" w:cs="Times New Roman" w:eastAsia="Times New Roman" w:hAnsi="Times New Roman"/>
          <w:sz w:val="18"/>
          <w:szCs w:val="18"/>
          <w:color w:val="auto"/>
        </w:rPr>
        <w:t>. The Partnership and, to the knowledge of the Issuers, the directors of PAGP GP and the officers of GP LLC, in their capacities as such, are in compliance in all material respects with all applicable and effective provisions of the Sarbanes-Oxley Act of 2002 and the rules and regulations promulgated thereunder.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(pp)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Disclosure Controls</w:t>
      </w:r>
      <w:r>
        <w:rPr>
          <w:rFonts w:ascii="Times New Roman" w:cs="Times New Roman" w:eastAsia="Times New Roman" w:hAnsi="Times New Roman"/>
          <w:sz w:val="18"/>
          <w:szCs w:val="18"/>
          <w:color w:val="auto"/>
        </w:rPr>
        <w:t>. The Partnership maintains disclosure controls and procedures (to the extent required by and as such term is defined in Rules 13a-15 and 15d-15 of the Rules and Regulations), that (i) are designed to provide reasonable assurance that material information relating to the Partnership, including its consolidated subsidiaries, is recorded, processed, summarized and communicated to the principal executive officer, the principal financial officer and other appropriate officers of GP LLC to allow for timely decisions regarding required disclosure, particularly during the periods in which the periodic reports required under the Exchange Act are being prepared; (ii) have been evaluated for effectiveness as of the end of the Partnership’s most recent fiscal quarter; and (iii) are effective in all material respects to perform the functions for which they are established.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(qq)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Deficiency in Internal Controls</w:t>
      </w:r>
      <w:r>
        <w:rPr>
          <w:rFonts w:ascii="Times New Roman" w:cs="Times New Roman" w:eastAsia="Times New Roman" w:hAnsi="Times New Roman"/>
          <w:sz w:val="18"/>
          <w:szCs w:val="18"/>
          <w:color w:val="auto"/>
        </w:rPr>
        <w:t>. Based on the evaluation of its disclosure controls and procedures conducted in connection with the preparation and filing of the Partnership’s Annual Report on Form 10-K for the most recent fiscal year end, the Partnership is not aware of (i) any significant deficiency or material weakness in the design or operation of internal controls over financial reporting that are likely to adversely affect its ability to record, process, summarize and report financial data; or (ii) any fraud, whether or not material, that involves management or other employees who have a significant role in the internal controls over financial reporting of the Partnership.</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(rr)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FCPA</w:t>
      </w:r>
      <w:r>
        <w:rPr>
          <w:rFonts w:ascii="Times New Roman" w:cs="Times New Roman" w:eastAsia="Times New Roman" w:hAnsi="Times New Roman"/>
          <w:sz w:val="18"/>
          <w:szCs w:val="18"/>
          <w:color w:val="auto"/>
        </w:rPr>
        <w:t>. No Plains Entity or GP Entity, nor any of their respective subsidiaries, directors or officers, nor, to the knowledge of the Issuers, any agent, employee or affiliate of the Plains Entities, the GP Entities or any of their respective subsidiaries or other person acting on behalf of the Issuers, is aware of or has taken any action, directly or indirectly, that would result in a violation by such persons of the Foreign Corrupt Practices Act of 1977, as amended (together with the rules and regulations thereunder, the “</w:t>
      </w:r>
      <w:r>
        <w:rPr>
          <w:rFonts w:ascii="Times New Roman" w:cs="Times New Roman" w:eastAsia="Times New Roman" w:hAnsi="Times New Roman"/>
          <w:sz w:val="18"/>
          <w:szCs w:val="18"/>
          <w:b w:val="1"/>
          <w:bCs w:val="1"/>
          <w:u w:val="single" w:color="auto"/>
          <w:color w:val="auto"/>
        </w:rPr>
        <w:t>FCPA</w:t>
      </w:r>
      <w:r>
        <w:rPr>
          <w:rFonts w:ascii="Times New Roman" w:cs="Times New Roman" w:eastAsia="Times New Roman" w:hAnsi="Times New Roman"/>
          <w:sz w:val="18"/>
          <w:szCs w:val="18"/>
          <w:color w:val="auto"/>
        </w:rPr>
        <w:t>”), any applicable law or regulation implementing the OECD Convention on Combating Bribery of Foreign Public Officials in International Business Transactions, the Bribery Act 2010 of the United Kingdom or any other applicable anti-bribery or anti-corruption statute or regulation (collectively, “</w:t>
      </w:r>
      <w:r>
        <w:rPr>
          <w:rFonts w:ascii="Times New Roman" w:cs="Times New Roman" w:eastAsia="Times New Roman" w:hAnsi="Times New Roman"/>
          <w:sz w:val="18"/>
          <w:szCs w:val="18"/>
          <w:b w:val="1"/>
          <w:bCs w:val="1"/>
          <w:u w:val="single" w:color="auto"/>
          <w:color w:val="auto"/>
        </w:rPr>
        <w:t>Applicable Anti-Corruption Laws</w:t>
      </w:r>
      <w:r>
        <w:rPr>
          <w:rFonts w:ascii="Times New Roman" w:cs="Times New Roman" w:eastAsia="Times New Roman" w:hAnsi="Times New Roman"/>
          <w:sz w:val="18"/>
          <w:szCs w:val="18"/>
          <w:color w:val="auto"/>
        </w:rPr>
        <w:t>”). Each of the Plains Entities, the GP Entities and their respective subsidiaries and, to the knowledge of any of the Issuers,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affiliates, have conducted their businesses in material compliance, and have instituted, maintain and enforce policies and procedures designed to promote continued compliance, with all Applicable Anti-Corruption Laws.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(ss)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Anti-Money Laundering Laws</w:t>
      </w:r>
      <w:r>
        <w:rPr>
          <w:rFonts w:ascii="Times New Roman" w:cs="Times New Roman" w:eastAsia="Times New Roman" w:hAnsi="Times New Roman"/>
          <w:sz w:val="18"/>
          <w:szCs w:val="18"/>
          <w:color w:val="auto"/>
        </w:rPr>
        <w:t>. The operations of each of the Plains Entities, the GP Entities and each of their respective subsidiaries are and have been conducted at all times in material compliance with the applicable financial recordkeeping and reporting requirements of (i) the U.S. Currency and Foreign Transactions Reporting Act of 1970, as amended, (b) the U.S. Uniting and Strengthening America by Providing Appropriate Tools Required to Intercept and Obstruct Terrorism Act of 2001, as amended, (iii) the applicable money laundering statutes of all jurisdictions in which such Plains Entity or GP Entity, or the applicable subsidiary of a Plains Entity or GP Entity, conducts its business, (iv) the rules and regulations issued under any of the foregoing and (v) any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u w:val="single" w:color="auto"/>
          <w:color w:val="auto"/>
        </w:rPr>
        <w:t>Anti-Money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any of the Plains Entities, the GP Entities or their respective subsidiaries with respect to the Anti-Money Laundering Laws is pending or, to the knowledge of the Issuers, threatened.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(tt)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Sanctions Laws</w:t>
      </w:r>
      <w:r>
        <w:rPr>
          <w:rFonts w:ascii="Times New Roman" w:cs="Times New Roman" w:eastAsia="Times New Roman" w:hAnsi="Times New Roman"/>
          <w:sz w:val="18"/>
          <w:szCs w:val="18"/>
          <w:color w:val="auto"/>
        </w:rPr>
        <w:t>. No Plains Entity or GP Entity, nor any of their respective subsidiaries, directors or officers, nor any employee, affiliate or, to the Issuers’ knowledge, agent of the Plains Entities, the GP Entities or any of their respective subsidiaries, is an individual or entity (“</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color w:val="auto"/>
        </w:rPr>
        <w:t>”) that is, or is 50% or more owned or controlled by a Person that is, currently the subject or the target of any sanctions administered or enforced by the U.S. Government (including, without limitation, the Office of Foreign Assets Control of the U.S. Treasury Department (“</w:t>
      </w:r>
      <w:r>
        <w:rPr>
          <w:rFonts w:ascii="Times New Roman" w:cs="Times New Roman" w:eastAsia="Times New Roman" w:hAnsi="Times New Roman"/>
          <w:sz w:val="18"/>
          <w:szCs w:val="18"/>
          <w:b w:val="1"/>
          <w:bCs w:val="1"/>
          <w:u w:val="single" w:color="auto"/>
          <w:color w:val="auto"/>
        </w:rPr>
        <w:t>OFAC</w:t>
      </w:r>
      <w:r>
        <w:rPr>
          <w:rFonts w:ascii="Times New Roman" w:cs="Times New Roman" w:eastAsia="Times New Roman" w:hAnsi="Times New Roman"/>
          <w:sz w:val="18"/>
          <w:szCs w:val="18"/>
          <w:color w:val="auto"/>
        </w:rPr>
        <w:t>”) or the U.S. State Department, and including, without limitation, the designation as a “specially designated national” or “blocked person”), the United Nations Security Council, the European Union and any of its member states, His Majesty’s Treasury, or any other applicable sanctions laws or authority (collectively, “</w:t>
      </w:r>
      <w:r>
        <w:rPr>
          <w:rFonts w:ascii="Times New Roman" w:cs="Times New Roman" w:eastAsia="Times New Roman" w:hAnsi="Times New Roman"/>
          <w:sz w:val="18"/>
          <w:szCs w:val="18"/>
          <w:b w:val="1"/>
          <w:bCs w:val="1"/>
          <w:u w:val="single" w:color="auto"/>
          <w:color w:val="auto"/>
        </w:rPr>
        <w:t>Sanctions</w:t>
      </w:r>
      <w:r>
        <w:rPr>
          <w:rFonts w:ascii="Times New Roman" w:cs="Times New Roman" w:eastAsia="Times New Roman" w:hAnsi="Times New Roman"/>
          <w:sz w:val="18"/>
          <w:szCs w:val="18"/>
          <w:color w:val="auto"/>
        </w:rPr>
        <w:t>”), nor are any of the Plains Entities, GP Entities or any of their respective subsidiaries located, organized or resident in a country or territory that is the subject or the target of comprehensive Sanctions, including, without limitation, the Crimea Region and the non-government controlled areas of the Zaporizhzhia and Kherson Regions of Ukraine, the so-called Donetsk People’s Republic, the so-called Luhansk People’s Republic, Cuba, Iran, North Korea and Syria (each, a “</w:t>
      </w:r>
      <w:r>
        <w:rPr>
          <w:rFonts w:ascii="Times New Roman" w:cs="Times New Roman" w:eastAsia="Times New Roman" w:hAnsi="Times New Roman"/>
          <w:sz w:val="18"/>
          <w:szCs w:val="18"/>
          <w:b w:val="1"/>
          <w:bCs w:val="1"/>
          <w:u w:val="single" w:color="auto"/>
          <w:color w:val="auto"/>
        </w:rPr>
        <w:t>Sanctioned Country</w:t>
      </w:r>
      <w:r>
        <w:rPr>
          <w:rFonts w:ascii="Times New Roman" w:cs="Times New Roman" w:eastAsia="Times New Roman" w:hAnsi="Times New Roman"/>
          <w:sz w:val="18"/>
          <w:szCs w:val="18"/>
          <w:color w:val="auto"/>
        </w:rPr>
        <w:t>”); and the Issuers will not knowingly directly or indirectly use the proceeds of the offering, or lend, contribute or otherwise make available such proceeds to any subsidiary, joint venture partner or Person (i) to fund or facilitate any activities or business of or with any Person that, at the time of such funding or facilitation, is the subject or the target of any Sanctions in violation of applicable Sanctions, (ii) to fund or facilitate any activities or business in any Sanctioned Country in violation of applicable Sanctions, or (iii) in any other manner that will result in a violation of any Sanctions by any Person (including any Person participating in the offering, whether as initial purchaser, underwriter, advisor, investor or otherwise). Each Plains Entity, GP Entity and each of their respective subsidiaries have not for the last five years engaged in, and are not now engaged in, any dealings or transactions with any Person that at the time of the dealing or transaction is or was the subject or the target of any Sanctions or with any Sanctioned Country, in each case in violation of applicable Sanctions.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(uu)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XBRL</w:t>
      </w:r>
      <w:r>
        <w:rPr>
          <w:rFonts w:ascii="Times New Roman" w:cs="Times New Roman" w:eastAsia="Times New Roman" w:hAnsi="Times New Roman"/>
          <w:sz w:val="18"/>
          <w:szCs w:val="18"/>
          <w:color w:val="auto"/>
        </w:rPr>
        <w:t>. The interactive data in eXtensible Business Reporting Language incorporated by reference in the Registration Statement, the Pricing Disclosure Package and the Prospectus fairly presents the information called for in all material respects and has been prepared in accordance with the Commission’s rules and guidelines applicable thereto.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applicable statements made in the certificates described in </w:t>
      </w:r>
      <w:r>
        <w:rPr>
          <w:rFonts w:ascii="Times New Roman" w:cs="Times New Roman" w:eastAsia="Times New Roman" w:hAnsi="Times New Roman"/>
          <w:sz w:val="18"/>
          <w:szCs w:val="18"/>
          <w:u w:val="single" w:color="auto"/>
          <w:color w:val="auto"/>
        </w:rPr>
        <w:t>Sections 7(i)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7(j) </w:t>
      </w:r>
      <w:r>
        <w:rPr>
          <w:rFonts w:ascii="Times New Roman" w:cs="Times New Roman" w:eastAsia="Times New Roman" w:hAnsi="Times New Roman"/>
          <w:sz w:val="18"/>
          <w:szCs w:val="18"/>
          <w:color w:val="auto"/>
        </w:rPr>
        <w:t>shall be deemed representations and warranties by the Issuers,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to matters covered thereby, to the Underwriters.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2.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b w:val="1"/>
          <w:bCs w:val="1"/>
          <w:u w:val="single" w:color="auto"/>
          <w:color w:val="auto"/>
        </w:rPr>
        <w:t>Purchase and Sale</w:t>
      </w:r>
      <w:r>
        <w:rPr>
          <w:rFonts w:ascii="Times New Roman" w:cs="Times New Roman" w:eastAsia="Times New Roman" w:hAnsi="Times New Roman"/>
          <w:sz w:val="17"/>
          <w:szCs w:val="17"/>
          <w:color w:val="auto"/>
        </w:rPr>
        <w:t>. Subject to the terms and conditions and in reliance upon the representations and warranties herein set forth, the Issuers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 to sell to each Underwriter, and each Underwriter agrees, severally and not jointly, to purchase from the Issuers the principal amount of Notes 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forth opposite such Underwriter’s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at a purchase price of 99.111% of the principal amount thereof, plus accrued interest, if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the Delivery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Delivery and Payment</w:t>
      </w:r>
      <w:r>
        <w:rPr>
          <w:rFonts w:ascii="Times New Roman" w:cs="Times New Roman" w:eastAsia="Times New Roman" w:hAnsi="Times New Roman"/>
          <w:sz w:val="18"/>
          <w:szCs w:val="18"/>
          <w:color w:val="auto"/>
        </w:rPr>
        <w:t xml:space="preserve">. Delivery of and payment for the Notes shall be made at the office of Vinson &amp; Elkins L.L.P., 845 Texas Avenue, Suite 4700, Houston, Texas 77002 at 9:00 a.m., Houston time, on January 15, 2025, or at such time on such later date not more than three business days after the foregoing date as the Representatives shall designate, which date and time may be postponed by agreement between the Representatives and the Issuers or as provided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hereof (such date and time of delivery and payment for the Notes being herein called the “</w:t>
      </w:r>
      <w:r>
        <w:rPr>
          <w:rFonts w:ascii="Times New Roman" w:cs="Times New Roman" w:eastAsia="Times New Roman" w:hAnsi="Times New Roman"/>
          <w:sz w:val="18"/>
          <w:szCs w:val="18"/>
          <w:b w:val="1"/>
          <w:bCs w:val="1"/>
          <w:u w:val="single" w:color="auto"/>
          <w:color w:val="auto"/>
        </w:rPr>
        <w:t>Delivery Date</w:t>
      </w:r>
      <w:r>
        <w:rPr>
          <w:rFonts w:ascii="Times New Roman" w:cs="Times New Roman" w:eastAsia="Times New Roman" w:hAnsi="Times New Roman"/>
          <w:sz w:val="18"/>
          <w:szCs w:val="18"/>
          <w:color w:val="auto"/>
        </w:rPr>
        <w:t>”). Payment for the Notes shall be made by wire transfer in immediately available funds to the account(s) specified by the Issuers to the Representatives against delivery of the Notes to the Underwriters through the facilities of The Depository Trust Company (“</w:t>
      </w:r>
      <w:r>
        <w:rPr>
          <w:rFonts w:ascii="Times New Roman" w:cs="Times New Roman" w:eastAsia="Times New Roman" w:hAnsi="Times New Roman"/>
          <w:sz w:val="18"/>
          <w:szCs w:val="18"/>
          <w:b w:val="1"/>
          <w:bCs w:val="1"/>
          <w:u w:val="single" w:color="auto"/>
          <w:color w:val="auto"/>
        </w:rPr>
        <w:t>DTC</w:t>
      </w:r>
      <w:r>
        <w:rPr>
          <w:rFonts w:ascii="Times New Roman" w:cs="Times New Roman" w:eastAsia="Times New Roman" w:hAnsi="Times New Roman"/>
          <w:sz w:val="18"/>
          <w:szCs w:val="18"/>
          <w:color w:val="auto"/>
        </w:rPr>
        <w:t>”). Concurrently, the Issuers shall deliver to the Trustee, as custodian for DTC, one or more global notes representing the Notes (collectively, the “</w:t>
      </w:r>
      <w:r>
        <w:rPr>
          <w:rFonts w:ascii="Times New Roman" w:cs="Times New Roman" w:eastAsia="Times New Roman" w:hAnsi="Times New Roman"/>
          <w:sz w:val="18"/>
          <w:szCs w:val="18"/>
          <w:b w:val="1"/>
          <w:bCs w:val="1"/>
          <w:u w:val="single" w:color="auto"/>
          <w:color w:val="auto"/>
        </w:rPr>
        <w:t>Global Notes</w:t>
      </w: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4.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b w:val="1"/>
          <w:bCs w:val="1"/>
          <w:u w:val="single" w:color="auto"/>
          <w:color w:val="auto"/>
        </w:rPr>
        <w:t>Offering by the Underwriters</w:t>
      </w:r>
      <w:r>
        <w:rPr>
          <w:rFonts w:ascii="Times New Roman" w:cs="Times New Roman" w:eastAsia="Times New Roman" w:hAnsi="Times New Roman"/>
          <w:sz w:val="17"/>
          <w:szCs w:val="17"/>
          <w:color w:val="auto"/>
        </w:rPr>
        <w:t>. It is understood that the several Underwriters propose to offer the Notes for sale to the public as set forth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Prospectus.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Agreements of the Issuers</w:t>
      </w:r>
      <w:r>
        <w:rPr>
          <w:rFonts w:ascii="Times New Roman" w:cs="Times New Roman" w:eastAsia="Times New Roman" w:hAnsi="Times New Roman"/>
          <w:sz w:val="18"/>
          <w:szCs w:val="18"/>
          <w:color w:val="auto"/>
        </w:rPr>
        <w:t>. Each of the Issuers, jointly and severally, acknowledges and agrees with the Underwriters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Post-Effective Amendments</w:t>
      </w:r>
      <w:r>
        <w:rPr>
          <w:rFonts w:ascii="Times New Roman" w:cs="Times New Roman" w:eastAsia="Times New Roman" w:hAnsi="Times New Roman"/>
          <w:sz w:val="18"/>
          <w:szCs w:val="18"/>
          <w:color w:val="auto"/>
        </w:rPr>
        <w:t>. If, at the Applicable Time, it is necessary for a post-effective amendment to the Registration Statement to be declared effective before the offering of the Notes may commence, the Issuers will endeavor to cause such post-effective amendment to become effective as soon as possible and will advise the Representatives promptly and, if requested by the Representatives, will confirm such advice in writing when such post-effective amendment has become effective.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Preparation of Prospectus and Registration Statement</w:t>
      </w:r>
      <w:r>
        <w:rPr>
          <w:rFonts w:ascii="Times New Roman" w:cs="Times New Roman" w:eastAsia="Times New Roman" w:hAnsi="Times New Roman"/>
          <w:sz w:val="18"/>
          <w:szCs w:val="18"/>
          <w:color w:val="auto"/>
        </w:rPr>
        <w:t xml:space="preserve">. The Issuers will advise the Representatives promptly and, if requested by the Representatives, will confirm such advice in writing: (i) of any request by the Commission for amendment of or a supplement to the Registration Statement, the Preliminary Prospectus or the Prospectus or for additional information; (ii) of the issuance by the Commission of any stop order suspending the effectiveness of the Registration Statement or of the suspension of qualification of the Notes for offering or sale in any jurisdiction or the initiation of any proceeding for such purpose; and (iii) within the period of time referred to in </w:t>
      </w:r>
      <w:r>
        <w:rPr>
          <w:rFonts w:ascii="Times New Roman" w:cs="Times New Roman" w:eastAsia="Times New Roman" w:hAnsi="Times New Roman"/>
          <w:sz w:val="18"/>
          <w:szCs w:val="18"/>
          <w:u w:val="single" w:color="auto"/>
          <w:color w:val="auto"/>
        </w:rPr>
        <w:t>paragraph (e) </w:t>
      </w:r>
      <w:r>
        <w:rPr>
          <w:rFonts w:ascii="Times New Roman" w:cs="Times New Roman" w:eastAsia="Times New Roman" w:hAnsi="Times New Roman"/>
          <w:sz w:val="18"/>
          <w:szCs w:val="18"/>
          <w:color w:val="auto"/>
        </w:rPr>
        <w:t>below, of any change in the condition (financial or other), business, prospects, properties, net worth or results of operations of the Plains Entities, taken as a whole, or of the happening of any event that makes any statement of a material fact made in the Registration Statement, the Pricing Disclosure Package or the Prospectus (as then amended or supplemented) untrue or that requires the making of any additions to or changes in the Registration Statement, the Pricing Disclosure Package or the Prospectus (as then amended or supplemented) in order to state a material fact required by the Securities Act or the regulations thereunder to be stated therein or necessary in order to make the statements therein (in the case of any Preliminary Prospectus or the Prospectus, in the light of the circumstances under which any such statements were made) not misleading, or of the necessity to amend or supplement the Prospectus (as then amended or supplemented) to comply with the Securities Act or any other applicable law. If at any time the Commission shall issue any stop order suspending the effectiveness of the Registration Statement, the Partnership will make every commercially reasonable effort to obtain the withdrawal of such order at the earliest possible time.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Final Term Sheet and Issuer Free Writing Prospectuses</w:t>
      </w:r>
      <w:r>
        <w:rPr>
          <w:rFonts w:ascii="Times New Roman" w:cs="Times New Roman" w:eastAsia="Times New Roman" w:hAnsi="Times New Roman"/>
          <w:sz w:val="18"/>
          <w:szCs w:val="18"/>
          <w:color w:val="auto"/>
        </w:rPr>
        <w:t xml:space="preserve">. The Issuers agree (i) to prepare a final term sheet, containing a description of the final terms of the Notes and the offering thereof, in the form approved by the Representatives and attached as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and to file such term sheet pursuant to Rule 433 of the Rules and Regulations within the time required by such Rule and (ii) not to make any offer relating to the Notes that would constitute an Issuer Free Writing Prospectus without the prior written consent of the Representatives.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Copies of Registration Statement</w:t>
      </w:r>
      <w:r>
        <w:rPr>
          <w:rFonts w:ascii="Times New Roman" w:cs="Times New Roman" w:eastAsia="Times New Roman" w:hAnsi="Times New Roman"/>
          <w:sz w:val="18"/>
          <w:szCs w:val="18"/>
          <w:color w:val="auto"/>
        </w:rPr>
        <w:t>. The Issuers will furnish to the Underwriters, without charge, such number of copies of (i) the manually signed copy of the registration statement corresponding to the Commission’s electronic data gathering, analysis and retrieval system (“</w:t>
      </w:r>
      <w:r>
        <w:rPr>
          <w:rFonts w:ascii="Times New Roman" w:cs="Times New Roman" w:eastAsia="Times New Roman" w:hAnsi="Times New Roman"/>
          <w:sz w:val="18"/>
          <w:szCs w:val="18"/>
          <w:b w:val="1"/>
          <w:bCs w:val="1"/>
          <w:u w:val="single" w:color="auto"/>
          <w:color w:val="auto"/>
        </w:rPr>
        <w:t>EDGAR</w:t>
      </w:r>
      <w:r>
        <w:rPr>
          <w:rFonts w:ascii="Times New Roman" w:cs="Times New Roman" w:eastAsia="Times New Roman" w:hAnsi="Times New Roman"/>
          <w:sz w:val="18"/>
          <w:szCs w:val="18"/>
          <w:color w:val="auto"/>
        </w:rPr>
        <w:t>”) version filed with the Commission and of each amendment thereto, including financial statements and all exhibits to the registration statement, (ii) the registration statement as originally filed and of each amendment thereto, without exhibits, (iii) the Incorporated Documents, without exhibits, and (iv) the exhibits to the Incorporated Documents, in each case, as the Underwriters may reasonably request.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Filing of Amendment or Supplement</w:t>
      </w:r>
      <w:r>
        <w:rPr>
          <w:rFonts w:ascii="Times New Roman" w:cs="Times New Roman" w:eastAsia="Times New Roman" w:hAnsi="Times New Roman"/>
          <w:sz w:val="18"/>
          <w:szCs w:val="18"/>
          <w:color w:val="auto"/>
        </w:rPr>
        <w:t>. For such period as in the opinion of counsel for the Underwriters a prospectus is required by the Securities Act to be delivered in connection with sales by any Underwriter or any dealer, the Issuers will not file any amendment to the Registration Statement, supplement to the Prospectus (or any other prospectus relating to the Notes filed pursuant to Rule 424(b) of the Rules and Regulations that differs from the Prospectus as filed pursuant to such Rule 424(b)), or any Preliminary Prospectus or Issuer Free Writing Prospectus of which the Representatives shall not previously have been advised or to which the Representatives shall have reasonably objected in writing after being so advised unless the Issuers shall have determined based upon the advice of counsel that such amendment, supplement or other filing is required by law; and the Issuers will promptly notify the Representatives after they shall have received notice thereof of the time when any amendment to the Registration Statement becomes effective or when any supplement to the Prospectus has been filed.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Copies of Documents to the Underwriters</w:t>
      </w:r>
      <w:r>
        <w:rPr>
          <w:rFonts w:ascii="Times New Roman" w:cs="Times New Roman" w:eastAsia="Times New Roman" w:hAnsi="Times New Roman"/>
          <w:sz w:val="18"/>
          <w:szCs w:val="18"/>
          <w:color w:val="auto"/>
        </w:rPr>
        <w:t xml:space="preserve">. As soon after the Applicable Time as possible and thereafter from time to time for such period as in the opinion of counsel for the Underwriters a prospectus is required by the Securities Act to be delivered in connection with sales by any Underwriter or any dealer, the Issuers will expeditiously deliver to each Underwriter and each dealer that the Underwriters may specify, without charge, as many copies of the Prospectus (and of any amendment or supplement thereto) as the Underwriters may reasonably request. At any time after nine months after the time of issuance of the Prospectus, upon request and without charge, the Issuers will deliver as many copies of an amended or supplemented Prospectus complying with Section 10(a)(3) of the Securities Act as the Underwriters may reasonably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prospectus is required by the Securities Act to be delivered in connection with sales of the Notes by any Underwriter or any dealer. The Issuers consent to the use of the Prospectus (and of any amendment or supplement thereto) in accordance with the provisions of the Securities Act and with the securities or Blue Sky laws of the jurisdictions in which the Notes are offered by the Underwriters and by all dealers to whom Notes may be sold, both in connection with the offering and sale of the Notes and for such period of time thereafter as the Prospectus is required by the Securities Act to be delivered in connection with sales by any Underwriter or any dealer. If during such period of time any event shall occur that in the judgment of the Issuers or in the opinion of counsel for the Underwriters and the Issuers is required to be set forth in the Prospectus (as then amended or supplemented) or should be set forth therein in order to make the statements therein, in the light of the circumstances under which they were made, not misleading, or if it is necessary to supplement or amend the Prospectus (or to file under the Exchange Act any document which, upon filing, becomes an Incorporated Document) to comply with the Securities Act or any other law, the Issuers will forthwith prepare and, subject to the provisions of </w:t>
      </w:r>
      <w:r>
        <w:rPr>
          <w:rFonts w:ascii="Times New Roman" w:cs="Times New Roman" w:eastAsia="Times New Roman" w:hAnsi="Times New Roman"/>
          <w:sz w:val="18"/>
          <w:szCs w:val="18"/>
          <w:u w:val="single" w:color="auto"/>
          <w:color w:val="auto"/>
        </w:rPr>
        <w:t>paragraph (e) </w:t>
      </w:r>
      <w:r>
        <w:rPr>
          <w:rFonts w:ascii="Times New Roman" w:cs="Times New Roman" w:eastAsia="Times New Roman" w:hAnsi="Times New Roman"/>
          <w:sz w:val="18"/>
          <w:szCs w:val="18"/>
          <w:color w:val="auto"/>
        </w:rPr>
        <w:t xml:space="preserve">above, file with the Commission an appropriate supplement or amendment thereto (or to such document), and will expeditiously furnish to the Underwriters and dealers a reasonable number of copies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event necessitating a supplement or amendment to the Prospectus occurs at any time after nine months after the time of issuance of the Prospectus, such supplement or amendment shall be prepared at the Underwriters’ expense. In the event that the Issuers and the Representatives agree that the Prospectus should be amended or supplemented, the Issuers, if requested by the Representatives, will promptly issue a press release announcing or disclosing the matters to be covered by the proposed amendment or supplement unless the Issuers shall have determined, based on the advice of counsel, that the issuance of such press release would not be required by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Blue Sky Laws</w:t>
      </w:r>
      <w:r>
        <w:rPr>
          <w:rFonts w:ascii="Times New Roman" w:cs="Times New Roman" w:eastAsia="Times New Roman" w:hAnsi="Times New Roman"/>
          <w:sz w:val="18"/>
          <w:szCs w:val="18"/>
          <w:color w:val="auto"/>
        </w:rPr>
        <w:t xml:space="preserve">. The Issuers will cooperate with the Representatives and with counsel for the Underwriters in connection with the registration or qualification of the Notes for offering and sale by the Underwriters and by dealers under the securities or Blue Sky laws of such jurisdictions as the Underwriters may reasonably designate and will file such consents to service of process or other documents reasonably necessary or appropriate in order to effect such registration or qualification;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any Plains Entity be obligated to qualify to do business in any jurisdiction where it is not now so qualified or to take any action that would subject it to service of process in suits, other than those arising out of the offering or sale of the Notes, in any jurisdiction where it is not now so subject. The Issuers will promptly notify the Representatives of the receipt by the Issuers of any notification with respect to the suspension of the qualification of the Notes for sale in any jurisdiction or the initiation or threatening of any proceeding for such purpose.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Reports to Security Holders</w:t>
      </w:r>
      <w:r>
        <w:rPr>
          <w:rFonts w:ascii="Times New Roman" w:cs="Times New Roman" w:eastAsia="Times New Roman" w:hAnsi="Times New Roman"/>
          <w:sz w:val="18"/>
          <w:szCs w:val="18"/>
          <w:color w:val="auto"/>
        </w:rPr>
        <w:t>. In accordance with Section 11(a) of the Securities Act and Rule 158 of the Rules and Regulations, the Issuers will make generally available to their security holders an earnings statement (which need not be audited) in reasonable detail covering the 12-month period beginning not later than the first day of the month next succeeding the month in which occurred the effective date (within the meaning of such Rule 158) of the Registration Statement as soon as practicable after the end of such period.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Copies of Reports</w:t>
      </w:r>
      <w:r>
        <w:rPr>
          <w:rFonts w:ascii="Times New Roman" w:cs="Times New Roman" w:eastAsia="Times New Roman" w:hAnsi="Times New Roman"/>
          <w:sz w:val="18"/>
          <w:szCs w:val="18"/>
          <w:color w:val="auto"/>
        </w:rPr>
        <w:t>. Unless otherwise available on EDGAR, during the period of two years hereafter, the Issuers will furnish or make available to the Underwriters (i) as soon as publicly available, a copy of each report of the Issuers mailed to unitholders or filed with the Commission or the principal national securities exchange or automated quotation system upon which the Notes may be listed, and (ii) from time to time such other information concerning the Issuers as the Underwriters may reasonably request.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Termination Expenses</w:t>
      </w:r>
      <w:r>
        <w:rPr>
          <w:rFonts w:ascii="Times New Roman" w:cs="Times New Roman" w:eastAsia="Times New Roman" w:hAnsi="Times New Roman"/>
          <w:sz w:val="18"/>
          <w:szCs w:val="18"/>
          <w:color w:val="auto"/>
        </w:rPr>
        <w:t xml:space="preserve">. If this Agreement shall terminate or shall be terminated after execution pursuant to any provisions hereof (other than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hereof or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hereof (except pursuant to the first clause of </w:t>
      </w:r>
      <w:r>
        <w:rPr>
          <w:rFonts w:ascii="Times New Roman" w:cs="Times New Roman" w:eastAsia="Times New Roman" w:hAnsi="Times New Roman"/>
          <w:sz w:val="18"/>
          <w:szCs w:val="18"/>
          <w:u w:val="single" w:color="auto"/>
          <w:color w:val="auto"/>
        </w:rPr>
        <w:t>Section 10(i)</w:t>
      </w:r>
      <w:r>
        <w:rPr>
          <w:rFonts w:ascii="Times New Roman" w:cs="Times New Roman" w:eastAsia="Times New Roman" w:hAnsi="Times New Roman"/>
          <w:sz w:val="18"/>
          <w:szCs w:val="18"/>
          <w:color w:val="auto"/>
        </w:rPr>
        <w:t>)) or if this Agreement shall be terminated by the Underwriters because of any failure or refusal on the part of either of the Issuers to comply with the terms or fulfill any of the conditions of this Agreement, the Issuers, jointly and severally, agree to reimburse the Underwriters for all reasonable and documented out-of-pocket expenses (including reasonable and documented fees and expenses of counsel for the Underwriters) incurred by the Underwriters in connection herewith.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Application of Proceeds</w:t>
      </w:r>
      <w:r>
        <w:rPr>
          <w:rFonts w:ascii="Times New Roman" w:cs="Times New Roman" w:eastAsia="Times New Roman" w:hAnsi="Times New Roman"/>
          <w:sz w:val="18"/>
          <w:szCs w:val="18"/>
          <w:color w:val="auto"/>
        </w:rPr>
        <w:t>. The Issuers will apply the net proceeds from the sale of the Notes in accordance with the description set forth under the caption “Use of Proceeds” in the Pricing Disclosure Package and the Prospectus.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Filing of Prospectus</w:t>
      </w:r>
      <w:r>
        <w:rPr>
          <w:rFonts w:ascii="Times New Roman" w:cs="Times New Roman" w:eastAsia="Times New Roman" w:hAnsi="Times New Roman"/>
          <w:sz w:val="18"/>
          <w:szCs w:val="18"/>
          <w:color w:val="auto"/>
        </w:rPr>
        <w:t>. The Issuers will timely file the Prospectus, and any amendment or supplement thereto, pursuant to Rule 424(b) of the Rules and Regulations and will advise the Underwriters of the time and manner of such filing.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Stabilization</w:t>
      </w:r>
      <w:r>
        <w:rPr>
          <w:rFonts w:ascii="Times New Roman" w:cs="Times New Roman" w:eastAsia="Times New Roman" w:hAnsi="Times New Roman"/>
          <w:sz w:val="18"/>
          <w:szCs w:val="18"/>
          <w:color w:val="auto"/>
        </w:rPr>
        <w:t>. Except as stated in this Agreement and the Prospectus, neither of the Issuers has taken, or will take, directly or indirectly, any action designed to or that might reasonably be expected to cause or result in stabilization or manipulation of the price of any security of the Issuers to facilitate the sale or resale of the Notes.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Investment Company</w:t>
      </w:r>
      <w:r>
        <w:rPr>
          <w:rFonts w:ascii="Times New Roman" w:cs="Times New Roman" w:eastAsia="Times New Roman" w:hAnsi="Times New Roman"/>
          <w:sz w:val="18"/>
          <w:szCs w:val="18"/>
          <w:color w:val="auto"/>
        </w:rPr>
        <w:t>. The Issuers will take such steps as shall be necessary to ensure that none of the Plains Entities or the GP Entities shall become an “investment company” within the meaning of such term under the Investment Company Act and the rules and regulations of the Commission thereunder.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Exchange Act Reports</w:t>
      </w:r>
      <w:r>
        <w:rPr>
          <w:rFonts w:ascii="Times New Roman" w:cs="Times New Roman" w:eastAsia="Times New Roman" w:hAnsi="Times New Roman"/>
          <w:sz w:val="18"/>
          <w:szCs w:val="18"/>
          <w:color w:val="auto"/>
        </w:rPr>
        <w:t>. The Issuers, during the period when the Prospectus is required to be delivered under the Securities Act, will file all documents required to be filed with the Commission pursuant to the Exchange Act within the time periods required by the Exchange Act.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Free Writing Prospectuses</w:t>
      </w:r>
      <w:r>
        <w:rPr>
          <w:rFonts w:ascii="Times New Roman" w:cs="Times New Roman" w:eastAsia="Times New Roman" w:hAnsi="Times New Roman"/>
          <w:sz w:val="18"/>
          <w:szCs w:val="18"/>
          <w:color w:val="auto"/>
        </w:rPr>
        <w:t xml:space="preserve">. The Issuers have complied and will comply with the requirements of Rule 433 of the Rules and Regulations applicable to any Issuer Free Writing Prospectus, including appropriate legending and timely filing with the Commission or retention where required. The Issuers agree that they will satisfy the conditions under Rule 433 of the Rules and Regulations to avoid a requirement to file with the Commission any electronic road show. The Issuers agree that if at any time following issuance of an Issuer Free Writing Prospectus any event occurred or occurs as a result of which such Issuer Free Writing Prospectus would conflict with the information in the Registration Statement, the most recent Preliminary Prospectus or the Prospectus or would include an untrue statement of a material fact or omit to state any material fact necessary in order to make the statements therein, in the light of the circumstances then prevailing, not misleading, the Issuers will give prompt notice thereof to the Representatives and, if requested by the Representatives, will prepare and furnish without charge to each Underwriter an Issuer Free Writing Prospectus or other document that will correct such conflict, statement or omission;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this representation and warranty shall not apply to any statements or omissions in an Issuer Free Writing Prospectus made in reliance upon and in conformity with information furnished in writing to the Issuers by an Underwriter through the Representatives expressly for use therein, which information is specified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Clear Market</w:t>
      </w:r>
      <w:r>
        <w:rPr>
          <w:rFonts w:ascii="Times New Roman" w:cs="Times New Roman" w:eastAsia="Times New Roman" w:hAnsi="Times New Roman"/>
          <w:sz w:val="18"/>
          <w:szCs w:val="18"/>
          <w:color w:val="auto"/>
        </w:rPr>
        <w:t>. During the period from the date hereof through and including the business day following the Delivery Date, the Issuers will not, without the prior written consent of the Representatives, offer, sell, contract to sell or otherwise dispose of any debt securities issued or guaranteed by the Issuers and having a tenor of more than one year.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Indemnification and Contribution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Each of the Issuers, jointly and severally, agrees to indemnify and hold harmless each Underwriter, the directors, officers, employees and agents of each Underwriter, each affiliate of any Underwriter who has participated in the distribution of the Notes as an underwriter, each broker-dealer affiliate of any Underwriter, and each person, if any, who controls any Underwriter within the meaning of Section 15 of the Securities Act or Section 20 of the Exchange Act from and against any and all losses, claims, damages, liabilities and expenses, joint or several (including reasonable and documented costs of investigation), to which they or any of them became subject under the Securities Act, the Exchange Act or otherwise, insofar as such losses, claims, damages, liabilities or expenses arise out of, or are based upon, (i) any untrue statement or alleged untrue statement of a material fact contained in the Registration Statement, any Preliminary Prospectus, the Prospectus, any Issuer Free Writing Prospectus or in any amendment or supplement thereto or in any “road show” (as defined in Rule 433 of the Rules and Regulations) not constituting an Issuer Free Writing Prospectus (a “</w:t>
      </w:r>
      <w:r>
        <w:rPr>
          <w:rFonts w:ascii="Times New Roman" w:cs="Times New Roman" w:eastAsia="Times New Roman" w:hAnsi="Times New Roman"/>
          <w:sz w:val="18"/>
          <w:szCs w:val="18"/>
          <w:b w:val="1"/>
          <w:bCs w:val="1"/>
          <w:u w:val="single" w:color="auto"/>
          <w:color w:val="auto"/>
        </w:rPr>
        <w:t>Non-Prospectus Road Show</w:t>
      </w:r>
      <w:r>
        <w:rPr>
          <w:rFonts w:ascii="Times New Roman" w:cs="Times New Roman" w:eastAsia="Times New Roman" w:hAnsi="Times New Roman"/>
          <w:sz w:val="18"/>
          <w:szCs w:val="18"/>
          <w:color w:val="auto"/>
        </w:rPr>
        <w:t xml:space="preserve">”) or (ii) the omission or alleged omission to state in the Registration Statement, any Preliminary Prospectus, the Prospectus, any Issuer Free Writing Prospectus or in any amendment or supplement thereto or in any Non-Prospectus Road Show, any material fact required to be stated therein or necessary to make the statements therein (in the case of any Preliminary Prospectus or the Prospectus, in the light of the circumstances under which any such statements were made) not misleading, and shall reimburse each Underwriter and each such director, officer, employee or controlling person promptly upon demand for any legal or other documented expenses reasonably incurred by that Underwriter, director, officer, employee or controlling person in connection with investigating or defending or preparing to defend against any such loss, claim, damage, liability or action as such expenses are incurred;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Issuers shall not be liable in any such case to the extent that any such loss, claim, damage, liability or action arises out of, or is based upon, any untrue statement or alleged untrue statement or omission or alleged omission made in the Registration Statement, any Preliminary Prospectus, the Prospectus, any Issuer Free Writing Prospectus or in any such amendment or supplement thereto or in any Non-Prospectus Road Show, in reliance upon and in conformity with written information concerning such Underwriter furnished to the Issuers through the Representatives by or on behalf of any Underwriter specifically for inclusion therein, which information consists solely of the information specified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The foregoing indemnity agreement is in addition to any liability that the Issuers may otherwise have to any Underwriter or to any director, officer, employee or controlling person of that Underwriter.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17"/>
          <w:szCs w:val="17"/>
          <w:color w:val="auto"/>
        </w:rPr>
        <w:t>(b)            If any action, suit or proceeding shall be brought against any Underwriter, any director, officer, employee or agent of any Underwriter or any person controlling any Underwriter in respect of which indemnity may be sought against an Issuer, such Underwriter or such director, officer, employee, agent or controlling person shall promptly notify the Partnership in writing, and the Issuers shall assume the defense thereof, including the employment of counsel reasonably satisfactory to such indemnified party and payment of all reasonable and documented fees and expenses. The failure to notify the indemnifying party shall not relieve it from liability that it may have to an indemnified party unless the indemnifying party is foreclosed by reason of such delay from asserting a defense otherwise available to it. Such Underwriter or any such director, officer, employee, agent or controlling person shall have the right to employ separate counsel in any such action, suit or proceeding and to participate in (but not control) the defense thereof, but the fees and expenses of such counsel shall be at the expense of such Underwriter or such director, officer, employee, agent or controlling person unless (i) the Issuers have agreed in writing to pay such fees and expenses, (ii) the Issuers have failed to assume the defense and employ counsel within a reasonable period of time in light of the circumstances or (iii) such indemnified party or parties shall have reasonably concluded, based on the advice of counsel, that there may be defenses available to it or them that are different from, additional to or in conflict with those available to the Issuers (in which case the Issuers shall not have the right to direct the defense of such action, suit or proceeding on behalf of the indemnified party or parties), in any of which events the Issuers shall pay the reasonable and documented fees and expenses of such counsel as such fees and expenses are incurred (it being understood, however, that the Issuers shall not be liable for the expenses of more than one separate counsel (in addition to any local counsel) in any one action, suit or proceeding or series of related actions, suits or proceedings in the same jurisdiction representing the indemnified parties who are parties to such action, suit or proceeding).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(c)            Each Underwriter agrees, severally and not jointly, to indemnify and hold harmless the Issuers, GP LLC’s directors and the officers who signed the Registration Statement, and any person who controls either of the Issuers within the meaning of Section 15 of the Securities Act or Section 20 of the Exchange Act, to the same extent as the foregoing indemnity from the Issuers to each Underwriter, but only with respect to information furnished in writing by or on behalf of such Underwriter through the Representatives expressly for use in the Registration Statement, any Preliminary Prospectus, the Prospectus, any Issuer Free Writing Prospectus or in any amendment or supplement thereto or in any Non-Prospectus Road Show, which information is limited to the information set forth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If any action, suit or proceeding shall be brought against an Issuer, any of such directors and officers or any such controlling person based on the Registration Statement, any Preliminary Prospectus, the Prospectus, any Issuer Free Writing Prospectus or in any amendment or supplement thereto or in any Non-Prospectus Road Show, and in respect of which indemnity may be sought against any Underwriter pursuant to this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such Underwriter shall have the rights and duties given to the Issuers by </w:t>
      </w:r>
      <w:r>
        <w:rPr>
          <w:rFonts w:ascii="Times New Roman" w:cs="Times New Roman" w:eastAsia="Times New Roman" w:hAnsi="Times New Roman"/>
          <w:sz w:val="18"/>
          <w:szCs w:val="18"/>
          <w:u w:val="single" w:color="auto"/>
          <w:color w:val="auto"/>
        </w:rPr>
        <w:t>paragraph (b) </w:t>
      </w:r>
      <w:r>
        <w:rPr>
          <w:rFonts w:ascii="Times New Roman" w:cs="Times New Roman" w:eastAsia="Times New Roman" w:hAnsi="Times New Roman"/>
          <w:sz w:val="18"/>
          <w:szCs w:val="18"/>
          <w:color w:val="auto"/>
        </w:rPr>
        <w:t xml:space="preserve">above (except that if the Issuers shall have assumed the defense thereof such Underwriter shall not be required to do so, but may employ separate counsel therein and participate in (but not control) the defense thereof, but the fees and expenses of such counsel shall be at such Underwriter’s expense), and the Issuers, any of such directors and officers and any such controlling person shall have the rights and duties given to the Underwriters by </w:t>
      </w:r>
      <w:r>
        <w:rPr>
          <w:rFonts w:ascii="Times New Roman" w:cs="Times New Roman" w:eastAsia="Times New Roman" w:hAnsi="Times New Roman"/>
          <w:sz w:val="18"/>
          <w:szCs w:val="18"/>
          <w:u w:val="single" w:color="auto"/>
          <w:color w:val="auto"/>
        </w:rPr>
        <w:t>paragraph (b) </w:t>
      </w:r>
      <w:r>
        <w:rPr>
          <w:rFonts w:ascii="Times New Roman" w:cs="Times New Roman" w:eastAsia="Times New Roman" w:hAnsi="Times New Roman"/>
          <w:sz w:val="18"/>
          <w:szCs w:val="18"/>
          <w:color w:val="auto"/>
        </w:rPr>
        <w:t>above. The foregoing indemnity agreement shall be in addition to any liability that the Underwriters may otherwise have.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17"/>
          <w:szCs w:val="17"/>
          <w:color w:val="auto"/>
        </w:rPr>
        <w:t xml:space="preserve">(d)            If the indemnification provided for in this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is unavailable to an indemnified party under </w:t>
      </w:r>
      <w:r>
        <w:rPr>
          <w:rFonts w:ascii="Times New Roman" w:cs="Times New Roman" w:eastAsia="Times New Roman" w:hAnsi="Times New Roman"/>
          <w:sz w:val="17"/>
          <w:szCs w:val="17"/>
          <w:u w:val="single" w:color="auto"/>
          <w:color w:val="auto"/>
        </w:rPr>
        <w:t>paragraph (a) </w:t>
      </w:r>
      <w:r>
        <w:rPr>
          <w:rFonts w:ascii="Times New Roman" w:cs="Times New Roman" w:eastAsia="Times New Roman" w:hAnsi="Times New Roman"/>
          <w:sz w:val="17"/>
          <w:szCs w:val="17"/>
          <w:color w:val="auto"/>
        </w:rPr>
        <w:t xml:space="preserve">or </w:t>
      </w:r>
      <w:r>
        <w:rPr>
          <w:rFonts w:ascii="Times New Roman" w:cs="Times New Roman" w:eastAsia="Times New Roman" w:hAnsi="Times New Roman"/>
          <w:sz w:val="17"/>
          <w:szCs w:val="17"/>
          <w:u w:val="single" w:color="auto"/>
          <w:color w:val="auto"/>
        </w:rPr>
        <w:t>(c) </w:t>
      </w:r>
      <w:r>
        <w:rPr>
          <w:rFonts w:ascii="Times New Roman" w:cs="Times New Roman" w:eastAsia="Times New Roman" w:hAnsi="Times New Roman"/>
          <w:sz w:val="17"/>
          <w:szCs w:val="17"/>
          <w:color w:val="auto"/>
        </w:rPr>
        <w:t xml:space="preserve">hereof in respect of any losses, claims, damages, liabilities or expenses referred to therein, then an indemnifying party, in lieu of indemnifying such indemnified party, shall contribute to the amount paid or payable by such indemnified party as a result of such losses, claims, damages, liabilities or expenses (i) in such proportion as is appropriate to reflect the relative benefits received by the Issuers on the one hand and the Underwriters on the other hand from the offering of the Notes, or (ii) if the allocation provided by </w:t>
      </w:r>
      <w:r>
        <w:rPr>
          <w:rFonts w:ascii="Times New Roman" w:cs="Times New Roman" w:eastAsia="Times New Roman" w:hAnsi="Times New Roman"/>
          <w:sz w:val="17"/>
          <w:szCs w:val="17"/>
          <w:u w:val="single" w:color="auto"/>
          <w:color w:val="auto"/>
        </w:rPr>
        <w:t>clause (i) </w:t>
      </w:r>
      <w:r>
        <w:rPr>
          <w:rFonts w:ascii="Times New Roman" w:cs="Times New Roman" w:eastAsia="Times New Roman" w:hAnsi="Times New Roman"/>
          <w:sz w:val="17"/>
          <w:szCs w:val="17"/>
          <w:color w:val="auto"/>
        </w:rPr>
        <w:t xml:space="preserve">above is not permitted by applicable law, in such proportion as is appropriate to reflect not only the relative benefits referred to in </w:t>
      </w:r>
      <w:r>
        <w:rPr>
          <w:rFonts w:ascii="Times New Roman" w:cs="Times New Roman" w:eastAsia="Times New Roman" w:hAnsi="Times New Roman"/>
          <w:sz w:val="17"/>
          <w:szCs w:val="17"/>
          <w:u w:val="single" w:color="auto"/>
          <w:color w:val="auto"/>
        </w:rPr>
        <w:t>clause (i) </w:t>
      </w:r>
      <w:r>
        <w:rPr>
          <w:rFonts w:ascii="Times New Roman" w:cs="Times New Roman" w:eastAsia="Times New Roman" w:hAnsi="Times New Roman"/>
          <w:sz w:val="17"/>
          <w:szCs w:val="17"/>
          <w:color w:val="auto"/>
        </w:rPr>
        <w:t>above but also the relative fault of the Issuers on the one hand and the Underwriters on the other in connection with the statements or omissions that resulted in such losses, claims, damages, liabilities or expenses, as well as any other relevant equitable considerations. The relative benefits received by the Issuers on the one hand and the Underwriters on the other shall be deemed to be in the same proportion as the total net proceeds from the offering (before deducting expenses) received by the Issuers bear to the total underwriting discounts and commissions received by the Underwriters, in each case as set forth in the table on the cover page of the Prospectus. The relative fault of the Issuers on the one hand and the Underwriters on the other hand shall be determined by reference to, among other things, whether the untrue or alleged untrue statement of a material fact or the omission or alleged omission to state a material fact relates to information supplied by the Issuers or any affiliate of the Issuers on the one hand, or by the Underwriters on the other hand, and the parties’ relative intent, knowledge, access to information and opportunity to correct or prevent such statement or omission.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(e)            The Issuers and the Underwriters agree that it would not be just and equitable if contribution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were determined by a pro rata allocation (even if the Underwriters were treated as one entity for such purpose) or by any other method of allocation that does not take account of the equitable considerations referred to in </w:t>
      </w:r>
      <w:r>
        <w:rPr>
          <w:rFonts w:ascii="Times New Roman" w:cs="Times New Roman" w:eastAsia="Times New Roman" w:hAnsi="Times New Roman"/>
          <w:sz w:val="18"/>
          <w:szCs w:val="18"/>
          <w:u w:val="single" w:color="auto"/>
          <w:color w:val="auto"/>
        </w:rPr>
        <w:t>paragraph (d) </w:t>
      </w:r>
      <w:r>
        <w:rPr>
          <w:rFonts w:ascii="Times New Roman" w:cs="Times New Roman" w:eastAsia="Times New Roman" w:hAnsi="Times New Roman"/>
          <w:sz w:val="18"/>
          <w:szCs w:val="18"/>
          <w:color w:val="auto"/>
        </w:rPr>
        <w:t xml:space="preserve">above. The amount paid or payable by an indemnified party as a result of the losses, claims, damages, liabilities and expenses referred to in </w:t>
      </w:r>
      <w:r>
        <w:rPr>
          <w:rFonts w:ascii="Times New Roman" w:cs="Times New Roman" w:eastAsia="Times New Roman" w:hAnsi="Times New Roman"/>
          <w:sz w:val="18"/>
          <w:szCs w:val="18"/>
          <w:u w:val="single" w:color="auto"/>
          <w:color w:val="auto"/>
        </w:rPr>
        <w:t>paragraph (d) </w:t>
      </w:r>
      <w:r>
        <w:rPr>
          <w:rFonts w:ascii="Times New Roman" w:cs="Times New Roman" w:eastAsia="Times New Roman" w:hAnsi="Times New Roman"/>
          <w:sz w:val="18"/>
          <w:szCs w:val="18"/>
          <w:color w:val="auto"/>
        </w:rPr>
        <w:t xml:space="preserve">above shall be deemed to include, subject to the limitations set forth above, any legal or other documented expenses reasonably incurred by such indemnified party in connection with investigating any claim or defending any such action, suit or proceeding. Notwithstanding the provisions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no Underwriter shall be required to contribute any amount in excess of the amount by which the total price of the Notes underwritten by it and distributed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as provided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are several and not joint.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(f)            No indemnifying party shall (i)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any findings of fact or admissions of fault or culpability as to the indemnified party, or (ii) be liable for any settlement of any such action effected without its written consent (which consent shall not be unreasonably withheld),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(g)            Any losses, claims, damages, liabilities or expenses for which an indemnified party is entitled to indemnification or contribution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be paid by the indemnifying party to the indemnified party as such losses, claims, damages, liabilities or expenses are incurred. The indemnity and contribution agreements contained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the covenants, representations and warranties of the Issuers set forth in this Agreement shall remain operative and in full force and effect, regardless of (i) any investigation made by or on behalf of any Underwriter or any person controlling any Underwriter, or the Issuers, GP LLC, PAGP GP or any of their respective directors or officers, or any person controlling the Issuers, (ii) acceptance of any Notes and payment therefor in accordance with the terms of this Agreement, and (iii) any termination of this Agreement. A successor to any Underwriter or any person controlling any Underwriter, or to the Issuers, GP LLC, PAGP GP or any of their respective directors or officers, or any person controlling the Issuers shall be entitled to the benefits of the indemnity, contribution and reimbursement agreements contained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Conditions to the Obligations of the Underwriters</w:t>
      </w:r>
      <w:r>
        <w:rPr>
          <w:rFonts w:ascii="Times New Roman" w:cs="Times New Roman" w:eastAsia="Times New Roman" w:hAnsi="Times New Roman"/>
          <w:sz w:val="18"/>
          <w:szCs w:val="18"/>
          <w:color w:val="auto"/>
        </w:rPr>
        <w:t>. The several obligations of the Underwriters to purchase the Notes are subject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conditions: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All filings required by Rule 424 and Rule 430B of the Rules and Regulations shall have been made. All material required to be filed by the Issuers pursuant to Rule 433(d) of the Rules and Regulations shall have been filed with the Commission within the applicable time period prescribed for such filing by Rule 433 of the Rules and Regulations. No stop order (i) suspending the effectiveness of the Registration Statement or (ii) suspending or preventing the use of the most recent Preliminary Prospectus, the Prospectus or any Issuer Free Writing Prospectus shall have been issued and no proceeding for that purpose shall have been instituted or, to the knowledge of the Issuers or any Underwriter, threatened by the Commission, and any request of the Commission for additional information (to be included in the Registration Statement or the Prospectus or otherwise) shall have been complied with to the reasonable satisfaction of the Representatives.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Subsequent to the Applicable Time, there shall not have occurred (i) any change, or any development involving a prospective change, that would reasonably be expected to have a Material Adverse Effect, not contemplated by the Prospectus, which in the Representatives’ opinion, would materially adversely affect the market for the Notes, or (ii) any event or development relating to or involving any of the Plains Entities or any executive officer or director of any of such entities that makes any statement made in the Prospectus untrue or which, in the opinion of the Issuers and their counsel or the Underwriters and their counsel, requires the making of any addition to or change in the Prospectus in order to state a material fact required by the Securities Act or any other law to be stated therein or necessary in order to make the statements therein, in the light of the circumstances under which they were made, not misleading, if amending or supplementing the Prospectus to reflect such event or development would, in the Representatives’ opinion, materially adversely affect the market for the Notes.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firstLine="648"/>
        <w:spacing w:after="0" w:line="250" w:lineRule="auto"/>
        <w:rPr>
          <w:sz w:val="20"/>
          <w:szCs w:val="20"/>
          <w:color w:val="auto"/>
        </w:rPr>
      </w:pPr>
      <w:r>
        <w:rPr>
          <w:rFonts w:ascii="Times New Roman" w:cs="Times New Roman" w:eastAsia="Times New Roman" w:hAnsi="Times New Roman"/>
          <w:sz w:val="18"/>
          <w:szCs w:val="18"/>
          <w:color w:val="auto"/>
        </w:rPr>
        <w:t>(c)            The Representatives shall have received an opinion of Vinson &amp; Elkins L.L.P., counsel for the Issuers, dated the Delivery Date and addressed to the Underwriters, to the effect that: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            Each of the Issuers, the GP Entities and the Domestic Subsidiaries is validly existing in good standing as a limited partnership, limited liability company or corporation under the laws of its jurisdiction of formation or incorporation with full corporate, limited partnership or limited liability company power and authority, as the case may be, to own or lease its properties and to conduct its business, in each case in all material respects.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            Each GP Entity that serves as a general partner of the Partnership or another GP Entity has full limited liability company power and authority to serve as general partner of the Partnership or such GP Entity, in each case, in all material respects.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(iii)            The respective general partner interests, limited partner interests or membership interests in the Partnership, the General Partner, Plains AAP, GP LLC and PAGP owned by the GP Entities, as such interests are described in the Registration Statement, the Pricing Disclosure Package and the Prospectus, (a) have been duly authorized and validly issued in accordance with their respective Organizational Documents, as applicable, and such limited partner interests and membership interests are fully paid (to the extent required under their respective Organizational Documents, as applicable) and nonassessable (except as such nonassessability may be affected by Sections 17-303, 17-607 and 17-804 of the Delaware LP Act or Sections 18-607 and 18-804 of the Delaware LLC Act, as applicable) and (b) are owned, directly or indirectly, by the applicable GP Entity, free and clear of all Liens (A) in respect of which a financing statement under the Uniform Commercial Code of the State of Delaware naming such entity as debtor is on file in the office of the Secretary of State of the State of Delaware, or (B) otherwise known to such counsel, without independent investigation, other than those created by or arising under the Delaware LP Act or the Delaware LLC 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(iv)            Each of the Issuers has the requisite partnership or corporate, as applicable, power and authority to issue, sell and deliver the Notes, in accordance with and upon the terms and conditions set forth in this Agreement, its Organizational Documents, the Indenture, the Registration Statement, the Pricing Disclosure Package and the Prospectus.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            The offering and sale of the Notes as contemplated by this Agreement do not give rise to any rights for or relating to the registration of any other securities of the Issuers under any agreement filed as an exhibit to the Registration Statement, except such rights as have been waived or satisfied.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            The Indenture has been duly qualified under the Trust Indenture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(vii)            This Agreement has been duly authorized, executed and delivered by each of the Issuers.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(viii)            The Base Indenture and the Supplemental Indenture have been duly authorized, executed and delivered by each of the Issuers, and (assuming the due authorization, execution and delivery thereof by the Trustee) the Indenture is a valid and legally binding agreement of such Issuers, enforceable against each of them in accordance with its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(ix)            The global certificates representing the Notes are substantially in the form contemplated by the Indenture, the Notes have been duly and validly authorized and, when each such certificate is executed and authenticated in accordance with the provisions of the Indenture and the Notes and delivered to and paid for by the Underwriters under this Agreement, the Notes will constitute legal, valid, binding and enforceable obligations of the Issuers entitled to the benefits of the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(x)            The partnership agreement or limited liability company agreement, as applicable, of each of the Partnership and the GP Entities has been duly authorized, executed and delivered by the parties thereto and is a valid and legally binding agreement of such parties thereto, enforceable against the parties thereto in accordance with its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each such agreement, the enforceability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(xi)            None of (A) the offering, issuance and sale by the Issuers of the Notes, (B) the execution, delivery and performance of this Agreement by the Issuers, (C) the consummation of the transactions contemplated by this Agreement, (D) the execution and delivery of the Supplemental Indenture and the performance of the Indenture by the Issuers or the consummation of the transactions contemplated thereby (1) constitutes or will constitute a violation of the Organizational Documents of any of the Issuers, the Domestic Subsidiaries or the GP Entities, (2) conflicts or will conflict with or constitutes or will constitute a breach or violation of, a change of control or a default under (or an event that, with notice or lapse of time or both, would constitute such an event) any document or agreement filed as an exhibit to the Registration Statement or any Incorporated Document (excluding, for this purpose, the Hedged Inventory Facility and the Credit Agreement dated as of August 20, 2021, as amended, among the Partnership and Plains Midstream Canada, as borrowers, certain subsidiaries of the Partnership from time to time party thereto, as designated borrowers, Bank of America, N.A., as administrative agent and swing line lender thereunder, Bank of America, N.A., Citibank, N.A., JPMorgan Chase Bank, N.A. and Wells Fargo Bank, National Association, as letters of credit issuers, and the lenders from time to time party thereto, described in the Registration Statement, the Pricing Disclosure Package and the Prospectus (the “</w:t>
      </w:r>
      <w:r>
        <w:rPr>
          <w:rFonts w:ascii="Times New Roman" w:cs="Times New Roman" w:eastAsia="Times New Roman" w:hAnsi="Times New Roman"/>
          <w:sz w:val="18"/>
          <w:szCs w:val="18"/>
          <w:b w:val="1"/>
          <w:bCs w:val="1"/>
          <w:u w:val="single" w:color="auto"/>
          <w:color w:val="auto"/>
        </w:rPr>
        <w:t>Credit Agreement</w:t>
      </w:r>
      <w:r>
        <w:rPr>
          <w:rFonts w:ascii="Times New Roman" w:cs="Times New Roman" w:eastAsia="Times New Roman" w:hAnsi="Times New Roman"/>
          <w:sz w:val="18"/>
          <w:szCs w:val="18"/>
          <w:color w:val="auto"/>
        </w:rPr>
        <w:t>”)), (3) results or will result in any violation of the Delaware LP Act, the Delaware LLC Act, the Delaware General Corporation Law (the “</w:t>
      </w:r>
      <w:r>
        <w:rPr>
          <w:rFonts w:ascii="Times New Roman" w:cs="Times New Roman" w:eastAsia="Times New Roman" w:hAnsi="Times New Roman"/>
          <w:sz w:val="18"/>
          <w:szCs w:val="18"/>
          <w:b w:val="1"/>
          <w:bCs w:val="1"/>
          <w:u w:val="single" w:color="auto"/>
          <w:color w:val="auto"/>
        </w:rPr>
        <w:t>DGCL</w:t>
      </w:r>
      <w:r>
        <w:rPr>
          <w:rFonts w:ascii="Times New Roman" w:cs="Times New Roman" w:eastAsia="Times New Roman" w:hAnsi="Times New Roman"/>
          <w:sz w:val="18"/>
          <w:szCs w:val="18"/>
          <w:color w:val="auto"/>
        </w:rPr>
        <w:t xml:space="preserve">”), the laws of the State of Texas, the laws of the State of New York or federal law, or (4) results or will result in the creation or imposition of any Lien upon any property or assets of any of the Issuers, the Domestic Subsidiaries or the GP Entities, which conflicts, breaches, violations or defaults in the case of </w:t>
      </w:r>
      <w:r>
        <w:rPr>
          <w:rFonts w:ascii="Times New Roman" w:cs="Times New Roman" w:eastAsia="Times New Roman" w:hAnsi="Times New Roman"/>
          <w:sz w:val="18"/>
          <w:szCs w:val="18"/>
          <w:u w:val="single" w:color="auto"/>
          <w:color w:val="auto"/>
        </w:rPr>
        <w:t>clauses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 </w:t>
      </w:r>
      <w:r>
        <w:rPr>
          <w:rFonts w:ascii="Times New Roman" w:cs="Times New Roman" w:eastAsia="Times New Roman" w:hAnsi="Times New Roman"/>
          <w:sz w:val="18"/>
          <w:szCs w:val="18"/>
          <w:color w:val="auto"/>
        </w:rPr>
        <w:t>or</w:t>
      </w:r>
    </w:p>
    <w:p>
      <w:pPr>
        <w:spacing w:after="0" w:line="6" w:lineRule="exact"/>
        <w:rPr>
          <w:sz w:val="20"/>
          <w:szCs w:val="20"/>
          <w:color w:val="auto"/>
        </w:rPr>
      </w:pPr>
    </w:p>
    <w:p>
      <w:pPr>
        <w:jc w:val="both"/>
        <w:ind w:left="1300"/>
        <w:spacing w:after="0" w:line="250" w:lineRule="auto"/>
        <w:rPr>
          <w:sz w:val="20"/>
          <w:szCs w:val="20"/>
          <w:color w:val="auto"/>
        </w:rPr>
      </w:pPr>
      <w:r>
        <w:rPr>
          <w:rFonts w:ascii="Times New Roman" w:cs="Times New Roman" w:eastAsia="Times New Roman" w:hAnsi="Times New Roman"/>
          <w:sz w:val="18"/>
          <w:szCs w:val="18"/>
          <w:u w:val="single" w:color="auto"/>
          <w:color w:val="auto"/>
        </w:rPr>
        <w:t>(4) </w:t>
      </w:r>
      <w:r>
        <w:rPr>
          <w:rFonts w:ascii="Times New Roman" w:cs="Times New Roman" w:eastAsia="Times New Roman" w:hAnsi="Times New Roman"/>
          <w:sz w:val="18"/>
          <w:szCs w:val="18"/>
          <w:color w:val="auto"/>
        </w:rPr>
        <w:t xml:space="preserve">would reasonably be expected to have a Material Adverse Effect or materially impair the ability of the Issuers to consummate the transactions contemplated by this Agreement, it being understood that such counsel need not express an opinion in </w:t>
      </w:r>
      <w:r>
        <w:rPr>
          <w:rFonts w:ascii="Times New Roman" w:cs="Times New Roman" w:eastAsia="Times New Roman" w:hAnsi="Times New Roman"/>
          <w:sz w:val="18"/>
          <w:szCs w:val="18"/>
          <w:u w:val="single" w:color="auto"/>
          <w:color w:val="auto"/>
        </w:rPr>
        <w:t>clause (3) </w:t>
      </w:r>
      <w:r>
        <w:rPr>
          <w:rFonts w:ascii="Times New Roman" w:cs="Times New Roman" w:eastAsia="Times New Roman" w:hAnsi="Times New Roman"/>
          <w:sz w:val="18"/>
          <w:szCs w:val="18"/>
          <w:color w:val="auto"/>
        </w:rPr>
        <w:t xml:space="preserve">of this </w:t>
      </w:r>
      <w:r>
        <w:rPr>
          <w:rFonts w:ascii="Times New Roman" w:cs="Times New Roman" w:eastAsia="Times New Roman" w:hAnsi="Times New Roman"/>
          <w:sz w:val="18"/>
          <w:szCs w:val="18"/>
          <w:u w:val="single" w:color="auto"/>
          <w:color w:val="auto"/>
        </w:rPr>
        <w:t>paragraph (xi) </w:t>
      </w:r>
      <w:r>
        <w:rPr>
          <w:rFonts w:ascii="Times New Roman" w:cs="Times New Roman" w:eastAsia="Times New Roman" w:hAnsi="Times New Roman"/>
          <w:sz w:val="18"/>
          <w:szCs w:val="18"/>
          <w:color w:val="auto"/>
        </w:rPr>
        <w:t>with respect to any securities or other anti-fraud law.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(xii)            No consent, approval, authorization, filing with or order of any federal, Delaware, New York or Texas court, governmental agency or body having jurisdiction over the Issuers, the GP Entities, the Domestic Subsidiaries or any of their respective properties is required in connection with (A) the offering, issuance and sale by the Issuers of the Notes, (B) the execution, delivery and performance of this Agreement by the Issuers and the consummation of the transactions contemplated by this Agreement, or (C) the execution and delivery of the Supplemental Indenture and the performance of the Indenture by the Issuers or the consummation of the transactions contemplated thereby, except (1) such as may be required under the blue sky laws of any jurisdiction or the by-laws and rules of FINRA in connection with the purchase and distribution by the Underwriters of the Notes in the manner contemplated herein and in the Registration Statement, the Pricing Disclosure Package and the Prospectus (as to which such counsel need not express any opinion), (2) such that the failure to obtain would not reasonably be expected to have a Material Adverse Effect or materially impair the ability of the Issuers to consummate the transactions contemplated by this Agreement, (3) such other that have been obtained or taken and are in full force and effect and (4) filings with the Commission that may be required in the performance of the Issuers’ obligations under Section 5 of this Agreement.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(xiii)            The statements in the Registration Statement, the Pricing Disclosure Package and the Prospectus under the caption “Certain U.S. Federal Income Tax Consequences” in relation to the Notes in each of the Pricing Disclosure Package and the Prospectus, insofar as such statements purport to summarize certain provisions of documents and legal matters referred to therein, accurately summarize such provisions and legal matters in all material respects, subject to the qualifications and assumptions stated therein; and the Indenture and the Notes conform in all material respects to the descriptions thereof contained in the Registration Statement, the Pricing Disclosure Package and the Prospectus.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(xiv)            The Registration Statement became effective under the Securities Act upon its filing on September 6, 2024; to the knowledge of such counsel, no stop order suspending the effectiveness of the Registration Statement has been issued and no proceedings for that purpose have been instituted or threatened by the Commission; and any required filing of the Prospectus pursuant to Rule 424(b) of the Rules and Regulations has been made in the manner and within the time period required by such Rule.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(xv)            The Registration Statement, the Pricing Disclosure Package and the Prospectus (except for the financial statements and the notes and the schedules thereto and the other financial information included or incorporated by reference in the Registration Statement, the Pricing Disclosure Package or the Prospectus, as to which such counsel need not express an opinion) each appeared on its face to be appropriately responsive in all material respects to the applicable form requirements of the Securities Act and the Exchange Act and the rules and regulations promulgated thereunder.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(xvi)            The Issuers are not now, and after sale of the Notes by the Issuers and application of the net proceeds thereof as described in the Pricing Disclosure Package and the Prospectus under the caption “Use of Proceeds,” neither of the Issuers will be, an “investment company” as such term is defined in the Investment Company Act, and the rules and regulations of the Commission thereunder.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In addition, such counsel shall state that they have participated in conferences with officers and other representatives of GP LLC, PAGP GP and the Issuers, representatives of the independent public accountants of GP LLC, PAGP GP and the Partnership and the Underwriters’ representatives and counsel, at which the contents of the Registration Statement, the Pricing Disclosure Package and the Prospectus and related matters were discussed, and although such counsel has not independently verified, is not passing on, and is not assuming any responsibility for the accuracy, completeness or fairness of the statements contained in, the Registration Statement, the Pricing Disclosure Package and the Prospectus (except to the extent specified in paragraph (xiii) above), on the basis of the foregoing, no facts have come to the attention of such counsel that lead them to believe that: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firstLine="648"/>
        <w:spacing w:after="0" w:line="250" w:lineRule="auto"/>
        <w:rPr>
          <w:sz w:val="20"/>
          <w:szCs w:val="20"/>
          <w:color w:val="auto"/>
        </w:rPr>
      </w:pPr>
      <w:r>
        <w:rPr>
          <w:rFonts w:ascii="Times New Roman" w:cs="Times New Roman" w:eastAsia="Times New Roman" w:hAnsi="Times New Roman"/>
          <w:sz w:val="18"/>
          <w:szCs w:val="18"/>
          <w:color w:val="auto"/>
        </w:rPr>
        <w:t>(A)            the Registration Statement, as of the most recent Effective Date, contained an untrue statement of a material fact or omitted to state a material fact required to be stated therein or necessary to make the statements therein not misleading;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960" w:firstLine="648"/>
        <w:spacing w:after="0" w:line="250" w:lineRule="auto"/>
        <w:rPr>
          <w:sz w:val="20"/>
          <w:szCs w:val="20"/>
          <w:color w:val="auto"/>
        </w:rPr>
      </w:pPr>
      <w:r>
        <w:rPr>
          <w:rFonts w:ascii="Times New Roman" w:cs="Times New Roman" w:eastAsia="Times New Roman" w:hAnsi="Times New Roman"/>
          <w:sz w:val="18"/>
          <w:szCs w:val="18"/>
          <w:color w:val="auto"/>
        </w:rPr>
        <w:t>(B)            the Pricing Disclosure Package, as of the Applicable Time, included an untrue statement of a material fact or omitted to state a material fact necessary in order to make the statements therein, in the light of the circumstances under which they were made, not misleading;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960" w:firstLine="648"/>
        <w:spacing w:after="0" w:line="250" w:lineRule="auto"/>
        <w:rPr>
          <w:sz w:val="20"/>
          <w:szCs w:val="20"/>
          <w:color w:val="auto"/>
        </w:rPr>
      </w:pPr>
      <w:r>
        <w:rPr>
          <w:rFonts w:ascii="Times New Roman" w:cs="Times New Roman" w:eastAsia="Times New Roman" w:hAnsi="Times New Roman"/>
          <w:sz w:val="18"/>
          <w:szCs w:val="18"/>
          <w:color w:val="auto"/>
        </w:rPr>
        <w:t>(C)            the Prospectus, as of its date or as of the Delivery Date, included or includes an untrue statement of a material fact or omitted or omits to state a material fact necessary in order to make the statements therein, in the light of the circumstances under which they were made, not misleading,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spacing w:after="0" w:line="250" w:lineRule="auto"/>
        <w:rPr>
          <w:sz w:val="20"/>
          <w:szCs w:val="20"/>
          <w:color w:val="auto"/>
        </w:rPr>
      </w:pPr>
      <w:r>
        <w:rPr>
          <w:rFonts w:ascii="Times New Roman" w:cs="Times New Roman" w:eastAsia="Times New Roman" w:hAnsi="Times New Roman"/>
          <w:sz w:val="18"/>
          <w:szCs w:val="18"/>
          <w:color w:val="auto"/>
        </w:rPr>
        <w:t>it being understood that such counsel need not express any statement or belief with respect to (i) the financial statements and related schedules, including the notes and schedules thereto and the auditor’s report thereon, included or incorporated by reference in the Registration Statement, the Pricing Disclosure Package and the Prospectus or (ii) any other financial information included or incorporated by reference in the Registration Statement, the Pricing Disclosure Package and the Prospectus.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In rendering such opinion, such counsel may (A) rely in respect of matters of fact upon certificates of officers and employees of GP LLC, PAGP GP and the Issuers, to the extent they deem appropriate, and information obtained from public officials or public records, (B) assume that all documents submitted to them as originals are authentic, that all copies submitted to them conform to the originals thereof, and that the signatures on all documents examined by them are genuine, (C) assume that each certificate from government officials reviewed by such counsel is accurate, complete and authentic, and all official public records are accurate and complete, (D) with respect to opinions expressed in paragraph (iii), rely on reports, dated as of a recent date, prepared by Corporation Service Company, purporting to describe all financing statements on file as of the dates thereof in the office of the Secretary of State of the State of Delaware, naming the Partnership or any of the Domestic Subsidiaries as debtors, (E) with respect to the opinion expressed in paragraph (xiv) above, as to the absence of stop orders and proceedings instituted for that purpose, rely solely on the list of stop orders and proceedings instituted by the Commission for such purpose contained on the Commission’s website at www.sec.gov/litigation/stoporders.shtml and http://www.sec.gov/litigation/admin.shtml, (F) state that their opinion is limited to federal laws of the United States, the Delaware LP Act, the Delaware LLC Act, the DGCL, the laws of the State of Texas and the laws of the State of New York and (G) state that they express no opinion with respect to (i) any permits to own or operate any real or personal property or (ii) U.S. federal taxes other than U.S. federal income taxes, foreign, state or local taxes or taxes to which any of the limited partners of the Partnership or any of the Plains Entities may be subject.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(d)            The Representatives shall have received an opinion of the general counsel for GP LLC dated the Delivery Date and addressed to the Underwriters, to the effect that: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            None of (1) the offering, issuance and sale by the Issuers of the Notes, (2) the execution, delivery and performance by the Issuers of this Agreement, (3) the consummation of the transactions contemplated by this Agreement or (4) the execution and delivery of the Supplemental Indenture and the performance of the Indenture by the Issuers or the consummation of the transactions contemplated thereby (A) constitutes or will constitute a breach or violation of, a change of control or a default (or an event which, with notice or lapse of time or both, would constitute such an event) under any bond, debenture, note or any other evidence of indebtedness, indenture or any other material agreement or instrument known to such counsel to which any of the Issuers, GP Entities or Domestic Subsidiaries is a party or by which any one of them may be bound (excluding, for this purpose, any document or agreement filed as an exhibit to the Registration Statement or an Incorporated Document, other than the Hedged Inventory Facility and the Credit Agreement, both of which are expressly included for this purpose) or (B) violates or will violate any order, judgment, decree or injunction known to such counsel of any court or governmental agency or body directed to either of the Issuers, the GP Entities or the Domestic Subsidiaries or any of their respective properties in a proceeding to which any of them is a party, which would, in the case of either clause </w:t>
      </w:r>
      <w:r>
        <w:rPr>
          <w:rFonts w:ascii="Times New Roman" w:cs="Times New Roman" w:eastAsia="Times New Roman" w:hAnsi="Times New Roman"/>
          <w:sz w:val="18"/>
          <w:szCs w:val="18"/>
          <w:u w:val="single" w:color="auto"/>
          <w:color w:val="auto"/>
        </w:rPr>
        <w:t>(A) </w:t>
      </w:r>
      <w:r>
        <w:rPr>
          <w:rFonts w:ascii="Times New Roman" w:cs="Times New Roman" w:eastAsia="Times New Roman" w:hAnsi="Times New Roman"/>
          <w:sz w:val="18"/>
          <w:szCs w:val="18"/>
          <w:color w:val="auto"/>
        </w:rPr>
        <w:t xml:space="preserve">or clause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reasonably be expected to have a Material Adverse Effect or materially impair the ability of the Issuers to consummate the transactions contemplated by this Agreement.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            To the knowledge of such counsel, there is no legal or governmental proceeding pending or threatened to which either of the Issuers or any of the Subsidiaries is a party or to which any of their respective properties is subject that is required to be disclosed in the Pricing Disclosure Package or the Prospectus and is not so disclosed.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(iii)            To the knowledge of such counsel, there are no agreements, contracts or other documents to which either of the Issuers or any of the Subsidiaries is a party or are bound that are required to be described in the Registration Statement, the Pricing Disclosure Package or the Prospectus or to be filed as exhibits to the Registration Statement or to the Incorporated Documents that are not described or filed as required.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 xml:space="preserve">In rendering such opinion, such counsel may rely in respect of matters of fact upon (A) information obtained from public officials or public records and (B) to the extent such counsel deems appropriate, certificates of officers and employees of GP LLC, PAGP GP and the Issuers. Further, such counsel may (A) assume that all documents submitted to him as originals are authentic, that all copies submitted to him conform to the originals thereof, and that the signatures on all documents examined by him are genuine, (B) state that such opinions are limited to United States federal laws and the Delaware LP Act, the Delaware LLC Act, the DGCL and the laws of the State of Texas and (C) state that he expresses no opinion with respect to (x) either federal or state securities laws in the opinion referenced in </w:t>
      </w:r>
      <w:r>
        <w:rPr>
          <w:rFonts w:ascii="Times New Roman" w:cs="Times New Roman" w:eastAsia="Times New Roman" w:hAnsi="Times New Roman"/>
          <w:sz w:val="18"/>
          <w:szCs w:val="18"/>
          <w:u w:val="single" w:color="auto"/>
          <w:color w:val="auto"/>
        </w:rPr>
        <w:t>Section 7(d)(i)(4)(B) </w:t>
      </w:r>
      <w:r>
        <w:rPr>
          <w:rFonts w:ascii="Times New Roman" w:cs="Times New Roman" w:eastAsia="Times New Roman" w:hAnsi="Times New Roman"/>
          <w:sz w:val="18"/>
          <w:szCs w:val="18"/>
          <w:color w:val="auto"/>
        </w:rPr>
        <w:t>above or (y) taxes.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firstLine="648"/>
        <w:spacing w:after="0" w:line="250" w:lineRule="auto"/>
        <w:rPr>
          <w:sz w:val="20"/>
          <w:szCs w:val="20"/>
          <w:color w:val="auto"/>
        </w:rPr>
      </w:pPr>
      <w:r>
        <w:rPr>
          <w:rFonts w:ascii="Times New Roman" w:cs="Times New Roman" w:eastAsia="Times New Roman" w:hAnsi="Times New Roman"/>
          <w:sz w:val="18"/>
          <w:szCs w:val="18"/>
          <w:color w:val="auto"/>
        </w:rPr>
        <w:t>(e)            The Representatives shall have received an opinion of internal Canadian counsel for the Partnership, dated the Delivery Date and addressed to the Underwriters, to the effect that: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            Plains Midstream Canada has been duly amalgamated and is validly existing as an unlimited liability company under the laws of British Columbia, with all necessary corporate power and authority to own or lease its properties, in all material respects as described in the Registration Statement, the Pricing Disclosure Package and the Prospectus, and to conduct its business as currently conducted and as proposed in the Registration Statement, the Pricing Disclosure Package and the Prospectus to be conducted. Plains Midstream Canada is duly registered extraprovincially for the transaction of business under the laws of the provinces of Alberta, Manitoba, Ontario, Saskatchewan, Quebec, Nova Scotia and New Brunswick.</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            Plains Marketing is the registered holder of 100% of the issued and outstanding preferred shares of Plains Midstream Canada, and Plains Midstream Luxembourg, S.a.r.l. is the registered holder of 100% of the issued and outstanding common shares of Plains Midstream Canada; such share capital has been duly authorized and validly issued in accordance with the Articles of Amalgamation of Plains Midstream Canada, as fully paid and nonassessable shares (except as such nonassessability may be affected by the laws of the Province of British Columbia).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(iii)            No permit, consent, approval, authorization, order, registration, filing or qualification of or with any court, governmental agency or body of the federal government of Canada or the Province of British Columbia is required for the offering, issuance and sale by the Issuers of the Notes or the execution, delivery and performance of the Indenture by the Issuers.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(iv)            None of the offering, issuance and sale by the Issuers of the Notes, the execution, delivery and performance of this Agreement by the Issuers or the consummation of the transactions contemplated hereby, or the execution, delivery and performance of the Indenture by the Issuers or the consummation of the transactions contemplated thereby constitutes or will constitute a violation of the certificate or Articles of Amalgamation, bylaws or other organizational documents of Plains Midstream Canada, or any statute, law or regulation of Canada or the Province of British Columbia or, to the knowledge of such counsel, any order, judgment, decree or injunction of any court or governmental agency or body of Canada or the Province of British Columbia directed to Plains Midstream Canada or its properties in a proceeding to which Plains Midstream Canada or its property is a party.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            To the knowledge of such counsel, Plains Midstream Canada has such Permits issued by the appropriate federal, provincial or regulatory authorities as are necessary to own or lease its properties and to conduct its business as currently conducted and as proposed in the Registration Statement, the Pricing Disclosure Package and the Prospectus to be conducted, subject to such qualifications as may be set forth in the Registration Statement, the Pricing Disclosure Package and the Prospectus, and except for such Permits that, if not obtained would not reasonably be expected to, individually or in the aggregate, materially adversely affect the operations conducted by Plains Midstream Canada.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In rendering such opinion, such counsel may (A) rely in respect of matters of fact upon certificates of officers and employees of the GP Entities, the Issuers and the Subsidiaries, to the extent they deem proper, and upon information obtained from public officials or public records, (B) assume that all documents submitted to them as originals are authentic, that all copies submitted to them conform to the originals thereof, and that the signatures on all documents examined by them are genuine, (C) state that such opinions are limited to federal laws of Canada and the laws of the Province of British Columbia, excepting therefrom municipal and local ordinances and regulations, and (D) state that such counsel does not express any opinion with respect to taxes.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In rendering such opinion, such counsel shall state that (A) Vinson &amp; Elkins L.L.P. is thereby authorized to rely upon such opinion letter in connection with the transactions contemplated by this Agreement as if such opinion letter were addressed and delivered to them on the date thereof and (B) subject to the foregoing, such opinion letter may be relied upon only by the Underwriters and their counsel in connection with the transactions contemplated by this Agreement and no other use or distribution of such opinion letter may be made without such counsel’s prior written consent.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(f)            The Representatives shall have received an opinion of Baker Botts L.L.P., counsel for the Underwriters, dated the Delivery Date and addressed to the Underwriters, with respect to the offering, issuance and sale by the Issuers of the Notes, the Indenture, the Registration Statement, the Pricing Disclosure Package, the Prospectus (together with any amendment or supplement thereto) and other related matters the Underwriters may reasonably require.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(g)            At the time of the execution of this Agreement, the Representatives shall have received from PricewaterhouseCoopers LLP, independent public accountants, a letter dated such date, in form and substance satisfactory to the Representatives, together with signed or reproduced copies of such letter for each of the other Underwriters, containing statements and information of the type ordinarily included in accountants’ “comfort letter” to underwriters with respect to the financial statements and certain financial information contained in the Registration Statement, the Pricing Disclosure Package and the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cut-off date for the procedures performed by such accountants and described in such letter shall be a date not more than five days prior to the date of such letter.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(h)            On the Delivery Date, the Representatives shall have received from PricewaterhouseCoopers LLP a letter, dated as of the Delivery Date, to the effect that it reaffirms the statements made in the letter furnished pursuant to </w:t>
      </w:r>
      <w:r>
        <w:rPr>
          <w:rFonts w:ascii="Times New Roman" w:cs="Times New Roman" w:eastAsia="Times New Roman" w:hAnsi="Times New Roman"/>
          <w:sz w:val="18"/>
          <w:szCs w:val="18"/>
          <w:u w:val="single" w:color="auto"/>
          <w:color w:val="auto"/>
        </w:rPr>
        <w:t>paragraph (g) </w:t>
      </w:r>
      <w:r>
        <w:rPr>
          <w:rFonts w:ascii="Times New Roman" w:cs="Times New Roman" w:eastAsia="Times New Roman" w:hAnsi="Times New Roman"/>
          <w:sz w:val="18"/>
          <w:szCs w:val="18"/>
          <w:color w:val="auto"/>
        </w:rPr>
        <w:t xml:space="preserve">of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except that the date referred to in the proviso in </w:t>
      </w:r>
      <w:r>
        <w:rPr>
          <w:rFonts w:ascii="Times New Roman" w:cs="Times New Roman" w:eastAsia="Times New Roman" w:hAnsi="Times New Roman"/>
          <w:sz w:val="18"/>
          <w:szCs w:val="18"/>
          <w:u w:val="single" w:color="auto"/>
          <w:color w:val="auto"/>
        </w:rPr>
        <w:t>Section 7(g) </w:t>
      </w:r>
      <w:r>
        <w:rPr>
          <w:rFonts w:ascii="Times New Roman" w:cs="Times New Roman" w:eastAsia="Times New Roman" w:hAnsi="Times New Roman"/>
          <w:sz w:val="18"/>
          <w:szCs w:val="18"/>
          <w:color w:val="auto"/>
        </w:rPr>
        <w:t>hereof shall be a date not more than three business days prior to the Delivery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            The Partnership shall have furnished to the Representatives on the Delivery Date a certificate of the Partnership, signed on behalf of the Partnership by the President or any Vice President and the Chief Financial Officer of GP LLC, dated the Delivery Date, to the effect that the signers of such certificate have examined the Registration Statement, the Pricing Disclosure Package, the Prospectus and any amendment or supplement thereto, and this Agreement and that: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            the representations and warranties of the Partnership in this Agreement are true and correct on and as of the Delivery Date with the same effect as if made on the Delivery Date (except to the extent such representation or warranty is made as of a specific date or time, in which case, such representation or warranty was true and correct as of such specific date or time) and the Partnership has complied in all material respects with all the agreements and satisfied all the conditions on its part to be performed or satisfied at or prior to the Delivery Date;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right="20" w:firstLine="648"/>
        <w:spacing w:after="0" w:line="250" w:lineRule="auto"/>
        <w:rPr>
          <w:sz w:val="20"/>
          <w:szCs w:val="20"/>
          <w:color w:val="auto"/>
        </w:rPr>
      </w:pPr>
      <w:r>
        <w:rPr>
          <w:rFonts w:ascii="Times New Roman" w:cs="Times New Roman" w:eastAsia="Times New Roman" w:hAnsi="Times New Roman"/>
          <w:sz w:val="18"/>
          <w:szCs w:val="18"/>
          <w:color w:val="auto"/>
        </w:rPr>
        <w:t>(ii)            no stop order suspending the effectiveness of the Registration Statement or any notice objecting to its use has been issued and no proceedings for that purpose have been instituted or, to the Partnership’s knowledge, threatened;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(iii)            (A) the Registration Statement, as of the Effective Date, (B) the Prospectus, as of its date and on the Delivery Date, and (C) the Pricing Disclosure Package, as of the Applicable Time, did not and do not contain any untrue statement of a material fact and did not and do not omit to state a material fact required to be stated therein or necessary to make the statement therein (except in the case of the Registration Statement, in the light of the circumstances under which they were made) not misleading.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(j)            PAA Finance shall have furnished to the Representatives on the Delivery Date a certificate of PAA Finance, signed on behalf of PAA Finance by the President or any Vice President of PAA Finance, dated the Delivery Date, to the effect that the signers of such certificate have examined the Registration Statement, the Pricing Disclosure Package, the Prospectus and any amendment or supplement thereto, and this Agreement and that the representations and warranties of PAA Finance contained in this Agreement are true and correct on and as of the Delivery Date with the same effect as if made on the Delivery Date (except to the extent such representation or warranty is made as of a specific date or time, in which case, such representation or warranty was true and correct as of such specific date or time) and PAA Finance has complied in all material respects with all the agreements and satisfied all the conditions on its part to be performed or satisfied at or prior to the Delivery Date.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(k)            At the Delivery Date, the Notes shall be rated at least “Baa2” by Moody’s Investors Service, Inc., “BBB” by S&amp;P Global Ratings, a division of S&amp;P Global, Inc., and “BBB” by Fitch Ratings, Inc. and the Issuers shall have delivered to the Underwriters a letter dated near the Delivery Date, from each such rating agency, or other evidence satisfactory to the Underwriters, confirming that the Notes have such ratings; and since the date of this Agreement, there shall not have occurred a downgrading in the rating assigned to the Issuers’ other debt securities by any “nationally recognized statistical rating agency,” as that term is defined under Section 3(a)(62) under the Exchange Act, and no such organization shall have publicly announced that it has under surveillance or review, with possible negative implications, its ratings of the Notes or either of the Issuers’ other debt securities.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(l)            The Issuers and the Trustee shall have executed and delivered the Supplemental Indenture, and the Issuers shall have executed and delivered the Global Notes.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(m)            At the time of the execution of this Agreement, the Representatives shall have received from the Partnership a certificate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and signed by the Chief Financial Officer of the General Partner.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All such opinions, certificates, letters and other documents referred to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will be in compliance with the provisions hereof only if they are reasonably satisfactory in form and substance to the Representatives and counsel for the Underwriters. The Issuers shall furnish to the Underwriters conformed copies of such opinions, certificates, letters and other documents in such number as they shall reasonably request.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If any of the conditions specified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not have been fulfilled in all material respects when and as provided in this Agreement,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any of the opinions and certificates mentioned above or elsewhere in this Agreement shall not be in all material respects reasonably satisfactory in 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substance to the Underwriters and counsel for the Underwriters, this Agreement and all obligations of the Underwriters hereunder may be cancelled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at any time prior to, the Delivery Date by the Underwriters. Notice of such cancellation shall be given to the Issuers in writing or by telephone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confirmed in writing.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Expenses</w:t>
      </w:r>
      <w:r>
        <w:rPr>
          <w:rFonts w:ascii="Times New Roman" w:cs="Times New Roman" w:eastAsia="Times New Roman" w:hAnsi="Times New Roman"/>
          <w:sz w:val="18"/>
          <w:szCs w:val="18"/>
          <w:color w:val="auto"/>
        </w:rPr>
        <w:t xml:space="preserve">. The Issuers agree to pay the following costs and expenses and all other costs and expenses incident to the performance by it of its obligations hereunder: (i) the preparation, printing or reproduction, and filing with the Commission of the Registration Statement (including financial statements and exhibits thereto), any Preliminary Prospectus, the Prospectus, any Issuer Free Writing Prospectus and each amendment or supplement to any of them; (ii) the printing (or reproduction) and delivery (including postage, air freight charges and charges for counting and packaging) of such copies of the Registration Statement, any Preliminary Prospectus, any Issuer Free Writing Prospectus, the Prospectus, the Incorporated Documents and all amendments or supplements to any of them as may be reasonably requested for use in connection with the offering and sale of the Notes; (iii) the preparation, printing, authentication, issuance and delivery of certificates for the Notes, including any stamp taxes in connection with the original issuance and sale of the Notes; (iv) the printing (or reproduction) and delivery of this Agreement, the preliminary and supplemental Blue Sky Memoranda, and all other agreements or documents printed (or reproduced) and delivered in connection with the offering of the Notes; (v) any applicable listing or other similar fees; (vi) the registration or qualification of the Notes for offer and sale under the securities or Blue Sky laws of the several states as provided in </w:t>
      </w:r>
      <w:r>
        <w:rPr>
          <w:rFonts w:ascii="Times New Roman" w:cs="Times New Roman" w:eastAsia="Times New Roman" w:hAnsi="Times New Roman"/>
          <w:sz w:val="18"/>
          <w:szCs w:val="18"/>
          <w:u w:val="single" w:color="auto"/>
          <w:color w:val="auto"/>
        </w:rPr>
        <w:t>Section 5(g) </w:t>
      </w:r>
      <w:r>
        <w:rPr>
          <w:rFonts w:ascii="Times New Roman" w:cs="Times New Roman" w:eastAsia="Times New Roman" w:hAnsi="Times New Roman"/>
          <w:sz w:val="18"/>
          <w:szCs w:val="18"/>
          <w:color w:val="auto"/>
        </w:rPr>
        <w:t>hereof (including the reasonable and documented fees, expenses and disbursements of counsel for the Underwriters relating to the preparation, printing or reproduction, and delivery of the preliminary and supplemental Blue Sky Memoranda and such registration and qualification); (vii) any filing fees in connection with any filings required to be made with FINRA; (viii) the transportation and other expenses incurred by or on behalf of officers and employees of GP LLC, PAGP GP or the Issuers in connection with presentations to prospective purchasers of the Notes; (ix) the fees and expenses of the Partnership’s accountants and the fees and expenses of counsel (including local and special counsel) for the Issuers; (x) any fees charged by rating agencies for rating the Notes; and (xi) the fees and expenses of the Trustee and paying agent (including related fees and expenses of any counsel for such parties).  </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It is understood, however, that except as otherwise provided in this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5(i) </w:t>
      </w:r>
      <w:r>
        <w:rPr>
          <w:rFonts w:ascii="Times New Roman" w:cs="Times New Roman" w:eastAsia="Times New Roman" w:hAnsi="Times New Roman"/>
          <w:sz w:val="17"/>
          <w:szCs w:val="17"/>
          <w:color w:val="auto"/>
        </w:rPr>
        <w:t>hereof, the Underwriters will pay all of their own costs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expenses, including the fees of their counsel, transfer taxes on any resale of the Notes by any Underwriter, any advertising expenses connected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offers they may make and the transportation and other expenses incurred by the Underwriters on their own behalf in connection with presentations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prospective purchasers of the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Default by an Underwriter</w:t>
      </w:r>
      <w:r>
        <w:rPr>
          <w:rFonts w:ascii="Times New Roman" w:cs="Times New Roman" w:eastAsia="Times New Roman" w:hAnsi="Times New Roman"/>
          <w:sz w:val="18"/>
          <w:szCs w:val="18"/>
          <w:color w:val="auto"/>
        </w:rPr>
        <w:t xml:space="preserve">. If any one or more of the Underwriters shall fail or refuse to purchase Notes that it or they are obligated to purchase hereunder on the Delivery Date, and the aggregate principal amount of Notes that such defaulting Underwriter or Underwriters are obligated but fail or refuse to purchase is not more than one-tenth of the aggregate principal amount of the Notes that the Underwriters are obligated to purchase on the Delivery Date, each non-defaulting Underwriter shall be obligated, severally, in the proportion that the principal amount of Notes set forth opposite its name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bears to the aggregate principal amount of Notes set forth opposite the names of all non-defaulting Underwriters or in such other proportion as the Representatives may specify in accordance with the Agreement Among Underwriters of J.P. Morgan Securities LLC to purchase the Notes that such defaulting Underwriter or Underwriters are obligated, but fail or refuse, to purchase. If any one or more of the Underwriters shall fail or refuse to purchase Notes that it or they are obligated to purchase on the Delivery Date and the aggregate principal amount of Notes with respect to which such default occurs is more than one-tenth of the aggregate principal amount of Notes that the Underwriters are obligated to purchase on the Delivery Date and arrangements satisfactory to the Representatives and the Issuers for the purchase of such Notes by one or more non-defaulting Underwriters or other party or parties approved by the Representatives and the Issuers are not made within 36 hours after such default, this Agreement will terminate without liability on the part of any party hereto (other than any defaulting Underwriter). In any such case that does not result in termination of this Agreement, either the Representatives or the Issuers shall have the right to postpone the Delivery Date, but in no event for longer than seven days, in order that the required changes, if any, in the Registration Statement and the Prospectus or any other documents or arrangements may be effected. Any action taken under this paragraph shall not relieve any defaulting Underwriter from liability in respect of any such default of any such Underwriter under this Agreement. The term “</w:t>
      </w:r>
      <w:r>
        <w:rPr>
          <w:rFonts w:ascii="Times New Roman" w:cs="Times New Roman" w:eastAsia="Times New Roman" w:hAnsi="Times New Roman"/>
          <w:sz w:val="18"/>
          <w:szCs w:val="18"/>
          <w:b w:val="1"/>
          <w:bCs w:val="1"/>
          <w:u w:val="single" w:color="auto"/>
          <w:color w:val="auto"/>
        </w:rPr>
        <w:t>Underwriter</w:t>
      </w:r>
      <w:r>
        <w:rPr>
          <w:rFonts w:ascii="Times New Roman" w:cs="Times New Roman" w:eastAsia="Times New Roman" w:hAnsi="Times New Roman"/>
          <w:sz w:val="18"/>
          <w:szCs w:val="18"/>
          <w:color w:val="auto"/>
        </w:rPr>
        <w:t xml:space="preserve">” as used in this Agreement includes, for all purposes of this Agreement, any party not listed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who, with the Representatives’ approval and the approval of the Issuers, purchases Notes that a defaulting Underwriter is obligated, but fails or refuses, to purchase.  </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Any notice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may be given by telegram, telecopy or telephone but shall be subsequently confirmed by letter.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10.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b w:val="1"/>
          <w:bCs w:val="1"/>
          <w:u w:val="single" w:color="auto"/>
          <w:color w:val="auto"/>
        </w:rPr>
        <w:t>Termination of Agreement</w:t>
      </w:r>
      <w:r>
        <w:rPr>
          <w:rFonts w:ascii="Times New Roman" w:cs="Times New Roman" w:eastAsia="Times New Roman" w:hAnsi="Times New Roman"/>
          <w:sz w:val="17"/>
          <w:szCs w:val="17"/>
          <w:color w:val="auto"/>
        </w:rPr>
        <w:t>. This Agreement shall be subject to termination in the Representatives’ absolute discretion, without liability 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 of any Underwriter to any Issuer, by notice to the Issuers prior to the Delivery Date, if at any time prior to such time (i) trading in the Partnership’s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Units shall have been suspended by the Commission or Nasdaq or trading in securities generally on the New York Stock Exchange, the NYSE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LLC or the Nasdaq National Market shall have been suspended or limited or minimum prices shall have been established; (ii) a banking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moratorium shall have been declared either by federal or New York or Texas state authorities or a material disruption in commercial banking or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or clearance services in the United States shall have occurred; or (iii) there shall have occurred any outbreak or escalation of hostilities or acts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terrorism, declaration by the United States of a national emergency or war or other calamity or crisis or any change in financial, political or economic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in the United States or elsewhere, the effect of which on financial markets is such as to make it, in the sole judgment of the Underwriters,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impractical or inadvisable to proceed with the offering or delivery of the Notes as contemplated by the Prospectus (exclusive of any amendment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 thereto). Notice of such termination may be given to the Issuers by telegram, telecopy or telephone and shall be subsequently confirmed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Notice; Successors</w:t>
      </w:r>
      <w:r>
        <w:rPr>
          <w:rFonts w:ascii="Times New Roman" w:cs="Times New Roman" w:eastAsia="Times New Roman" w:hAnsi="Times New Roman"/>
          <w:sz w:val="18"/>
          <w:szCs w:val="18"/>
          <w:color w:val="auto"/>
        </w:rPr>
        <w:t>. Except as otherwise provided in Sections 5, 9 and 10 hereof, all communications hereunder will be in writing and effective only on receipt, and, if sent to the Underwriters, will be mailed, delivered or telefaxed to the Representatives c/o J.P. Morgan Securities LLC, 383 Madison Avenue, New York, New York 10179, Attention: Investment Grade Syndicate Desk (Fax: 212-834-6081); and c/o BMO Capital Markets Corp., 151 West 42nd Street, New York, NY 10036, Attention: Legal Department, Fax No.: (212) 702-1205; c/o Mizuho Securities USA LLC, 1271 Avenue of the Americas, New York, New York 10020, Attention: Debt Capital Markets, Fax: (212) 205-7812, Email: Legalnotices@mizuho.com; and c/o Scotia Capital (USA) Inc., 250 Vesey Street, New York, NY 10281; with a copy (which shall not constitute notice) to Baker Botts L.L.P., 910 Louisiana St., Houston, Texas 77002, Attention: Douglas V. Getten; or, if sent to either of the Issuers, will be mailed, delivered or telefaxed to it at 333 Clay St., Suite 1600, Houston, Texas 77002, Attention: General Counsel (fax: (713) 646-4313).  </w:t>
      </w:r>
    </w:p>
    <w:p>
      <w:pPr>
        <w:spacing w:after="0" w:line="21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This Agreement has been and is made solely for the benefit of the several Underwriters and their directors, officers, employees, agents and other controlling persons referred to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hereof and the Issuers and GP LLC’s directors and officers who sign the Registration Statement, and other controlling persons referred to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hereof and their respective successors and assigns, to the extent provided herein, and no other person shall acquire or have any right under or by virtue of this Agreement. Neither the term “successor” nor the term “successors and assigns” as used in this Agreement shall include a purchaser from any Underwriter of any of the Notes in his status as such purchaser.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Information Furnished by the Underwriters</w:t>
      </w:r>
      <w:r>
        <w:rPr>
          <w:rFonts w:ascii="Times New Roman" w:cs="Times New Roman" w:eastAsia="Times New Roman" w:hAnsi="Times New Roman"/>
          <w:sz w:val="18"/>
          <w:szCs w:val="18"/>
          <w:color w:val="auto"/>
        </w:rPr>
        <w:t>. The Issuers acknowledge that the following statements set forth in the most recent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Preliminary Prospectus and the Prospectus constitute the only information furnished by or on behalf of the Underwriters through the Representatives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such information is referred to in </w:t>
      </w:r>
      <w:r>
        <w:rPr>
          <w:rFonts w:ascii="Times New Roman" w:cs="Times New Roman" w:eastAsia="Times New Roman" w:hAnsi="Times New Roman"/>
          <w:sz w:val="18"/>
          <w:szCs w:val="18"/>
          <w:u w:val="single" w:color="auto"/>
          <w:color w:val="auto"/>
        </w:rPr>
        <w:t>Sections 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6(a)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6(c) </w:t>
      </w:r>
      <w:r>
        <w:rPr>
          <w:rFonts w:ascii="Times New Roman" w:cs="Times New Roman" w:eastAsia="Times New Roman" w:hAnsi="Times New Roman"/>
          <w:sz w:val="18"/>
          <w:szCs w:val="18"/>
          <w:color w:val="auto"/>
        </w:rPr>
        <w:t>hereof: (A) the names of the Underwriters, (B) the table under the first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paragraph under the heading “Underwriting,” (C) the first paragraph under the heading “Underwriting — Underwriting Discounts” related to concessions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(D) the first paragraph, the first two sentences of the second paragraph and the first sentence of the third paragraph under the heading “Underwriting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Stabilization, Short Positions and Penalty Bids.”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13.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b w:val="1"/>
          <w:bCs w:val="1"/>
          <w:u w:val="single" w:color="auto"/>
          <w:color w:val="auto"/>
        </w:rPr>
        <w:t>Research Analyst Independence</w:t>
      </w:r>
      <w:r>
        <w:rPr>
          <w:rFonts w:ascii="Times New Roman" w:cs="Times New Roman" w:eastAsia="Times New Roman" w:hAnsi="Times New Roman"/>
          <w:sz w:val="17"/>
          <w:szCs w:val="17"/>
          <w:color w:val="auto"/>
        </w:rPr>
        <w:t>. The Issuers acknowledge that the Underwriters’ research analysts and research departments are required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independent from their respective investment banking divisions and are subject to certain regulations and internal policies, and that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research analysts may hold views and make statements or investment recommendations and/or publish research reports with respect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Issuers and/or the offering that differ from the views of their respective investment banking divisions. The Issuers hereby waive and release, to the fullest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extent permitted by law, any claims that the Issuers may have against the Underwriters with respect to any conflict of interest that may arise from the fact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the views expressed by their independent research analysts and research departments may be different from or inconsistent with the views or advice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communicated to the Issuers by such Underwriters’ investment banking divisions. The Issuers acknowledge that each of the Underwriters is a full service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firm and as such from time to time, subject to applicable securities laws, may effect transactions for its own account or the account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customers and hold long or short positions in debt or equity securities of the companies that may be the subject of the transactions contemplated by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Recognition of the U.S. Special Resolution Regimes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As used in this Section 14, “</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and “</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Integration</w:t>
      </w:r>
      <w:r>
        <w:rPr>
          <w:rFonts w:ascii="Times New Roman" w:cs="Times New Roman" w:eastAsia="Times New Roman" w:hAnsi="Times New Roman"/>
          <w:sz w:val="18"/>
          <w:szCs w:val="18"/>
          <w:color w:val="auto"/>
        </w:rPr>
        <w:t>. This Agreement supersedes all prior agreements and understandings (whether written or oral) between the Issuers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or any of them, with respect to the subject matter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The Section headings used herein are for convenience only and shall not affect the construction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Effective Date of Agreement</w:t>
      </w:r>
      <w:r>
        <w:rPr>
          <w:rFonts w:ascii="Times New Roman" w:cs="Times New Roman" w:eastAsia="Times New Roman" w:hAnsi="Times New Roman"/>
          <w:sz w:val="18"/>
          <w:szCs w:val="18"/>
          <w:color w:val="auto"/>
        </w:rPr>
        <w:t>. This Agreement shall become effective upon the execution and delivery hereof by the parties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Fiduciary Duty</w:t>
      </w:r>
      <w:r>
        <w:rPr>
          <w:rFonts w:ascii="Times New Roman" w:cs="Times New Roman" w:eastAsia="Times New Roman" w:hAnsi="Times New Roman"/>
          <w:sz w:val="18"/>
          <w:szCs w:val="18"/>
          <w:color w:val="auto"/>
        </w:rPr>
        <w:t>. The Issuers acknowledge and agree that in connection with this offering and sale of the Notes or any other services the Underwriters may be deemed to be providing hereunder, notwithstanding any preexisting relationship, advisory or otherwise, between the parties or any oral representations or assurances previously or subsequently made by the Underwriters: (i) no fiduciary or agency relationship between the Issuers and any other person, on the one hand, and the Underwriters, on the other hand, exists; (ii) the Underwriters are not acting as advisors, expert or otherwise, to either of the Issuers, including, without limitation, with respect to the determination of the public offering price of the Notes, and such relationship between the Issuers, on the one hand, and the Underwriters, on the other, is entirely and solely commercial, based on arms-length negotiations; (iii) any duties and obligations that the Underwriters may have to the Issuers shall be limited to those duties and obligations specifically stated herein; and (iv) the Underwriters and their respective affiliates may have interests that differ from those of the Issuers. The Issuers hereby waive any claims that they may have against the Underwriters with respect to any breach of fiduciary duty in connection with this offering.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19.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b w:val="1"/>
          <w:bCs w:val="1"/>
          <w:u w:val="single" w:color="auto"/>
          <w:color w:val="auto"/>
        </w:rPr>
        <w:t>Applicable Law; Counterparts</w:t>
      </w:r>
      <w:r>
        <w:rPr>
          <w:rFonts w:ascii="Times New Roman" w:cs="Times New Roman" w:eastAsia="Times New Roman" w:hAnsi="Times New Roman"/>
          <w:sz w:val="17"/>
          <w:szCs w:val="17"/>
          <w:color w:val="auto"/>
        </w:rPr>
        <w:t>. This Agreement shall be governed by and construed in accordance with the laws of the State of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to contracts made and to be performed within the State of New York. This Agreement may be signed in various counterparts that together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constitute one and the same instrument. If signed in counterparts, this Agreement shall not become effective unless at least one counterpart hereof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been executed and delivered on behalf of each party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rPr>
              <w:t>Please confirm that the foregoing correctly sets forth the agreement among the Issuers and the Underwriters.</w:t>
            </w:r>
          </w:p>
        </w:tc>
        <w:tc>
          <w:tcPr>
            <w:tcW w:w="0" w:type="dxa"/>
            <w:vAlign w:val="bottom"/>
          </w:tcPr>
          <w:p>
            <w:pPr>
              <w:spacing w:after="0"/>
              <w:rPr>
                <w:sz w:val="1"/>
                <w:szCs w:val="1"/>
                <w:color w:val="auto"/>
              </w:rPr>
            </w:pPr>
          </w:p>
        </w:tc>
      </w:tr>
      <w:tr>
        <w:trPr>
          <w:trHeight w:val="216"/>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0" w:type="dxa"/>
            <w:vAlign w:val="bottom"/>
            <w:vMerge w:val="continue"/>
          </w:tcPr>
          <w:p>
            <w:pPr>
              <w:spacing w:after="0"/>
              <w:rPr>
                <w:sz w:val="17"/>
                <w:szCs w:val="17"/>
                <w:color w:val="auto"/>
              </w:rPr>
            </w:pPr>
          </w:p>
        </w:tc>
        <w:tc>
          <w:tcPr>
            <w:tcW w:w="584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Very truly yours,</w:t>
            </w:r>
          </w:p>
        </w:tc>
        <w:tc>
          <w:tcPr>
            <w:tcW w:w="0" w:type="dxa"/>
            <w:vAlign w:val="bottom"/>
          </w:tcPr>
          <w:p>
            <w:pPr>
              <w:spacing w:after="0"/>
              <w:rPr>
                <w:sz w:val="1"/>
                <w:szCs w:val="1"/>
                <w:color w:val="auto"/>
              </w:rPr>
            </w:pPr>
          </w:p>
        </w:tc>
      </w:tr>
      <w:tr>
        <w:trPr>
          <w:trHeight w:val="21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PAA GP LLC,</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PLAINS AAP, L.P.,</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its Sole Member</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PLAINS ALL AMERICAN GP LLC,</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Sharon Spurlin</w:t>
            </w:r>
          </w:p>
        </w:tc>
        <w:tc>
          <w:tcPr>
            <w:tcW w:w="0" w:type="dxa"/>
            <w:vAlign w:val="bottom"/>
          </w:tcPr>
          <w:p>
            <w:pPr>
              <w:spacing w:after="0"/>
              <w:rPr>
                <w:sz w:val="1"/>
                <w:szCs w:val="1"/>
                <w:color w:val="auto"/>
              </w:rPr>
            </w:pPr>
          </w:p>
        </w:tc>
      </w:tr>
      <w:tr>
        <w:trPr>
          <w:trHeight w:val="189"/>
        </w:trPr>
        <w:tc>
          <w:tcPr>
            <w:tcW w:w="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Sharon Spurlin</w:t>
            </w:r>
          </w:p>
        </w:tc>
        <w:tc>
          <w:tcPr>
            <w:tcW w:w="0" w:type="dxa"/>
            <w:vAlign w:val="bottom"/>
          </w:tcPr>
          <w:p>
            <w:pPr>
              <w:spacing w:after="0"/>
              <w:rPr>
                <w:sz w:val="1"/>
                <w:szCs w:val="1"/>
                <w:color w:val="auto"/>
              </w:rPr>
            </w:pPr>
          </w:p>
        </w:tc>
      </w:tr>
      <w:tr>
        <w:trPr>
          <w:trHeight w:val="218"/>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Senior Vice President and Treasurer</w:t>
            </w:r>
          </w:p>
        </w:tc>
        <w:tc>
          <w:tcPr>
            <w:tcW w:w="0" w:type="dxa"/>
            <w:vAlign w:val="bottom"/>
          </w:tcPr>
          <w:p>
            <w:pPr>
              <w:spacing w:after="0"/>
              <w:rPr>
                <w:sz w:val="1"/>
                <w:szCs w:val="1"/>
                <w:color w:val="auto"/>
              </w:rPr>
            </w:pPr>
          </w:p>
        </w:tc>
      </w:tr>
      <w:tr>
        <w:trPr>
          <w:trHeight w:val="21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b w:val="1"/>
                <w:bCs w:val="1"/>
                <w:color w:val="auto"/>
              </w:rPr>
              <w:t>PAA FINANCE CORP.</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Sharon Spurlin</w:t>
            </w:r>
          </w:p>
        </w:tc>
        <w:tc>
          <w:tcPr>
            <w:tcW w:w="0" w:type="dxa"/>
            <w:vAlign w:val="bottom"/>
          </w:tcPr>
          <w:p>
            <w:pPr>
              <w:spacing w:after="0"/>
              <w:rPr>
                <w:sz w:val="1"/>
                <w:szCs w:val="1"/>
                <w:color w:val="auto"/>
              </w:rPr>
            </w:pPr>
          </w:p>
        </w:tc>
      </w:tr>
      <w:tr>
        <w:trPr>
          <w:trHeight w:val="189"/>
        </w:trPr>
        <w:tc>
          <w:tcPr>
            <w:tcW w:w="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Sharon Spurlin</w:t>
            </w:r>
          </w:p>
        </w:tc>
        <w:tc>
          <w:tcPr>
            <w:tcW w:w="0" w:type="dxa"/>
            <w:vAlign w:val="bottom"/>
          </w:tcPr>
          <w:p>
            <w:pPr>
              <w:spacing w:after="0"/>
              <w:rPr>
                <w:sz w:val="1"/>
                <w:szCs w:val="1"/>
                <w:color w:val="auto"/>
              </w:rPr>
            </w:pPr>
          </w:p>
        </w:tc>
      </w:tr>
      <w:tr>
        <w:trPr>
          <w:trHeight w:val="218"/>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Senior Vice President and Treasurer</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restart"/>
          </w:tcPr>
          <w:p>
            <w:pPr>
              <w:ind w:left="3540"/>
              <w:spacing w:after="0"/>
              <w:rPr>
                <w:sz w:val="20"/>
                <w:szCs w:val="20"/>
                <w:color w:val="auto"/>
              </w:rPr>
            </w:pPr>
            <w:r>
              <w:rPr>
                <w:rFonts w:ascii="Times New Roman" w:cs="Times New Roman" w:eastAsia="Times New Roman" w:hAnsi="Times New Roman"/>
                <w:sz w:val="18"/>
                <w:szCs w:val="18"/>
                <w:i w:val="1"/>
                <w:iCs w:val="1"/>
                <w:color w:val="auto"/>
              </w:rPr>
              <w:t>PAA Signature Page to Underwriting Agreement</w:t>
            </w:r>
          </w:p>
        </w:tc>
        <w:tc>
          <w:tcPr>
            <w:tcW w:w="0" w:type="dxa"/>
            <w:vAlign w:val="bottom"/>
          </w:tcPr>
          <w:p>
            <w:pPr>
              <w:spacing w:after="0"/>
              <w:rPr>
                <w:sz w:val="1"/>
                <w:szCs w:val="1"/>
                <w:color w:val="auto"/>
              </w:rPr>
            </w:pPr>
          </w:p>
        </w:tc>
      </w:tr>
      <w:tr>
        <w:trPr>
          <w:trHeight w:val="216"/>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vMerge w:val="continue"/>
          </w:tcPr>
          <w:p>
            <w:pPr>
              <w:spacing w:after="0"/>
              <w:rPr>
                <w:sz w:val="18"/>
                <w:szCs w:val="18"/>
                <w:color w:val="auto"/>
              </w:rPr>
            </w:pPr>
          </w:p>
        </w:tc>
        <w:tc>
          <w:tcPr>
            <w:tcW w:w="58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foregoing Agreement is hereby</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confirmed and accepted by the Underwriters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the date first above written.</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BMO Capital Markets Corp.</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Scotia Capital (USA) Inc.</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J.P. Morgan Securities LLC  </w:t>
            </w:r>
          </w:p>
        </w:tc>
        <w:tc>
          <w:tcPr>
            <w:tcW w:w="12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BMO Capital Markets Corp.</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80" w:type="dxa"/>
            <w:vAlign w:val="bottom"/>
          </w:tcPr>
          <w:p>
            <w:pPr>
              <w:spacing w:after="0"/>
              <w:rPr>
                <w:sz w:val="18"/>
                <w:szCs w:val="18"/>
                <w:color w:val="auto"/>
              </w:rPr>
            </w:pPr>
          </w:p>
        </w:tc>
        <w:tc>
          <w:tcPr>
            <w:tcW w:w="12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94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 Robert Bottamedi</w:t>
            </w:r>
          </w:p>
        </w:tc>
        <w:tc>
          <w:tcPr>
            <w:tcW w:w="12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 Mark Spadaccini</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Robert Bottamedi</w:t>
            </w:r>
          </w:p>
        </w:tc>
        <w:tc>
          <w:tcPr>
            <w:tcW w:w="1060" w:type="dxa"/>
            <w:vAlign w:val="bottom"/>
            <w:tcBorders>
              <w:top w:val="single" w:sz="8" w:color="auto"/>
            </w:tcBorders>
          </w:tcPr>
          <w:p>
            <w:pPr>
              <w:spacing w:after="0"/>
              <w:rPr>
                <w:sz w:val="16"/>
                <w:szCs w:val="16"/>
                <w:color w:val="auto"/>
              </w:rPr>
            </w:pPr>
          </w:p>
        </w:tc>
        <w:tc>
          <w:tcPr>
            <w:tcW w:w="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Mark Spadaccini</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Executive Director</w:t>
            </w:r>
          </w:p>
        </w:tc>
        <w:tc>
          <w:tcPr>
            <w:tcW w:w="12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940" w:type="dxa"/>
            <w:vAlign w:val="bottom"/>
          </w:tcPr>
          <w:p>
            <w:pPr>
              <w:spacing w:after="0"/>
              <w:rPr>
                <w:sz w:val="18"/>
                <w:szCs w:val="18"/>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12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Scotia Capital (USA) Inc.</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80" w:type="dxa"/>
            <w:vAlign w:val="bottom"/>
          </w:tcPr>
          <w:p>
            <w:pPr>
              <w:spacing w:after="0"/>
              <w:rPr>
                <w:sz w:val="18"/>
                <w:szCs w:val="18"/>
                <w:color w:val="auto"/>
              </w:rPr>
            </w:pPr>
          </w:p>
        </w:tc>
        <w:tc>
          <w:tcPr>
            <w:tcW w:w="12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94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 W. Scott Trachsel</w:t>
            </w:r>
          </w:p>
        </w:tc>
        <w:tc>
          <w:tcPr>
            <w:tcW w:w="12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 Michael Ravanesi</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 Scott Trachsel</w:t>
            </w:r>
          </w:p>
        </w:tc>
        <w:tc>
          <w:tcPr>
            <w:tcW w:w="1060" w:type="dxa"/>
            <w:vAlign w:val="bottom"/>
            <w:tcBorders>
              <w:top w:val="single" w:sz="8" w:color="auto"/>
            </w:tcBorders>
          </w:tcPr>
          <w:p>
            <w:pPr>
              <w:spacing w:after="0"/>
              <w:rPr>
                <w:sz w:val="16"/>
                <w:szCs w:val="16"/>
                <w:color w:val="auto"/>
              </w:rPr>
            </w:pPr>
          </w:p>
        </w:tc>
        <w:tc>
          <w:tcPr>
            <w:tcW w:w="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Michael Ravanesi</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c>
          <w:tcPr>
            <w:tcW w:w="12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 &amp; Head of U.S. Debt Origination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940" w:type="dxa"/>
            <w:vAlign w:val="bottom"/>
          </w:tcPr>
          <w:p>
            <w:pPr>
              <w:spacing w:after="0"/>
              <w:rPr>
                <w:sz w:val="20"/>
                <w:szCs w:val="20"/>
                <w:color w:val="auto"/>
              </w:rPr>
            </w:pPr>
          </w:p>
        </w:tc>
      </w:tr>
    </w:tbl>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Underwriters’ Signature Page to Underwriting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60" w:type="dxa"/>
            <w:vAlign w:val="bottom"/>
            <w:gridSpan w:val="4"/>
            <w:vMerge w:val="restart"/>
          </w:tcPr>
          <w:p>
            <w:pPr>
              <w:jc w:val="right"/>
              <w:ind w:right="3170"/>
              <w:spacing w:after="0"/>
              <w:rPr>
                <w:sz w:val="20"/>
                <w:szCs w:val="20"/>
                <w:color w:val="auto"/>
              </w:rPr>
            </w:pPr>
            <w:r>
              <w:rPr>
                <w:rFonts w:ascii="Times New Roman" w:cs="Times New Roman" w:eastAsia="Times New Roman" w:hAnsi="Times New Roman"/>
                <w:sz w:val="18"/>
                <w:szCs w:val="18"/>
                <w:b w:val="1"/>
                <w:bCs w:val="1"/>
                <w:color w:val="auto"/>
                <w:w w:val="97"/>
              </w:rPr>
              <w:t>SCHEDULE I</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5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4360" w:type="dxa"/>
            <w:vAlign w:val="bottom"/>
            <w:gridSpan w:val="4"/>
            <w:vMerge w:val="continue"/>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080" w:type="dxa"/>
            <w:vAlign w:val="bottom"/>
            <w:vMerge w:val="continue"/>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Principal Amount of</w:t>
            </w:r>
          </w:p>
        </w:tc>
        <w:tc>
          <w:tcPr>
            <w:tcW w:w="0" w:type="dxa"/>
            <w:vAlign w:val="bottom"/>
          </w:tcPr>
          <w:p>
            <w:pPr>
              <w:spacing w:after="0"/>
              <w:rPr>
                <w:sz w:val="1"/>
                <w:szCs w:val="1"/>
                <w:color w:val="auto"/>
              </w:rPr>
            </w:pPr>
          </w:p>
        </w:tc>
      </w:tr>
      <w:tr>
        <w:trPr>
          <w:trHeight w:val="194"/>
        </w:trPr>
        <w:tc>
          <w:tcPr>
            <w:tcW w:w="5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Underwriters</w:t>
            </w:r>
          </w:p>
        </w:tc>
        <w:tc>
          <w:tcPr>
            <w:tcW w:w="1100" w:type="dxa"/>
            <w:vAlign w:val="bottom"/>
          </w:tcPr>
          <w:p>
            <w:pPr>
              <w:spacing w:after="0"/>
              <w:rPr>
                <w:sz w:val="20"/>
                <w:szCs w:val="20"/>
                <w:color w:val="auto"/>
              </w:rPr>
            </w:pPr>
          </w:p>
        </w:tc>
        <w:tc>
          <w:tcPr>
            <w:tcW w:w="506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Notes to be Purchased  </w:t>
            </w:r>
          </w:p>
        </w:tc>
        <w:tc>
          <w:tcPr>
            <w:tcW w:w="0" w:type="dxa"/>
            <w:vAlign w:val="bottom"/>
          </w:tcPr>
          <w:p>
            <w:pPr>
              <w:spacing w:after="0"/>
              <w:rPr>
                <w:sz w:val="1"/>
                <w:szCs w:val="1"/>
                <w:color w:val="auto"/>
              </w:rPr>
            </w:pPr>
          </w:p>
        </w:tc>
      </w:tr>
      <w:tr>
        <w:trPr>
          <w:trHeight w:val="209"/>
        </w:trPr>
        <w:tc>
          <w:tcPr>
            <w:tcW w:w="5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1100" w:type="dxa"/>
            <w:vAlign w:val="bottom"/>
            <w:tcBorders>
              <w:top w:val="single" w:sz="8" w:color="auto"/>
            </w:tcBorders>
            <w:shd w:val="clear" w:color="auto" w:fill="CCEEFF"/>
          </w:tcPr>
          <w:p>
            <w:pPr>
              <w:spacing w:after="0"/>
              <w:rPr>
                <w:sz w:val="18"/>
                <w:szCs w:val="18"/>
                <w:color w:val="auto"/>
              </w:rPr>
            </w:pPr>
          </w:p>
        </w:tc>
        <w:tc>
          <w:tcPr>
            <w:tcW w:w="3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104,900,000 </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BMO Capital Markets Corp.</w:t>
            </w:r>
          </w:p>
        </w:tc>
        <w:tc>
          <w:tcPr>
            <w:tcW w:w="1100" w:type="dxa"/>
            <w:vAlign w:val="bottom"/>
          </w:tcPr>
          <w:p>
            <w:pPr>
              <w:spacing w:after="0"/>
              <w:rPr>
                <w:sz w:val="18"/>
                <w:szCs w:val="18"/>
                <w:color w:val="auto"/>
              </w:rPr>
            </w:pPr>
          </w:p>
        </w:tc>
        <w:tc>
          <w:tcPr>
            <w:tcW w:w="3260" w:type="dxa"/>
            <w:vAlign w:val="bottom"/>
            <w:gridSpan w:val="3"/>
          </w:tcPr>
          <w:p>
            <w:pPr>
              <w:ind w:left="30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104,900,000 </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1100" w:type="dxa"/>
            <w:vAlign w:val="bottom"/>
            <w:shd w:val="clear" w:color="auto" w:fill="CCEEFF"/>
          </w:tcPr>
          <w:p>
            <w:pPr>
              <w:spacing w:after="0"/>
              <w:rPr>
                <w:sz w:val="18"/>
                <w:szCs w:val="18"/>
                <w:color w:val="auto"/>
              </w:rPr>
            </w:pPr>
          </w:p>
        </w:tc>
        <w:tc>
          <w:tcPr>
            <w:tcW w:w="3260" w:type="dxa"/>
            <w:vAlign w:val="bottom"/>
            <w:gridSpan w:val="3"/>
            <w:shd w:val="clear" w:color="auto" w:fill="CCEEFF"/>
          </w:tcPr>
          <w:p>
            <w:pPr>
              <w:ind w:left="30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104,900,000 </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Scotia Capital (USA) Inc.</w:t>
            </w:r>
          </w:p>
        </w:tc>
        <w:tc>
          <w:tcPr>
            <w:tcW w:w="1100" w:type="dxa"/>
            <w:vAlign w:val="bottom"/>
          </w:tcPr>
          <w:p>
            <w:pPr>
              <w:spacing w:after="0"/>
              <w:rPr>
                <w:sz w:val="18"/>
                <w:szCs w:val="18"/>
                <w:color w:val="auto"/>
              </w:rPr>
            </w:pPr>
          </w:p>
        </w:tc>
        <w:tc>
          <w:tcPr>
            <w:tcW w:w="3260" w:type="dxa"/>
            <w:vAlign w:val="bottom"/>
            <w:gridSpan w:val="3"/>
          </w:tcPr>
          <w:p>
            <w:pPr>
              <w:ind w:left="30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104,900,000 </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1100" w:type="dxa"/>
            <w:vAlign w:val="bottom"/>
            <w:shd w:val="clear" w:color="auto" w:fill="CCEEFF"/>
          </w:tcPr>
          <w:p>
            <w:pPr>
              <w:spacing w:after="0"/>
              <w:rPr>
                <w:sz w:val="18"/>
                <w:szCs w:val="18"/>
                <w:color w:val="auto"/>
              </w:rPr>
            </w:pPr>
          </w:p>
        </w:tc>
        <w:tc>
          <w:tcPr>
            <w:tcW w:w="3260" w:type="dxa"/>
            <w:vAlign w:val="bottom"/>
            <w:gridSpan w:val="3"/>
            <w:shd w:val="clear" w:color="auto" w:fill="CCEEFF"/>
          </w:tcPr>
          <w:p>
            <w:pPr>
              <w:ind w:left="30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38,600,000 </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1100" w:type="dxa"/>
            <w:vAlign w:val="bottom"/>
          </w:tcPr>
          <w:p>
            <w:pPr>
              <w:spacing w:after="0"/>
              <w:rPr>
                <w:sz w:val="18"/>
                <w:szCs w:val="18"/>
                <w:color w:val="auto"/>
              </w:rPr>
            </w:pPr>
          </w:p>
        </w:tc>
        <w:tc>
          <w:tcPr>
            <w:tcW w:w="3260" w:type="dxa"/>
            <w:vAlign w:val="bottom"/>
            <w:gridSpan w:val="3"/>
          </w:tcPr>
          <w:p>
            <w:pPr>
              <w:ind w:left="30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38,600,000 </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CIBC World Markets Corp.</w:t>
            </w:r>
          </w:p>
        </w:tc>
        <w:tc>
          <w:tcPr>
            <w:tcW w:w="1100" w:type="dxa"/>
            <w:vAlign w:val="bottom"/>
            <w:shd w:val="clear" w:color="auto" w:fill="CCEEFF"/>
          </w:tcPr>
          <w:p>
            <w:pPr>
              <w:spacing w:after="0"/>
              <w:rPr>
                <w:sz w:val="18"/>
                <w:szCs w:val="18"/>
                <w:color w:val="auto"/>
              </w:rPr>
            </w:pPr>
          </w:p>
        </w:tc>
        <w:tc>
          <w:tcPr>
            <w:tcW w:w="3260" w:type="dxa"/>
            <w:vAlign w:val="bottom"/>
            <w:gridSpan w:val="3"/>
            <w:shd w:val="clear" w:color="auto" w:fill="CCEEFF"/>
          </w:tcPr>
          <w:p>
            <w:pPr>
              <w:ind w:left="30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38,600,000 </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1100" w:type="dxa"/>
            <w:vAlign w:val="bottom"/>
          </w:tcPr>
          <w:p>
            <w:pPr>
              <w:spacing w:after="0"/>
              <w:rPr>
                <w:sz w:val="18"/>
                <w:szCs w:val="18"/>
                <w:color w:val="auto"/>
              </w:rPr>
            </w:pPr>
          </w:p>
        </w:tc>
        <w:tc>
          <w:tcPr>
            <w:tcW w:w="3260" w:type="dxa"/>
            <w:vAlign w:val="bottom"/>
            <w:gridSpan w:val="3"/>
          </w:tcPr>
          <w:p>
            <w:pPr>
              <w:ind w:left="30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38,600,000 </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ING Financial Markets LLC</w:t>
            </w:r>
          </w:p>
        </w:tc>
        <w:tc>
          <w:tcPr>
            <w:tcW w:w="1100" w:type="dxa"/>
            <w:vAlign w:val="bottom"/>
            <w:shd w:val="clear" w:color="auto" w:fill="CCEEFF"/>
          </w:tcPr>
          <w:p>
            <w:pPr>
              <w:spacing w:after="0"/>
              <w:rPr>
                <w:sz w:val="18"/>
                <w:szCs w:val="18"/>
                <w:color w:val="auto"/>
              </w:rPr>
            </w:pPr>
          </w:p>
        </w:tc>
        <w:tc>
          <w:tcPr>
            <w:tcW w:w="3260" w:type="dxa"/>
            <w:vAlign w:val="bottom"/>
            <w:gridSpan w:val="3"/>
            <w:shd w:val="clear" w:color="auto" w:fill="CCEEFF"/>
          </w:tcPr>
          <w:p>
            <w:pPr>
              <w:ind w:left="30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38,600,000 </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1100" w:type="dxa"/>
            <w:vAlign w:val="bottom"/>
          </w:tcPr>
          <w:p>
            <w:pPr>
              <w:spacing w:after="0"/>
              <w:rPr>
                <w:sz w:val="18"/>
                <w:szCs w:val="18"/>
                <w:color w:val="auto"/>
              </w:rPr>
            </w:pPr>
          </w:p>
        </w:tc>
        <w:tc>
          <w:tcPr>
            <w:tcW w:w="3260" w:type="dxa"/>
            <w:vAlign w:val="bottom"/>
            <w:gridSpan w:val="3"/>
          </w:tcPr>
          <w:p>
            <w:pPr>
              <w:ind w:left="30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38,600,000 </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PNC Capital Markets LLC</w:t>
            </w:r>
          </w:p>
        </w:tc>
        <w:tc>
          <w:tcPr>
            <w:tcW w:w="1100" w:type="dxa"/>
            <w:vAlign w:val="bottom"/>
            <w:shd w:val="clear" w:color="auto" w:fill="CCEEFF"/>
          </w:tcPr>
          <w:p>
            <w:pPr>
              <w:spacing w:after="0"/>
              <w:rPr>
                <w:sz w:val="18"/>
                <w:szCs w:val="18"/>
                <w:color w:val="auto"/>
              </w:rPr>
            </w:pPr>
          </w:p>
        </w:tc>
        <w:tc>
          <w:tcPr>
            <w:tcW w:w="3260" w:type="dxa"/>
            <w:vAlign w:val="bottom"/>
            <w:gridSpan w:val="3"/>
            <w:shd w:val="clear" w:color="auto" w:fill="CCEEFF"/>
          </w:tcPr>
          <w:p>
            <w:pPr>
              <w:ind w:left="30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38,600,000 </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1100" w:type="dxa"/>
            <w:vAlign w:val="bottom"/>
          </w:tcPr>
          <w:p>
            <w:pPr>
              <w:spacing w:after="0"/>
              <w:rPr>
                <w:sz w:val="18"/>
                <w:szCs w:val="18"/>
                <w:color w:val="auto"/>
              </w:rPr>
            </w:pPr>
          </w:p>
        </w:tc>
        <w:tc>
          <w:tcPr>
            <w:tcW w:w="3260" w:type="dxa"/>
            <w:vAlign w:val="bottom"/>
            <w:gridSpan w:val="3"/>
          </w:tcPr>
          <w:p>
            <w:pPr>
              <w:ind w:left="30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38,600,000 </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Regions Securities LLC</w:t>
            </w:r>
          </w:p>
        </w:tc>
        <w:tc>
          <w:tcPr>
            <w:tcW w:w="1100" w:type="dxa"/>
            <w:vAlign w:val="bottom"/>
            <w:shd w:val="clear" w:color="auto" w:fill="CCEEFF"/>
          </w:tcPr>
          <w:p>
            <w:pPr>
              <w:spacing w:after="0"/>
              <w:rPr>
                <w:sz w:val="18"/>
                <w:szCs w:val="18"/>
                <w:color w:val="auto"/>
              </w:rPr>
            </w:pPr>
          </w:p>
        </w:tc>
        <w:tc>
          <w:tcPr>
            <w:tcW w:w="3260" w:type="dxa"/>
            <w:vAlign w:val="bottom"/>
            <w:gridSpan w:val="3"/>
            <w:shd w:val="clear" w:color="auto" w:fill="CCEEFF"/>
          </w:tcPr>
          <w:p>
            <w:pPr>
              <w:ind w:left="30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38,600,000 </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1100" w:type="dxa"/>
            <w:vAlign w:val="bottom"/>
          </w:tcPr>
          <w:p>
            <w:pPr>
              <w:spacing w:after="0"/>
              <w:rPr>
                <w:sz w:val="18"/>
                <w:szCs w:val="18"/>
                <w:color w:val="auto"/>
              </w:rPr>
            </w:pPr>
          </w:p>
        </w:tc>
        <w:tc>
          <w:tcPr>
            <w:tcW w:w="3260" w:type="dxa"/>
            <w:vAlign w:val="bottom"/>
            <w:gridSpan w:val="3"/>
          </w:tcPr>
          <w:p>
            <w:pPr>
              <w:ind w:left="30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38,600,000 </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1100" w:type="dxa"/>
            <w:vAlign w:val="bottom"/>
            <w:shd w:val="clear" w:color="auto" w:fill="CCEEFF"/>
          </w:tcPr>
          <w:p>
            <w:pPr>
              <w:spacing w:after="0"/>
              <w:rPr>
                <w:sz w:val="18"/>
                <w:szCs w:val="18"/>
                <w:color w:val="auto"/>
              </w:rPr>
            </w:pPr>
          </w:p>
        </w:tc>
        <w:tc>
          <w:tcPr>
            <w:tcW w:w="3260" w:type="dxa"/>
            <w:vAlign w:val="bottom"/>
            <w:gridSpan w:val="3"/>
            <w:shd w:val="clear" w:color="auto" w:fill="CCEEFF"/>
          </w:tcPr>
          <w:p>
            <w:pPr>
              <w:ind w:left="30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38,600,000 </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Truist Securities, Inc.</w:t>
            </w:r>
          </w:p>
        </w:tc>
        <w:tc>
          <w:tcPr>
            <w:tcW w:w="1100" w:type="dxa"/>
            <w:vAlign w:val="bottom"/>
          </w:tcPr>
          <w:p>
            <w:pPr>
              <w:spacing w:after="0"/>
              <w:rPr>
                <w:sz w:val="18"/>
                <w:szCs w:val="18"/>
                <w:color w:val="auto"/>
              </w:rPr>
            </w:pPr>
          </w:p>
        </w:tc>
        <w:tc>
          <w:tcPr>
            <w:tcW w:w="3260" w:type="dxa"/>
            <w:vAlign w:val="bottom"/>
            <w:gridSpan w:val="3"/>
          </w:tcPr>
          <w:p>
            <w:pPr>
              <w:ind w:left="30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38,600,000 </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1100" w:type="dxa"/>
            <w:vAlign w:val="bottom"/>
            <w:shd w:val="clear" w:color="auto" w:fill="CCEEFF"/>
          </w:tcPr>
          <w:p>
            <w:pPr>
              <w:spacing w:after="0"/>
              <w:rPr>
                <w:sz w:val="18"/>
                <w:szCs w:val="18"/>
                <w:color w:val="auto"/>
              </w:rPr>
            </w:pPr>
          </w:p>
        </w:tc>
        <w:tc>
          <w:tcPr>
            <w:tcW w:w="3260" w:type="dxa"/>
            <w:vAlign w:val="bottom"/>
            <w:gridSpan w:val="3"/>
            <w:shd w:val="clear" w:color="auto" w:fill="CCEEFF"/>
          </w:tcPr>
          <w:p>
            <w:pPr>
              <w:ind w:left="30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38,600,000 </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1100" w:type="dxa"/>
            <w:vAlign w:val="bottom"/>
          </w:tcPr>
          <w:p>
            <w:pPr>
              <w:spacing w:after="0"/>
              <w:rPr>
                <w:sz w:val="18"/>
                <w:szCs w:val="18"/>
                <w:color w:val="auto"/>
              </w:rPr>
            </w:pPr>
          </w:p>
        </w:tc>
        <w:tc>
          <w:tcPr>
            <w:tcW w:w="3260" w:type="dxa"/>
            <w:vAlign w:val="bottom"/>
            <w:gridSpan w:val="3"/>
          </w:tcPr>
          <w:p>
            <w:pPr>
              <w:ind w:left="30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38,600,000 </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1100" w:type="dxa"/>
            <w:vAlign w:val="bottom"/>
            <w:shd w:val="clear" w:color="auto" w:fill="CCEEFF"/>
          </w:tcPr>
          <w:p>
            <w:pPr>
              <w:spacing w:after="0"/>
              <w:rPr>
                <w:sz w:val="18"/>
                <w:szCs w:val="18"/>
                <w:color w:val="auto"/>
              </w:rPr>
            </w:pPr>
          </w:p>
        </w:tc>
        <w:tc>
          <w:tcPr>
            <w:tcW w:w="3260" w:type="dxa"/>
            <w:vAlign w:val="bottom"/>
            <w:gridSpan w:val="3"/>
            <w:shd w:val="clear" w:color="auto" w:fill="CCEEFF"/>
          </w:tcPr>
          <w:p>
            <w:pPr>
              <w:ind w:left="30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20,000,000 </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Zions Direct, Inc.</w:t>
            </w:r>
          </w:p>
        </w:tc>
        <w:tc>
          <w:tcPr>
            <w:tcW w:w="1100" w:type="dxa"/>
            <w:vAlign w:val="bottom"/>
          </w:tcPr>
          <w:p>
            <w:pPr>
              <w:spacing w:after="0"/>
              <w:rPr>
                <w:sz w:val="18"/>
                <w:szCs w:val="18"/>
                <w:color w:val="auto"/>
              </w:rPr>
            </w:pPr>
          </w:p>
        </w:tc>
        <w:tc>
          <w:tcPr>
            <w:tcW w:w="3260" w:type="dxa"/>
            <w:vAlign w:val="bottom"/>
            <w:gridSpan w:val="3"/>
          </w:tcPr>
          <w:p>
            <w:pPr>
              <w:ind w:left="30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20,000,000 </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shd w:val="clear" w:color="auto" w:fill="CCEEFF"/>
          </w:tcPr>
          <w:p>
            <w:pPr>
              <w:spacing w:after="0"/>
              <w:rPr>
                <w:sz w:val="18"/>
                <w:szCs w:val="18"/>
                <w:color w:val="auto"/>
              </w:rPr>
            </w:pPr>
          </w:p>
        </w:tc>
        <w:tc>
          <w:tcPr>
            <w:tcW w:w="3260" w:type="dxa"/>
            <w:vAlign w:val="bottom"/>
            <w:gridSpan w:val="3"/>
            <w:shd w:val="clear" w:color="auto" w:fill="CCEEFF"/>
          </w:tcPr>
          <w:p>
            <w:pPr>
              <w:ind w:left="30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1,000,000,000 </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8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6200" w:type="dxa"/>
            <w:vAlign w:val="bottom"/>
            <w:gridSpan w:val="2"/>
            <w:vMerge w:val="restart"/>
          </w:tcPr>
          <w:p>
            <w:pPr>
              <w:jc w:val="center"/>
              <w:ind w:right="4930"/>
              <w:spacing w:after="0"/>
              <w:rPr>
                <w:sz w:val="20"/>
                <w:szCs w:val="20"/>
                <w:color w:val="auto"/>
              </w:rPr>
            </w:pPr>
            <w:r>
              <w:rPr>
                <w:rFonts w:ascii="Times New Roman" w:cs="Times New Roman" w:eastAsia="Times New Roman" w:hAnsi="Times New Roman"/>
                <w:sz w:val="18"/>
                <w:szCs w:val="18"/>
                <w:b w:val="1"/>
                <w:bCs w:val="1"/>
                <w:color w:val="auto"/>
              </w:rPr>
              <w:t>SCHEDULE II</w:t>
            </w:r>
          </w:p>
        </w:tc>
        <w:tc>
          <w:tcPr>
            <w:tcW w:w="0" w:type="dxa"/>
            <w:vAlign w:val="bottom"/>
          </w:tcPr>
          <w:p>
            <w:pPr>
              <w:spacing w:after="0"/>
              <w:rPr>
                <w:sz w:val="1"/>
                <w:szCs w:val="1"/>
                <w:color w:val="auto"/>
              </w:rPr>
            </w:pPr>
          </w:p>
        </w:tc>
      </w:tr>
      <w:tr>
        <w:trPr>
          <w:trHeight w:val="176"/>
        </w:trPr>
        <w:tc>
          <w:tcPr>
            <w:tcW w:w="2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6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7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5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Filed Pursuant to Rule 433</w:t>
            </w:r>
          </w:p>
        </w:tc>
        <w:tc>
          <w:tcPr>
            <w:tcW w:w="0" w:type="dxa"/>
            <w:vAlign w:val="bottom"/>
          </w:tcPr>
          <w:p>
            <w:pPr>
              <w:spacing w:after="0"/>
              <w:rPr>
                <w:sz w:val="1"/>
                <w:szCs w:val="1"/>
                <w:color w:val="auto"/>
              </w:rPr>
            </w:pPr>
          </w:p>
        </w:tc>
      </w:tr>
      <w:tr>
        <w:trPr>
          <w:trHeight w:val="198"/>
        </w:trPr>
        <w:tc>
          <w:tcPr>
            <w:tcW w:w="2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Registration No. 333-281967</w:t>
            </w:r>
          </w:p>
        </w:tc>
        <w:tc>
          <w:tcPr>
            <w:tcW w:w="0" w:type="dxa"/>
            <w:vAlign w:val="bottom"/>
          </w:tcPr>
          <w:p>
            <w:pPr>
              <w:spacing w:after="0"/>
              <w:rPr>
                <w:sz w:val="1"/>
                <w:szCs w:val="1"/>
                <w:color w:val="auto"/>
              </w:rPr>
            </w:pPr>
          </w:p>
        </w:tc>
      </w:tr>
      <w:tr>
        <w:trPr>
          <w:trHeight w:val="234"/>
        </w:trPr>
        <w:tc>
          <w:tcPr>
            <w:tcW w:w="2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13, 2025</w:t>
            </w: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280" w:type="dxa"/>
            <w:vAlign w:val="bottom"/>
            <w:gridSpan w:val="3"/>
            <w:vMerge w:val="restart"/>
          </w:tcPr>
          <w:p>
            <w:pPr>
              <w:jc w:val="center"/>
              <w:ind w:right="2870"/>
              <w:spacing w:after="0"/>
              <w:rPr>
                <w:sz w:val="20"/>
                <w:szCs w:val="20"/>
                <w:color w:val="auto"/>
              </w:rPr>
            </w:pPr>
            <w:r>
              <w:rPr>
                <w:rFonts w:ascii="Times New Roman" w:cs="Times New Roman" w:eastAsia="Times New Roman" w:hAnsi="Times New Roman"/>
                <w:sz w:val="18"/>
                <w:szCs w:val="18"/>
                <w:b w:val="1"/>
                <w:bCs w:val="1"/>
                <w:color w:val="auto"/>
                <w:w w:val="98"/>
              </w:rPr>
              <w:t>Final Term Sheet</w:t>
            </w:r>
          </w:p>
        </w:tc>
        <w:tc>
          <w:tcPr>
            <w:tcW w:w="0" w:type="dxa"/>
            <w:vAlign w:val="bottom"/>
          </w:tcPr>
          <w:p>
            <w:pPr>
              <w:spacing w:after="0"/>
              <w:rPr>
                <w:sz w:val="1"/>
                <w:szCs w:val="1"/>
                <w:color w:val="auto"/>
              </w:rPr>
            </w:pPr>
          </w:p>
        </w:tc>
      </w:tr>
      <w:tr>
        <w:trPr>
          <w:trHeight w:val="194"/>
        </w:trPr>
        <w:tc>
          <w:tcPr>
            <w:tcW w:w="2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p>
        </w:tc>
        <w:tc>
          <w:tcPr>
            <w:tcW w:w="8280" w:type="dxa"/>
            <w:vAlign w:val="bottom"/>
            <w:gridSpan w:val="3"/>
          </w:tcPr>
          <w:p>
            <w:pPr>
              <w:jc w:val="center"/>
              <w:ind w:right="2850"/>
              <w:spacing w:after="0"/>
              <w:rPr>
                <w:sz w:val="20"/>
                <w:szCs w:val="20"/>
                <w:color w:val="auto"/>
              </w:rPr>
            </w:pPr>
            <w:r>
              <w:rPr>
                <w:rFonts w:ascii="Times New Roman" w:cs="Times New Roman" w:eastAsia="Times New Roman" w:hAnsi="Times New Roman"/>
                <w:sz w:val="18"/>
                <w:szCs w:val="18"/>
                <w:b w:val="1"/>
                <w:bCs w:val="1"/>
                <w:color w:val="auto"/>
                <w:w w:val="99"/>
              </w:rPr>
              <w:t>$1,000,000,000 5.950% Senior Notes due 2035</w:t>
            </w:r>
          </w:p>
        </w:tc>
        <w:tc>
          <w:tcPr>
            <w:tcW w:w="0" w:type="dxa"/>
            <w:vAlign w:val="bottom"/>
          </w:tcPr>
          <w:p>
            <w:pPr>
              <w:spacing w:after="0"/>
              <w:rPr>
                <w:sz w:val="1"/>
                <w:szCs w:val="1"/>
                <w:color w:val="auto"/>
              </w:rPr>
            </w:pPr>
          </w:p>
        </w:tc>
      </w:tr>
      <w:tr>
        <w:trPr>
          <w:trHeight w:val="198"/>
        </w:trPr>
        <w:tc>
          <w:tcPr>
            <w:tcW w:w="27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Issuers:</w:t>
            </w:r>
          </w:p>
        </w:tc>
        <w:tc>
          <w:tcPr>
            <w:tcW w:w="85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Plains All American Pipeline, L.P. and PAA Finance Corp.</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Ratings*:</w:t>
            </w:r>
          </w:p>
        </w:tc>
        <w:tc>
          <w:tcPr>
            <w:tcW w:w="85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Moody’s: Baa2 (stable outlook)</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S&amp;P: BBB (stable outlook)</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Fitch: BBB (stable outlook)</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Security Type:</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Senior unsecured</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Legal Format:</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SEC-registered</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Pricing Date:</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January 13, 2025</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Settlement Date (T+2):</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January 15, 2025</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June 15, 2035</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$1,000,000,000</w:t>
            </w:r>
          </w:p>
        </w:tc>
        <w:tc>
          <w:tcPr>
            <w:tcW w:w="11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w:t>
            </w:r>
          </w:p>
        </w:tc>
        <w:tc>
          <w:tcPr>
            <w:tcW w:w="85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UST 4.25% due November 15, 2034</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 Yield:</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4.782%</w:t>
            </w:r>
          </w:p>
        </w:tc>
        <w:tc>
          <w:tcPr>
            <w:tcW w:w="11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Spread to Benchmark Treasury:</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+120 bps</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Yield to Maturity:</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5.982%</w:t>
            </w:r>
          </w:p>
        </w:tc>
        <w:tc>
          <w:tcPr>
            <w:tcW w:w="11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Coupon:</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5.950%</w:t>
            </w:r>
          </w:p>
        </w:tc>
        <w:tc>
          <w:tcPr>
            <w:tcW w:w="11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99.761%</w:t>
            </w:r>
          </w:p>
        </w:tc>
        <w:tc>
          <w:tcPr>
            <w:tcW w:w="11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(after deducting the</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$988.1 million</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 and estimated</w:t>
            </w:r>
          </w:p>
        </w:tc>
        <w:tc>
          <w:tcPr>
            <w:tcW w:w="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offering expenses):</w:t>
            </w:r>
          </w:p>
        </w:tc>
        <w:tc>
          <w:tcPr>
            <w:tcW w:w="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Make-Whole Call:</w:t>
            </w:r>
          </w:p>
        </w:tc>
        <w:tc>
          <w:tcPr>
            <w:tcW w:w="85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U.S. Treasury + 20 bps</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Call at Par:</w:t>
            </w:r>
          </w:p>
        </w:tc>
        <w:tc>
          <w:tcPr>
            <w:tcW w:w="85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On or after March 15, 2035</w:t>
            </w:r>
          </w:p>
        </w:tc>
        <w:tc>
          <w:tcPr>
            <w:tcW w:w="0" w:type="dxa"/>
            <w:vAlign w:val="bottom"/>
          </w:tcPr>
          <w:p>
            <w:pPr>
              <w:spacing w:after="0"/>
              <w:rPr>
                <w:sz w:val="1"/>
                <w:szCs w:val="1"/>
                <w:color w:val="auto"/>
              </w:rPr>
            </w:pPr>
          </w:p>
        </w:tc>
      </w:tr>
      <w:tr>
        <w:trPr>
          <w:trHeight w:val="207"/>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4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June 15 and December 15, beginning on June 15, 2025</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CUSIP / ISIN:</w:t>
            </w:r>
          </w:p>
        </w:tc>
        <w:tc>
          <w:tcPr>
            <w:tcW w:w="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72650RBQ4 / US72650RBQ48</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Joint Book-Running Managers:</w:t>
            </w:r>
          </w:p>
        </w:tc>
        <w:tc>
          <w:tcPr>
            <w:tcW w:w="4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J.P. Morgan Securities LLC</w:t>
            </w:r>
          </w:p>
        </w:tc>
      </w:tr>
      <w:tr>
        <w:trPr>
          <w:trHeight w:val="216"/>
        </w:trPr>
        <w:tc>
          <w:tcPr>
            <w:tcW w:w="2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BMO Capital Markets Corp.</w:t>
            </w:r>
          </w:p>
        </w:tc>
      </w:tr>
      <w:tr>
        <w:trPr>
          <w:trHeight w:val="216"/>
        </w:trPr>
        <w:tc>
          <w:tcPr>
            <w:tcW w:w="2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Mizuho Securities USA LLC</w:t>
            </w:r>
          </w:p>
        </w:tc>
      </w:tr>
      <w:tr>
        <w:trPr>
          <w:trHeight w:val="216"/>
        </w:trPr>
        <w:tc>
          <w:tcPr>
            <w:tcW w:w="2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Scotia Capital (USA) Inc.</w:t>
            </w:r>
          </w:p>
        </w:tc>
      </w:tr>
      <w:tr>
        <w:trPr>
          <w:trHeight w:val="216"/>
        </w:trPr>
        <w:tc>
          <w:tcPr>
            <w:tcW w:w="2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Barclays Capital Inc.</w:t>
            </w:r>
          </w:p>
        </w:tc>
      </w:tr>
      <w:tr>
        <w:trPr>
          <w:trHeight w:val="216"/>
        </w:trPr>
        <w:tc>
          <w:tcPr>
            <w:tcW w:w="2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BofA Securities, Inc.</w:t>
            </w:r>
          </w:p>
        </w:tc>
      </w:tr>
      <w:tr>
        <w:trPr>
          <w:trHeight w:val="216"/>
        </w:trPr>
        <w:tc>
          <w:tcPr>
            <w:tcW w:w="2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CIBC World Markets Corp.</w:t>
            </w:r>
          </w:p>
        </w:tc>
      </w:tr>
      <w:tr>
        <w:trPr>
          <w:trHeight w:val="216"/>
        </w:trPr>
        <w:tc>
          <w:tcPr>
            <w:tcW w:w="2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Citigroup Global Markets Inc.</w:t>
            </w:r>
          </w:p>
        </w:tc>
      </w:tr>
      <w:tr>
        <w:trPr>
          <w:trHeight w:val="216"/>
        </w:trPr>
        <w:tc>
          <w:tcPr>
            <w:tcW w:w="2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ING Financial Markets LLC</w:t>
            </w:r>
          </w:p>
        </w:tc>
      </w:tr>
      <w:tr>
        <w:trPr>
          <w:trHeight w:val="216"/>
        </w:trPr>
        <w:tc>
          <w:tcPr>
            <w:tcW w:w="2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MUFG Securities Americas Inc.</w:t>
            </w:r>
          </w:p>
        </w:tc>
      </w:tr>
      <w:tr>
        <w:trPr>
          <w:trHeight w:val="216"/>
        </w:trPr>
        <w:tc>
          <w:tcPr>
            <w:tcW w:w="2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PNC Capital Markets LLC</w:t>
            </w:r>
          </w:p>
        </w:tc>
      </w:tr>
      <w:tr>
        <w:trPr>
          <w:trHeight w:val="216"/>
        </w:trPr>
        <w:tc>
          <w:tcPr>
            <w:tcW w:w="2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RBC Capital Markets, LLC</w:t>
            </w:r>
          </w:p>
        </w:tc>
      </w:tr>
      <w:tr>
        <w:trPr>
          <w:trHeight w:val="216"/>
        </w:trPr>
        <w:tc>
          <w:tcPr>
            <w:tcW w:w="2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Regions Securities LLC</w:t>
            </w:r>
          </w:p>
        </w:tc>
      </w:tr>
      <w:tr>
        <w:trPr>
          <w:trHeight w:val="216"/>
        </w:trPr>
        <w:tc>
          <w:tcPr>
            <w:tcW w:w="2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SMBC Nikko Securities America, Inc.</w:t>
            </w:r>
          </w:p>
        </w:tc>
      </w:tr>
      <w:tr>
        <w:trPr>
          <w:trHeight w:val="216"/>
        </w:trPr>
        <w:tc>
          <w:tcPr>
            <w:tcW w:w="2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TD Securities (USA) LLC</w:t>
            </w:r>
          </w:p>
        </w:tc>
      </w:tr>
      <w:tr>
        <w:trPr>
          <w:trHeight w:val="216"/>
        </w:trPr>
        <w:tc>
          <w:tcPr>
            <w:tcW w:w="2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Truist Securities, Inc.</w:t>
            </w:r>
          </w:p>
        </w:tc>
      </w:tr>
      <w:tr>
        <w:trPr>
          <w:trHeight w:val="216"/>
        </w:trPr>
        <w:tc>
          <w:tcPr>
            <w:tcW w:w="2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Bancorp Investments, Inc.</w:t>
            </w:r>
          </w:p>
        </w:tc>
      </w:tr>
      <w:tr>
        <w:trPr>
          <w:trHeight w:val="216"/>
        </w:trPr>
        <w:tc>
          <w:tcPr>
            <w:tcW w:w="2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Wells Fargo Securities, LLC</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Co-Managers:</w:t>
            </w:r>
          </w:p>
        </w:tc>
        <w:tc>
          <w:tcPr>
            <w:tcW w:w="4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Morgan Stanley &amp; Co. LLC</w:t>
            </w:r>
          </w:p>
        </w:tc>
      </w:tr>
      <w:tr>
        <w:trPr>
          <w:trHeight w:val="216"/>
        </w:trPr>
        <w:tc>
          <w:tcPr>
            <w:tcW w:w="2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Zions Direct, Inc.</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20"/>
                <w:szCs w:val="20"/>
                <w:color w:val="auto"/>
              </w:rPr>
            </w:pPr>
          </w:p>
        </w:tc>
        <w:tc>
          <w:tcPr>
            <w:tcW w:w="3980" w:type="dxa"/>
            <w:vAlign w:val="bottom"/>
          </w:tcPr>
          <w:p>
            <w:pPr>
              <w:spacing w:after="0"/>
              <w:rPr>
                <w:sz w:val="20"/>
                <w:szCs w:val="20"/>
                <w:color w:val="auto"/>
              </w:rPr>
            </w:pPr>
          </w:p>
        </w:tc>
      </w:tr>
    </w:tbl>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A securities rating is not a recommendation to buy, sell or hold securities and may be revised or withdrawn at any time.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the notes is expected to be made against payment therefor on or about January 15, 2025, which is the second business day following the date of pricing of the notes (such settlement being referred to as “T+2”). Under Rule 15c6-1 of the Securities Exchange Act of 1934, as amended, trades in the secondary market generally are required to settle in one business day unless the parties to any such trade expressly agree otherwise. Accordingly, purchasers who wish to trade the notes on any date prior to the first business day before delivery will be required, by virtue of the fact that the Notes initially will settle in T+2, to specify an alternate settlement cycle at the time of any such trade to prevent failed settlement and should consult their own advisors.</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have filed a registration statement (including a base prospectus) and a prospectus supplement with the U.S. Securities and Exchange Commission (the “SEC”) for the offering to which this communication relates. Before you invest, you should read the prospectus supplement for this offering, the issuers’ prospectus in that registration statement and any other documents the issuers have filed with the SEC for more complete information about the issuers and this offering. You may get these documents for free by visiting EDGAR on the SEC web site at www.sec.gov. Alternatively, the issuers, any underwriter or any dealer participating in the offering will arrange to send you the prospectus supplement and prospectus if you request it by calling J.P. Morgan Securities LLC collect at 212-834-4533, BMO Capital Markets Corp. toll-free at 1-866-864-7760, Mizuho Securities USA LLC toll-free at 1-866-271-7403 or Scotia Capital (USA) Inc. toll-free at 1-800-372-3930.</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for retail investors in the European Economic Area (“EEA”) or the United Kingdom. No key information document (KID) as required by Regulation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 No 1286/2014 (as amended, the “PRIIPs Regulation”) or as required by the PRIIPs Regulation as it forms part of domestic UK law by virtue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European Union (Withdrawal) Act 2018, as amended, has been prepared as not available to retail investors in the EEA or the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Any disclaimer or other notice that may appear below is not applicable to this communication and should be disregarded. Such disclaimer or notice was automatically generated as a result of this communication being sent by Bloomberg or another email system.  </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SCHEDULE III</w:t>
      </w:r>
    </w:p>
    <w:p>
      <w:pPr>
        <w:spacing w:after="0" w:line="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Material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Marketing,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Pipeline,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Midstream Canada ULC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Oryx Permian Basin Pipeline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Oryx Permian Basin Marketing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Oryx Delaware Oil Transport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Oryx Midland Oil Gathering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Cactus II Pipeline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Capline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 River Pipeline Company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Schedule 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SCHEDULE IV</w:t>
      </w:r>
    </w:p>
    <w:p>
      <w:pPr>
        <w:spacing w:after="0" w:line="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Domestic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Marketing,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Pipeline,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Oryx Permian Basin Pipeline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Oryx Permian Basin Marketing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Oryx Delaware Oil Transport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Oryx Midland Oil Gathering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Cactus II Pipeline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Capline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 River Pipeline Company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Schedule 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80" w:type="dxa"/>
            <w:vAlign w:val="bottom"/>
            <w:gridSpan w:val="6"/>
            <w:vMerge w:val="restart"/>
          </w:tcPr>
          <w:p>
            <w:pPr>
              <w:ind w:left="1000"/>
              <w:spacing w:after="0"/>
              <w:rPr>
                <w:sz w:val="20"/>
                <w:szCs w:val="20"/>
                <w:color w:val="auto"/>
              </w:rPr>
            </w:pPr>
            <w:r>
              <w:rPr>
                <w:rFonts w:ascii="Times New Roman" w:cs="Times New Roman" w:eastAsia="Times New Roman" w:hAnsi="Times New Roman"/>
                <w:sz w:val="18"/>
                <w:szCs w:val="18"/>
                <w:b w:val="1"/>
                <w:bCs w:val="1"/>
                <w:color w:val="auto"/>
              </w:rPr>
              <w:t>EXHIBIT A</w:t>
            </w:r>
          </w:p>
        </w:tc>
        <w:tc>
          <w:tcPr>
            <w:tcW w:w="0" w:type="dxa"/>
            <w:vAlign w:val="bottom"/>
          </w:tcPr>
          <w:p>
            <w:pPr>
              <w:spacing w:after="0"/>
              <w:rPr>
                <w:sz w:val="1"/>
                <w:szCs w:val="1"/>
                <w:color w:val="auto"/>
              </w:rPr>
            </w:pPr>
          </w:p>
        </w:tc>
      </w:tr>
      <w:tr>
        <w:trPr>
          <w:trHeight w:val="176"/>
        </w:trPr>
        <w:tc>
          <w:tcPr>
            <w:tcW w:w="4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708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16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Entity</w:t>
            </w: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Jurisdiction in which registered or qualified</w:t>
            </w:r>
          </w:p>
        </w:tc>
        <w:tc>
          <w:tcPr>
            <w:tcW w:w="0" w:type="dxa"/>
            <w:vAlign w:val="bottom"/>
          </w:tcPr>
          <w:p>
            <w:pPr>
              <w:spacing w:after="0"/>
              <w:rPr>
                <w:sz w:val="1"/>
                <w:szCs w:val="1"/>
                <w:color w:val="auto"/>
              </w:rPr>
            </w:pPr>
          </w:p>
        </w:tc>
      </w:tr>
      <w:tr>
        <w:trPr>
          <w:trHeight w:val="191"/>
        </w:trPr>
        <w:tc>
          <w:tcPr>
            <w:tcW w:w="4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Plains All American Pipeline, L.P.</w:t>
            </w:r>
          </w:p>
        </w:tc>
        <w:tc>
          <w:tcPr>
            <w:tcW w:w="10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6"/>
                <w:szCs w:val="16"/>
                <w:color w:val="auto"/>
              </w:rPr>
            </w:pPr>
          </w:p>
        </w:tc>
        <w:tc>
          <w:tcPr>
            <w:tcW w:w="550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Texas</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PAA Finance Corp.</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Texas</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PAA GP LLC</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Texas</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Plains AAP, L.P.</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Texas</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Plains All American GP LLC</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California, Illinois, Louisiana, Oklahoma, Texas</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Plains GP Holdings, L.P.</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Texas</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PAA GP Holdings LLC</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Texas</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Plains Marketing, L.P.</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California, Illinois, Louisiana, Oklahoma</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Plains Pipeline, L.P.</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California, Illinois, Louisiana, Oklahoma</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Plains Midstream Canada ULC</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Alberta, Manitoba, Ontario, Saskatchewan,</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British Columbia, Quebec, Nova Scotia, New Brunswick</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Plains Oryx Permian Basin Pipeline LLC</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New Mexico, Texas</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Plains Oryx Permian Basin Marketing LLC</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New Mexico, Texas</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Oryx Delaware Oil Transport LLC</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New Mexico, Texas</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Oryx Midland Oil Gathering LLC</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Cactus II Pipeline LLC</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Texas</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Plains Capline LLC</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Red River Pipeline Company LLC</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Oklahoma, Texas</w:t>
            </w: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OFFICER’S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January 13,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undersigned, in his capacity as the Chief Financial Officer of Plains All American GP LLC, a Delaware limited liability company, which is the general partner of Plains AAP, L.P., a Delaware limited liability partnership, which is the sole member of PAA GP LLC, a Delaware limited liability company, which is the general partner of Plains All American Pipeline, L.P., a Delaware limited partnership (the “Partnership”), does hereby certify that he is familiar with the accounting, operations and record systems of the Partnership and that, to his knowledge after reasonable investigation, there has not been any material adverse change in the financial position, results of operations, cash flows or working capital of the Partnership since September 30, 2024. In addition, as of the date of this certificate, the total debt of the Partnership is approximately $7.8 billion.  </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but not defined herein have the meanings assigned to them in the Underwriting Agreement dated as of the date hereof by and among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Partnership, PAA Finance Corp., and J.P. Morgan Securities LLC, BMO Capital Markets Corp., Mizuho Securities USA LLC and Scotia Capital (USA)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 as the representatives of the several Underwriters.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This certificate is to assist the Underwriters in conducting and documenting their investigation of the affairs of the Partnership in connection with the offering of the Notes covered by the Registration Statement, the Pricing Disclosure Package and the Prospectus.  </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hereunto affixed his signature as of the date first written above.</w:t>
      </w:r>
    </w:p>
    <w:tbl>
      <w:tblPr>
        <w:tblLayout w:type="fixed"/>
        <w:tblInd w:w="0" w:type="dxa"/>
        <w:tblCellMar>
          <w:top w:w="0" w:type="dxa"/>
          <w:left w:w="0" w:type="dxa"/>
          <w:bottom w:w="0" w:type="dxa"/>
          <w:right w:w="0" w:type="dxa"/>
        </w:tblCellMar>
      </w:tblPr>
      <w:tr>
        <w:trPr>
          <w:trHeight w:val="207"/>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spacing w:after="0"/>
              <w:rPr>
                <w:sz w:val="17"/>
                <w:szCs w:val="17"/>
                <w:color w:val="auto"/>
              </w:rPr>
            </w:pPr>
          </w:p>
        </w:tc>
        <w:tc>
          <w:tcPr>
            <w:tcW w:w="5620" w:type="dxa"/>
            <w:vAlign w:val="bottom"/>
          </w:tcPr>
          <w:p>
            <w:pPr>
              <w:spacing w:after="0"/>
              <w:rPr>
                <w:sz w:val="17"/>
                <w:szCs w:val="17"/>
                <w:color w:val="auto"/>
              </w:rPr>
            </w:pP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spacing w:after="0"/>
              <w:rPr>
                <w:sz w:val="20"/>
                <w:szCs w:val="20"/>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189"/>
        </w:trPr>
        <w:tc>
          <w:tcPr>
            <w:tcW w:w="2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spacing w:after="0"/>
              <w:rPr>
                <w:sz w:val="16"/>
                <w:szCs w:val="16"/>
                <w:color w:val="auto"/>
              </w:rPr>
            </w:pPr>
          </w:p>
        </w:tc>
        <w:tc>
          <w:tcPr>
            <w:tcW w:w="5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Al Swanson</w:t>
            </w: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and</w:t>
            </w:r>
          </w:p>
        </w:tc>
      </w:tr>
      <w:tr>
        <w:trPr>
          <w:trHeight w:val="218"/>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432"/>
        </w:trPr>
        <w:tc>
          <w:tcPr>
            <w:tcW w:w="262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gridSpan w:val="2"/>
          </w:tcPr>
          <w:p>
            <w:pPr>
              <w:ind w:left="2580"/>
              <w:spacing w:after="0"/>
              <w:rPr>
                <w:sz w:val="20"/>
                <w:szCs w:val="20"/>
                <w:color w:val="auto"/>
              </w:rPr>
            </w:pPr>
            <w:r>
              <w:rPr>
                <w:rFonts w:ascii="Times New Roman" w:cs="Times New Roman" w:eastAsia="Times New Roman" w:hAnsi="Times New Roman"/>
                <w:sz w:val="18"/>
                <w:szCs w:val="18"/>
                <w:color w:val="auto"/>
              </w:rPr>
              <w:t>Exhibit B-2</w:t>
            </w:r>
          </w:p>
        </w:tc>
      </w:tr>
      <w:tr>
        <w:trPr>
          <w:trHeight w:val="299"/>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spacing w:after="0"/>
              <w:rPr>
                <w:sz w:val="20"/>
                <w:szCs w:val="20"/>
                <w:color w:val="auto"/>
              </w:rPr>
            </w:pPr>
          </w:p>
        </w:tc>
        <w:tc>
          <w:tcPr>
            <w:tcW w:w="5620" w:type="dxa"/>
            <w:vAlign w:val="bottom"/>
          </w:tcPr>
          <w:p>
            <w:pPr>
              <w:spacing w:after="0"/>
              <w:rPr>
                <w:sz w:val="20"/>
                <w:szCs w:val="20"/>
                <w:color w:val="auto"/>
              </w:rPr>
            </w:pPr>
          </w:p>
        </w:tc>
      </w:tr>
    </w:tbl>
    <w:p>
      <w:pPr>
        <w:sectPr>
          <w:pgSz w:w="11900" w:h="16838" w:orient="portrait"/>
          <w:cols w:equalWidth="0" w:num="1">
            <w:col w:w="11240"/>
          </w:cols>
          <w:pgMar w:left="320" w:top="220"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173990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PAA FINANCE CORP.</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Issuers</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$1,000,000,000</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5.950% SENIOR NOTES DUE 2035</w:t>
      </w:r>
    </w:p>
    <w:p>
      <w:pPr>
        <w:spacing w:after="0" w:line="22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THIRTY-FOURTH</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SUPPLEMENTAL</w:t>
      </w:r>
    </w:p>
    <w:p>
      <w:pPr>
        <w:spacing w:after="0" w:line="22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INDENTURE</w:t>
      </w:r>
    </w:p>
    <w:p>
      <w:pPr>
        <w:spacing w:after="0" w:line="200" w:lineRule="exact"/>
        <w:rPr>
          <w:sz w:val="20"/>
          <w:szCs w:val="20"/>
          <w:color w:val="auto"/>
        </w:rPr>
      </w:pPr>
    </w:p>
    <w:p>
      <w:pPr>
        <w:spacing w:after="0" w:line="24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Dated as of January 15, 2025</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U.S. BANK TRUST COMPANY, NATIONAL ASSOCIATION</w:t>
      </w:r>
    </w:p>
    <w:p>
      <w:pPr>
        <w:spacing w:after="0" w:line="3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142875</wp:posOffset>
            </wp:positionV>
            <wp:extent cx="17830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443230</wp:posOffset>
            </wp:positionV>
            <wp:extent cx="17830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597535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614680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1060450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8760" w:type="dxa"/>
            <w:vAlign w:val="bottom"/>
            <w:gridSpan w:val="3"/>
          </w:tcPr>
          <w:p>
            <w:pPr>
              <w:ind w:left="33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80" w:type="dxa"/>
            <w:vAlign w:val="bottom"/>
          </w:tcPr>
          <w:p>
            <w:pPr>
              <w:spacing w:after="0"/>
              <w:rPr>
                <w:sz w:val="17"/>
                <w:szCs w:val="17"/>
                <w:color w:val="auto"/>
              </w:rPr>
            </w:pPr>
          </w:p>
        </w:tc>
      </w:tr>
      <w:tr>
        <w:trPr>
          <w:trHeight w:val="4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ARTICLE I</w:t>
            </w:r>
          </w:p>
        </w:tc>
        <w:tc>
          <w:tcPr>
            <w:tcW w:w="336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4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1.01.</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Establishment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4"/>
        </w:trPr>
        <w:tc>
          <w:tcPr>
            <w:tcW w:w="10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II DEFINITIONS AND INCORPORATION BY REFERENCE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2.01.</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Definitions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2.02.</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Definitions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14"/>
        </w:trPr>
        <w:tc>
          <w:tcPr>
            <w:tcW w:w="10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III THE NOTES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3.01.</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Form</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3.02.</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Issuance of Additional Notes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3.03.</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Global Security Legend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14"/>
        </w:trPr>
        <w:tc>
          <w:tcPr>
            <w:tcW w:w="10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IV REDEMPTION AND PREPAYMENT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4.01.</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Optional Redemption.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14"/>
        </w:trPr>
        <w:tc>
          <w:tcPr>
            <w:tcW w:w="10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 COVENANTS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5.01.</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Compliance Certificate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5.02.</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Limitations on Liens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5.03.</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Restriction of Sale-leaseback Transactions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5.04.</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SEC Reports; Financial Statements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5.05.</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Subsidiary Guarantees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414"/>
        </w:trPr>
        <w:tc>
          <w:tcPr>
            <w:tcW w:w="10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VI SUCCESSORS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6.01.</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Consolidation and Mergers of the Issuers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6.02.</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Rights and Duties of Successor</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14"/>
        </w:trPr>
        <w:tc>
          <w:tcPr>
            <w:tcW w:w="10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VII DEFAULTS AND REMEDIES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7.01.</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Events of Default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14"/>
        </w:trPr>
        <w:tc>
          <w:tcPr>
            <w:tcW w:w="10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VIII LEGAL DEFEASANCE AND COVENANT DEFEASANCE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8.01.</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Option to Effect Legal Defeasance or Covenant Defeasance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8.02.</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Legal Defeasance and Discharge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8.03.</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Covenant Defeasance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8.04.</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Conditions to Legal or Covenant Defeasance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8.05.</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Deposited Money and U.S. Government Obligations to be Held in Trust; Other Miscellaneous Provisions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8.06.</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Repayment to Issuers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8.07.</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Reinstatement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14"/>
        </w:trPr>
        <w:tc>
          <w:tcPr>
            <w:tcW w:w="10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IX SUBSIDIARY GUARANTEES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9.01.</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Subsidiary Guarantees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9.02.</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Limitation on Liability</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9.03.</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Successors and Assigns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9.04.</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No Waiver</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9.05.</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Modification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9.06.</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Execution of Supplemental Indenture for Future Subsidiary Guarantors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9.07.</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Release of Guarantee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16"/>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MISCELLANEOUS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10.01.</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Amendments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10.02.</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Integral Part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Section 10.03.   Adoption, Ratification and Confirmation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10.04.</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Counterparts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10.05.</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Governing Law</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8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Section 10.06.   Recitals; Trustee Makes No Representation; Trustee’s Rights and Duties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9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Note</w:t>
            </w:r>
          </w:p>
        </w:tc>
      </w:tr>
      <w:tr>
        <w:trPr>
          <w:trHeight w:val="23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9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Supplemental Indenture</w:t>
            </w:r>
          </w:p>
        </w:tc>
      </w:tr>
      <w:tr>
        <w:trPr>
          <w:trHeight w:val="648"/>
        </w:trPr>
        <w:tc>
          <w:tcPr>
            <w:tcW w:w="1320" w:type="dxa"/>
            <w:vAlign w:val="bottom"/>
            <w:tcBorders>
              <w:bottom w:val="single" w:sz="8" w:color="auto"/>
            </w:tcBorders>
          </w:tcPr>
          <w:p>
            <w:pPr>
              <w:spacing w:after="0"/>
              <w:rPr>
                <w:sz w:val="24"/>
                <w:szCs w:val="24"/>
                <w:color w:val="auto"/>
              </w:rPr>
            </w:pPr>
          </w:p>
        </w:tc>
        <w:tc>
          <w:tcPr>
            <w:tcW w:w="9920" w:type="dxa"/>
            <w:vAlign w:val="bottom"/>
            <w:tcBorders>
              <w:bottom w:val="single" w:sz="8" w:color="auto"/>
            </w:tcBorders>
          </w:tcPr>
          <w:p>
            <w:pPr>
              <w:ind w:left="4200"/>
              <w:spacing w:after="0"/>
              <w:rPr>
                <w:sz w:val="20"/>
                <w:szCs w:val="20"/>
                <w:color w:val="auto"/>
              </w:rPr>
            </w:pPr>
            <w:r>
              <w:rPr>
                <w:rFonts w:ascii="Times New Roman" w:cs="Times New Roman" w:eastAsia="Times New Roman" w:hAnsi="Times New Roman"/>
                <w:sz w:val="18"/>
                <w:szCs w:val="18"/>
                <w:color w:val="auto"/>
              </w:rPr>
              <w:t>-ii-</w:t>
            </w:r>
          </w:p>
        </w:tc>
      </w:tr>
    </w:tbl>
    <w:p>
      <w:pPr>
        <w:sectPr>
          <w:pgSz w:w="11900" w:h="16838" w:orient="portrait"/>
          <w:cols w:equalWidth="0" w:num="1">
            <w:col w:w="11240"/>
          </w:cols>
          <w:pgMar w:left="320" w:top="904" w:right="339" w:bottom="1440" w:gutter="0" w:footer="0" w:header="0"/>
        </w:sectPr>
      </w:pPr>
    </w:p>
    <w:bookmarkStart w:id="56" w:name="page57"/>
    <w:bookmarkEnd w:id="56"/>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THIRTY-FOURTH SUPPLEMENTAL INDENTURE dated as of January 15, 2025 (this “Supplemental Indenture”) among PLAINS ALL AMERICAN PIPELINE, L.P., a Delaware limited partnership (the “Partnership”), PAA FINANCE CORP., a wholly owned subsidiary of the Partnership and a Delaware corporation (“PAA Finance” and, together with the Partnership, the “Issuers”), and U.S. BANK TRUST COMPANY, NATIONAL ASSOCIATION, as trustee (the “Trustee”).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the Issuers have heretofore entered into an Indenture, dated as of September 25, 2002 (the “Original Indenture”), with U.S. Bank Trust Company, National Association (successor to Wachovia Bank, National Association), as trustee;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the Original Indenture, as supplemented by this Supplemental Indenture, is herein called the “Indenture”;</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under the Original Indenture, a new series of Debt Securities may at any time be established by the Boards of Directors of the Managing General Partner and PAA Finance in accordance with the provisions of the Original Indenture and the form and terms of such series may be established by a supplemental indenture executed by the Issuers and the Trustee;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the Issuers propose to create under the Indenture a new series of Debt Securities;</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WHEREAS, additional Debt Securities of other series hereafter established, except as may be limited in the Original Indenture as at the time supplemented and modified, may be issued from time to time pursuant to the Original Indenture as at the time supplemented and modified; and</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all conditions necessary to authorize the execution and delivery of this Supplemental Indenture and to make it a valid and binding obligation of the Issuers have been done or performed.</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agreements and obligations set forth herein and for other good and valuable consideration, the sufficiency of which is hereby acknowledged, the parties hereto hereby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1.01.         </w:t>
      </w:r>
      <w:r>
        <w:rPr>
          <w:rFonts w:ascii="Times New Roman" w:cs="Times New Roman" w:eastAsia="Times New Roman" w:hAnsi="Times New Roman"/>
          <w:sz w:val="18"/>
          <w:szCs w:val="18"/>
          <w:u w:val="single" w:color="auto"/>
          <w:color w:val="auto"/>
        </w:rPr>
        <w:t>  Establishment.</w:t>
      </w:r>
      <w:r>
        <w:rPr>
          <w:rFonts w:ascii="Times New Roman" w:cs="Times New Roman" w:eastAsia="Times New Roman" w:hAnsi="Times New Roman"/>
          <w:sz w:val="18"/>
          <w:szCs w:val="18"/>
          <w:color w:val="auto"/>
        </w:rPr>
        <w:t xml:space="preserve"> There is hereby established a new series of Debt Securities to be issued under the Indenture, to be designated as the Issuers’ 5.950% Senior Notes due 2035 (the “Notes”). Initially, there will be no Subsidiary Guarantors for the Notes.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There are to be authenticated and delivered $1,000,000,000 principal amount of Notes on the Issue Date, and from time to time thereafter there may be authenticated and delivered an unlimited principal amount of Additional Notes.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The Notes shall be issued initially in the form of one or more Global Securities in substantially the form set out in Exhibit A hereto. The Depositary with respect to the Notes shall be The Depository Trust Company.</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Each Note shall be dated the date of authentication thereof and shall bear interest from the date of original issuance thereof or from the most recent date to which interest has been paid or duly provided for.</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If and to the extent that the provisions of the Original Indenture are duplicative of, or in contradiction with, the provisions of this Supplemental Indenture, the provisions of this Supplemental Indenture shall govern.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INCORPORATION BY REFERENCE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2.01.         </w:t>
      </w:r>
      <w:r>
        <w:rPr>
          <w:rFonts w:ascii="Times New Roman" w:cs="Times New Roman" w:eastAsia="Times New Roman" w:hAnsi="Times New Roman"/>
          <w:sz w:val="18"/>
          <w:szCs w:val="18"/>
          <w:u w:val="single" w:color="auto"/>
          <w:color w:val="auto"/>
        </w:rPr>
        <w:t>  Definitions.</w:t>
      </w:r>
      <w:r>
        <w:rPr>
          <w:rFonts w:ascii="Times New Roman" w:cs="Times New Roman" w:eastAsia="Times New Roman" w:hAnsi="Times New Roman"/>
          <w:sz w:val="18"/>
          <w:szCs w:val="18"/>
          <w:color w:val="auto"/>
        </w:rPr>
        <w:t xml:space="preserve"> All capitalized terms used herein and not otherwise defined below shall have the meanings ascribed thereto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Original Indenture. The following are additional definitions used in this Supplemental Indenture:</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“Affiliate” of any specified Person means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and the terms “controlling,” “controlled by” and “under common control with” shall have correlative meanings.</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“Attributable Indebtedness,”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“Capital Interests”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“Consolidated Net Tangible Assets” means, at any date of determination, the total amount of assets after deducting therefrom: (1) all current liabilities (excluding (a) any current liabilities that by their terms are extendible or renewable at the option of the obligor thereon to a time more than 12 months after the time as of which the amount thereof is being computed; and (b) current maturities of long-term debt); and (2) the amount, net of any applicable reserves, of all goodwill, trade names, trademarks, patents and other like intangible assets, all as set forth on the consolidated balance sheet of the Partnership for its most recently completed fiscal quarter, prepared in accordance with GAAP.</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“Debt” means any obligation created or assumed by any Person for the repayment of money borrowed, any purchase money obligation created or assumed by such Person, and any guarantee of the foregoing.</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“Funded Debt”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“Guarantee” means a guarantee of the Notes given by a Subsidiary Guarantor pursuant to the Indenture, including any future obligations under Article IX hereof.</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“General Partner” means PAA GP LLC, a Delaware limited liability company, and its successors and permitted assigns as general partner of the Partnership.</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“Issue Date” means the date on which the Notes are initially issued.</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“Managing General Partner” means (i) Plains All American GP LLC, a Delaware limited liability company (and its successors and permitted assigns), as general partner of Plains AAP, L.P., a Delaware limited partnership (and its successors and permitted assigns), as sole member of the General Partner or (ii) the business entity with the ultimate authority to manage the business and operations of the Partnership.</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“Notes” has the meaning assigned to it in Section 1.01(a) hereof, and includes both the Notes issued on the Issue Date and any Additional Notes issued thereafter.</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“Obligations” means any principal, interest, liquidated damages, penalties, fees, indemnifications, reimbursement obligations, damages and other liabilities payable under the documentation governing any Debt.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“Pari Passu Debt” means any Funded Debt of either of the Issuers, whether outstanding on the Issue Date or thereafter created, incurred or assumed, unless, in the case of any particular Funded Debt, the instrument creating or evidencing the same or pursuant to which the same is outstanding expressly provides that such Funded Debt shall be subordinated in right of payment to the Notes.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“Partnership Agreement” means the Seventh Amended and Restated Agreement of Limited Partnership of Plains All American Pipeline, L.P., dated as of October 10, 2017, as such may be otherwise amended, modified or supplemented from time to time.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“Permitted Liens” means: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Liens upon rights-of-way for pipeline purposes;</w:t>
      </w:r>
    </w:p>
    <w:p>
      <w:pPr>
        <w:spacing w:after="0" w:line="225" w:lineRule="exact"/>
        <w:rPr>
          <w:sz w:val="20"/>
          <w:szCs w:val="20"/>
          <w:color w:val="auto"/>
        </w:rPr>
      </w:pPr>
    </w:p>
    <w:p>
      <w:pPr>
        <w:jc w:val="both"/>
        <w:ind w:left="660" w:firstLine="648"/>
        <w:spacing w:after="0" w:line="289" w:lineRule="auto"/>
        <w:rPr>
          <w:sz w:val="20"/>
          <w:szCs w:val="20"/>
          <w:color w:val="auto"/>
        </w:rPr>
      </w:pPr>
      <w:r>
        <w:rPr>
          <w:rFonts w:ascii="Times New Roman" w:cs="Times New Roman" w:eastAsia="Times New Roman" w:hAnsi="Times New Roman"/>
          <w:sz w:val="17"/>
          <w:szCs w:val="17"/>
          <w:color w:val="auto"/>
        </w:rPr>
        <w:t>(2)            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w:t>
      </w:r>
    </w:p>
    <w:p>
      <w:pPr>
        <w:spacing w:after="0" w:line="158"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(3)            the right reserved to, or vested in, any municipality or public authority by the terms of any right, power, franchise, grant, license, permit or by any provision of law, to purchase or recapture or to designate a purchaser of, any property;</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(4)            Liens of taxes and assessments which are (A) for the then current year, (B) not at the time delinquent, or (C) delinquent but the validity of which is being contested at the time by an Issuer or any Restricted Subsidiary in good faith;</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            Liens of, or to secure performance of, leases, other than capital leases;</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(6)            any Lien upon, or deposits of, any assets in favor of any surety company or clerk of court for the purpose of obtaining indemnity or stay of judicial proceedings;</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(7)            any Lien upon property or assets acquired or sold by an Issuer or any Restricted Subsidiary resulting from the exercise of any rights arising out of defaults on receivables;</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(8)            any Lien incurred in the ordinary course of business in connection with worker’s compensation, unemployment insurance, temporary disability, social security, retiree health or similar laws or regulations or to secure obligations imposed by statute or governmental regulations;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(9)            any Lien in favor of an Issuer or any Restricted Subsidiary;</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(10)          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an Issuer or any Restricted Subsidiary for the purpose of financing all or any part of the purchase price of, or the cost of constructing, developing, repairing or improving, the property or assets subject to such Lien;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ind w:left="640"/>
        <w:spacing w:after="0"/>
        <w:rPr>
          <w:sz w:val="20"/>
          <w:szCs w:val="20"/>
          <w:color w:val="auto"/>
        </w:rPr>
      </w:pPr>
      <w:r>
        <w:rPr>
          <w:rFonts w:ascii="Times New Roman" w:cs="Times New Roman" w:eastAsia="Times New Roman" w:hAnsi="Times New Roman"/>
          <w:sz w:val="18"/>
          <w:szCs w:val="18"/>
          <w:color w:val="auto"/>
        </w:rPr>
        <w:t>(11)          any Lien securing industrial development, pollution control or similar revenue bonds;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(12)          any Lien securing Debt of an Issuer or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Debt Securities (including the Notes) in connection with such refunding, refinancing or repurchase, and the required corresponding durations thereof), to refinance, refund or repurchase all Outstanding Debt Securities (including the Notes), including the amount of all accrued interest thereon and reasonable fees and expenses and premium, if any, incurred by the Issuers or any Restricted Subsidiary in connection therewith;</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(13)          Liens in favor of any Person to secure obligations under the provisions of any letters of credit, bank guarantees, bonds or surety obligations required or requested by any governmental authority in connection with any contract or statute;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(14)          any Lien upon or deposits of any assets to secure performance of bids, trade contracts, leases or statutory obligations;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(15)          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licenses, franchises, privileges, grants or permits, so long as payment of such rent or the performance of such other obligations or acts is not delinquent or the requirement for such payment or performance is being contested in good faith by appropriate proceedings;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(16)          easements, exceptions or reservations in any property of the Partnership or any of the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the Partnership and its Subsidiaries, taken as a whole;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(17)           Liens arising under operating agreements, joint venture agreements, partnership agreements, oil and gas leases, farmout agreements, division orders, contracts for sale, transportation or exchange of oil and natural gas, unitization and pooling declarations and agreements, area of mutual interest agreements and other agreements arising in the ordinary course of the Partnership’s or any Restricted Subsidiary’s business that are customary in the business of marketing, transportation and terminalling of crude oil and/or marketing of liquefied petroleum gas; or</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(18)          any obligations or duties to any municipality or public authority with respect to any lease, easement, right-of-way, license, franchise, privilege, permit or grant.</w:t>
      </w:r>
    </w:p>
    <w:p>
      <w:pPr>
        <w:spacing w:after="0" w:line="37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1" w:name="page62"/>
    <w:bookmarkEnd w:id="61"/>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“Principal Property” means, whether owned or leased on the Issue Date or thereafter acquired: (1) any of the pipeline assets of the Partnership or the pipeline assets of any Subsidiary of the Partnership, including any related facilities employed in the transportation, distribution, terminalling, gathering, treating, processing, marketing or storage of crude oil or refined petroleum products, natural gas, natural gas liquids, fuel additives or petrochemicals, and (2) any processing or manufacturing plant or terminal owned or leased by the Partnership or any Subsidiary of the Partnership; except, in the case of either clause (1) or (2), (a) any such assets consisting of inventories, furniture, office fixtures and equipment, including data processing equipment, vehicles and equipment used on, or useful with, vehicles, and (b) any such assets, plant or terminal which, in the good faith opinion of the Board of Directors, is not material in relation to the activities of the Partnership or the activities of the Partnership and its Subsidiaries, taken as a whole.</w:t>
      </w:r>
    </w:p>
    <w:p>
      <w:pPr>
        <w:spacing w:after="0" w:line="19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“Restricted Subsidiary” means any Subsidiary of the Partnership owning or leasing, directly or indirectly through ownership in another Subsidiary, any Principal Property.</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“Sale-leaseback Transaction” means the sale or transfer by an Issuer or any Subsidiary of the Partnership of any Principal Property to a Person (other than an Issuer or a Subsidiary of the Partnership) and the taking back by an Issuer or any Subsidiary of the Partnership, as the case may be, of a lease of such Principal Property.</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“Subsidiary” means, with respect to any Person: (1) 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 (2) 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“Subsidiary Guarantors” means:</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(1)            any Subsidiary of the Partnership that executes a supplemental Indenture to provide a Guarantee in accordance with the provisions of the Indenture; and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(2)            its successors and assigns.</w:t>
            </w:r>
          </w:p>
        </w:tc>
        <w:tc>
          <w:tcPr>
            <w:tcW w:w="5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91"/>
        </w:trPr>
        <w:tc>
          <w:tcPr>
            <w:tcW w:w="340" w:type="dxa"/>
            <w:vAlign w:val="bottom"/>
          </w:tcPr>
          <w:p>
            <w:pPr>
              <w:spacing w:after="0"/>
              <w:rPr>
                <w:sz w:val="24"/>
                <w:szCs w:val="24"/>
                <w:color w:val="auto"/>
              </w:rPr>
            </w:pPr>
          </w:p>
        </w:tc>
        <w:tc>
          <w:tcPr>
            <w:tcW w:w="428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Section 2.02.           Other Definitions.</w:t>
            </w:r>
          </w:p>
        </w:tc>
        <w:tc>
          <w:tcPr>
            <w:tcW w:w="5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30"/>
        </w:trPr>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66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Defined in</w:t>
            </w:r>
          </w:p>
        </w:tc>
      </w:tr>
      <w:tr>
        <w:trPr>
          <w:trHeight w:val="198"/>
        </w:trPr>
        <w:tc>
          <w:tcPr>
            <w:tcW w:w="340" w:type="dxa"/>
            <w:vAlign w:val="bottom"/>
          </w:tcPr>
          <w:p>
            <w:pPr>
              <w:spacing w:after="0"/>
              <w:rPr>
                <w:sz w:val="17"/>
                <w:szCs w:val="17"/>
                <w:color w:val="auto"/>
              </w:rPr>
            </w:pPr>
          </w:p>
        </w:tc>
        <w:tc>
          <w:tcPr>
            <w:tcW w:w="428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Term</w:t>
            </w:r>
          </w:p>
        </w:tc>
        <w:tc>
          <w:tcPr>
            <w:tcW w:w="6620" w:type="dxa"/>
            <w:vAlign w:val="bottom"/>
            <w:gridSpan w:val="3"/>
          </w:tcPr>
          <w:p>
            <w:pPr>
              <w:jc w:val="right"/>
              <w:ind w:right="280"/>
              <w:spacing w:after="0" w:line="198" w:lineRule="exact"/>
              <w:rPr>
                <w:sz w:val="20"/>
                <w:szCs w:val="20"/>
                <w:color w:val="auto"/>
              </w:rPr>
            </w:pPr>
            <w:r>
              <w:rPr>
                <w:rFonts w:ascii="Times New Roman" w:cs="Times New Roman" w:eastAsia="Times New Roman" w:hAnsi="Times New Roman"/>
                <w:sz w:val="18"/>
                <w:szCs w:val="18"/>
                <w:b w:val="1"/>
                <w:bCs w:val="1"/>
                <w:color w:val="auto"/>
              </w:rPr>
              <w:t>Section</w:t>
            </w:r>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34"/>
        </w:trPr>
        <w:tc>
          <w:tcPr>
            <w:tcW w:w="4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“Additional Notes”</w:t>
            </w:r>
          </w:p>
        </w:tc>
        <w:tc>
          <w:tcPr>
            <w:tcW w:w="6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16"/>
        </w:trPr>
        <w:tc>
          <w:tcPr>
            <w:tcW w:w="4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“Covenant Defeasance”</w:t>
            </w:r>
          </w:p>
        </w:tc>
        <w:tc>
          <w:tcPr>
            <w:tcW w:w="6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8.03</w:t>
            </w:r>
          </w:p>
        </w:tc>
      </w:tr>
      <w:tr>
        <w:trPr>
          <w:trHeight w:val="216"/>
        </w:trPr>
        <w:tc>
          <w:tcPr>
            <w:tcW w:w="4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“Event of Default”</w:t>
            </w:r>
          </w:p>
        </w:tc>
        <w:tc>
          <w:tcPr>
            <w:tcW w:w="6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16"/>
        </w:trPr>
        <w:tc>
          <w:tcPr>
            <w:tcW w:w="4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“Legal Defeasance”</w:t>
            </w:r>
          </w:p>
        </w:tc>
        <w:tc>
          <w:tcPr>
            <w:tcW w:w="6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8.02</w:t>
            </w:r>
          </w:p>
        </w:tc>
      </w:tr>
      <w:tr>
        <w:trPr>
          <w:trHeight w:val="216"/>
        </w:trPr>
        <w:tc>
          <w:tcPr>
            <w:tcW w:w="4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“Note Obligations”</w:t>
            </w:r>
          </w:p>
        </w:tc>
        <w:tc>
          <w:tcPr>
            <w:tcW w:w="6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9.01</w:t>
            </w:r>
          </w:p>
        </w:tc>
      </w:tr>
      <w:tr>
        <w:trPr>
          <w:trHeight w:val="216"/>
        </w:trPr>
        <w:tc>
          <w:tcPr>
            <w:tcW w:w="4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“Payment Default”</w:t>
            </w:r>
          </w:p>
        </w:tc>
        <w:tc>
          <w:tcPr>
            <w:tcW w:w="6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16"/>
        </w:trPr>
        <w:tc>
          <w:tcPr>
            <w:tcW w:w="4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“Required Filing Dates”</w:t>
            </w:r>
          </w:p>
        </w:tc>
        <w:tc>
          <w:tcPr>
            <w:tcW w:w="6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234"/>
        </w:trPr>
        <w:tc>
          <w:tcPr>
            <w:tcW w:w="4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“Successor Company”</w:t>
            </w:r>
          </w:p>
        </w:tc>
        <w:tc>
          <w:tcPr>
            <w:tcW w:w="6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648"/>
        </w:trPr>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5780" w:type="dxa"/>
            <w:vAlign w:val="bottom"/>
            <w:tcBorders>
              <w:bottom w:val="single" w:sz="8" w:color="auto"/>
            </w:tcBorders>
          </w:tcPr>
          <w:p>
            <w:pPr>
              <w:jc w:val="right"/>
              <w:ind w:right="4650"/>
              <w:spacing w:after="0"/>
              <w:rPr>
                <w:sz w:val="20"/>
                <w:szCs w:val="20"/>
                <w:color w:val="auto"/>
              </w:rPr>
            </w:pPr>
            <w:r>
              <w:rPr>
                <w:rFonts w:ascii="Times New Roman" w:cs="Times New Roman" w:eastAsia="Times New Roman" w:hAnsi="Times New Roman"/>
                <w:sz w:val="18"/>
                <w:szCs w:val="18"/>
                <w:color w:val="auto"/>
              </w:rPr>
              <w:t>6</w:t>
            </w: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2" w:name="page63"/>
    <w:bookmarkEnd w:id="62"/>
    <w:p>
      <w:pPr>
        <w:ind w:left="508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THE NOTES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3.01.         </w:t>
      </w:r>
      <w:r>
        <w:rPr>
          <w:rFonts w:ascii="Times New Roman" w:cs="Times New Roman" w:eastAsia="Times New Roman" w:hAnsi="Times New Roman"/>
          <w:sz w:val="18"/>
          <w:szCs w:val="18"/>
          <w:u w:val="single" w:color="auto"/>
          <w:color w:val="auto"/>
        </w:rPr>
        <w:t>  Form</w:t>
      </w:r>
      <w:r>
        <w:rPr>
          <w:rFonts w:ascii="Times New Roman" w:cs="Times New Roman" w:eastAsia="Times New Roman" w:hAnsi="Times New Roman"/>
          <w:sz w:val="18"/>
          <w:szCs w:val="18"/>
          <w:color w:val="auto"/>
        </w:rPr>
        <w:t>. The Notes shall be issued initially in the form of one or more Global Securities. The Notes and Trustee’s certificate of authentication shall be substantially in the form of Exhibit A hereto, the terms of which are incorporated in and made a part of this Supplemental Indenture, and the Issuers and the Trustee, by their execution and delivery of this Supplemental Indenture, expressly agree to such terms and provisions and to be bound thereby.</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3.02.         </w:t>
      </w:r>
      <w:r>
        <w:rPr>
          <w:rFonts w:ascii="Times New Roman" w:cs="Times New Roman" w:eastAsia="Times New Roman" w:hAnsi="Times New Roman"/>
          <w:sz w:val="18"/>
          <w:szCs w:val="18"/>
          <w:u w:val="single" w:color="auto"/>
          <w:color w:val="auto"/>
        </w:rPr>
        <w:t>  Issuance of Additional Notes</w:t>
      </w:r>
      <w:r>
        <w:rPr>
          <w:rFonts w:ascii="Times New Roman" w:cs="Times New Roman" w:eastAsia="Times New Roman" w:hAnsi="Times New Roman"/>
          <w:sz w:val="18"/>
          <w:szCs w:val="18"/>
          <w:color w:val="auto"/>
        </w:rPr>
        <w:t>. The Issuers may, from time to time, issue an unlimited amount of additional Notes (“Additional Notes”) under the Indenture, which shall be issued in the same form as the Notes issued on the Issue Date and which shall have identical terms as the Notes issued on the Issue Date other than with respect to the issue date, the date of first payment of interest, if applicable, and the payment of interest accruing prior to the issue date. The Notes issued on the Issue Date shall be limited in aggregate principal amount to $1,000,000,000. The Notes issued on the Issue Date and any Additional Notes subsequently issued shall be treated as a single series for all purposes under the Indenture, including waivers, amendments, redemptions and offers to purchase.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3.03.         </w:t>
      </w:r>
      <w:r>
        <w:rPr>
          <w:rFonts w:ascii="Times New Roman" w:cs="Times New Roman" w:eastAsia="Times New Roman" w:hAnsi="Times New Roman"/>
          <w:sz w:val="18"/>
          <w:szCs w:val="18"/>
          <w:u w:val="single" w:color="auto"/>
          <w:color w:val="auto"/>
        </w:rPr>
        <w:t>  Global Security Legend</w:t>
      </w:r>
      <w:r>
        <w:rPr>
          <w:rFonts w:ascii="Times New Roman" w:cs="Times New Roman" w:eastAsia="Times New Roman" w:hAnsi="Times New Roman"/>
          <w:sz w:val="18"/>
          <w:szCs w:val="18"/>
          <w:color w:val="auto"/>
        </w:rPr>
        <w:t>. Each of the Global Securities shall bear a legend in substantially the following form:</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THIS GLOBAL SECURITY IS HELD BY OR ON BEHALF OF THE DEPOSITARY (AS DEFINED IN THE INDENTURE GOVERNING THIS NOTE) IN CUSTODY FOR THE BENEFIT OF THE BENEFICIAL OWNERS HEREOF, AND IS NOT TRANSFERABLE TO ANY PERSON UNDER ANY CIRCUMSTANCES EXCEPT THAT (A) THE TRUSTEE MAY MAKE SUCH NOTATIONS HEREON AS MAY BE REQUIRED PURSUANT TO SECTION 2.08 OF THE ORIGINAL INDENTURE, (B) THIS GLOBAL SECURITY MAY BE EXCHANGED IN WHOLE BUT NOT IN PART PURSUANT TO SECTION 2.15 OF THE ORIGINAL INDENTURE, (C) THIS GLOBAL SECURITY MAY BE DELIVERED TO THE TRUSTEE FOR CANCELLATION PURSUANT TO SECTION 2.10 OF THE ORIGINAL INDENTURE AND (D) THIS GLOBAL SECURITY MAY BE TRANSFERRED TO A SUCCESSOR DEPOSITARY OR ITS NOMINEE WITH THE PRIOR WRITTEN CONSENT OF THE ISSUERS.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REDEMPTION AND PREPAYMENT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4.01.         </w:t>
      </w:r>
      <w:r>
        <w:rPr>
          <w:rFonts w:ascii="Times New Roman" w:cs="Times New Roman" w:eastAsia="Times New Roman" w:hAnsi="Times New Roman"/>
          <w:sz w:val="18"/>
          <w:szCs w:val="18"/>
          <w:u w:val="single" w:color="auto"/>
          <w:color w:val="auto"/>
        </w:rPr>
        <w:t>  Optional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At their option at any time prior to maturity, the Issuers may choose to redeem all or any portion of the Notes, at once or from time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time.</w:t>
      </w:r>
    </w:p>
    <w:p>
      <w:pPr>
        <w:spacing w:after="0" w:line="207"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(b)            To redeem the Notes, the Issuers must pay a redemption price in an amount determined in accordance with the provisions of paragraph number 5 of the form of Note in Exhibit A hereto, including, to the extent provided therein, accrued and unpaid interest, if any, to the redemption date (subject to the right of Holders on the relevant record date to receive interest due on the relevant interest payment date).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3" w:name="page64"/>
    <w:bookmarkEnd w:id="63"/>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Any redemption pursuant to this Section 4.01 shall otherwise be made pursuant to the provisions of Sections 3.01 through 3.03 of the Original Indenture and paragraph number 6 of the form of Note in Exhibit A hereto. The actual redemption price shall be set forth in an Officers’ Certificate delivered to the Trustee no later than two Business Days prior to each redemption 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5.01.         </w:t>
      </w:r>
      <w:r>
        <w:rPr>
          <w:rFonts w:ascii="Times New Roman" w:cs="Times New Roman" w:eastAsia="Times New Roman" w:hAnsi="Times New Roman"/>
          <w:sz w:val="18"/>
          <w:szCs w:val="18"/>
          <w:u w:val="single" w:color="auto"/>
          <w:color w:val="auto"/>
        </w:rPr>
        <w:t>  Compliance Certificate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In lieu of the Officers’ Certificate required by Section 4.05 of the Original Indenture, the Issuers and Subsidiary Guarantors shall deliver to the Trustee, within 90 days after the end of each fiscal year, an Officers’ Certificate stating that a review of the activities of the Partnership and its Subsidiaries during the preceding fiscal year has been made under the supervision of the signing Officers (one of whom shall be the principal executive, financial or accounting officer of each Issuer and Subsidiary Guarantor) with a view to determining whether the Issuers have kept, observed, performed and fulfilled their obligations under the Indenture, and further stating, as to each such person signing such certificate, that to the best of his or her knowledge the Issuers have kept, observed, performed and fulfilled each and every covenant contained in the Indenture and are not in default in the performance or observance of any of the terms, provisions and conditions of the Indenture (or, if a Default or Event of Default shall have occurred, describing all such Defaults or Events of Default of which he or she may have knowledge and what action the Issuers are taking or propose to take with respect thereto).</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The Issuers shall, so long as any of the Notes are outstanding, deliver to the Trustee, forthwith and in any event within five days upon any officer of an Issuer becoming aware of any Default or Event of Default or an event which, with notice or the lapse of time or both, would constitute an Event of Default, an Officers’ Certificate specifying such Default or Event of Default and what action the Issuers are taking or propose to take with respect thereto.</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5.02.         </w:t>
      </w:r>
      <w:r>
        <w:rPr>
          <w:rFonts w:ascii="Times New Roman" w:cs="Times New Roman" w:eastAsia="Times New Roman" w:hAnsi="Times New Roman"/>
          <w:sz w:val="18"/>
          <w:szCs w:val="18"/>
          <w:u w:val="single" w:color="auto"/>
          <w:color w:val="auto"/>
        </w:rPr>
        <w:t>  Limitations on Liens</w:t>
      </w:r>
      <w:r>
        <w:rPr>
          <w:rFonts w:ascii="Times New Roman" w:cs="Times New Roman" w:eastAsia="Times New Roman" w:hAnsi="Times New Roman"/>
          <w:sz w:val="18"/>
          <w:szCs w:val="18"/>
          <w:color w:val="auto"/>
        </w:rPr>
        <w:t>. The Issuers will not, nor will they permit any Subsidiary of the Partnership to, create, assume, incur or suffer to exist any Lien upon any Principal Property or upon any Capital Interests of any Restricted Subsidiary, whether owned or leased on the Issue Date or thereafter acquired, to secure any Debt of an Issuer or any other Person (other than Debt Securities), without in any such case making effective provision whereby all of the Notes shall be secured equally and ratably with, or prior to, such Debt so long as such Debt shall be so secured. This restriction shall not apply to:</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Permitted Liens;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any Lien upon any property or assets created at the time of acquisition of such property or assets by an Issuer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any Lien upon any property or assets existing thereon at the time of the acquisition thereof by an Issuer or any Restricted Subsidiary (whether or not the obligations secured thereby are assumed by an Issuer or any Restricted Subsidiary); provided, however, that such Lien only encumbers the property or assets so acquired;</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(f)            any Lien upon any property or assets of an Issuer or any Restricted Subsidiary in existence on December 10, 2003 or provided for pursuant to agreements existing on December 10, 2003;</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(g)            Liens imposed by law or order as a result of any proceeding before any court or regulatory body that is being contested in good faith, and Liens which secure a judgment or other court-ordered award or settlement as to which an Issuer or the applicable Restricted Subsidiary, as the case may be, has not exhausted its appellate rights;</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(h)            any extension, renewal, refinancing, refunding or replacement (or successive extensions, renewals, refinancings, refundings or replacements) of Liens, in whole or in part, referred to in clauses (a) through (g), inclusive, of this Section 5.02;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expenses of the Issuers and the Restricted Subsidiaries (including any premium) incurred in connection with such extension, renewal, refinancing, refunding or replacement; or</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             any Lien resulting from the deposit of moneys or evidence of indebtedness in trust for the purpose of defeasing Debt of an Issuer or any Restricted Subsidiary.</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Notwithstanding the foregoing provisions of this Section 5.02, the Issuers may, and may permit any Restricted Subsidiary to, create, assume, incur or suffer to exist any Lien upon any Principal Property or Capital Interests of a Restricted Subsidiary to secure Debt of an Issuer or any Person (other than Debt Securities) that is not excepted by clauses (a) through (i), inclusive, of this Section 5.02 without securing the Notes, provided that the aggregate principal amount of all Debt then outstanding secured by such Lien and all other Liens not excepted by clauses (a) through (i), inclusive, of this Section 5.02, together with all Attributable Indebtedness from Sale-leaseback Transactions (excluding Sale-leaseback Transactions permitted by clauses (a) through (d), inclusive, of Section 5.03), does not exceed 15% of Consolidated Net Tangible Assets.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Section 5.03.         </w:t>
      </w:r>
      <w:r>
        <w:rPr>
          <w:rFonts w:ascii="Times New Roman" w:cs="Times New Roman" w:eastAsia="Times New Roman" w:hAnsi="Times New Roman"/>
          <w:sz w:val="18"/>
          <w:szCs w:val="18"/>
          <w:u w:val="single" w:color="auto"/>
          <w:color w:val="auto"/>
        </w:rPr>
        <w:t>  Restriction of Sale-leaseback Transactions</w:t>
      </w:r>
      <w:r>
        <w:rPr>
          <w:rFonts w:ascii="Times New Roman" w:cs="Times New Roman" w:eastAsia="Times New Roman" w:hAnsi="Times New Roman"/>
          <w:sz w:val="18"/>
          <w:szCs w:val="18"/>
          <w:color w:val="auto"/>
        </w:rPr>
        <w:t>. The Issuers will not, and will not permit any Subsidiary of the Partnership to, engage in a Sale-leaseback Transaction, unless: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Sale-leaseback Transaction involves a lease for a period, including renewals, of not more than three years;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the Attributable Indebtedness from that Sale-leaseback Transaction is an amount equal to or less than the amount the Issuers or such Subsidiary would be allowed to incur as Debt secured by a Lien on the Principal Property subject thereto without equally and ratably securing the Notes under Section 5.02; or</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the Issuers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an Issuer or any Subsidiary of the Partnership, or (B) the expenditure or expenditures for Principal Property used or to be used in the ordinary course of business of the Partnership or its Subsidiaries.</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Notwithstanding the foregoing provisions of this Section 5.03, the Issuers may, and may permit any Subsidiary of the Partnership to, effect any Sale-leaseback Transaction that is not excepted by clauses (a) through (d), inclusive, of this Section 5.03, provided that the Attributable Indebtedness from such Sale-leaseback Transaction, together with the aggregate principal amount of then outstanding Debt (other than Debt Securities) secured by Liens upon Principal Properties not excepted by clauses (a) through (i), inclusive, of Section 5.02, does not exceed 15% of Consolidated Net Tangible Assets.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5.04.         </w:t>
      </w:r>
      <w:r>
        <w:rPr>
          <w:rFonts w:ascii="Times New Roman" w:cs="Times New Roman" w:eastAsia="Times New Roman" w:hAnsi="Times New Roman"/>
          <w:sz w:val="18"/>
          <w:szCs w:val="18"/>
          <w:u w:val="single" w:color="auto"/>
          <w:color w:val="auto"/>
        </w:rPr>
        <w:t>  SEC Reports; 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Whether or not the Partnership is then subject to the reporting requirements of Section 13 or 15(d) of the Exchange Act, the Partnership shall electronically file with the Commission, so long as the Notes are Outstanding, the annual, quarterly and other periodic reports that the Partnership is required to file (or would otherwise be required to file) with the Commission pursuant to Sections 13 and 15(d) of the Exchange Act, and such documents shall be filed with the Commission on or prior to the respective dates (the “Required Filing Dates”) by which the Partnership is required to file (or would otherwise be required to file) such documents, unless, in each case, such filings are not then permitted by the Commission.</w:t>
      </w:r>
    </w:p>
    <w:p>
      <w:pPr>
        <w:spacing w:after="0" w:line="183" w:lineRule="exact"/>
        <w:rPr>
          <w:sz w:val="20"/>
          <w:szCs w:val="20"/>
          <w:color w:val="auto"/>
        </w:rPr>
      </w:pPr>
    </w:p>
    <w:p>
      <w:pPr>
        <w:jc w:val="both"/>
        <w:ind w:firstLine="1296"/>
        <w:spacing w:after="0" w:line="289" w:lineRule="auto"/>
        <w:rPr>
          <w:sz w:val="20"/>
          <w:szCs w:val="20"/>
          <w:color w:val="auto"/>
        </w:rPr>
      </w:pPr>
      <w:r>
        <w:rPr>
          <w:rFonts w:ascii="Times New Roman" w:cs="Times New Roman" w:eastAsia="Times New Roman" w:hAnsi="Times New Roman"/>
          <w:sz w:val="17"/>
          <w:szCs w:val="17"/>
          <w:color w:val="auto"/>
        </w:rPr>
        <w:t>(b)            If such filings are not then permitted by the Commission, or such filings are not generally available on the Internet free of charge, the Issuers shall provide the Trustee with, and the Trustee will mail to any Holder of Notes requesting in writing to the Trustee copies of, such annual, quarterly and other periodic reports specified in Sections 13 and 15(d) of the Exchange Act within 15 days after the respective Required Filing Dates.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ind w:left="1300"/>
        <w:spacing w:after="0"/>
        <w:rPr>
          <w:sz w:val="20"/>
          <w:szCs w:val="20"/>
          <w:color w:val="auto"/>
        </w:rPr>
      </w:pPr>
      <w:r>
        <w:rPr>
          <w:rFonts w:ascii="Times New Roman" w:cs="Times New Roman" w:eastAsia="Times New Roman" w:hAnsi="Times New Roman"/>
          <w:sz w:val="18"/>
          <w:szCs w:val="18"/>
          <w:color w:val="auto"/>
        </w:rPr>
        <w:t>(c)            [Intentionally omitted.]</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(d)            The Partnership shall provide the Trustee with a sufficient number of copies of all reports and other documents and information that the Trustee may be required to deliver to Holders of Notes under clause (b) of this Section 5.04.</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Delivery of such reports, information and documents to the Trustee is for informational purposes only and the Trustee’s receipt of such shall not constitute constructive notice of any information contained therein or determinable from information contained therein, including the Partnership’s compliance with any of its covenants hereunder (as to which the Trustee is entitled to rely exclusively on Officers’ Certificates).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5.05.         </w:t>
      </w:r>
      <w:r>
        <w:rPr>
          <w:rFonts w:ascii="Times New Roman" w:cs="Times New Roman" w:eastAsia="Times New Roman" w:hAnsi="Times New Roman"/>
          <w:sz w:val="18"/>
          <w:szCs w:val="18"/>
          <w:u w:val="single" w:color="auto"/>
          <w:color w:val="auto"/>
        </w:rPr>
        <w:t>  Subsidiary Guarantees</w:t>
      </w:r>
      <w:r>
        <w:rPr>
          <w:rFonts w:ascii="Times New Roman" w:cs="Times New Roman" w:eastAsia="Times New Roman" w:hAnsi="Times New Roman"/>
          <w:sz w:val="18"/>
          <w:szCs w:val="18"/>
          <w:color w:val="auto"/>
        </w:rPr>
        <w:t>. If any Subsidiary (or its successor) of the Partnership that is not then a Subsidiary Guarantor guarantees Debt of either of the Issuers, in either case after the Issue Date, then the Partnership shall cause such Subsidiary (or successor) to execute and deliver a supplemental Indenture providing for the guarantee of the payment of the Notes pursuant to Article IX hereof.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SUCCESSORS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respect to the Notes, the provisions of this Article VI shall preempt the provisions of Article X of the Original Indenture in their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entirety.</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6.01.         </w:t>
      </w:r>
      <w:r>
        <w:rPr>
          <w:rFonts w:ascii="Times New Roman" w:cs="Times New Roman" w:eastAsia="Times New Roman" w:hAnsi="Times New Roman"/>
          <w:sz w:val="18"/>
          <w:szCs w:val="18"/>
          <w:u w:val="single" w:color="auto"/>
          <w:color w:val="auto"/>
        </w:rPr>
        <w:t>  Consolidation and Mergers of the Issuers</w:t>
      </w:r>
      <w:r>
        <w:rPr>
          <w:rFonts w:ascii="Times New Roman" w:cs="Times New Roman" w:eastAsia="Times New Roman" w:hAnsi="Times New Roman"/>
          <w:sz w:val="18"/>
          <w:szCs w:val="18"/>
          <w:color w:val="auto"/>
        </w:rPr>
        <w:t>. Neither Issuer shall consolidate or amalgamate with or merge with or into any Person, or sell, convey, transfer, lease or otherwise dispose of all or substantially all its assets to any Person, whether in a single transaction or a series of related transactions, except (1) with respect to the Partnership, in accordance with the provisions of the Partnership Agreement, and (2) unless: (a) either (i) such Issuer shall be the surviving Person in the case of a merger or (ii) the resulting, surviving or transferee Person if other than such Issuer (the “Successor Company”) shall be a partnership, limited liability company or corporation organized and existing under the laws of the United States, any state thereof or the District of Columbia (provided that PAA Finance may not merge, amalgamate or consolidate with or into another Person other than a corporation satisfying such requirement for so long as the Partnership is not a corporation) and the Successor Company shall expressly assume, by an indenture supplemental hereto, executed and delivered to the Trustee, in form reasonably satisfactory to the Trustee, the due and punctual payment of the principal of, premium, if any, and interest on all of the Notes, and the due and punctual performance or observance of all the other obligations under the Indenture to be performed or observed by such Issuer; (b) immediately after giving effect to such transaction or series of transactions, no Default or Event of Default would occur or be continuing; (c) if such Issuer is not the continuing Person, then each Subsidiary Guarantor, unless it has become the Successor Company, shall confirm that its Guarantee shall continue to apply to the obligations under the Notes and the Indenture; and (d) such Issuer shall have delivered to the Trustee an Officers’ Certificate and an Opinion of Counsel, each stating that such consolidation, amalgamation, merger, sale, conveyance, transfer, lease or other disposition and such supplemental Indenture (if any) comply with this Section 6.01 and any other applicable provisions of the Indenture.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6.02.         </w:t>
      </w:r>
      <w:r>
        <w:rPr>
          <w:rFonts w:ascii="Times New Roman" w:cs="Times New Roman" w:eastAsia="Times New Roman" w:hAnsi="Times New Roman"/>
          <w:sz w:val="18"/>
          <w:szCs w:val="18"/>
          <w:u w:val="single" w:color="auto"/>
          <w:color w:val="auto"/>
        </w:rPr>
        <w:t>  Rights and Duties of Successor</w:t>
      </w:r>
      <w:r>
        <w:rPr>
          <w:rFonts w:ascii="Times New Roman" w:cs="Times New Roman" w:eastAsia="Times New Roman" w:hAnsi="Times New Roman"/>
          <w:sz w:val="18"/>
          <w:szCs w:val="18"/>
          <w:color w:val="auto"/>
        </w:rPr>
        <w:t>. In case of any consolidation, amalgamation or merger where an Issuer is not the continuing Person, or disposition of all or substantially all of the assets of an Issuer in accordance with Section 6.01, the Successor Company shall succeed to and be substituted for such Issuer with the same effect as if it had been named herein as the respective party to the Indenture, and the predecessor entity shall be released from all liabilities and obligations under the Indenture and the Notes, except that no such release will occur in the case of a lease of all or substantially all of an Issuer’s assets. In case of any such consolidation, amalgamation, merger, sale, conveyance, transfer, lease or other disposition, such changes in phraseology and form (but not in substance) may be made in the Notes thereafter to be issued as may be appropriate.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DEFAULTS AND REMEDIES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7.01.        </w:t>
      </w:r>
      <w:r>
        <w:rPr>
          <w:rFonts w:ascii="Times New Roman" w:cs="Times New Roman" w:eastAsia="Times New Roman" w:hAnsi="Times New Roman"/>
          <w:sz w:val="18"/>
          <w:szCs w:val="18"/>
          <w:u w:val="single" w:color="auto"/>
          <w:color w:val="auto"/>
        </w:rPr>
        <w:t>  Events of Default</w:t>
      </w:r>
      <w:r>
        <w:rPr>
          <w:rFonts w:ascii="Times New Roman" w:cs="Times New Roman" w:eastAsia="Times New Roman" w:hAnsi="Times New Roman"/>
          <w:sz w:val="18"/>
          <w:szCs w:val="18"/>
          <w:color w:val="auto"/>
        </w:rPr>
        <w:t>. With respect to the Notes, the provisions of this Section 7.01 shall preempt the provisions of the first and final paragraphs of Section 6.01 of the Original Indenture in their entirety.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An “Event of Default” occurs if:</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the Issuers default for 60 days in the payment when due of interest on the Notes;</w:t>
      </w:r>
    </w:p>
    <w:p>
      <w:pPr>
        <w:spacing w:after="0" w:line="225"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(ii)           the Issuers default in the payment when due of principal of or premium, if any, on the Notes at maturity, upon redemption or otherwise;</w:t>
      </w:r>
    </w:p>
    <w:p>
      <w:pPr>
        <w:spacing w:after="0" w:line="162"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(iii)           failure by an Issuer or any Subsidiary Guarantor for 90 days after receipt of notice by the Issuers from the Trustee or to the Issuers and the Trustee by the Holders of at least 25% in principal amount of the Notes then Outstanding to comply with any other term, covenant or warranty in the Indenture or the Notes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notice need not be given, and an Event of Default shall occur, 90 days after any breach of the provisions of Section 6.01 hereof);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both"/>
        <w:ind w:left="130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(iv)          default under any mortgage, indenture or instrument under which there may be issued or by which there may be secured or evidenced any Debt of an Issuer or any of the Partnership’s Subsidiaries (or the payment of which is guaranteed by the Partnership or any of its Subsidiaries), whether such Debt or guarantee now exists or is created after the Issue Date, if that default (A) is caused by a failure to pay principal of or premium, if any, or interest on such Debt prior to the expiration of the grace period provided in such Debt (a “Payment Default”) or (B) results in the acceleration of the maturity of such Debt to a date prior to its originally stated maturity, and, in each case described in clause (A) or (B), the principal amount of any such Debt, together with the principal amount of any other such Debt under which there has been a Payment Default or the maturity of which has been so accelerated, aggregates $150.0 million or more;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w:t>
      </w:r>
    </w:p>
    <w:p>
      <w:pPr>
        <w:spacing w:after="0" w:line="192"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(v)           except as permitted by the Indenture, any Guarantee shall cease for any reason to be in full force and effect (except as otherwise provided in the Indenture) or is declared null and void in a judicial proceeding or any Subsidiary Guarantor, or any Person acting on behalf of any Subsidiary Guarantor, shall deny or disaffirm its obligations under the Indenture or its Guarantee;</w:t>
      </w:r>
    </w:p>
    <w:p>
      <w:pPr>
        <w:spacing w:after="0" w:line="1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(vi)          an Issuer or any Subsidiary Guarantor pursuant to or within the meaning of any Bankruptcy Law:</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           commences a voluntary case,</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(B)            consents to the entry of an order for relief against it in an involuntary case,</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(C)            consents to the appointment of a custodian of it or for all or substantially all of its property,</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(D)            makes a general assignment for the benefit of its creditors, or</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            generally is not paying its debts as they become due; or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(vii)         a court of competent jurisdiction enters an order or decree under any Bankruptcy Law that:</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            is for relief against an Issuer or any Subsidiary Guarantor in an involuntary case;</w:t>
      </w:r>
    </w:p>
    <w:p>
      <w:pPr>
        <w:spacing w:after="0" w:line="225" w:lineRule="exact"/>
        <w:rPr>
          <w:sz w:val="20"/>
          <w:szCs w:val="20"/>
          <w:color w:val="auto"/>
        </w:rPr>
      </w:pPr>
    </w:p>
    <w:p>
      <w:pPr>
        <w:ind w:left="1960" w:firstLine="648"/>
        <w:spacing w:after="0" w:line="282" w:lineRule="auto"/>
        <w:rPr>
          <w:sz w:val="20"/>
          <w:szCs w:val="20"/>
          <w:color w:val="auto"/>
        </w:rPr>
      </w:pPr>
      <w:r>
        <w:rPr>
          <w:rFonts w:ascii="Times New Roman" w:cs="Times New Roman" w:eastAsia="Times New Roman" w:hAnsi="Times New Roman"/>
          <w:sz w:val="18"/>
          <w:szCs w:val="18"/>
          <w:color w:val="auto"/>
        </w:rPr>
        <w:t>(B)            appoints a custodian of an Issuer or any Subsidiary Guarantor or for all or substantially all of the property of an Issuer or any Subsidiary Guarantor; or</w:t>
      </w:r>
    </w:p>
    <w:p>
      <w:pPr>
        <w:spacing w:after="0" w:line="16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(C)            orders the liquidation of an Issuer or any Subsidiary Guarantor;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 the order or decree remains unstayed and in effect for 60 consecutive days.</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In the case of an Event of Default arising from Section 7.01(a)(vi) or 7.01(a)(vii) hereof involving an Issuer (and, for the avoidance of doubt, excluding any such Event of Default that involves only one or more Subsidiary Guarantors), the principal amount of all Outstanding Notes and interest thereon shall become due and payable immediately without further action or notice. If any other Event of Default occurs and is continuing, the Trustee or the Holders of at least 25% in principal amount of the then Outstanding Notes may declare the principal amount of all the Notes and interest thereon to be due and payable immediately by a notice in writing to the Issuers (and to the Trustee if given by the Holders) and upon any such declaration such principal amount and interest thereon shall be due and payable immediately.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DEFEASANCE AND COVENANT DEFEASANCE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8.01.     </w:t>
      </w:r>
      <w:r>
        <w:rPr>
          <w:rFonts w:ascii="Times New Roman" w:cs="Times New Roman" w:eastAsia="Times New Roman" w:hAnsi="Times New Roman"/>
          <w:sz w:val="18"/>
          <w:szCs w:val="18"/>
          <w:u w:val="single" w:color="auto"/>
          <w:color w:val="auto"/>
        </w:rPr>
        <w:t>  Option to Effect Legal Defeasance or Covenant Defeasance</w:t>
      </w:r>
      <w:r>
        <w:rPr>
          <w:rFonts w:ascii="Times New Roman" w:cs="Times New Roman" w:eastAsia="Times New Roman" w:hAnsi="Times New Roman"/>
          <w:sz w:val="18"/>
          <w:szCs w:val="18"/>
          <w:color w:val="auto"/>
        </w:rPr>
        <w:t>. The Issuers may, at the option of the Boards of Directors evidenced by a Board Resolution set forth in an Officers’ Certificate, at any time, elect to have either Section 8.02 or 8.03 hereof be applied to all outstanding Notes and Guarantees upon compliance with the conditions set forth below in this Article VIII.</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8.02.     </w:t>
      </w:r>
      <w:r>
        <w:rPr>
          <w:rFonts w:ascii="Times New Roman" w:cs="Times New Roman" w:eastAsia="Times New Roman" w:hAnsi="Times New Roman"/>
          <w:sz w:val="18"/>
          <w:szCs w:val="18"/>
          <w:u w:val="single" w:color="auto"/>
          <w:color w:val="auto"/>
        </w:rPr>
        <w:t>  Legal Defeasance and Discharge</w:t>
      </w:r>
      <w:r>
        <w:rPr>
          <w:rFonts w:ascii="Times New Roman" w:cs="Times New Roman" w:eastAsia="Times New Roman" w:hAnsi="Times New Roman"/>
          <w:sz w:val="18"/>
          <w:szCs w:val="18"/>
          <w:color w:val="auto"/>
        </w:rPr>
        <w:t>. Upon the Issuers’ exercise under Section 8.01 hereof of the option applicable to this Section 8.02, each of the Issuers and the Subsidiary Guarantors shall, subject to the satisfaction of the conditions set forth in Section 8.04 hereof, be deemed to have been discharged from its obligations with respect to all outstanding Notes and Guarantees on the date the conditions set forth below are satisfied (hereinafter, “Legal Defeasance”). For this purpose, Legal Defeasance means that each of the Issuers shall be deemed to have paid and discharged the entire Debt represented by the outstanding Notes, which shall thereafter be deemed to be “Outstanding” only for the purposes of Section 8.05 hereof and the other Sections of the Indenture referred to in (a) and (b) below, and to have satisfied all its other obligations under such Notes and the Indenture, and each of the Subsidiary Guarantors shall be deemed to have discharged its obligations under its Guarantee (and the Trustee, on demand of and at the expense of the Issuers, shall execute proper instruments acknowledging the same), except for the following provisions which shall survive until otherwise terminated or discharged hereunder:</w:t>
      </w:r>
    </w:p>
    <w:p>
      <w:pPr>
        <w:spacing w:after="0" w:line="188"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the rights of Holders of Outstanding Notes to receive solely from the trust fund described in Section 8.04 hereof, and as more fully set forth in such Section, payments in respect of the principal of, premium on, if any, and interest on such Notes when such payments are due,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Issuers’ obligations with respect to such Notes under Sections 2.07, 2.08, 2.09 and 4.02 of the Original Indenture,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 rights, powers, trusts, duties and immunities of the Trustee hereunder and the Issuers’ obligations in connection therewith,</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this Article VIII,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the Issuers’ rights of optional redemption under Section 4.01 hereof.</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compliance with this Article VIII, the Issuers may exercise their option under this Section 8.02 notwithstanding the prior exercise of their option under Section 8.03 hereof.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8.03.        </w:t>
      </w:r>
      <w:r>
        <w:rPr>
          <w:rFonts w:ascii="Times New Roman" w:cs="Times New Roman" w:eastAsia="Times New Roman" w:hAnsi="Times New Roman"/>
          <w:sz w:val="18"/>
          <w:szCs w:val="18"/>
          <w:u w:val="single" w:color="auto"/>
          <w:color w:val="auto"/>
        </w:rPr>
        <w:t>  Covenant Defeasance</w:t>
      </w:r>
      <w:r>
        <w:rPr>
          <w:rFonts w:ascii="Times New Roman" w:cs="Times New Roman" w:eastAsia="Times New Roman" w:hAnsi="Times New Roman"/>
          <w:sz w:val="18"/>
          <w:szCs w:val="18"/>
          <w:color w:val="auto"/>
        </w:rPr>
        <w:t>. Upon the Issuers’ exercise under Section 8.01 hereof of the option applicable to this Section 8.03, each of the Issuers shall, subject to the satisfaction of the conditions set forth in Section 8.04 hereof, be released from its obligations under the covenants contained in Sections 5.02, 5.03, 5.04 and 5.05 hereof with respect to the Outstanding Notes on and after the date the conditions set forth in Section 8.04 are satisfied (hereinafter, “Covenant Defeasance”),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the Issuers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7.01 hereof, but, except as specified above, the remainder of the Indenture, the Guarantees and such Notes shall be unaffected thereby.</w:t>
      </w:r>
    </w:p>
    <w:p>
      <w:pPr>
        <w:spacing w:after="0" w:line="19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Section 8.04.        </w:t>
      </w:r>
      <w:r>
        <w:rPr>
          <w:rFonts w:ascii="Times New Roman" w:cs="Times New Roman" w:eastAsia="Times New Roman" w:hAnsi="Times New Roman"/>
          <w:sz w:val="18"/>
          <w:szCs w:val="18"/>
          <w:u w:val="single" w:color="auto"/>
          <w:color w:val="auto"/>
        </w:rPr>
        <w:t>  Conditions to Legal or Covenant Defeasance</w:t>
      </w:r>
      <w:r>
        <w:rPr>
          <w:rFonts w:ascii="Times New Roman" w:cs="Times New Roman" w:eastAsia="Times New Roman" w:hAnsi="Times New Roman"/>
          <w:sz w:val="18"/>
          <w:szCs w:val="18"/>
          <w:color w:val="auto"/>
        </w:rPr>
        <w:t>. The following shall be the conditions to the application of either Section 8.02 or 8.03 hereof to the Outstanding Notes: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order to exercise either Legal Defeasance or Covenant Defeasance:</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the Issuers must irrevocably deposit with the Trustee, in trust, for the benefit of the Holders of the Notes, cash in Dollars, U.S. Government Obligations, or a combination thereof, in such amounts as shall be sufficient, in the written opinion of a nationally recognized firm of independent public accountants, to pay the principal of, premium on, if any, and interest on the Outstanding Notes at the Stated Maturity thereof or on the applicable redemption date, as the case may be, and the Issuers must specify whether the Notes are being defeased to maturity or to a particular redemption date;</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in the case of an election under Section 8.02 hereof, the Issuers shall have delivered to the Trustee an Opinion of Counsel confirming that (i) the Issuers have received from, or there has been published by, the Internal Revenue Service a ruling or (ii) since the date of the Indenture, there has been a change in the applicable federal income tax law, in either case to the effect that, and based thereon such Opinion of Counsel shall confirm that, the Holders of the Outstanding Notes shall not recognize income, gain or loss for federal income tax purposes as a result of such Legal Defeasance and shall be subject to federal income tax on the same amounts, in the same manner and at the same times as would have been the case if such Legal Defeasance had not occurred;</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(c)           in the case of an election under Section 8.03 hereof, the Issuers shall have delivered to the Trustee an Opinion of Counsel confirming that the Holders of the Outstanding Notes shall not recognize income, gain or loss for federal income tax purposes as a result of such Covenant Defeasance and shall be subject to federal income tax on the same amounts, in the same manner and at the same times as would have been the case if such Covenant Defeasance had not occurred;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no Default or Event of Default shall have occurred and be continuing either (i) on the date of such deposit (other than a Default or Event of Default resulting from the incurrence of Debt all or a portion of the proceeds of which shall be applied to such deposit) or (ii) insofar as Section 7.01(a)(vi) or 7.01(a)(vii) hereof is concerned, at any time in the period ending on the 91st day after the date of deposit;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such Legal Defeasance or Covenant Defeasance shall not result in a breach or violation of, or constitute a default under, any agreement or instrument (other than the Notes and the Indenture) to which the Partnership or any of its Subsidiaries is a party or by which the Partnership or any of its Subsidiaries is bound;</w:t>
      </w:r>
    </w:p>
    <w:p>
      <w:pPr>
        <w:spacing w:after="0" w:line="176" w:lineRule="exact"/>
        <w:rPr>
          <w:sz w:val="20"/>
          <w:szCs w:val="20"/>
          <w:color w:val="auto"/>
        </w:rPr>
      </w:pPr>
    </w:p>
    <w:p>
      <w:pPr>
        <w:jc w:val="both"/>
        <w:ind w:firstLine="1296"/>
        <w:spacing w:after="0" w:line="312" w:lineRule="auto"/>
        <w:rPr>
          <w:sz w:val="20"/>
          <w:szCs w:val="20"/>
          <w:color w:val="auto"/>
        </w:rPr>
      </w:pPr>
      <w:r>
        <w:rPr>
          <w:rFonts w:ascii="Times New Roman" w:cs="Times New Roman" w:eastAsia="Times New Roman" w:hAnsi="Times New Roman"/>
          <w:sz w:val="17"/>
          <w:szCs w:val="17"/>
          <w:color w:val="auto"/>
        </w:rPr>
        <w:t>(f)            the Issuers shall have delivered to the Trustee an Opinion of Counsel to the effect that after the 91st day following the deposit, the trust funds shall not be subject to the effect of any applicable bankruptcy, insolvency, reorganization or similar laws affecting creditors’ rights generally;</w:t>
      </w:r>
    </w:p>
    <w:p>
      <w:pPr>
        <w:spacing w:after="0" w:line="14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(g)           the Issuers shall have delivered to the Trustee an Officers’ Certificate stating that the deposit was not made by the Issuers with the intent of preferring the Holders over any other creditors of the Issuers or with the intent of defeating, hindering, delaying or defrauding any other creditors of the Issuers; and</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(h)           the Issuers shall have delivered to the Trustee an Officers’ Certificate and an Opinion of Counsel, each stating that all conditions precedent provided for or relating to the Legal Defeasance or the Covenant Defeasance have been complied with.</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8.05.        </w:t>
      </w:r>
      <w:r>
        <w:rPr>
          <w:rFonts w:ascii="Times New Roman" w:cs="Times New Roman" w:eastAsia="Times New Roman" w:hAnsi="Times New Roman"/>
          <w:sz w:val="18"/>
          <w:szCs w:val="18"/>
          <w:u w:val="single" w:color="auto"/>
          <w:color w:val="auto"/>
        </w:rPr>
        <w:t>  Deposited Money and U.S. Government Obligations to be Held in Trust; Other Miscellaneous Provisions</w:t>
      </w:r>
      <w:r>
        <w:rPr>
          <w:rFonts w:ascii="Times New Roman" w:cs="Times New Roman" w:eastAsia="Times New Roman" w:hAnsi="Times New Roman"/>
          <w:sz w:val="18"/>
          <w:szCs w:val="18"/>
          <w:color w:val="auto"/>
        </w:rPr>
        <w:t>. Subject to Section 8.06 hereof, all money and U.S. Government Obligations (including the proceeds thereof) deposited with the Trustee (or other qualifying trustee, collectively for purposes of this Section 8.05, the “Trustee”) pursuant to Section 8.04 hereof in respect of the outstanding Notes shall be held in trust and applied by the Trustee, in accordance with the provisions of such Notes and the Indenture, to the payment, either directly or through any paying agent (including an Issuer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Issuers shall pay and indemnify the Trustee against any tax, fee or other charge imposed on or assessed against the cash or U.S. Government Obligations deposited pursuant to Section 8.04 hereof or the principal and interest received in respect thereof other than any such tax, fee or other charge which by law is for the account of the Holders of the Outstanding Notes.</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Anything in this Article VIII to the contrary notwithstanding, the Trustee shall deliver or pay to the Issuers from time to time upon the written request of the Issuers any money or U.S. Government Obligations held by it as provided in Section 8.04 hereof which, in the opinion of a nationally recognized firm of independent public accountants expressed in a written certification thereof delivered to the Trustee (which may be the opinion delivered under Section 8.04(a) hereof), are in excess of the amount thereof that would then be required to be deposited to effect an equivalent Legal Defeasance or Covenant Defeasance.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8.06.        </w:t>
      </w:r>
      <w:r>
        <w:rPr>
          <w:rFonts w:ascii="Times New Roman" w:cs="Times New Roman" w:eastAsia="Times New Roman" w:hAnsi="Times New Roman"/>
          <w:sz w:val="18"/>
          <w:szCs w:val="18"/>
          <w:u w:val="single" w:color="auto"/>
          <w:color w:val="auto"/>
        </w:rPr>
        <w:t>  Repayment to Issuers</w:t>
      </w:r>
      <w:r>
        <w:rPr>
          <w:rFonts w:ascii="Times New Roman" w:cs="Times New Roman" w:eastAsia="Times New Roman" w:hAnsi="Times New Roman"/>
          <w:sz w:val="18"/>
          <w:szCs w:val="18"/>
          <w:color w:val="auto"/>
        </w:rPr>
        <w:t xml:space="preserve">. Any money deposited with the Trustee or any paying agent, or then held by the Issuers, in trust for the payment of the principal of, premium on, if any, or interest on any Note and remaining unclaimed for two years after such principal, premium, if any, or interest has become due and payable shall be paid to the Issuers on their written request or (if then held by the Issuers) shall be discharged from such trust; and the Holder of such Note shall thereafter, as an unsecured creditor, look only to the Issuers for payment thereof, and all liability of the Trustee or such paying agent with respect to such trust money, and all liability of the Issuers as trustee thereof, shall thereupon cease;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Trustee or such paying agent, before being required to make any such repayment, may at the expense of the Issuers cause to be published once, in </w:t>
      </w:r>
      <w:r>
        <w:rPr>
          <w:rFonts w:ascii="Times New Roman" w:cs="Times New Roman" w:eastAsia="Times New Roman" w:hAnsi="Times New Roman"/>
          <w:sz w:val="18"/>
          <w:szCs w:val="18"/>
          <w:i w:val="1"/>
          <w:iCs w:val="1"/>
          <w:color w:val="auto"/>
        </w:rPr>
        <w:t>The New York Times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(U.S. edition), notice that such money remains unclaimed and that, after a date specified therein, which shall not be less than 30 days from the date of such notification or publication, any unclaimed balance of such money then remaining shall be repaid to the Issuers.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8.07.        </w:t>
      </w:r>
      <w:r>
        <w:rPr>
          <w:rFonts w:ascii="Times New Roman" w:cs="Times New Roman" w:eastAsia="Times New Roman" w:hAnsi="Times New Roman"/>
          <w:sz w:val="18"/>
          <w:szCs w:val="18"/>
          <w:u w:val="single" w:color="auto"/>
          <w:color w:val="auto"/>
        </w:rPr>
        <w:t>  Reinstatement</w:t>
      </w:r>
      <w:r>
        <w:rPr>
          <w:rFonts w:ascii="Times New Roman" w:cs="Times New Roman" w:eastAsia="Times New Roman" w:hAnsi="Times New Roman"/>
          <w:sz w:val="18"/>
          <w:szCs w:val="18"/>
          <w:color w:val="auto"/>
        </w:rPr>
        <w:t xml:space="preserve">. If the Trustee or paying agent is unable to apply any Dollars or U.S. Government Obligations in accordance with Section 8.02 or 8.03 hereof, as the case may be, by reason of any order or judgment of any court or governmental authority enjoining, restraining or otherwise prohibiting such application, then the Issuers’ obligations under the Indenture and the Notes and the Subsidiary Guarantors’ obligations under the Guarantees shall be revived and reinstated as though no deposit had occurred pursuant to Section 8.02 or 8.03 hereof until such time as the Trustee or paying agent is permitted to apply all such money in accordance with Section 8.02 or 8.03 hereof,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Issuers make any payment of principal of, premium on, if any, or interest on any Note following the reinstatement of their obligations, the Issuers shall be subrogated to the rights of the Holders of such Notes to receive such payment from the money held by the Trustee or paying agent.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SUBSIDIARY GUARANTEES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9.01.        </w:t>
      </w:r>
      <w:r>
        <w:rPr>
          <w:rFonts w:ascii="Times New Roman" w:cs="Times New Roman" w:eastAsia="Times New Roman" w:hAnsi="Times New Roman"/>
          <w:sz w:val="18"/>
          <w:szCs w:val="18"/>
          <w:u w:val="single" w:color="auto"/>
          <w:color w:val="auto"/>
        </w:rPr>
        <w:t>  Subsidiary Guarantees</w:t>
      </w:r>
      <w:r>
        <w:rPr>
          <w:rFonts w:ascii="Times New Roman" w:cs="Times New Roman" w:eastAsia="Times New Roman" w:hAnsi="Times New Roman"/>
          <w:sz w:val="18"/>
          <w:szCs w:val="18"/>
          <w:color w:val="auto"/>
        </w:rPr>
        <w:t>. (a) Each Subsidiary Guarantor hereby jointly and severally unconditionally and irrevocably guarantees on a senior basis to each Holder and to the Trustee and its successors and assigns (i) the full and punctual payment of principal, premium, if any, and interest with respect to, the Notes when due, whether at maturity, by acceleration, by redemption or otherwise, and all other monetary obligations of the Issuers under the Indenture (including obligations to the Trustee) and the Notes and (ii) the full and punctual performance within applicable grace periods of all other obligations of the Issuers under the Indenture and the Notes (all the foregoing being hereinafter collectively called the “Note Obligations”). Each Subsidiary Guarantor further agrees that the Note Obligations may be extended or renewed, in whole or in part, without notice or further assent from each such Subsidiary Guarantor, and that each such Subsidiary Guarantor shall remain bound under this Article IX notwithstanding any extension or renewal of any Note Obligation.</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Each Subsidiary Guarantor waives presentation to, demand of, payment from and protest to the Issuers of any of the Note Obligations and also waives notice of protest for nonpayment. Each Subsidiary Guarantor waives notice of any Default or Event of Default under the Notes or the Note Obligations. The obligations of each Subsidiary Guarantor hereunder shall not be affected by (i) the failure of any Holder or the Trustee to assert any claim or demand or to enforce any right or remedy against the Issuers or any other Person under the Indenture, the Notes or any other agreement or otherwise; (ii) any extension or renewal of any thereof; (iii) any rescission, waiver, amendment or modification of any of the terms or provisions of the Indenture, the Notes or any other agreement; (iv) the release of any security held by any Holder or the Trustee for the Note Obligations or any of them;</w:t>
      </w:r>
    </w:p>
    <w:p>
      <w:pPr>
        <w:spacing w:after="0" w:line="5" w:lineRule="exact"/>
        <w:rPr>
          <w:sz w:val="20"/>
          <w:szCs w:val="20"/>
          <w:color w:val="auto"/>
        </w:rPr>
      </w:pPr>
    </w:p>
    <w:p>
      <w:pPr>
        <w:ind w:firstLine="8"/>
        <w:spacing w:after="0" w:line="260" w:lineRule="auto"/>
        <w:tabs>
          <w:tab w:leader="none" w:pos="27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Holder or Trustee to exercise any right or remedy against any other guarantor of the Note Obligations; or (vi) any change in the ownership of such Subsidiary Guarantor, except as provided in Section 9.02 hereof.</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Each Subsidiary Guarantor further agrees that its Guarantee herein constitutes a guarantee of payment, performance and compliance when due (and not a guarantee of collection) and waives any right to require that any resort be had by any Holder or the Trustee to any security held for payment of the Note Obligations.</w:t>
      </w:r>
    </w:p>
    <w:p>
      <w:pPr>
        <w:spacing w:after="0" w:line="176" w:lineRule="exact"/>
        <w:rPr>
          <w:sz w:val="20"/>
          <w:szCs w:val="20"/>
          <w:color w:val="auto"/>
        </w:rPr>
      </w:pPr>
    </w:p>
    <w:p>
      <w:pPr>
        <w:jc w:val="both"/>
        <w:ind w:firstLine="1296"/>
        <w:spacing w:after="0" w:line="272" w:lineRule="auto"/>
        <w:rPr>
          <w:sz w:val="20"/>
          <w:szCs w:val="20"/>
          <w:color w:val="auto"/>
        </w:rPr>
      </w:pPr>
      <w:r>
        <w:rPr>
          <w:rFonts w:ascii="Times New Roman" w:cs="Times New Roman" w:eastAsia="Times New Roman" w:hAnsi="Times New Roman"/>
          <w:sz w:val="17"/>
          <w:szCs w:val="17"/>
          <w:color w:val="auto"/>
        </w:rPr>
        <w:t>(d)           The obligations of each Subsidiary Guarantor hereunder shall not be subject to any reduction, limitation, impairment or termination for any reason other than indefeasible payment in full of the Note Obligations, including any claim of waiver, release, surrender, alteration or compromise, and shall not be subject to any defense of setoff, counterclaim, recoupment or termination whatsoever or by reason of the invalidity, illegality or unenforceability of the Note Obligations or otherwise. Without limiting the generality of the foregoing, the obligations of each Subsidiary Guarantor herein shall not be discharged or impaired or otherwise affected by the failure of any Holder or the Trustee to assert any claim or demand or to enforce any remedy under the Indenture, the Notes or any other agreement, by any waiver or modification of any thereof, by any default, failure or delay, willful or otherwise, in the performance of the obligations, or by any other act or thing or omission or delay to do any other act or thing which may or might in any manner or to any extent vary the risk of any Subsidiary Guarantor or would otherwise operate as a discharge of any Subsidiary Guarantor as a matter of law or equity.</w:t>
      </w:r>
    </w:p>
    <w:p>
      <w:pPr>
        <w:spacing w:after="0" w:line="17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Each Subsidiary Guarantor further agrees that its Guarantee herein shall continue to be effective or be reinstated, as the case may be, if at any time payment, or any part thereof, of principal, premium, if any, or interest with respect to any Note Obligation is rescinded or must otherwise be restored by any Holder or the Trustee upon the bankruptcy or reorganization of either of the Issuers or otherwise.</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(f)            In furtherance of the foregoing and not in limitation of any other right which any Holder or the Trustee has at law or in equity against any Subsidiary Guarantor by virtue hereof, upon the failure of the Issuers to pay the principal, premium, if any, or interest with respect to any Note Obligation when and as the same shall become due, whether at maturity, by acceleration, by redemption or otherwise, or to perform or comply with any other Note Obligation, each Subsidiary Guarantor hereby promises to and shall forthwith pay, or cause to be paid, in cash, to the Holders or the Trustee an amount equal to the sum of (i) the unpaid principal amount of such Note Obligations, (ii) accrued and unpaid interest on such Note Obligations (but only to the extent not prohibited by law) and (iii) all other monetary Note Obligations of the Issuers to the Holders and the Trustee.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(g)           Each Subsidiary Guarantor agrees that it shall not be entitled to any right of subrogation in relation to the Holders in respect of any Note Obligations guaranteed hereby until payment in full of all Note Obligations. Each Subsidiary Guarantor further agrees that, as between it, on the one hand, and the Holders and the Trustee, on the other hand, (i) the maturity of the Note Obligations guaranteed hereby may be accelerated as provided in Article VII hereof for the purposes of any Subsidiary Guarantor’s Guarantee herein, notwithstanding any stay, injunction or other prohibition preventing such acceleration in respect of the Note Obligations guaranteed hereby, and (ii) in the event of any declaration of acceleration of such obligations as provided in Article VII hereof, such Note Obligations (whether or not due and payable) shall forthwith become due and payable by such Subsidiary Guarantor for the purposes of this Section 9.01.</w:t>
      </w:r>
    </w:p>
    <w:p>
      <w:pPr>
        <w:spacing w:after="0" w:line="18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(h)           Each Subsidiary Guarantor also agrees to pay any and all costs and expenses (including reasonable attorneys’ fees) incurred by the Trustee or any Holder in enforcing any rights under this Section 9.01.</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9.02.        </w:t>
      </w:r>
      <w:r>
        <w:rPr>
          <w:rFonts w:ascii="Times New Roman" w:cs="Times New Roman" w:eastAsia="Times New Roman" w:hAnsi="Times New Roman"/>
          <w:sz w:val="18"/>
          <w:szCs w:val="18"/>
          <w:u w:val="single" w:color="auto"/>
          <w:color w:val="auto"/>
        </w:rPr>
        <w:t>  Limitation on Liability</w:t>
      </w:r>
      <w:r>
        <w:rPr>
          <w:rFonts w:ascii="Times New Roman" w:cs="Times New Roman" w:eastAsia="Times New Roman" w:hAnsi="Times New Roman"/>
          <w:sz w:val="18"/>
          <w:szCs w:val="18"/>
          <w:color w:val="auto"/>
        </w:rPr>
        <w:t>. Any term or provision of the Indenture to the contrary notwithstanding, the maximum, aggregate amount of the Note Obligations guaranteed hereunder by any Subsidiary Guarantor shall not exceed the maximum amount that, after giving effect to all other contingent and fixed liabilities of such Subsidiary Guarantor and to any collections from or payments made by or on behalf of any other Subsidiary Guarantor in respect of its obligations under its Guarantee, can be hereby guaranteed without rendering the Indenture, as it relates to any Subsidiary Guarantor, voidable under applicable law relating to fraudulent conveyance or fraudulent transfer.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9.03.        </w:t>
      </w:r>
      <w:r>
        <w:rPr>
          <w:rFonts w:ascii="Times New Roman" w:cs="Times New Roman" w:eastAsia="Times New Roman" w:hAnsi="Times New Roman"/>
          <w:sz w:val="18"/>
          <w:szCs w:val="18"/>
          <w:u w:val="single" w:color="auto"/>
          <w:color w:val="auto"/>
        </w:rPr>
        <w:t>  Successors and Assigns</w:t>
      </w:r>
      <w:r>
        <w:rPr>
          <w:rFonts w:ascii="Times New Roman" w:cs="Times New Roman" w:eastAsia="Times New Roman" w:hAnsi="Times New Roman"/>
          <w:sz w:val="18"/>
          <w:szCs w:val="18"/>
          <w:color w:val="auto"/>
        </w:rPr>
        <w:t>. This Article IX shall be binding upon each Subsidiary Guarantor and, except as provided in Section 9.07, its successors and assigns and shall inure to the benefit of the successors and assigns of the Trustee and the Holders and, in the event of any transfer or assignment of rights by any Holder or the Trustee, the rights and privileges conferred upon that party in the Indenture and in the Notes shall automatically extend to and be vested in such transferee or assignee, all subject to the terms and conditions of the Indenture.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9.04.        </w:t>
      </w:r>
      <w:r>
        <w:rPr>
          <w:rFonts w:ascii="Times New Roman" w:cs="Times New Roman" w:eastAsia="Times New Roman" w:hAnsi="Times New Roman"/>
          <w:sz w:val="18"/>
          <w:szCs w:val="18"/>
          <w:u w:val="single" w:color="auto"/>
          <w:color w:val="auto"/>
        </w:rPr>
        <w:t>  No Waiver</w:t>
      </w:r>
      <w:r>
        <w:rPr>
          <w:rFonts w:ascii="Times New Roman" w:cs="Times New Roman" w:eastAsia="Times New Roman" w:hAnsi="Times New Roman"/>
          <w:sz w:val="18"/>
          <w:szCs w:val="18"/>
          <w:color w:val="auto"/>
        </w:rPr>
        <w:t>. Neither a failure nor a delay on the part of either the Trustee or the Holders in exercising any right, power or privilege under this Article IX shall operate as a waiver thereof, nor shall a single or partial exercise thereof preclude any other or further exercise of any right, power or privilege. The rights, remedies and benefits of the Trustee and the Holders herein expressly specified are cumulative and not exclusive of any other rights, remedies or benefits which either may have under this Article IX at law, in equity, by statute or otherwise.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9.05.        </w:t>
      </w:r>
      <w:r>
        <w:rPr>
          <w:rFonts w:ascii="Times New Roman" w:cs="Times New Roman" w:eastAsia="Times New Roman" w:hAnsi="Times New Roman"/>
          <w:sz w:val="18"/>
          <w:szCs w:val="18"/>
          <w:u w:val="single" w:color="auto"/>
          <w:color w:val="auto"/>
        </w:rPr>
        <w:t>  Modification</w:t>
      </w:r>
      <w:r>
        <w:rPr>
          <w:rFonts w:ascii="Times New Roman" w:cs="Times New Roman" w:eastAsia="Times New Roman" w:hAnsi="Times New Roman"/>
          <w:sz w:val="18"/>
          <w:szCs w:val="18"/>
          <w:color w:val="auto"/>
        </w:rPr>
        <w:t>. No modification, amendment or waiver of any provision of this Article IX, nor the consent to any departure by any Subsidiary Guarantor therefrom, shall in any event be effective unless the same shall be in writing and signed by the Trustee, and then such waiver or consent shall be effective only in the specific instance and for the purpose for which given. No notice to or demand on any Subsidiary Guarantor in any case shall entitle such Subsidiary Guarantor to any other or further notice or demand in the same, similar or other circumstances.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9.06.        </w:t>
      </w:r>
      <w:r>
        <w:rPr>
          <w:rFonts w:ascii="Times New Roman" w:cs="Times New Roman" w:eastAsia="Times New Roman" w:hAnsi="Times New Roman"/>
          <w:sz w:val="18"/>
          <w:szCs w:val="18"/>
          <w:u w:val="single" w:color="auto"/>
          <w:color w:val="auto"/>
        </w:rPr>
        <w:t>  Execution of Supplemental Indenture for Future Subsidiary Guarantors</w:t>
      </w:r>
      <w:r>
        <w:rPr>
          <w:rFonts w:ascii="Times New Roman" w:cs="Times New Roman" w:eastAsia="Times New Roman" w:hAnsi="Times New Roman"/>
          <w:sz w:val="18"/>
          <w:szCs w:val="18"/>
          <w:color w:val="auto"/>
        </w:rPr>
        <w:t>. Each Subsidiary which is required to become a Subsidiary Guarantor pursuant to Section 5.05 hereof shall promptly execute and deliver to the Trustee a supplemental Indenture in substantially the form of Exhibit B hereto pursuant to which such Subsidiary shall become a Subsidiary Guarantor under this Article IX and shall guarantee the Note Obligations. Concurrently with the execution and delivery of such supplemental Indenture, the Issuers shall deliver to the Trustee an Opinion of Counsel to the effect that such supplemental Indenture has been duly authorized, executed and delivered by such Subsidiary and that, subject to the application of bankruptcy, insolvency, moratorium, fraudulent conveyance or transfer and other similar laws relating to creditors’ rights generally and to the principles of equity, whether considered in a proceeding at law or in equity, the Guarantee of such Subsidiary Guarantor is a legal, valid and binding obligation of such Subsidiary Guarantor, enforceable against such Subsidiary Guarantor in accordance with its terms.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9.07.        </w:t>
      </w:r>
      <w:r>
        <w:rPr>
          <w:rFonts w:ascii="Times New Roman" w:cs="Times New Roman" w:eastAsia="Times New Roman" w:hAnsi="Times New Roman"/>
          <w:sz w:val="18"/>
          <w:szCs w:val="18"/>
          <w:u w:val="single" w:color="auto"/>
          <w:color w:val="auto"/>
        </w:rPr>
        <w:t>  Release of Guarantee</w:t>
      </w:r>
      <w:r>
        <w:rPr>
          <w:rFonts w:ascii="Times New Roman" w:cs="Times New Roman" w:eastAsia="Times New Roman" w:hAnsi="Times New Roman"/>
          <w:sz w:val="18"/>
          <w:szCs w:val="18"/>
          <w:color w:val="auto"/>
        </w:rPr>
        <w:t>. Provided that no Default shall have occurred and shall be continuing under the Indenture, the Guarantee of a Subsidiary Guarantor under this Article IX shall terminate and be of no further force and effect, and such Subsidiary Guarantor shall be released from the Indenture and all Note Obligations, upon the following events: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upon any sale or other disposition of all or substantially all of the assets of such Subsidiary Guarantor (including by way of merger, consolidation or otherwise) to any Person that is not an Affiliate of either of the Issuers (provided such sale or other disposition is not prohibited by the Indenture);</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upon any sale or other disposition of all of the Equity Interests of a Subsidiary Guarantor, to any Person that is not an Affiliate of either of the Issuers; or</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following the release or discharge of all guarantees by such Subsidiary Guarantor of any Debt of the Issuers (other than any Debt Securities), upon delivery by the Issuers to the Trustee of a written notice of such release or discharge from the guarantees.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Section 10.01.      </w:t>
      </w:r>
      <w:r>
        <w:rPr>
          <w:rFonts w:ascii="Times New Roman" w:cs="Times New Roman" w:eastAsia="Times New Roman" w:hAnsi="Times New Roman"/>
          <w:sz w:val="18"/>
          <w:szCs w:val="18"/>
          <w:u w:val="single" w:color="auto"/>
          <w:color w:val="auto"/>
        </w:rPr>
        <w:t>  Additional Amendments</w:t>
      </w:r>
      <w:r>
        <w:rPr>
          <w:rFonts w:ascii="Times New Roman" w:cs="Times New Roman" w:eastAsia="Times New Roman" w:hAnsi="Times New Roman"/>
          <w:sz w:val="18"/>
          <w:szCs w:val="18"/>
          <w:color w:val="auto"/>
        </w:rPr>
        <w:t>. With respect to the Notes, references to (A) “Section 6.01” in the Original Indenture shall be deemed to be references to “Section 7.01” of this Supplemental Indenture; (B) “Section 11.02” in the Original Indenture shall be deemed to be references to “Section 8.06” of this Supplemental Indenture; (C) “Section 6.01(g) or (h)” in the Original Indenture shall be deemed to be references to “Section 7.01(a)</w:t>
      </w:r>
    </w:p>
    <w:p>
      <w:pPr>
        <w:spacing w:after="0" w:line="1" w:lineRule="exact"/>
        <w:rPr>
          <w:sz w:val="20"/>
          <w:szCs w:val="20"/>
          <w:color w:val="auto"/>
        </w:rPr>
      </w:pPr>
    </w:p>
    <w:p>
      <w:pPr>
        <w:ind w:firstLine="8"/>
        <w:spacing w:after="0" w:line="260" w:lineRule="auto"/>
        <w:tabs>
          <w:tab w:leader="none" w:pos="32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(a)(vii)” of this Supplemental Indenture; and (D) “Article X” in the Original Indenture shall be deemed to be references to “Article VI” of this Supplemental Indenture.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10.02.      </w:t>
      </w:r>
      <w:r>
        <w:rPr>
          <w:rFonts w:ascii="Times New Roman" w:cs="Times New Roman" w:eastAsia="Times New Roman" w:hAnsi="Times New Roman"/>
          <w:sz w:val="18"/>
          <w:szCs w:val="18"/>
          <w:u w:val="single" w:color="auto"/>
          <w:color w:val="auto"/>
        </w:rPr>
        <w:t>  Integral Part</w:t>
      </w:r>
      <w:r>
        <w:rPr>
          <w:rFonts w:ascii="Times New Roman" w:cs="Times New Roman" w:eastAsia="Times New Roman" w:hAnsi="Times New Roman"/>
          <w:sz w:val="18"/>
          <w:szCs w:val="18"/>
          <w:color w:val="auto"/>
        </w:rPr>
        <w:t>. This Supplemental Indenture constitutes an integral part of the Indenture.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Section 10.03.      </w:t>
      </w:r>
      <w:r>
        <w:rPr>
          <w:rFonts w:ascii="Times New Roman" w:cs="Times New Roman" w:eastAsia="Times New Roman" w:hAnsi="Times New Roman"/>
          <w:sz w:val="18"/>
          <w:szCs w:val="18"/>
          <w:u w:val="single" w:color="auto"/>
          <w:color w:val="auto"/>
        </w:rPr>
        <w:t>  Adoption, Ratification and Confirmation</w:t>
      </w:r>
      <w:r>
        <w:rPr>
          <w:rFonts w:ascii="Times New Roman" w:cs="Times New Roman" w:eastAsia="Times New Roman" w:hAnsi="Times New Roman"/>
          <w:sz w:val="18"/>
          <w:szCs w:val="18"/>
          <w:color w:val="auto"/>
        </w:rPr>
        <w:t>. The Original Indenture, as supplemented and amended by this Supplemental Indenture, is in all respects hereby adopted, ratified and confirmed.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10.04.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Supplemental Indenture may be executed in any number of counterparts, each of which when so executed shall be deemed an original; and all such counterparts shall together constitute but one and the same instrument.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10.05.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THIS SUPPLEMENTAL INDENTURE AND THE NOTES SHALL BE GOVERNED BY AND CONSTRUED IN ACCORDANCE WITH THE LAWS OF THE STATE OF NEW YORK.</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10.06.      </w:t>
      </w:r>
      <w:r>
        <w:rPr>
          <w:rFonts w:ascii="Times New Roman" w:cs="Times New Roman" w:eastAsia="Times New Roman" w:hAnsi="Times New Roman"/>
          <w:sz w:val="18"/>
          <w:szCs w:val="18"/>
          <w:u w:val="single" w:color="auto"/>
          <w:color w:val="auto"/>
        </w:rPr>
        <w:t>  Recitals; Trustee Makes No Representation; Trustee’s Rights and Duties</w:t>
      </w:r>
      <w:r>
        <w:rPr>
          <w:rFonts w:ascii="Times New Roman" w:cs="Times New Roman" w:eastAsia="Times New Roman" w:hAnsi="Times New Roman"/>
          <w:sz w:val="18"/>
          <w:szCs w:val="18"/>
          <w:color w:val="auto"/>
        </w:rPr>
        <w:t>. The recitals contained herein shall be taken as the statements of the Issuers, and the Trustee assumes no responsibility for the correctness of the same. The Trustee makes no representation as to the validity or sufficiency of this Supplemental Indenture and shall not be liable in connection therewith. The rights and duties of the Trustee shall be determined by the express provisions of the Original Indenture, and nothing in this Supplemental Indenture shall in any way modify or otherwise affect the Trustee’s rights and duties thereunder.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[Signatures on following pages]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7"/>
          <w:szCs w:val="17"/>
          <w:color w:val="auto"/>
        </w:rPr>
        <w:t>SIGNATURES</w:t>
      </w:r>
    </w:p>
    <w:p>
      <w:pPr>
        <w:spacing w:after="0" w:line="23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ISSUERS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right"/>
        <w:ind w:right="1079"/>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ectPr>
          <w:pgSz w:w="11900" w:h="16838" w:orient="portrait"/>
          <w:cols w:equalWidth="0" w:num="1">
            <w:col w:w="9019"/>
          </w:cols>
          <w:pgMar w:left="1440" w:top="904" w:right="1440" w:bottom="1440" w:gutter="0" w:footer="0" w:header="0"/>
        </w:sectPr>
      </w:pP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PAA 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its General Partner</w:t>
      </w:r>
    </w:p>
    <w:p>
      <w:pPr>
        <w:spacing w:after="0" w:line="200" w:lineRule="exact"/>
        <w:rPr>
          <w:sz w:val="20"/>
          <w:szCs w:val="20"/>
          <w:color w:val="auto"/>
        </w:rPr>
      </w:pPr>
    </w:p>
    <w:p>
      <w:pPr>
        <w:sectPr>
          <w:pgSz w:w="11900" w:h="16838" w:orient="portrait"/>
          <w:cols w:equalWidth="0" w:num="2">
            <w:col w:w="4780" w:space="300"/>
            <w:col w:w="3939"/>
          </w:cols>
          <w:pgMar w:left="1440" w:top="904" w:right="1440" w:bottom="1440" w:gutter="0" w:footer="0" w:header="0"/>
          <w:type w:val="continuous"/>
        </w:sectPr>
      </w:pPr>
    </w:p>
    <w:p>
      <w:pPr>
        <w:spacing w:after="0" w:line="1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Plains AAP, 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its Sole Member</w:t>
      </w:r>
    </w:p>
    <w:p>
      <w:pPr>
        <w:spacing w:after="0" w:line="200" w:lineRule="exact"/>
        <w:rPr>
          <w:sz w:val="20"/>
          <w:szCs w:val="20"/>
          <w:color w:val="auto"/>
        </w:rPr>
      </w:pPr>
    </w:p>
    <w:p>
      <w:pPr>
        <w:sectPr>
          <w:pgSz w:w="11900" w:h="16838" w:orient="portrait"/>
          <w:cols w:equalWidth="0" w:num="2">
            <w:col w:w="4780" w:space="300"/>
            <w:col w:w="3939"/>
          </w:cols>
          <w:pgMar w:left="1440" w:top="904" w:right="1440" w:bottom="1440" w:gutter="0" w:footer="0" w:header="0"/>
          <w:type w:val="continuous"/>
        </w:sectPr>
      </w:pPr>
    </w:p>
    <w:p>
      <w:pPr>
        <w:spacing w:after="0" w:line="1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ind w:right="1819"/>
        <w:spacing w:after="0" w:line="282" w:lineRule="auto"/>
        <w:rPr>
          <w:sz w:val="20"/>
          <w:szCs w:val="20"/>
          <w:color w:val="auto"/>
        </w:rPr>
      </w:pPr>
      <w:r>
        <w:rPr>
          <w:rFonts w:ascii="Times New Roman" w:cs="Times New Roman" w:eastAsia="Times New Roman" w:hAnsi="Times New Roman"/>
          <w:sz w:val="18"/>
          <w:szCs w:val="18"/>
          <w:color w:val="auto"/>
        </w:rPr>
        <w:t>Plains All American GP LLC its General Partner</w:t>
      </w:r>
    </w:p>
    <w:p>
      <w:pPr>
        <w:spacing w:after="0" w:line="162" w:lineRule="exact"/>
        <w:rPr>
          <w:sz w:val="20"/>
          <w:szCs w:val="20"/>
          <w:color w:val="auto"/>
        </w:rPr>
      </w:pPr>
    </w:p>
    <w:p>
      <w:pPr>
        <w:sectPr>
          <w:pgSz w:w="11900" w:h="16838" w:orient="portrait"/>
          <w:cols w:equalWidth="0" w:num="2">
            <w:col w:w="4780" w:space="300"/>
            <w:col w:w="3939"/>
          </w:cols>
          <w:pgMar w:left="1440" w:top="904" w:right="1440" w:bottom="1440" w:gutter="0" w:footer="0" w:header="0"/>
          <w:type w:val="continuous"/>
        </w:sect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Sharon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Sharon Spurlin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and Treasurer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PAA FINANCE CORP.</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Sharon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Sharon Spurlin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and Treasurer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Thirty-Fourth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type w:val="continuous"/>
        </w:sectPr>
      </w:pPr>
    </w:p>
    <w:bookmarkStart w:id="78" w:name="page79"/>
    <w:bookmarkEnd w:id="78"/>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TRUSTEE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K. Herberger</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K. Herberger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6"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i w:val="1"/>
          <w:iCs w:val="1"/>
          <w:color w:val="auto"/>
        </w:rPr>
        <w:t>Signature Page to Thirty-Fourth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447040</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07"/>
        </w:trPr>
        <w:tc>
          <w:tcPr>
            <w:tcW w:w="2820" w:type="dxa"/>
            <w:vAlign w:val="bottom"/>
          </w:tcPr>
          <w:p>
            <w:pPr>
              <w:spacing w:after="0"/>
              <w:rPr>
                <w:sz w:val="17"/>
                <w:szCs w:val="17"/>
                <w:color w:val="auto"/>
              </w:rPr>
            </w:pPr>
          </w:p>
        </w:tc>
        <w:tc>
          <w:tcPr>
            <w:tcW w:w="754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EXHIBIT A</w:t>
            </w:r>
          </w:p>
        </w:tc>
      </w:tr>
      <w:tr>
        <w:trPr>
          <w:trHeight w:val="453"/>
        </w:trPr>
        <w:tc>
          <w:tcPr>
            <w:tcW w:w="2820" w:type="dxa"/>
            <w:vAlign w:val="bottom"/>
          </w:tcPr>
          <w:p>
            <w:pPr>
              <w:spacing w:after="0"/>
              <w:rPr>
                <w:sz w:val="24"/>
                <w:szCs w:val="24"/>
                <w:color w:val="auto"/>
              </w:rPr>
            </w:pPr>
          </w:p>
        </w:tc>
        <w:tc>
          <w:tcPr>
            <w:tcW w:w="8420" w:type="dxa"/>
            <w:vAlign w:val="bottom"/>
            <w:gridSpan w:val="2"/>
          </w:tcPr>
          <w:p>
            <w:pPr>
              <w:jc w:val="center"/>
              <w:ind w:right="2730"/>
              <w:spacing w:after="0"/>
              <w:rPr>
                <w:sz w:val="20"/>
                <w:szCs w:val="20"/>
                <w:color w:val="auto"/>
              </w:rPr>
            </w:pPr>
            <w:r>
              <w:rPr>
                <w:rFonts w:ascii="Times New Roman" w:cs="Times New Roman" w:eastAsia="Times New Roman" w:hAnsi="Times New Roman"/>
                <w:sz w:val="18"/>
                <w:szCs w:val="18"/>
                <w:color w:val="auto"/>
                <w:w w:val="99"/>
              </w:rPr>
              <w:t>(Form of Face of Note)</w:t>
            </w:r>
          </w:p>
        </w:tc>
      </w:tr>
      <w:tr>
        <w:trPr>
          <w:trHeight w:val="41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CUSIP 72650RBQ4</w:t>
            </w:r>
          </w:p>
        </w:tc>
        <w:tc>
          <w:tcPr>
            <w:tcW w:w="75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 __</w:t>
            </w: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ISIN US72650RBQ48</w:t>
            </w:r>
          </w:p>
        </w:tc>
        <w:tc>
          <w:tcPr>
            <w:tcW w:w="8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$__________</w:t>
            </w:r>
          </w:p>
        </w:tc>
      </w:tr>
      <w:tr>
        <w:trPr>
          <w:trHeight w:val="414"/>
        </w:trPr>
        <w:tc>
          <w:tcPr>
            <w:tcW w:w="2820" w:type="dxa"/>
            <w:vAlign w:val="bottom"/>
          </w:tcPr>
          <w:p>
            <w:pPr>
              <w:spacing w:after="0"/>
              <w:rPr>
                <w:sz w:val="24"/>
                <w:szCs w:val="24"/>
                <w:color w:val="auto"/>
              </w:rPr>
            </w:pPr>
          </w:p>
        </w:tc>
        <w:tc>
          <w:tcPr>
            <w:tcW w:w="8420" w:type="dxa"/>
            <w:vAlign w:val="bottom"/>
            <w:gridSpan w:val="2"/>
          </w:tcPr>
          <w:p>
            <w:pPr>
              <w:jc w:val="center"/>
              <w:ind w:right="2710"/>
              <w:spacing w:after="0"/>
              <w:rPr>
                <w:sz w:val="20"/>
                <w:szCs w:val="20"/>
                <w:color w:val="auto"/>
              </w:rPr>
            </w:pPr>
            <w:r>
              <w:rPr>
                <w:rFonts w:ascii="Times New Roman" w:cs="Times New Roman" w:eastAsia="Times New Roman" w:hAnsi="Times New Roman"/>
                <w:sz w:val="18"/>
                <w:szCs w:val="18"/>
                <w:color w:val="auto"/>
                <w:w w:val="99"/>
              </w:rPr>
              <w:t>PLAINS ALL AMERICAN PIPELINE, L.P.</w:t>
            </w:r>
          </w:p>
        </w:tc>
      </w:tr>
      <w:tr>
        <w:trPr>
          <w:trHeight w:val="234"/>
        </w:trPr>
        <w:tc>
          <w:tcPr>
            <w:tcW w:w="2820" w:type="dxa"/>
            <w:vAlign w:val="bottom"/>
          </w:tcPr>
          <w:p>
            <w:pPr>
              <w:spacing w:after="0"/>
              <w:rPr>
                <w:sz w:val="20"/>
                <w:szCs w:val="20"/>
                <w:color w:val="auto"/>
              </w:rPr>
            </w:pPr>
          </w:p>
        </w:tc>
        <w:tc>
          <w:tcPr>
            <w:tcW w:w="8420" w:type="dxa"/>
            <w:vAlign w:val="bottom"/>
            <w:gridSpan w:val="2"/>
          </w:tcPr>
          <w:p>
            <w:pPr>
              <w:jc w:val="center"/>
              <w:ind w:right="2710"/>
              <w:spacing w:after="0"/>
              <w:rPr>
                <w:sz w:val="20"/>
                <w:szCs w:val="20"/>
                <w:color w:val="auto"/>
              </w:rPr>
            </w:pPr>
            <w:r>
              <w:rPr>
                <w:rFonts w:ascii="Times New Roman" w:cs="Times New Roman" w:eastAsia="Times New Roman" w:hAnsi="Times New Roman"/>
                <w:sz w:val="18"/>
                <w:szCs w:val="18"/>
                <w:color w:val="auto"/>
                <w:w w:val="97"/>
              </w:rPr>
              <w:t>PAA FINANCE CORP.</w:t>
            </w:r>
          </w:p>
        </w:tc>
      </w:tr>
      <w:tr>
        <w:trPr>
          <w:trHeight w:val="432"/>
        </w:trPr>
        <w:tc>
          <w:tcPr>
            <w:tcW w:w="2820" w:type="dxa"/>
            <w:vAlign w:val="bottom"/>
          </w:tcPr>
          <w:p>
            <w:pPr>
              <w:spacing w:after="0"/>
              <w:rPr>
                <w:sz w:val="24"/>
                <w:szCs w:val="24"/>
                <w:color w:val="auto"/>
              </w:rPr>
            </w:pPr>
          </w:p>
        </w:tc>
        <w:tc>
          <w:tcPr>
            <w:tcW w:w="8420" w:type="dxa"/>
            <w:vAlign w:val="bottom"/>
            <w:gridSpan w:val="2"/>
          </w:tcPr>
          <w:p>
            <w:pPr>
              <w:jc w:val="center"/>
              <w:ind w:right="2730"/>
              <w:spacing w:after="0"/>
              <w:rPr>
                <w:sz w:val="20"/>
                <w:szCs w:val="20"/>
                <w:color w:val="auto"/>
              </w:rPr>
            </w:pPr>
            <w:r>
              <w:rPr>
                <w:rFonts w:ascii="Times New Roman" w:cs="Times New Roman" w:eastAsia="Times New Roman" w:hAnsi="Times New Roman"/>
                <w:sz w:val="18"/>
                <w:szCs w:val="18"/>
                <w:color w:val="auto"/>
                <w:w w:val="99"/>
              </w:rPr>
              <w:t>5.950% Senior Notes due 2035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Plains All American Pipeline, L.P., a Delaware limited partnership, and PAA Finance Corp., a Delaware corporation, jointly and severally promise to pay to</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 or registered assigns, the principal sum of _______________ Dollars [(or such greater or lesser amount as may be endorsed on the Schedule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attached hereto)]</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on June 15, 2035.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 June 15 and December 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 Dates: June 1 and December 1</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PAA GP LLC, its General Partner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Plains AAP, L.P., its Sole Member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Plains All American GP LLC, its General Partner</w:t>
      </w:r>
    </w:p>
    <w:p>
      <w:pPr>
        <w:spacing w:after="0" w:line="20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31375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PAA FINANCE CORP.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one of the Debt Securities of the series designated therein referred to in the within-mentioned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17830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1" w:lineRule="exact"/>
        <w:rPr>
          <w:sz w:val="20"/>
          <w:szCs w:val="20"/>
          <w:color w:val="auto"/>
        </w:rPr>
      </w:pPr>
    </w:p>
    <w:p>
      <w:pPr>
        <w:ind w:left="120" w:hanging="112"/>
        <w:spacing w:after="0"/>
        <w:tabs>
          <w:tab w:leader="none" w:pos="12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 be included only if the Note is issued in global form.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color w:val="auto"/>
        </w:rPr>
        <w:t>(Form of Back of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5.950% Senior Notes due 2035</w:t>
      </w:r>
    </w:p>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[THIS GLOBAL SECURITY IS HELD BY OR ON BEHALF OF THE DEPOSITARY (AS DEFINED IN THE INDENTURE GOVERNING THIS NOTE) IN CUSTODY FOR THE BENEFIT OF THE BENEFICIAL OWNERS HEREOF, AND IS NOT TRANSFERABLE TO ANY PERSON UNDER ANY CIRCUMSTANCES EXCEPT THAT (A) THE TRUSTEE MAY MAKE SUCH NOTATIONS HEREON AS MAY BE REQUIRED PURSUANT TO SECTION 2.08 OF THE ORIGINAL INDENTURE, (B) THIS GLOBAL SECURITY MAY BE EXCHANGED IN WHOLE BUT NOT IN PART PURSUANT TO SECTION 2.15 OF THE ORIGINAL INDENTURE, (C) THIS GLOBAL SECURITY MAY BE DELIVERED TO THE TRUSTEE FOR CANCELLATION PURSUANT TO SECTION 2.10 OF THE ORIGINAL INDENTURE AND (D) THIS GLOBAL SECURITY MAY BE TRANSFERRED TO A SUCCESSOR DEPOSITARY OR ITS NOMINEE WITH THE PRIOR WRITTEN CONSENT OF THE ISSUERS.]</w:t>
      </w:r>
      <w:r>
        <w:rPr>
          <w:rFonts w:ascii="Times New Roman" w:cs="Times New Roman" w:eastAsia="Times New Roman" w:hAnsi="Times New Roman"/>
          <w:sz w:val="29"/>
          <w:szCs w:val="29"/>
          <w:color w:val="auto"/>
          <w:vertAlign w:val="superscript"/>
        </w:rPr>
        <w:t>2</w:t>
      </w:r>
    </w:p>
    <w:p>
      <w:pPr>
        <w:spacing w:after="0" w:line="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Capitalized terms used herein shall have the meanings assigned to them in the Indenture referred to below unless otherwise indicated.</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Interest</w:t>
      </w:r>
      <w:r>
        <w:rPr>
          <w:rFonts w:ascii="Times New Roman" w:cs="Times New Roman" w:eastAsia="Times New Roman" w:hAnsi="Times New Roman"/>
          <w:sz w:val="18"/>
          <w:szCs w:val="18"/>
          <w:color w:val="auto"/>
        </w:rPr>
        <w:t>. Plains All American Pipeline, L.P., a Delaware limited partnership (the “Partnership”), and PAA Finance Corp., a Delaware corporation (“PAA Finance” and, together with the Partnership, the “Issuers”), jointly and severally promise to pay interest on the principal amount of this Note at 5.950% per annum. The Issuers shall pay interest semi-annually on June 15 and December 15 of each year, or if any such day is not a Business Day, on the next succeeding Business Day (each an “Interest Payment Date”). Interest on the Notes shall accrue from the most recent date to which interest has been paid or, if no interest has been paid, from the date of issuance. The first Interest Payment Date shall be June 15, 2025. The Issuers shall pay interest (including post-petition interest in any proceeding under any Bankruptcy Law) on overdue principal and premium, if any, from time to time on demand at a rate that is 1% per annum in excess of the rate then in effect; and they shall pay interest (including post-petition interest in any proceeding under any Bankruptcy Law) on overdue installments of interest (without regard to any applicable grace periods) from time to time on demand at the same rate to the extent lawful. Interest shall be computed on the basis of a 360-day year of twelve 30-day months.</w:t>
      </w:r>
    </w:p>
    <w:p>
      <w:pPr>
        <w:spacing w:after="0" w:line="18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Method of Payment</w:t>
      </w:r>
      <w:r>
        <w:rPr>
          <w:rFonts w:ascii="Times New Roman" w:cs="Times New Roman" w:eastAsia="Times New Roman" w:hAnsi="Times New Roman"/>
          <w:sz w:val="18"/>
          <w:szCs w:val="18"/>
          <w:color w:val="auto"/>
        </w:rPr>
        <w:t xml:space="preserve">. The Issuers shall pay interest on the Notes (except defaulted interest) to the Persons who are registered Holders of Notes at the close of business on the June 1 or December 1 next preceding the Interest Payment Date, even if such Notes are canceled after such record date and on or before such Interest Payment Date, except as provided in Section 2.17 of the Original Indenture with respect to defaulted interest, and the Issuers shall pay principal (and premium, if any) of the Notes upon surrender thereof to the Trustee or a paying agent on or after the Stated Maturity thereof. The Notes shall be payable as to principal, premium, if any, and interest at the office or agency of the Trustee maintained for such purpose within or without The City and State of New York, or, at the option of the Issuers, payment of interest may be made by check mailed to the Holders at their addresses set forth in the register of Holders,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payment by wire transfer of immediately available funds shall be required with respect to principal of and interest and premium, if any, on, each Global Security and all other Notes the Holders of which shall have provided wire transfer instructions to the Issuers or the paying agent on or prior to the applicable record date. Such payment shall be in such coin or currency of the United States of America as at the time of payment is legal tender for payment of public and private debts.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7830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31" w:lineRule="exact"/>
        <w:rPr>
          <w:sz w:val="20"/>
          <w:szCs w:val="20"/>
          <w:color w:val="auto"/>
        </w:rPr>
      </w:pPr>
    </w:p>
    <w:p>
      <w:pPr>
        <w:ind w:left="120" w:hanging="112"/>
        <w:spacing w:after="0"/>
        <w:tabs>
          <w:tab w:leader="none" w:pos="12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 be included only if the Note is issued in global form.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Paying Agent and Registrar</w:t>
      </w:r>
      <w:r>
        <w:rPr>
          <w:rFonts w:ascii="Times New Roman" w:cs="Times New Roman" w:eastAsia="Times New Roman" w:hAnsi="Times New Roman"/>
          <w:sz w:val="18"/>
          <w:szCs w:val="18"/>
          <w:color w:val="auto"/>
        </w:rPr>
        <w:t>. Initially, U.S. Bank Trust Company, National Association, the Trustee under the Indenture, shall act as paying agent and Registrar. The Issuers may change any paying agent or Registrar without notice to any Holder. The Issuers or any of their Subsidiaries may act in any such capacity.</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Indenture</w:t>
      </w:r>
      <w:r>
        <w:rPr>
          <w:rFonts w:ascii="Times New Roman" w:cs="Times New Roman" w:eastAsia="Times New Roman" w:hAnsi="Times New Roman"/>
          <w:sz w:val="18"/>
          <w:szCs w:val="18"/>
          <w:color w:val="auto"/>
        </w:rPr>
        <w:t>. The Issuers issued the Notes under an Indenture dated as of September 25, 2002 (the “Original Indenture”), as supplemented by the Thirty-Fourth Supplemental Indenture dated as of January 15, 2025 (the “Supplemental Indenture” and, together with the Original Indenture, the “Indenture”) among the Issuers and the Trustee. The terms of the Notes include those stated in the Indenture and those made part of the Indenture by reference to the Trust Indenture Act of 1939, as amended (15 U.S. Code §§ 77aaa-77bbbb). The Notes are subject to all such terms, and Holders are referred to the Indenture and such Act for a statement of such terms. To the extent any provision of this Note conflicts with the express provisions of the Indenture, the provisions of the Indenture shall govern and be controlling. The Notes are joint and several obligations of the Issuers initially in aggregate principal amount of $1 billion. The Issuers may issue an unlimited aggregate principal amount of Additional Notes under the Indenture. Any such Additional Notes that are actually issued shall be treated as issued and outstanding Notes (and as the same series (with identical terms other than with respect to the issue date, the date of first payment of interest, if applicable, and the payment of interest accruing prior to the issue date) as the initial Notes) for all purposes of the Indenture, including waivers, amendments, redemptions and offers to purchase. To secure the due and punctual payment of the principal and interest on the Notes and all other amounts payable by the Issuers under the Indenture and the Notes when and as the same shall be due and payable, whether at maturity, by acceleration or otherwise, according to the terms of the Notes and the Indenture, the Subsidiary Guarantors have unconditionally guaranteed the Note Obligations under the Indenture and the Notes on a senior basis pursuant to the terms of the Indenture.</w:t>
      </w:r>
    </w:p>
    <w:p>
      <w:pPr>
        <w:spacing w:after="0" w:line="1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Optional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At their option at any time prior to maturity, the Issuers may choose to redeem all or any portion of the Notes at once or from time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time.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ind w:left="1300"/>
        <w:spacing w:after="0"/>
        <w:rPr>
          <w:sz w:val="20"/>
          <w:szCs w:val="20"/>
          <w:color w:val="auto"/>
        </w:rPr>
      </w:pPr>
      <w:r>
        <w:rPr>
          <w:rFonts w:ascii="Times New Roman" w:cs="Times New Roman" w:eastAsia="Times New Roman" w:hAnsi="Times New Roman"/>
          <w:sz w:val="18"/>
          <w:szCs w:val="18"/>
          <w:color w:val="auto"/>
        </w:rPr>
        <w:t>(b)           To redeem the Notes before March 15, 2035 (the “Par Call Date”), the Issuers must pay a redemption price equal to the greater of</w:t>
      </w:r>
    </w:p>
    <w:p>
      <w:pPr>
        <w:spacing w:after="0" w:line="27" w:lineRule="exact"/>
        <w:rPr>
          <w:sz w:val="20"/>
          <w:szCs w:val="20"/>
          <w:color w:val="auto"/>
        </w:rPr>
      </w:pPr>
    </w:p>
    <w:p>
      <w:pPr>
        <w:jc w:val="both"/>
        <w:ind w:firstLine="8"/>
        <w:spacing w:after="0" w:line="253" w:lineRule="auto"/>
        <w:tabs>
          <w:tab w:leader="none" w:pos="2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 and (ii)(a)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(as defined below) plus 20 basis points less (b) interest accrued to the date of redemption, plus, in either case, accrued and unpaid interest thereon to the date of redemption (subject to the right of Holders on the relevant record date to receive interest due on the relevant interest payment date).</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To redeem the Notes on or after the Par Call Date, the Issuers must pay a redemption price equal to 100% of the principal amount of the Notes to be redeemed plus accrued and unpaid interest to the date of redemption (subject to the right of Holders on the relevant record date to receive interest due on the relevant interest payment date).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purposes of determining any redemption price, the following definitions shall apply: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the Issuers in accordance with the following two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paragraphs.</w:t>
      </w:r>
    </w:p>
    <w:p>
      <w:pPr>
        <w:spacing w:after="0" w:line="20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the Issuers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the Issuers shall select, as applicable: (a) the yield for the Treasury constant maturity on H.15 exactly equal to the period from the redemption date to the Par Call Date (the “Remaining Life”); or (b)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(c)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the Issuers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Issuers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Issuers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ind w:left="1300"/>
        <w:spacing w:after="0"/>
        <w:rPr>
          <w:sz w:val="20"/>
          <w:szCs w:val="20"/>
          <w:color w:val="auto"/>
        </w:rPr>
      </w:pPr>
      <w:r>
        <w:rPr>
          <w:rFonts w:ascii="Times New Roman" w:cs="Times New Roman" w:eastAsia="Times New Roman" w:hAnsi="Times New Roman"/>
          <w:sz w:val="18"/>
          <w:szCs w:val="18"/>
          <w:color w:val="auto"/>
        </w:rPr>
        <w:t>The Issuers’ actions and determinations in determining the redemption price shall be conclusive and binding for all purposes, absent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manifest error.</w:t>
      </w:r>
    </w:p>
    <w:p>
      <w:pPr>
        <w:spacing w:after="0" w:line="20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Notice of Redemption; Selection of Notes</w:t>
      </w:r>
      <w:r>
        <w:rPr>
          <w:rFonts w:ascii="Times New Roman" w:cs="Times New Roman" w:eastAsia="Times New Roman" w:hAnsi="Times New Roman"/>
          <w:sz w:val="18"/>
          <w:szCs w:val="18"/>
          <w:color w:val="auto"/>
        </w:rPr>
        <w:t>. Notice of redemption shall be mailed at least 10 days but not more than 60 days before the redemption date to each Holder whose Notes are to be redeemed at its registered address. Notes in denominations larger than $2,000 may be redeemed in part but only in whole multiples of $1,000, unless all of the Notes held by a Holder are to be redeemed. Unless the Issuers default in payment of the redemption price, on and after the redemption date interest ceases to accrue on Notes or portions thereof called for redemption. Notwithstanding anything to the contrary in the Original Indenture, if less than all the Notes are to be redeemed, the Trustee shall select the Notes or portions thereof (in multiples of $1,000) to be redeemed (i) if the Notes are listed on an exchange, in compliance with the requirements of the principal national securities exchange on which the Notes are listed, or (ii) if the Notes are not listed on an exchange or such exchange has no selection requirements, on a pro rata basis, by lot or, if the Notes are in the form of one or more Global Securities, by such method as the Depositary shall require.</w:t>
      </w:r>
    </w:p>
    <w:p>
      <w:pPr>
        <w:spacing w:after="0" w:line="19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Denominations, Transfer, Exchange</w:t>
      </w:r>
      <w:r>
        <w:rPr>
          <w:rFonts w:ascii="Times New Roman" w:cs="Times New Roman" w:eastAsia="Times New Roman" w:hAnsi="Times New Roman"/>
          <w:sz w:val="18"/>
          <w:szCs w:val="18"/>
          <w:color w:val="auto"/>
        </w:rPr>
        <w:t>. The Notes are in registered form without coupons in minimum denominations of $2,000 and integral multiples of $1,000. The transfer of Notes may be registered and Notes may be exchanged as provided in the Indenture. The Registrar and the Trustee may require a Holder, among other things, to furnish appropriate endorsements and transfer documents and the Issuers may require a Holder to pay any taxes or other governmental charges required by law or permitted by the Indenture. The Issuers need not exchange or register the transfer of any Note or portion of a Note selected for redemption or repurchase, except for the unredeemed or unrepurchased portion of any Note being redeemed or repurchased in part. Also, the Issuers need not exchange or register the transfer of any Notes for a period of 15 days before a selection of Notes to be redeemed or repurchased or during the period between a record date and the corresponding Interest Payment Date.</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Persons Deemed Owners</w:t>
      </w:r>
      <w:r>
        <w:rPr>
          <w:rFonts w:ascii="Times New Roman" w:cs="Times New Roman" w:eastAsia="Times New Roman" w:hAnsi="Times New Roman"/>
          <w:sz w:val="18"/>
          <w:szCs w:val="18"/>
          <w:color w:val="auto"/>
        </w:rPr>
        <w:t>. The registered Holder of a Note shall be treated as its owner for all purposes.</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Amendment, Supplement and Waiver</w:t>
      </w:r>
      <w:r>
        <w:rPr>
          <w:rFonts w:ascii="Times New Roman" w:cs="Times New Roman" w:eastAsia="Times New Roman" w:hAnsi="Times New Roman"/>
          <w:sz w:val="18"/>
          <w:szCs w:val="18"/>
          <w:color w:val="auto"/>
        </w:rPr>
        <w:t>. Subject to certain exceptions, the Indenture or the Notes may be amended or supplemented with the consent of the Holders of a majority in aggregate principal amount of the then Outstanding Notes, and any existing default or compliance with any provision of the Indenture or the Notes may be waived with the consent of the Holders of a majority in aggregate principal amount of the then Outstanding Notes. Without the consent of any Holder of a Note, the Indenture or the Notes may be amended or supplemented for any of the purposes set forth in Section 9.01 of the Original Indenture (as amended by the Supplemental Indenture).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Defaults and Remedies</w:t>
      </w:r>
      <w:r>
        <w:rPr>
          <w:rFonts w:ascii="Times New Roman" w:cs="Times New Roman" w:eastAsia="Times New Roman" w:hAnsi="Times New Roman"/>
          <w:sz w:val="18"/>
          <w:szCs w:val="18"/>
          <w:color w:val="auto"/>
        </w:rPr>
        <w:t>. If any Event of Default occurs and is continuing, the Trustee or the Holders of at least 25% in aggregate principal amount of the then Outstanding Notes may declare all the Notes to be due and payable. Notwithstanding the foregoing, in the case of an Event of Default arising from certain events of bankruptcy or insolvency involving an Issuer, but not any Subsidiary Guarantor, all Outstanding Notes shall become due and payable without further action or notice. Holders may not enforce the Indenture or the Notes except as provided in the Indenture. Subject to certain limitations, Holders of a majority in aggregate principal amount of the then Outstanding Notes may direct the Trustee in its exercise of any trust or power. If and so long as the board of directors, an executive committee of the board of directors or trust committee of Responsible Officers of the Trustee in good faith so determines, the Trustee may withhold from Holders of the Notes notice of any continuing Default (except a Default relating to the payment of principal, premium, if any, or interest) if it determines that withholding notice is in their interests. The Holders of a majority in aggregate principal amount of the Notes then Outstanding by notice to the Trustee may on behalf of the Holders of all of the Notes waive any past Default or Event of Default and its consequences under the Indenture except a continuing Default or Event of Default in the payment of interest on, the principal of, or premium, if any, on the Notes or any other Default specified in Section 6.06 of the Original Indenture. The Issuers and the Subsidiary Guarantors are required to deliver to the Trustee annually a statement regarding compliance with the Indenture, and the Issuers are required upon becoming aware of any Default or Event of Default, to deliver to the Trustee a statement specifying such Default or Event of Default.</w:t>
      </w:r>
    </w:p>
    <w:p>
      <w:pPr>
        <w:spacing w:after="0" w:line="187"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Trustee Dealings with Issuers</w:t>
      </w:r>
      <w:r>
        <w:rPr>
          <w:rFonts w:ascii="Times New Roman" w:cs="Times New Roman" w:eastAsia="Times New Roman" w:hAnsi="Times New Roman"/>
          <w:sz w:val="18"/>
          <w:szCs w:val="18"/>
          <w:color w:val="auto"/>
        </w:rPr>
        <w:t>. The Trustee, in its individual or any other capacity, may make loans to, accept deposits from, and perform services for the Issuers or their Affiliates, and may otherwise deal with the Issuers or their Affiliates, as if it were not the Trustee.</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No Recourse Against Others</w:t>
      </w:r>
      <w:r>
        <w:rPr>
          <w:rFonts w:ascii="Times New Roman" w:cs="Times New Roman" w:eastAsia="Times New Roman" w:hAnsi="Times New Roman"/>
          <w:sz w:val="18"/>
          <w:szCs w:val="18"/>
          <w:color w:val="auto"/>
        </w:rPr>
        <w:t>. The General Partner and its directors, officers, employees and members (in their capacities as such) shall not have any liability for any obligations of the Issuers under the Notes. In addition, the Managing General Partner and its directors, officers, employees and members shall not have any liability for any obligations of the Issuers under the Notes. Each Holder of Notes by accepting a Note waives and releases all such liability. The waiver and release are part of the consideration for issuance of the Notes.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Authentication</w:t>
      </w:r>
      <w:r>
        <w:rPr>
          <w:rFonts w:ascii="Times New Roman" w:cs="Times New Roman" w:eastAsia="Times New Roman" w:hAnsi="Times New Roman"/>
          <w:sz w:val="18"/>
          <w:szCs w:val="18"/>
          <w:color w:val="auto"/>
        </w:rPr>
        <w:t>. This Note shall not be valid until authenticated by the manual signature of the Trustee or an authenticating agent.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Abbreviations</w:t>
      </w:r>
      <w:r>
        <w:rPr>
          <w:rFonts w:ascii="Times New Roman" w:cs="Times New Roman" w:eastAsia="Times New Roman" w:hAnsi="Times New Roman"/>
          <w:sz w:val="18"/>
          <w:szCs w:val="18"/>
          <w:color w:val="auto"/>
        </w:rPr>
        <w:t>.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CUSIP and ISIN Numbers</w:t>
      </w:r>
      <w:r>
        <w:rPr>
          <w:rFonts w:ascii="Times New Roman" w:cs="Times New Roman" w:eastAsia="Times New Roman" w:hAnsi="Times New Roman"/>
          <w:sz w:val="18"/>
          <w:szCs w:val="18"/>
          <w:color w:val="auto"/>
        </w:rPr>
        <w:t>. Pursuant to a recommendation promulgated by the Committee on Uniform Security Identification Procedures, the Issuers have caused CUSIP and corresponding ISIN numbers to be printed on the Notes, and the Trustee may use CUSIP and corresponding ISIN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Issuers shall furnish to any Holder upon written request and without charge a copy of the Indenture. Requests may be made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333 Clay Street, Suite 1600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ind w:left="4940"/>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Note, fill in the form below: (I) or (we) assign and transfer this Note to</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720090</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 _____________________________________________________ agent to transfer this Note on the books of the Issuers.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17145</wp:posOffset>
            </wp:positionV>
            <wp:extent cx="270891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(Sign exactly as your name appears on the face of this</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Note)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606044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7" w:lineRule="exact"/>
        <w:rPr>
          <w:sz w:val="20"/>
          <w:szCs w:val="20"/>
          <w:color w:val="auto"/>
        </w:rPr>
      </w:pPr>
    </w:p>
    <w:p>
      <w:pPr>
        <w:jc w:val="both"/>
        <w:ind w:left="1700"/>
        <w:spacing w:after="0" w:line="259" w:lineRule="auto"/>
        <w:rPr>
          <w:sz w:val="20"/>
          <w:szCs w:val="20"/>
          <w:color w:val="auto"/>
        </w:rPr>
      </w:pPr>
      <w:r>
        <w:rPr>
          <w:rFonts w:ascii="Times New Roman" w:cs="Times New Roman" w:eastAsia="Times New Roman" w:hAnsi="Times New Roman"/>
          <w:sz w:val="18"/>
          <w:szCs w:val="18"/>
          <w:color w:val="auto"/>
        </w:rPr>
        <w:t>(Signature must be guaranteed by a financial institution that is a member of the Securities Transfer Agent Medallion Program (“STAMP”), the Stock Exchange Medallion Program (“SEMP”), the New York Stock Exchange, Inc. Medallion Signature Program (“MSP”) or such other signature guarantee program as may be determined by the Registrar in addition to, or in substitution for, STAMP, SEMP or MSP, all in accordance with the Securities Exchange Act of 1934, as amended.)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SCHEDULE OF INCREASES OR DECREASES IN THE GLOBAL NOTE</w:t>
      </w:r>
      <w:r>
        <w:rPr>
          <w:rFonts w:ascii="Times New Roman" w:cs="Times New Roman" w:eastAsia="Times New Roman" w:hAnsi="Times New Roman"/>
          <w:sz w:val="29"/>
          <w:szCs w:val="29"/>
          <w:b w:val="1"/>
          <w:bCs w:val="1"/>
          <w:color w:val="auto"/>
          <w:vertAlign w:val="superscript"/>
        </w:rPr>
        <w:t>3</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original principal amount of this Global Note is $_________. The following increases or decreases in this Global Note have been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made:</w:t>
            </w: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391"/>
        </w:trPr>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214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Signature of</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decrease in</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increase in</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this Global Note</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authorized</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2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following such</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signatory of</w:t>
            </w:r>
          </w:p>
        </w:tc>
      </w:tr>
      <w:tr>
        <w:trPr>
          <w:trHeight w:val="216"/>
        </w:trPr>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decrease</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Trustee or Note</w:t>
            </w:r>
          </w:p>
        </w:tc>
      </w:tr>
      <w:tr>
        <w:trPr>
          <w:trHeight w:val="238"/>
        </w:trPr>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Exchange</w:t>
            </w:r>
          </w:p>
        </w:tc>
        <w:tc>
          <w:tcPr>
            <w:tcW w:w="120" w:type="dxa"/>
            <w:vAlign w:val="bottom"/>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this Global Note</w:t>
            </w:r>
          </w:p>
        </w:tc>
        <w:tc>
          <w:tcPr>
            <w:tcW w:w="12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this Global Note</w:t>
            </w:r>
          </w:p>
        </w:tc>
        <w:tc>
          <w:tcPr>
            <w:tcW w:w="10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increase)</w:t>
            </w:r>
          </w:p>
        </w:tc>
        <w:tc>
          <w:tcPr>
            <w:tcW w:w="10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Custodian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548640</wp:posOffset>
            </wp:positionV>
            <wp:extent cx="17830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20" w:hanging="112"/>
        <w:spacing w:after="0"/>
        <w:tabs>
          <w:tab w:leader="none" w:pos="12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 be included only if the Note is issued in global form.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SUPPLEMENTAL INDENTURE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SUPPLEMENTAL INDENTURE (this “Supplemental Indenture”), dated as of ___________________, among Plains All American</w:t>
      </w:r>
    </w:p>
    <w:p>
      <w:pPr>
        <w:spacing w:after="0" w:line="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Pipeline, L.P., a Delaware limited partnership (the “Partnership”), PAA Finance Corp., a Delaware corporation (“PAA Finance” and, together with the Partnership, the “Issuers”), ________________________ (the “Subsidiary Guarantor”), a direct or indirect subsidiary of Plains All American Pipeline, L.P.</w:t>
      </w:r>
    </w:p>
    <w:p>
      <w:pPr>
        <w:spacing w:after="0" w:line="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(or its successor), a Delaware limited partnership (the “Partnership”), and U.S. Bank Trust Company, National Association, as trustee under the indenture referred to below (the “Trustee”).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WHEREAS, the Issuers have heretofore executed and delivered to the Trustee an indenture (the “Original Indenture”), dated as of September 25, 2002, as supplemented by the Thirty-Fourth Supplemental Indenture (the “Thirty-Fourth Supplemental Indenture” and, together with the Original Indenture, the “Indenture”) dated as of January 15, 2025, among the Issuers and the Trustee, providing for the issuance of the Issuers’ 5.950% Senior Notes due 2035 (the “Notes”);</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Section 5.05 of the Thirty-Fourth Supplemental Indenture provides that under certain circumstances the Partnership is required to cause the Subsidiary Guarantor to execute and deliver to the Trustee a supplemental indenture pursuant to which the Subsidiary Guarantor shall unconditionally guarantee all of the Issuers’ obligations under the Notes pursuant to a Guarantee on the terms and conditions set forth herein; and</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pursuant to Section 9.01 of the Original Indenture, the Issuers and the Trustee are authorized to execute and deliver this Supplemental Indenture;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Issuers, the Subsidiary Guarantor and the Trustee mutually covenant and agree for the equal and ratable benefit of the holders of the Notes as follows:</w:t>
      </w:r>
    </w:p>
    <w:p>
      <w:pPr>
        <w:spacing w:after="0" w:line="176" w:lineRule="exact"/>
        <w:rPr>
          <w:sz w:val="20"/>
          <w:szCs w:val="20"/>
          <w:color w:val="auto"/>
        </w:rPr>
      </w:pPr>
    </w:p>
    <w:p>
      <w:pPr>
        <w:ind w:left="1480" w:hanging="176"/>
        <w:spacing w:after="0"/>
        <w:tabs>
          <w:tab w:leader="none" w:pos="1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Capitalized terms used herein without definition shall have the meanings assigned to them in the Indenture.</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For all purposes of this Supplemental Indenture, except as otherwise herein expressly provided or unless the context otherwise requires: (i) the terms and expressions used herein shall have the same meanings as corresponding terms and expressions used in the Indenture; and (ii) the words “herein,” “hereof” and “hereby” and other words of similar import used in this Supplemental Indenture refer to this Supplemental Indenture as a whole and not to any particular section hereof.</w:t>
      </w:r>
    </w:p>
    <w:p>
      <w:pPr>
        <w:spacing w:after="0" w:line="180" w:lineRule="exact"/>
        <w:rPr>
          <w:sz w:val="20"/>
          <w:szCs w:val="20"/>
          <w:color w:val="auto"/>
        </w:rPr>
      </w:pPr>
    </w:p>
    <w:p>
      <w:pPr>
        <w:jc w:val="both"/>
        <w:ind w:right="20" w:firstLine="1296"/>
        <w:spacing w:after="0" w:line="277" w:lineRule="auto"/>
        <w:rPr>
          <w:sz w:val="20"/>
          <w:szCs w:val="20"/>
          <w:color w:val="auto"/>
        </w:rPr>
      </w:pPr>
      <w:r>
        <w:rPr>
          <w:rFonts w:ascii="Times New Roman" w:cs="Times New Roman" w:eastAsia="Times New Roman" w:hAnsi="Times New Roman"/>
          <w:sz w:val="17"/>
          <w:szCs w:val="17"/>
          <w:color w:val="auto"/>
        </w:rPr>
        <w:t>2.           </w:t>
      </w:r>
      <w:r>
        <w:rPr>
          <w:rFonts w:ascii="Times New Roman" w:cs="Times New Roman" w:eastAsia="Times New Roman" w:hAnsi="Times New Roman"/>
          <w:sz w:val="17"/>
          <w:szCs w:val="17"/>
          <w:u w:val="single" w:color="auto"/>
          <w:color w:val="auto"/>
        </w:rPr>
        <w:t>  Agreement to Guarantee.</w:t>
      </w:r>
      <w:r>
        <w:rPr>
          <w:rFonts w:ascii="Times New Roman" w:cs="Times New Roman" w:eastAsia="Times New Roman" w:hAnsi="Times New Roman"/>
          <w:sz w:val="17"/>
          <w:szCs w:val="17"/>
          <w:color w:val="auto"/>
        </w:rPr>
        <w:t xml:space="preserve"> The Subsidiary Guarantor hereby agrees, jointly and severally with all other Subsidiary Guarantors under the Indenture, if any, to guarantee the Issuers’ obligations under the Notes on the terms and subject to the conditions set forth in Article IX of the Thirty-Fourth Supplemental Indenture and to be bound by all other applicable provisions of the Indenture.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ind w:firstLine="1296"/>
        <w:spacing w:after="0" w:line="317" w:lineRule="auto"/>
        <w:rPr>
          <w:sz w:val="20"/>
          <w:szCs w:val="20"/>
          <w:color w:val="auto"/>
        </w:rPr>
      </w:pPr>
      <w:r>
        <w:rPr>
          <w:rFonts w:ascii="Times New Roman" w:cs="Times New Roman" w:eastAsia="Times New Roman" w:hAnsi="Times New Roman"/>
          <w:sz w:val="17"/>
          <w:szCs w:val="17"/>
          <w:color w:val="auto"/>
        </w:rPr>
        <w:t>3.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b w:val="1"/>
          <w:bCs w:val="1"/>
          <w:u w:val="single" w:color="auto"/>
          <w:color w:val="auto"/>
        </w:rPr>
        <w:t>GOVERNING LAW.</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THIS SUPPLEMENTAL INDENTURE SHALL BE DEEMED TO BE A NEW YORK CONTRACT,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AND FOR ALL PURPOSES SHALL BE CONSTRUED IN ACCORDANCE WITH, THE LAWS OF THE STATE OF NEW YORK.</w:t>
      </w:r>
    </w:p>
    <w:p>
      <w:pPr>
        <w:spacing w:after="0" w:line="13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Recitals; Trustee Makes No Representation; Trustee’s Rights and Duties.</w:t>
      </w:r>
      <w:r>
        <w:rPr>
          <w:rFonts w:ascii="Times New Roman" w:cs="Times New Roman" w:eastAsia="Times New Roman" w:hAnsi="Times New Roman"/>
          <w:sz w:val="18"/>
          <w:szCs w:val="18"/>
          <w:color w:val="auto"/>
        </w:rPr>
        <w:t xml:space="preserve"> The recitals contained herein shall be taken as the statements of the Issuers, and the Trustee assumes no responsibility for the correctness of the same. The Trustee makes no representation as to the validity or sufficiency of this Supplemental Indenture and shall not be liable in connection therewith. The rights and duties of the Trustee shall be determined by the express provisions of the Original Indenture, and nothing in this Supplemental Indenture shall in any way modify or otherwise affect the Trustee’s rights and duties thereunder.</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xml:space="preserve"> The parties may sign any number of copies of this Supplemental Indenture. Each signed copy shall be an original, but all of them together represent the same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Effect of Headings.</w:t>
      </w:r>
      <w:r>
        <w:rPr>
          <w:rFonts w:ascii="Times New Roman" w:cs="Times New Roman" w:eastAsia="Times New Roman" w:hAnsi="Times New Roman"/>
          <w:sz w:val="18"/>
          <w:szCs w:val="18"/>
          <w:color w:val="auto"/>
        </w:rPr>
        <w:t xml:space="preserve"> The Section headings herein are for convenience only and shall not affect the construction thereof.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color w:val="auto"/>
        </w:rPr>
        <w:t>IN WITNESS WHEREOF, the parties hereto have caused this Supplemental Indenture to be duly executed as of the date first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PAA GP LLC, its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Plains AAP, L.P., its Sole Member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Plains All American GP LLC, its General Partner</w:t>
      </w:r>
    </w:p>
    <w:p>
      <w:pPr>
        <w:spacing w:after="0" w:line="22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31375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center"/>
        <w:ind w:left="17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PAA FINANCE CORP.</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[SUBSIDIARY GUARANTOR],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U.S. BANK TRUST COMPANY, NATIONAL ASSOCIATION, as Trustee</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lvl w:ilvl="1">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lowerRoman"/>
      <w:start w:val="5"/>
    </w:lvl>
  </w:abstractNum>
  <w:abstractNum w:abstractNumId="4">
    <w:nsid w:val="79E2A9E3"/>
    <w:multiLevelType w:val="hybridMultilevel"/>
    <w:lvl w:ilvl="0">
      <w:lvlJc w:val="left"/>
      <w:lvlText w:val="(%1)"/>
      <w:numFmt w:val="lowerRoman"/>
      <w:start w:val="6"/>
    </w:lvl>
  </w:abstractNum>
  <w:abstractNum w:abstractNumId="5">
    <w:nsid w:val="7545E146"/>
    <w:multiLevelType w:val="hybridMultilevel"/>
    <w:lvl w:ilvl="0">
      <w:lvlJc w:val="left"/>
      <w:lvlText w:val="1"/>
      <w:numFmt w:val="bullet"/>
      <w:start w:val="1"/>
    </w:lvl>
  </w:abstractNum>
  <w:abstractNum w:abstractNumId="6">
    <w:nsid w:val="515F007C"/>
    <w:multiLevelType w:val="hybridMultilevel"/>
    <w:lvl w:ilvl="0">
      <w:lvlJc w:val="left"/>
      <w:lvlText w:val="2"/>
      <w:numFmt w:val="bullet"/>
      <w:start w:val="1"/>
    </w:lvl>
  </w:abstractNum>
  <w:abstractNum w:abstractNumId="7">
    <w:nsid w:val="5BD062C2"/>
    <w:multiLevelType w:val="hybridMultilevel"/>
    <w:lvl w:ilvl="0">
      <w:lvlJc w:val="left"/>
      <w:lvlText w:val="(%1)"/>
      <w:numFmt w:val="lowerRoman"/>
      <w:start w:val="1"/>
    </w:lvl>
  </w:abstractNum>
  <w:abstractNum w:abstractNumId="8">
    <w:nsid w:val="12200854"/>
    <w:multiLevelType w:val="hybridMultilevel"/>
    <w:lvl w:ilvl="0">
      <w:lvlJc w:val="left"/>
      <w:lvlText w:val="3"/>
      <w:numFmt w:val="bullet"/>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2025-01-15T15:40:53Z</dcterms:created>
  <dcterms:modified xsi:type="dcterms:W3CDTF">2025-01-15T15:40:53Z</dcterms:modified>
</cp:coreProperties>
</file>