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12,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12, 2026, a wholly-owned subsidiary (the “Seller”) of Plains All American Pipeline, L.P. (“PAA”), which is a wholly owned subsidiary of Plains GP Holdings, L.P. (“PAGP” or the “Registrant”), completed the previously announced sale of all of the issued and outstanding shares of Plains Midstream Canada ULC, the PAA subsidiary that owns substantially all of PAA’s natural gas liquids (NGL) business (the “Canadian NGL Business”) to Keyera Corp., an Alberta Corporation (“Keyera”), pursuant to the terms of a definitive Share Purchase Agreement dated as of June 17, 2025 (as amended to date, the “SPA”).</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SPA, Seller received cash consideration of approximately CAD $5.13 billion (approximately USD $3.76 billion), subject to certain post-closing adjustments as defined in the SPA. Net proceeds from the sale of approximately $3.3 billion, after taxes and expenses, will be used to reduce leverage, including repayment of outstanding borrowings under PAA’s commercial paper program, the term loan described in Item 1.02 below and PAA’s 4.50% senior notes due December 2026, and for other general partnership purposes.</w:t>
      </w:r>
    </w:p>
    <w:p>
      <w:pPr>
        <w:spacing w:after="0" w:line="180"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sale of the Canadian NGL Business, PAA and Keyera have entered into certain transition services agreements pursuant to which PAA and Keyera will provide certain services to support the transition of the Canadian NGL Business, subject to the terms and conditions set forth therein.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SPA contains customary representations, warranties and covenants for a representation and warranty insurance transaction and customary termination provisions, as well as mutual indemnification provisions for breaches of certain of the representations, warranties and covenants in the SPA, subject to certain limitations.</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closing of the sale of the Canadian NGL Business and the SPA does not purport to be complete and is qualified in its entirety by reference to the full text of the SPA and each amendment thereto, each of which are exhibits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26, 2025, PAA entered into a term loan agreement (the “Term Loan Agreement”) by and among PAA, as borrower, PNC Bank, National Association, as administrative agent, and the other lenders party thereto (collectively, the “Lenders”). The Term Loan Agreement provides for a $1.1 billion senior unsecured term loan (the “Term Loan”), which was funded on December 1, 2025. The Term Loan will mature on the two-year anniversary of the closing date of the Term Loan Agreement; however, PAA may at any time prepay amounts outstanding under the Term Loan Agreement, in whole or in part, without premium or penalty. The closing of the sale of the Canadian NGL Business as described in Item 2.01 above triggers mandatory prepayment of all amounts outstanding under the Term Loan Agreement within seven (7) business days of the closing of such sale. Effective May 14, 2026, PAA intends to terminate the Term Loan Agreement and repay all amounts outstanding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12, 2026, PAA and PAGP issued a press release announcing the closing of the sale of the Canadian NGL Business to Keyera. A copy of the press release is furnished as Exhibit 99.1 to this Current Report on Form 8-K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pursuant to Item 7.01 of Form 8-K and shall not be deemed to be “filed” for purposes of Section 18 of the Securities Exchange Act of 1934, as amended (the “Exchange Act”), or otherwise subject to the liabilities of that section. Such information shall not be deemed incorporated by reference into any filing under the Securities Act of 1933, as amended, or the Exchange Act, whether made before or after the date hereof, unless expressly incorporated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22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Registrant has omitted the inclusion of any pro forma financial information as the transaction has already been included as discontinued operations within the Registrant’s Condensed Consolidated Financial Statements for the three months ended March 31, 2026 and 2025, included within PAGP’s Quarterly Report on Form 10-Q for the quarterly period ended March 31, 2026, and within the Registrant’s Consolidated Financial Statements for each of the three years ended December 31, 2025, 2024 and 2023, included within PAGP’s Annual Report on Form 10-K for the year ended December 31, 2025.</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340" w:type="dxa"/>
        <w:tblCellMar>
          <w:top w:w="0" w:type="dxa"/>
          <w:left w:w="0" w:type="dxa"/>
          <w:bottom w:w="0" w:type="dxa"/>
          <w:right w:w="0" w:type="dxa"/>
        </w:tblCellMar>
      </w:tblPr>
      <w:tr>
        <w:trPr>
          <w:trHeight w:val="207"/>
        </w:trPr>
        <w:tc>
          <w:tcPr>
            <w:tcW w:w="1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960" w:type="dxa"/>
            <w:vAlign w:val="bottom"/>
            <w:gridSpan w:val="9"/>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14"/>
                <w:szCs w:val="14"/>
                <w:color w:val="auto"/>
              </w:rPr>
            </w:pPr>
          </w:p>
        </w:tc>
        <w:tc>
          <w:tcPr>
            <w:tcW w:w="420" w:type="dxa"/>
            <w:vAlign w:val="bottom"/>
            <w:tcBorders>
              <w:top w:val="single" w:sz="8" w:color="auto"/>
              <w:bottom w:val="single" w:sz="8" w:color="0000EE"/>
            </w:tcBorders>
            <w:gridSpan w:val="3"/>
          </w:tcPr>
          <w:p>
            <w:pPr>
              <w:jc w:val="center"/>
              <w:ind w:right="60"/>
              <w:spacing w:after="0" w:line="169"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2.</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w:t>
              </w:r>
            </w:hyperlink>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38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Share Purchase Agreement, dated as of June 17, 2025, by and between Plains Midstream Luxembourg S.A.R.L. and Keyera Corp.</w:t>
              </w:r>
            </w:hyperlink>
          </w:p>
        </w:tc>
        <w:tc>
          <w:tcPr>
            <w:tcW w:w="60" w:type="dxa"/>
            <w:vAlign w:val="bottom"/>
            <w:tcBorders>
              <w:top w:val="single" w:sz="8" w:color="auto"/>
            </w:tcBorders>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gridSpan w:val="10"/>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(portions of this exhibit have been omitted pursuant to Item 601(b)(2) of Regulation S-K) (incorporated by reference to</w:t>
              </w:r>
            </w:hyperlink>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5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Exhibit 2.1 of the Registrant’s Form 10-Q for the quarter ended June 30, 2025.)</w:t>
              </w:r>
            </w:hyperlink>
          </w:p>
        </w:tc>
        <w:tc>
          <w:tcPr>
            <w:tcW w:w="860" w:type="dxa"/>
            <w:vAlign w:val="bottom"/>
            <w:gridSpan w:val="5"/>
          </w:tcPr>
          <w:p>
            <w:pPr>
              <w:spacing w:after="0"/>
              <w:rPr>
                <w:sz w:val="17"/>
                <w:szCs w:val="17"/>
                <w:color w:val="auto"/>
              </w:rPr>
            </w:pPr>
          </w:p>
        </w:tc>
      </w:tr>
      <w:tr>
        <w:trPr>
          <w:trHeight w:val="20"/>
        </w:trPr>
        <w:tc>
          <w:tcPr>
            <w:tcW w:w="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480" w:type="dxa"/>
            <w:vAlign w:val="bottom"/>
            <w:gridSpan w:val="3"/>
          </w:tcPr>
          <w:p>
            <w:pPr>
              <w:spacing w:after="0"/>
              <w:rPr>
                <w:sz w:val="17"/>
                <w:szCs w:val="17"/>
                <w:color w:val="auto"/>
              </w:rPr>
            </w:pPr>
          </w:p>
        </w:tc>
        <w:tc>
          <w:tcPr>
            <w:tcW w:w="420" w:type="dxa"/>
            <w:vAlign w:val="bottom"/>
            <w:tcBorders>
              <w:bottom w:val="single" w:sz="8" w:color="0000EE"/>
            </w:tcBorders>
            <w:gridSpan w:val="3"/>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w w:val="99"/>
              </w:rPr>
              <w:t>2.</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First Amendment to Share Purchase Agreement, dated as of May 11, 2026, by and between Plains Midstream Luxembourg</w:t>
            </w:r>
          </w:p>
        </w:tc>
        <w:tc>
          <w:tcPr>
            <w:tcW w:w="580" w:type="dxa"/>
            <w:vAlign w:val="bottom"/>
            <w:gridSpan w:val="4"/>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S.A.R.L. and Keyera Corp. (portions of this exhibit have been omitted pursuant to Item 601(b)(2) of Regulation S-K)</w:t>
            </w:r>
          </w:p>
        </w:tc>
        <w:tc>
          <w:tcPr>
            <w:tcW w:w="960" w:type="dxa"/>
            <w:vAlign w:val="bottom"/>
            <w:gridSpan w:val="6"/>
          </w:tcPr>
          <w:p>
            <w:pPr>
              <w:spacing w:after="0"/>
              <w:rPr>
                <w:sz w:val="17"/>
                <w:szCs w:val="17"/>
                <w:color w:val="auto"/>
              </w:rPr>
            </w:pPr>
          </w:p>
        </w:tc>
      </w:tr>
      <w:tr>
        <w:trPr>
          <w:trHeight w:val="196"/>
        </w:trPr>
        <w:tc>
          <w:tcPr>
            <w:tcW w:w="480" w:type="dxa"/>
            <w:vAlign w:val="bottom"/>
            <w:gridSpan w:val="3"/>
          </w:tcPr>
          <w:p>
            <w:pPr>
              <w:spacing w:after="0"/>
              <w:rPr>
                <w:sz w:val="17"/>
                <w:szCs w:val="17"/>
                <w:color w:val="auto"/>
              </w:rPr>
            </w:pPr>
          </w:p>
        </w:tc>
        <w:tc>
          <w:tcPr>
            <w:tcW w:w="420" w:type="dxa"/>
            <w:vAlign w:val="bottom"/>
            <w:gridSpan w:val="3"/>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w w:val="99"/>
              </w:rPr>
              <w:t>2.</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Share Purchase Agreement, dated as of May 12, 2026, by and between Plains Midstream Luxembourg</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S.A.R.L. and Keyera Corp. (portions of this exhibit have been omitted pursuant to Item 601(b)(2) of Regulation S-K)</w:t>
            </w:r>
          </w:p>
        </w:tc>
        <w:tc>
          <w:tcPr>
            <w:tcW w:w="580" w:type="dxa"/>
            <w:vAlign w:val="bottom"/>
            <w:tcBorders>
              <w:top w:val="single" w:sz="8" w:color="0000EE"/>
            </w:tcBorders>
            <w:gridSpan w:val="4"/>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196"/>
        </w:trPr>
        <w:tc>
          <w:tcPr>
            <w:tcW w:w="480" w:type="dxa"/>
            <w:vAlign w:val="bottom"/>
            <w:gridSpan w:val="3"/>
          </w:tcPr>
          <w:p>
            <w:pPr>
              <w:spacing w:after="0"/>
              <w:rPr>
                <w:sz w:val="17"/>
                <w:szCs w:val="17"/>
                <w:color w:val="auto"/>
              </w:rPr>
            </w:pPr>
          </w:p>
        </w:tc>
        <w:tc>
          <w:tcPr>
            <w:tcW w:w="420" w:type="dxa"/>
            <w:vAlign w:val="bottom"/>
            <w:tcBorders>
              <w:bottom w:val="single" w:sz="8" w:color="0000EE"/>
            </w:tcBorders>
            <w:gridSpan w:val="3"/>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w w:val="99"/>
              </w:rPr>
              <w:t>2.</w:t>
            </w:r>
            <w:r>
              <w:rPr>
                <w:rFonts w:ascii="Times New Roman" w:cs="Times New Roman" w:eastAsia="Times New Roman" w:hAnsi="Times New Roman"/>
                <w:sz w:val="18"/>
                <w:szCs w:val="18"/>
                <w:u w:val="single" w:color="auto"/>
                <w:color w:val="0000EE"/>
                <w:w w:val="99"/>
              </w:rPr>
              <w:t>4</w:t>
            </w:r>
            <w:r>
              <w:rPr>
                <w:rFonts w:ascii="Times New Roman" w:cs="Times New Roman" w:eastAsia="Times New Roman" w:hAnsi="Times New Roman"/>
                <w:sz w:val="18"/>
                <w:szCs w:val="18"/>
                <w:color w:val="0000EE"/>
                <w:w w:val="99"/>
              </w:rPr>
              <w:t xml:space="preserve">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Third Amendment to Share Purchase Agreement, dated as of May 12, 2026, by and between Plains Midstream Luxembourg</w:t>
            </w:r>
          </w:p>
        </w:tc>
        <w:tc>
          <w:tcPr>
            <w:tcW w:w="500" w:type="dxa"/>
            <w:vAlign w:val="bottom"/>
            <w:gridSpan w:val="3"/>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S.A.R.L. and Keyera Corp. (portions of this exhibit have been omitted pursuant to Item 601(b)(2) of Regulation S-K)</w:t>
            </w:r>
          </w:p>
        </w:tc>
        <w:tc>
          <w:tcPr>
            <w:tcW w:w="980" w:type="dxa"/>
            <w:vAlign w:val="bottom"/>
            <w:gridSpan w:val="7"/>
          </w:tcPr>
          <w:p>
            <w:pPr>
              <w:spacing w:after="0"/>
              <w:rPr>
                <w:sz w:val="17"/>
                <w:szCs w:val="17"/>
                <w:color w:val="auto"/>
              </w:rPr>
            </w:pPr>
          </w:p>
        </w:tc>
      </w:tr>
      <w:tr>
        <w:trPr>
          <w:trHeight w:val="196"/>
        </w:trPr>
        <w:tc>
          <w:tcPr>
            <w:tcW w:w="500" w:type="dxa"/>
            <w:vAlign w:val="bottom"/>
            <w:gridSpan w:val="4"/>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May 12, 2026</w:t>
            </w:r>
          </w:p>
        </w:tc>
        <w:tc>
          <w:tcPr>
            <w:tcW w:w="6960" w:type="dxa"/>
            <w:vAlign w:val="bottom"/>
            <w:gridSpan w:val="9"/>
          </w:tcPr>
          <w:p>
            <w:pPr>
              <w:spacing w:after="0"/>
              <w:rPr>
                <w:sz w:val="17"/>
                <w:szCs w:val="17"/>
                <w:color w:val="auto"/>
              </w:rPr>
            </w:pPr>
          </w:p>
        </w:tc>
      </w:tr>
    </w:tbl>
    <w:p>
      <w:pPr>
        <w:spacing w:after="0" w:line="9" w:lineRule="exact"/>
        <w:rPr>
          <w:sz w:val="20"/>
          <w:szCs w:val="20"/>
          <w:color w:val="auto"/>
        </w:rPr>
      </w:pPr>
    </w:p>
    <w:p>
      <w:pPr>
        <w:ind w:left="1800" w:hanging="933"/>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right="220"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has been omitted from this exhibit as such omitted information is both (i) not material and (ii) the type of information that the registrant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52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PAA GP Holdings LLC, its general partner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Richard K. McGee</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K. McGee</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confidential portions of this exhibit have been omitted and replaced with “[***]”. Such identified information has been excluded from this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03" w:lineRule="exact"/>
        <w:rPr>
          <w:sz w:val="20"/>
          <w:szCs w:val="20"/>
          <w:color w:val="auto"/>
        </w:rPr>
      </w:pPr>
    </w:p>
    <w:p>
      <w:pPr>
        <w:jc w:val="both"/>
        <w:ind w:left="260" w:right="720" w:firstLine="583"/>
        <w:spacing w:after="0" w:line="268" w:lineRule="auto"/>
        <w:rPr>
          <w:sz w:val="20"/>
          <w:szCs w:val="20"/>
          <w:color w:val="auto"/>
        </w:rPr>
      </w:pPr>
      <w:r>
        <w:rPr>
          <w:rFonts w:ascii="Times New Roman" w:cs="Times New Roman" w:eastAsia="Times New Roman" w:hAnsi="Times New Roman"/>
          <w:sz w:val="18"/>
          <w:szCs w:val="18"/>
          <w:color w:val="auto"/>
        </w:rPr>
        <w:t>This First Amendment to Share Purchase Agreement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May 11,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Plains Midstream Luxembourg société à responsabilité limitée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Keyera Corp., an Alberta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All capitalized terms used but not defined in this Amendment shall have the meaning ascribed thereto in the Agreement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260" w:right="720" w:firstLine="583"/>
        <w:spacing w:after="0" w:line="286" w:lineRule="auto"/>
        <w:rPr>
          <w:sz w:val="20"/>
          <w:szCs w:val="20"/>
          <w:color w:val="auto"/>
        </w:rPr>
      </w:pPr>
      <w:r>
        <w:rPr>
          <w:rFonts w:ascii="Times New Roman" w:cs="Times New Roman" w:eastAsia="Times New Roman" w:hAnsi="Times New Roman"/>
          <w:sz w:val="18"/>
          <w:szCs w:val="18"/>
          <w:color w:val="auto"/>
        </w:rPr>
        <w:t>Buyer and Seller entered into that certain Share Purchase Agreement dated as of June 17, 2025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in accordance with Section 12.3(a) of the Agreement, now desire to amend certain provisions of the Agreement as set forth herein.</w:t>
      </w:r>
    </w:p>
    <w:p>
      <w:pPr>
        <w:spacing w:after="0" w:line="159" w:lineRule="exact"/>
        <w:rPr>
          <w:sz w:val="20"/>
          <w:szCs w:val="20"/>
          <w:color w:val="auto"/>
        </w:rPr>
      </w:pPr>
    </w:p>
    <w:p>
      <w:pPr>
        <w:jc w:val="both"/>
        <w:ind w:left="260" w:right="720" w:firstLine="583"/>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expressed, and for other good and valuable consideration, the receipt and sufficiency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00" w:firstLine="656"/>
        <w:spacing w:after="0" w:line="266" w:lineRule="auto"/>
        <w:tabs>
          <w:tab w:leader="none" w:pos="1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Amendment/Ratification</w:t>
      </w:r>
      <w:r>
        <w:rPr>
          <w:rFonts w:ascii="Times New Roman" w:cs="Times New Roman" w:eastAsia="Times New Roman" w:hAnsi="Times New Roman"/>
          <w:sz w:val="18"/>
          <w:szCs w:val="18"/>
          <w:color w:val="auto"/>
        </w:rPr>
        <w:t>. Except as specifically provided in this Amendment, the Agreement shall remain in full force and effect. The Parties hereby ratify and confirm the Agreement as amended hereby. All references to the Agreement shall hereafter be deemed to refer to the Agreement as amended hereby.</w:t>
      </w:r>
    </w:p>
    <w:p>
      <w:pPr>
        <w:spacing w:after="0" w:line="175" w:lineRule="exact"/>
        <w:rPr>
          <w:rFonts w:ascii="Times New Roman" w:cs="Times New Roman" w:eastAsia="Times New Roman" w:hAnsi="Times New Roman"/>
          <w:sz w:val="18"/>
          <w:szCs w:val="18"/>
          <w:color w:val="auto"/>
        </w:rPr>
      </w:pPr>
    </w:p>
    <w:p>
      <w:pPr>
        <w:ind w:right="80" w:firstLine="656"/>
        <w:spacing w:after="0" w:line="261" w:lineRule="auto"/>
        <w:tabs>
          <w:tab w:leader="none" w:pos="1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the Parties in any number of 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Amendment.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or caused this Amendment to be executed by their duly authorized representatives, all as of the Effective Date.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MIDSTREAM LUXEMBOURG</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société à responsabilité limitée</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(signed) [</w:t>
      </w:r>
      <w:r>
        <w:rPr>
          <w:rFonts w:ascii="Times New Roman" w:cs="Times New Roman" w:eastAsia="Times New Roman" w:hAnsi="Times New Roman"/>
          <w:sz w:val="17"/>
          <w:szCs w:val="17"/>
          <w:i w:val="1"/>
          <w:iCs w:val="1"/>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 [name redacted]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  [title redacted]</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(signed) [</w:t>
      </w:r>
      <w:r>
        <w:rPr>
          <w:rFonts w:ascii="Times New Roman" w:cs="Times New Roman" w:eastAsia="Times New Roman" w:hAnsi="Times New Roman"/>
          <w:sz w:val="17"/>
          <w:szCs w:val="17"/>
          <w:i w:val="1"/>
          <w:iCs w:val="1"/>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 [name redacted]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  [title redacted]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First Amendment to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KEYARA CORP.</w:t>
      </w:r>
    </w:p>
    <w:p>
      <w:pPr>
        <w:spacing w:after="0" w:line="200" w:lineRule="exact"/>
        <w:rPr>
          <w:sz w:val="20"/>
          <w:szCs w:val="20"/>
          <w:color w:val="auto"/>
        </w:rPr>
      </w:pPr>
    </w:p>
    <w:p>
      <w:pPr>
        <w:spacing w:after="0" w:line="243" w:lineRule="exact"/>
        <w:rPr>
          <w:sz w:val="20"/>
          <w:szCs w:val="20"/>
          <w:color w:val="auto"/>
        </w:rPr>
      </w:pPr>
    </w:p>
    <w:p>
      <w:pPr>
        <w:jc w:val="right"/>
        <w:ind w:right="2119"/>
        <w:spacing w:after="0"/>
        <w:tabs>
          <w:tab w:leader="none" w:pos="180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(signed) [</w:t>
      </w:r>
      <w:r>
        <w:rPr>
          <w:rFonts w:ascii="Times New Roman" w:cs="Times New Roman" w:eastAsia="Times New Roman" w:hAnsi="Times New Roman"/>
          <w:sz w:val="17"/>
          <w:szCs w:val="17"/>
          <w:i w:val="1"/>
          <w:iCs w:val="1"/>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 [name redacted]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  [title redacted]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First Amendment to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ectPr>
          <w:pgSz w:w="11900" w:h="16838" w:orient="portrait"/>
          <w:cols w:equalWidth="0" w:num="1">
            <w:col w:w="9019"/>
          </w:cols>
          <w:pgMar w:left="1440" w:top="900"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[Certain confidential portions of this exhibit have been omitted and replaced with “[***]”. Such identified information has been excluded from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Exhibit because it is both (i) not material and (ii) the type that the Registrant treats as private or confidential.]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Second Amendment to Share Purchase Agreement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May 12, 2026 but effective for all purposes as of the Execution Date by and between Plains Midstream Luxembourg, a Luxembourg société à responsabilité limitée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Keyera Corp., an Alberta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All capitalized terms used but not defined in this Amendment shall have the meaning ascribed thereto in the Agreement (as defined below).</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Buyer and Seller entered into that certain Share Purchase Agreement dated as of June 17, 2025, as amended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in accordance with Section 12.3(a) of the Agreement, now desire to amend certain provisions of the Agreement as set forth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expressed, and for other good and valuable consideration, the receipt and sufficiency of which are hereby acknowledged, the Parties agree as follows: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380" w:firstLine="648"/>
        <w:spacing w:after="0" w:line="250"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Amendment to Section 2.5</w:t>
      </w:r>
      <w:r>
        <w:rPr>
          <w:rFonts w:ascii="Times New Roman" w:cs="Times New Roman" w:eastAsia="Times New Roman" w:hAnsi="Times New Roman"/>
          <w:sz w:val="18"/>
          <w:szCs w:val="18"/>
          <w:color w:val="auto"/>
        </w:rPr>
        <w:t>. The first sentence of Section 2.5(b) of the Agreement shall be amended by adding the phrase: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Amendment to Seller Disclosure Schedules</w:t>
      </w:r>
      <w:r>
        <w:rPr>
          <w:rFonts w:ascii="Times New Roman" w:cs="Times New Roman" w:eastAsia="Times New Roman" w:hAnsi="Times New Roman"/>
          <w:sz w:val="18"/>
          <w:szCs w:val="18"/>
          <w:color w:val="auto"/>
        </w:rPr>
        <w:t>. Each of following Seller Disclosure Schedules shall be deleted in its entirety and replaced with a new Seller Disclosure Schedule relating to the same Section of the Agreement, a copy of which is appended hereto in Appendix 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4.16(a) – Leased Real Property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4.16(b) – Owned Real Property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4.16(c) – Other Real Property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4.17 – Facilities and Pipelines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4.18 – Material Contracts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4.28 – Credit Support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Amendment to Section 6.2(c)</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Amendment to Section 6.4(d)</w:t>
      </w:r>
      <w:r>
        <w:rPr>
          <w:rFonts w:ascii="Times New Roman" w:cs="Times New Roman" w:eastAsia="Times New Roman" w:hAnsi="Times New Roman"/>
          <w:sz w:val="18"/>
          <w:szCs w:val="18"/>
          <w:color w:val="auto"/>
        </w:rPr>
        <w:t>. Section 6.4(d) of the Agreement shall be amended to replace “five (5)” with “seven (7)” in each place in which it appears in such Section.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Amendment to Section 6.4</w:t>
      </w:r>
      <w:r>
        <w:rPr>
          <w:rFonts w:ascii="Times New Roman" w:cs="Times New Roman" w:eastAsia="Times New Roman" w:hAnsi="Times New Roman"/>
          <w:sz w:val="18"/>
          <w:szCs w:val="18"/>
          <w:color w:val="auto"/>
        </w:rPr>
        <w:t>. A new Section 6.4(e) of the Agreement shall be added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Excluded Records Destruction by Buyer</w:t>
      </w:r>
      <w:r>
        <w:rPr>
          <w:rFonts w:ascii="Times New Roman" w:cs="Times New Roman" w:eastAsia="Times New Roman" w:hAnsi="Times New Roman"/>
          <w:sz w:val="18"/>
          <w:szCs w:val="18"/>
          <w:color w:val="auto"/>
        </w:rPr>
        <w:t>. To the extent Buyer after Closing finds any records in its possession that were expressly excluded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6.4(b)(i)</w:t>
      </w:r>
      <w:r>
        <w:rPr>
          <w:rFonts w:ascii="Times New Roman" w:cs="Times New Roman" w:eastAsia="Times New Roman" w:hAnsi="Times New Roman"/>
          <w:sz w:val="18"/>
          <w:szCs w:val="18"/>
          <w:color w:val="auto"/>
        </w:rPr>
        <w:t>-(v), Buyer shall deliver such records back to Seller and irretrievably delete or destroy such records in electronic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cloud-based formats, provided that Buyer shall not be required to delete any such records that have been automatically stored in the ordinary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course in any electronic data back-up or archival system of the Buyer that is not intended to be accessed except for disaster recovery purposes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compliance with document retention Laws.”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Amendments to Section 6.9(d)</w:t>
      </w:r>
      <w:r>
        <w:rPr>
          <w:rFonts w:ascii="Times New Roman" w:cs="Times New Roman" w:eastAsia="Times New Roman" w:hAnsi="Times New Roman"/>
          <w:sz w:val="18"/>
          <w:szCs w:val="18"/>
          <w:color w:val="auto"/>
        </w:rPr>
        <w:t>. Section 6.9(d) of the Agreement shall be amended as follows: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                  Section 6.9(d)(iii) shall be amended to replace “within one hundred and twenty (120) days following the Execution Date” with “by January 30, 2026”.</w:t>
      </w:r>
    </w:p>
    <w:p>
      <w:pPr>
        <w:spacing w:after="0" w:line="1"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18"/>
          <w:szCs w:val="18"/>
          <w:color w:val="auto"/>
        </w:rPr>
        <w:t>(b)                 Section 6.9(d)(iv) shall be amended to replace “within one hundred and twenty (120) days following the Execution Date” with “by January 30, 2026”.</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Amendment to Article VI</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Amendments to Section 12.4</w:t>
      </w:r>
      <w:r>
        <w:rPr>
          <w:rFonts w:ascii="Times New Roman" w:cs="Times New Roman" w:eastAsia="Times New Roman" w:hAnsi="Times New Roman"/>
          <w:sz w:val="18"/>
          <w:szCs w:val="18"/>
          <w:color w:val="auto"/>
        </w:rPr>
        <w:t>. Section 12.4 of the Agreement shall be amended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Section 12.4(b) shall be deleted in its entirety and replaced with the following: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“(b)        Neither this Agreement nor any of the rights, interests, or obligations hereunder may otherwise be assigned by either Party without the prior written consent of the other Party, provided that Buyer may, without consent from but upon giving written notice to Seller: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80" w:firstLine="648"/>
        <w:spacing w:after="0" w:line="250" w:lineRule="auto"/>
        <w:rPr>
          <w:sz w:val="20"/>
          <w:szCs w:val="20"/>
          <w:color w:val="auto"/>
        </w:rPr>
      </w:pPr>
      <w:r>
        <w:rPr>
          <w:rFonts w:ascii="Times New Roman" w:cs="Times New Roman" w:eastAsia="Times New Roman" w:hAnsi="Times New Roman"/>
          <w:sz w:val="18"/>
          <w:szCs w:val="18"/>
          <w:color w:val="auto"/>
        </w:rPr>
        <w:t>(i)       at any time on or prior to the Closing, assign its rights and obligations under this Agreement to an Affiliate subject to the following conditions: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80" w:firstLine="648"/>
        <w:spacing w:after="0" w:line="250" w:lineRule="auto"/>
        <w:rPr>
          <w:sz w:val="20"/>
          <w:szCs w:val="20"/>
          <w:color w:val="auto"/>
        </w:rPr>
      </w:pPr>
      <w:r>
        <w:rPr>
          <w:rFonts w:ascii="Times New Roman" w:cs="Times New Roman" w:eastAsia="Times New Roman" w:hAnsi="Times New Roman"/>
          <w:sz w:val="18"/>
          <w:szCs w:val="18"/>
          <w:color w:val="auto"/>
        </w:rPr>
        <w:t>(A)       the assignee becomes jointly and severally liable with Buyer, as a principal and not as a surety, with respect to all of the representations, warranties, covenants, indemnities and agreements of Buyer in this Agreement; and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60" w:firstLine="648"/>
        <w:spacing w:after="0" w:line="250" w:lineRule="auto"/>
        <w:rPr>
          <w:sz w:val="20"/>
          <w:szCs w:val="20"/>
          <w:color w:val="auto"/>
        </w:rPr>
      </w:pPr>
      <w:r>
        <w:rPr>
          <w:rFonts w:ascii="Times New Roman" w:cs="Times New Roman" w:eastAsia="Times New Roman" w:hAnsi="Times New Roman"/>
          <w:sz w:val="18"/>
          <w:szCs w:val="18"/>
          <w:color w:val="auto"/>
        </w:rPr>
        <w:t>(B)       the assignee and Buyer execute and deliver to Seller an agreement confirming (1) the assignment, (2) the assumption by the assignee of all obligations of Buyer under this Agreement, and (3) that Buyer continues to be bound by the provisions of this Agreement; and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Amendments to Section 12.9</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Amendments to Exhibit A</w:t>
      </w:r>
      <w:r>
        <w:rPr>
          <w:rFonts w:ascii="Times New Roman" w:cs="Times New Roman" w:eastAsia="Times New Roman" w:hAnsi="Times New Roman"/>
          <w:sz w:val="18"/>
          <w:szCs w:val="18"/>
          <w:color w:val="auto"/>
        </w:rPr>
        <w:t>. Exhibit A to the Agreement shall be amended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9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Amendment/Ratification</w:t>
      </w:r>
      <w:r>
        <w:rPr>
          <w:rFonts w:ascii="Times New Roman" w:cs="Times New Roman" w:eastAsia="Times New Roman" w:hAnsi="Times New Roman"/>
          <w:sz w:val="18"/>
          <w:szCs w:val="18"/>
          <w:color w:val="auto"/>
        </w:rPr>
        <w:t>. Except as specifically provided in this Amendment, the Agreement shall remain in full force and effect. The Parties hereby ratify and confirm the Agreement as amended hereby. All references to the Agreement shall hereafter be deemed to refer to the Agreement as amended hereby.</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Conflicts</w:t>
      </w:r>
      <w:r>
        <w:rPr>
          <w:rFonts w:ascii="Times New Roman" w:cs="Times New Roman" w:eastAsia="Times New Roman" w:hAnsi="Times New Roman"/>
          <w:sz w:val="18"/>
          <w:szCs w:val="18"/>
          <w:color w:val="auto"/>
        </w:rPr>
        <w:t>. If and to the extent any part of this Amendment conflicts with or is otherwise inconsistent with the Agreement, this Amendment shall control.</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by the Parties in any number of 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Amendment.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0" w:right="50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or caused this Amendment to be executed by their duly authorized representatives, all as of the Effective Date.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56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SELLER:</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MIDSTREAM LUXEMBOURG</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 Luxombourg société à responsabilité limitée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5740" w:type="dxa"/>
            <w:vAlign w:val="bottom"/>
            <w:gridSpan w:val="2"/>
          </w:tcPr>
          <w:p>
            <w:pPr>
              <w:ind w:left="5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0780" w:type="dxa"/>
            <w:vAlign w:val="bottom"/>
            <w:gridSpan w:val="4"/>
          </w:tcPr>
          <w:p>
            <w:pPr>
              <w:ind w:left="4180"/>
              <w:spacing w:after="0"/>
              <w:rPr>
                <w:sz w:val="20"/>
                <w:szCs w:val="20"/>
                <w:color w:val="auto"/>
              </w:rPr>
            </w:pPr>
            <w:r>
              <w:rPr>
                <w:rFonts w:ascii="Times New Roman" w:cs="Times New Roman" w:eastAsia="Times New Roman" w:hAnsi="Times New Roman"/>
                <w:sz w:val="18"/>
                <w:szCs w:val="18"/>
                <w:i w:val="1"/>
                <w:iCs w:val="1"/>
                <w:color w:val="auto"/>
              </w:rPr>
              <w:t>Second Amendment to PSA</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426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w:t>
            </w:r>
          </w:p>
        </w:tc>
        <w:tc>
          <w:tcPr>
            <w:tcW w:w="3700" w:type="dxa"/>
            <w:vAlign w:val="bottom"/>
          </w:tcPr>
          <w:p>
            <w:pPr>
              <w:spacing w:after="0"/>
              <w:rPr>
                <w:sz w:val="17"/>
                <w:szCs w:val="17"/>
                <w:color w:val="auto"/>
              </w:rPr>
            </w:pPr>
          </w:p>
        </w:tc>
        <w:tc>
          <w:tcPr>
            <w:tcW w:w="5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BUYER:</w:t>
            </w: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KEYARA CORP.</w:t>
            </w: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name redacted]</w:t>
            </w:r>
          </w:p>
        </w:tc>
      </w:tr>
      <w:tr>
        <w:trPr>
          <w:trHeight w:val="191"/>
        </w:trPr>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r>
      <w:tr>
        <w:trPr>
          <w:trHeight w:val="214"/>
        </w:trPr>
        <w:tc>
          <w:tcPr>
            <w:tcW w:w="1940" w:type="dxa"/>
            <w:vAlign w:val="bottom"/>
          </w:tcPr>
          <w:p>
            <w:pPr>
              <w:spacing w:after="0"/>
              <w:rPr>
                <w:sz w:val="18"/>
                <w:szCs w:val="18"/>
                <w:color w:val="auto"/>
              </w:rPr>
            </w:pPr>
          </w:p>
        </w:tc>
        <w:tc>
          <w:tcPr>
            <w:tcW w:w="42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8"/>
        </w:trPr>
        <w:tc>
          <w:tcPr>
            <w:tcW w:w="1940" w:type="dxa"/>
            <w:vAlign w:val="bottom"/>
          </w:tcPr>
          <w:p>
            <w:pPr>
              <w:spacing w:after="0"/>
              <w:rPr>
                <w:sz w:val="18"/>
                <w:szCs w:val="18"/>
                <w:color w:val="auto"/>
              </w:rPr>
            </w:pPr>
          </w:p>
        </w:tc>
        <w:tc>
          <w:tcPr>
            <w:tcW w:w="9300" w:type="dxa"/>
            <w:vAlign w:val="bottom"/>
            <w:gridSpan w:val="4"/>
          </w:tcPr>
          <w:p>
            <w:pPr>
              <w:ind w:left="2700"/>
              <w:spacing w:after="0"/>
              <w:rPr>
                <w:sz w:val="20"/>
                <w:szCs w:val="20"/>
                <w:color w:val="auto"/>
              </w:rPr>
            </w:pPr>
            <w:r>
              <w:rPr>
                <w:rFonts w:ascii="Times New Roman" w:cs="Times New Roman" w:eastAsia="Times New Roman" w:hAnsi="Times New Roman"/>
                <w:sz w:val="18"/>
                <w:szCs w:val="18"/>
                <w:i w:val="1"/>
                <w:iCs w:val="1"/>
                <w:color w:val="auto"/>
              </w:rPr>
              <w:t>Second Amendment to PSA</w:t>
            </w:r>
          </w:p>
        </w:tc>
      </w:tr>
      <w:tr>
        <w:trPr>
          <w:trHeight w:val="234"/>
        </w:trPr>
        <w:tc>
          <w:tcPr>
            <w:tcW w:w="1940" w:type="dxa"/>
            <w:vAlign w:val="bottom"/>
          </w:tcPr>
          <w:p>
            <w:pPr>
              <w:spacing w:after="0"/>
              <w:rPr>
                <w:sz w:val="20"/>
                <w:szCs w:val="20"/>
                <w:color w:val="auto"/>
              </w:rPr>
            </w:pPr>
          </w:p>
        </w:tc>
        <w:tc>
          <w:tcPr>
            <w:tcW w:w="42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13" w:name="page14"/>
    <w:bookmarkEnd w:id="13"/>
    <w:p>
      <w:pPr>
        <w:ind w:left="10400"/>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6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confidential portions of this exhibit have been omitted and replaced with “[***]”. Such identified information has been excluded from this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AGREEMENT AND 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Closing Agreement and Third Amendment to Share Purchase Agreement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May 12,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Plains Midstream Luxembourg S.A R.L.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Keyera Corp., an Alberta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All capitalized terms used but not defined in this Amendment shall have the meaning ascribed thereto in the Agreement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Buyer and Seller entered into that certain Share Purchase Agreement dated as of June 17, 2025, as amended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in accordance with Section 12.3(a) of the Agreement, now desire to amend certain provisions of the Agreement as set forth herein.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expressed, and for other good and valuable consideration, the receipt and sufficiency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Amendment to Section 2.3</w:t>
      </w:r>
      <w:r>
        <w:rPr>
          <w:rFonts w:ascii="Times New Roman" w:cs="Times New Roman" w:eastAsia="Times New Roman" w:hAnsi="Times New Roman"/>
          <w:sz w:val="18"/>
          <w:szCs w:val="18"/>
          <w:color w:val="auto"/>
        </w:rPr>
        <w:t>. Section 2.3 of the Agreement shall be deleted in its entirety and replaced with the following:</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00" w:firstLine="713"/>
        <w:spacing w:after="0" w:line="250"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Closing Adjustment</w:t>
      </w:r>
      <w:r>
        <w:rPr>
          <w:rFonts w:ascii="Times New Roman" w:cs="Times New Roman" w:eastAsia="Times New Roman" w:hAnsi="Times New Roman"/>
          <w:sz w:val="18"/>
          <w:szCs w:val="18"/>
          <w:color w:val="auto"/>
        </w:rPr>
        <w:t>. Not later than eight (8) Business Days prior to the expected Closing Date, Seller shall deliver to Buyer a written statement (the “</w:t>
      </w:r>
      <w:r>
        <w:rPr>
          <w:rFonts w:ascii="Times New Roman" w:cs="Times New Roman" w:eastAsia="Times New Roman" w:hAnsi="Times New Roman"/>
          <w:sz w:val="18"/>
          <w:szCs w:val="18"/>
          <w:b w:val="1"/>
          <w:bCs w:val="1"/>
          <w:i w:val="1"/>
          <w:iCs w:val="1"/>
          <w:color w:val="auto"/>
        </w:rPr>
        <w:t>Pre-Closing Statement</w:t>
      </w:r>
      <w:r>
        <w:rPr>
          <w:rFonts w:ascii="Times New Roman" w:cs="Times New Roman" w:eastAsia="Times New Roman" w:hAnsi="Times New Roman"/>
          <w:sz w:val="18"/>
          <w:szCs w:val="18"/>
          <w:color w:val="auto"/>
        </w:rPr>
        <w:t>”) setting forth in reasonable detail Seller’s good-faith estimate based on information then available to Seller of Closing Working Capital (the “</w:t>
      </w:r>
      <w:r>
        <w:rPr>
          <w:rFonts w:ascii="Times New Roman" w:cs="Times New Roman" w:eastAsia="Times New Roman" w:hAnsi="Times New Roman"/>
          <w:sz w:val="18"/>
          <w:szCs w:val="18"/>
          <w:b w:val="1"/>
          <w:bCs w:val="1"/>
          <w:i w:val="1"/>
          <w:iCs w:val="1"/>
          <w:color w:val="auto"/>
        </w:rPr>
        <w:t>Estimated Closing Working Capital</w:t>
      </w:r>
      <w:r>
        <w:rPr>
          <w:rFonts w:ascii="Times New Roman" w:cs="Times New Roman" w:eastAsia="Times New Roman" w:hAnsi="Times New Roman"/>
          <w:sz w:val="18"/>
          <w:szCs w:val="18"/>
          <w:color w:val="auto"/>
        </w:rPr>
        <w:t>”), Closing Operating NGL Inventory Volume (the “</w:t>
      </w:r>
      <w:r>
        <w:rPr>
          <w:rFonts w:ascii="Times New Roman" w:cs="Times New Roman" w:eastAsia="Times New Roman" w:hAnsi="Times New Roman"/>
          <w:sz w:val="18"/>
          <w:szCs w:val="18"/>
          <w:b w:val="1"/>
          <w:bCs w:val="1"/>
          <w:i w:val="1"/>
          <w:iCs w:val="1"/>
          <w:color w:val="auto"/>
        </w:rPr>
        <w:t>Estimated Closing Operating NGL Inventory Volume</w:t>
      </w:r>
      <w:r>
        <w:rPr>
          <w:rFonts w:ascii="Times New Roman" w:cs="Times New Roman" w:eastAsia="Times New Roman" w:hAnsi="Times New Roman"/>
          <w:sz w:val="18"/>
          <w:szCs w:val="18"/>
          <w:color w:val="auto"/>
        </w:rPr>
        <w:t>”), Closing Operating NGL Inventory Adjustment Amount (the “</w:t>
      </w:r>
      <w:r>
        <w:rPr>
          <w:rFonts w:ascii="Times New Roman" w:cs="Times New Roman" w:eastAsia="Times New Roman" w:hAnsi="Times New Roman"/>
          <w:sz w:val="18"/>
          <w:szCs w:val="18"/>
          <w:b w:val="1"/>
          <w:bCs w:val="1"/>
          <w:i w:val="1"/>
          <w:iCs w:val="1"/>
          <w:color w:val="auto"/>
        </w:rPr>
        <w:t>Estimated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Operating NGL Inventory Adjustment Amount</w:t>
      </w:r>
      <w:r>
        <w:rPr>
          <w:rFonts w:ascii="Times New Roman" w:cs="Times New Roman" w:eastAsia="Times New Roman" w:hAnsi="Times New Roman"/>
          <w:sz w:val="18"/>
          <w:szCs w:val="18"/>
          <w:color w:val="auto"/>
        </w:rPr>
        <w:t>”), Tax Pool Adjustment Amount (the “</w:t>
      </w:r>
      <w:r>
        <w:rPr>
          <w:rFonts w:ascii="Times New Roman" w:cs="Times New Roman" w:eastAsia="Times New Roman" w:hAnsi="Times New Roman"/>
          <w:sz w:val="18"/>
          <w:szCs w:val="18"/>
          <w:b w:val="1"/>
          <w:bCs w:val="1"/>
          <w:i w:val="1"/>
          <w:iCs w:val="1"/>
          <w:color w:val="auto"/>
        </w:rPr>
        <w:t>Estimated Tax Pool Adjustment Amount</w:t>
      </w:r>
      <w:r>
        <w:rPr>
          <w:rFonts w:ascii="Times New Roman" w:cs="Times New Roman" w:eastAsia="Times New Roman" w:hAnsi="Times New Roman"/>
          <w:sz w:val="18"/>
          <w:szCs w:val="18"/>
          <w:color w:val="auto"/>
        </w:rPr>
        <w:t>”) and Capex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Adjustment Amount (the “Estimated Capex Adjustment Amount”), together with reasonable supporting documents. [***] The Pre-Closing Statement shall be prepared in accordance with the adjustments, principles and methodologies set forth in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Buyer shall have the opportunity to review and comment on the Pre-Closing Statement, and the Parties will work together in good faith to resolve any questions, comments or disputes related to such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any question, comment or dispute remains unresolved as of the Closing Date, the amounts set forth in the Post-Closing Statement provided by Seller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prevail, adjusted as agreed by Buyer and Seller for any questions, comments or disputes raised by Buyer. If the Estimated Closing Working Capital plus the Estimated Closing Operating NGL Inventory Adjustment Amount plus the Estimated Tax Pool Adjustment Amount plus the Estimated Capex Adjustment Amount minus [***] is (a) a positive number, the Base Purchase Price shall be increased by such amount or (b) a negative number, the Base Purchase Price shall be decreased by such amount, and at Closing, Buyer shall pay to Seller an amount equal to the Base Purchase Price as so adjusted pursuant to this sentence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Closing Payment</w:t>
      </w:r>
      <w:r>
        <w:rPr>
          <w:rFonts w:ascii="Times New Roman" w:cs="Times New Roman" w:eastAsia="Times New Roman" w:hAnsi="Times New Roman"/>
          <w:sz w:val="18"/>
          <w:szCs w:val="18"/>
          <w:color w:val="auto"/>
        </w:rPr>
        <w:t>”), by wire transfer of immediately available funds to a bank account or accounts to be designated in writing by Seller in the Pre-Closing Statement.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Amendment to Section 2.4(a)</w:t>
      </w:r>
      <w:r>
        <w:rPr>
          <w:rFonts w:ascii="Times New Roman" w:cs="Times New Roman" w:eastAsia="Times New Roman" w:hAnsi="Times New Roman"/>
          <w:sz w:val="18"/>
          <w:szCs w:val="18"/>
          <w:color w:val="auto"/>
        </w:rPr>
        <w:t>. Section 2.4(a)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Calculation of Adjustments</w:t>
      </w:r>
      <w:r>
        <w:rPr>
          <w:rFonts w:ascii="Times New Roman" w:cs="Times New Roman" w:eastAsia="Times New Roman" w:hAnsi="Times New Roman"/>
          <w:sz w:val="18"/>
          <w:szCs w:val="18"/>
          <w:color w:val="auto"/>
        </w:rPr>
        <w:t>. As promptly as practicable after the Closing Date, and in any event not later than ninety (90) days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Closing Date, Buyer shall deliver to Seller a statement (the “</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setting forth in reasonable detail Buyer’s good-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faith calculation of: (i) Closing Working Capital; (ii) Closing Operating NGL Inventory Volume; (iii) Closing Operating NGL Inventory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Adjustment Amount; (iv) Tax Pool Adjustment Amount; and (v) Capex Adjustment Amount. [***] To the extent not in the possession of Buyer,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shall provide Buyer and its Representatives reasonable access during normal business hours to such employees and such books and records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Seller and its Affiliates as are reasonably requested by Buyer to allow it and its Representatives to prepare the Post-Closing Statement. Buyer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provide Seller and its authorized Representatives reasonable access during normal business hours to such employees and such books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records of Buyer or the Company Group as are reasonably requested by Seller to allow it and its authorized Representatives to verify the amounts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in the Post-Closing Statement.”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Amendment to Section 2.4(e)</w:t>
      </w:r>
      <w:r>
        <w:rPr>
          <w:rFonts w:ascii="Times New Roman" w:cs="Times New Roman" w:eastAsia="Times New Roman" w:hAnsi="Times New Roman"/>
          <w:sz w:val="18"/>
          <w:szCs w:val="18"/>
          <w:color w:val="auto"/>
        </w:rPr>
        <w:t>. Section 2.4(e)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minus [***] exceeds the Estimated Closing Working Capital plus the Estimated Closing Operating NGL Inventory Adjustment Amount plus the Estimated Tax Pool Adjustment Amount plus the Estimated Capex Adjustment Amount minus [***] then the Base Purchase Price shall be increased by, and Buyer shall pay to Seller, the amount of such excess.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 minus [***] is less than the Estimated Closing Working Capital plus the Estimated Closing Operating NGL Inventory Adjustment Amount plus the Estimated Tax Pool Adjustment Amount plus the Estimated Capex Adjustment Amount minus [***] then the Base Purchase Price shall be decreased by, and Seller shall pay to Buyer, the amount of such deficiency. Any payment required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made within five (5) Business Days after the date the Purchase Price is deemed to be finally determined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2.4(d)</w:t>
      </w:r>
      <w:r>
        <w:rPr>
          <w:rFonts w:ascii="Times New Roman" w:cs="Times New Roman" w:eastAsia="Times New Roman" w:hAnsi="Times New Roman"/>
          <w:sz w:val="18"/>
          <w:szCs w:val="18"/>
          <w:color w:val="auto"/>
        </w:rPr>
        <w:t xml:space="preserve">, as the case may be,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shall be made by wire transfer of immediately available funds to a bank account or accounts to be designated in writing by the Party receiving such payment.”  </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Amendment to Section 6.4(a)(ii)</w:t>
      </w:r>
      <w:r>
        <w:rPr>
          <w:rFonts w:ascii="Times New Roman" w:cs="Times New Roman" w:eastAsia="Times New Roman" w:hAnsi="Times New Roman"/>
          <w:sz w:val="18"/>
          <w:szCs w:val="18"/>
          <w:color w:val="auto"/>
        </w:rPr>
        <w:t>. Section 6.4(a)(ii)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 within sixteen (16) days following the Closing, financial accounting records including general ledger detail support for the month end immediately preceding Closing and balance sheet reconciliations for all balance sheet account balances for the month immediately preceding the month in which the Closing occurs and (B) within ten (10) days following the Closing, an extract of applicable financial accounting</w:t>
      </w:r>
    </w:p>
    <w:p>
      <w:pPr>
        <w:ind w:left="660"/>
        <w:spacing w:after="0" w:line="186" w:lineRule="auto"/>
        <w:rPr>
          <w:sz w:val="20"/>
          <w:szCs w:val="20"/>
          <w:color w:val="auto"/>
        </w:rPr>
      </w:pPr>
      <w:r>
        <w:rPr>
          <w:rFonts w:ascii="Times New Roman" w:cs="Times New Roman" w:eastAsia="Times New Roman" w:hAnsi="Times New Roman"/>
          <w:sz w:val="18"/>
          <w:szCs w:val="18"/>
          <w:color w:val="auto"/>
        </w:rPr>
        <w:t>records, including an extract of applicable general ledger detail support for May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through May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(inclusive) of the month in which Closing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occurs.”</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Amendment to Section 6.18 and Schedule 6.18 of the Seller Disclosure Schedules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Section 6.18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“At or prior to the Closing, Seller shall terminate or cause to be terminated each Contract between any member of the Company Group, on the one hand, and Seller or any Seller Affiliate (other than a member of the Company Group), on the other hand, except for those Contracts listed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 of the Seller Disclosure Schedules. Seller shall use commercially reasonable efforts to cause intercompany accounts between any member of the Company Group, on the one hand, and Seller or any Seller Affiliate (other than a member of the Company Group), on the other hand (other than any accounts arising under a Contract listed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 of the Seller Disclosure Schedules), to be fully settled and discharged prior to or at Closing without giving rise to any Tax Liability or consequence (including by way of application or reduction of any Tax attributes) to Buyer or any member of the Company Group, including under section 80 of the Canadian Tax Act. Notwithstanding anything to the contrary in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any such intercompany accounts not so fully settled and discharged at or prior to the Closing Date shall be included in the calculation of the Closing Working Capital set forth in the Post-Closing Statement.”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Schedule 6.18 of the Seller Disclosure Schedules attached to the Agreement shall be deleted in its entirety and replaced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6.18 attached to this Amendment.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Amendment to Section 6.19</w:t>
      </w:r>
      <w:r>
        <w:rPr>
          <w:rFonts w:ascii="Times New Roman" w:cs="Times New Roman" w:eastAsia="Times New Roman" w:hAnsi="Times New Roman"/>
          <w:sz w:val="18"/>
          <w:szCs w:val="18"/>
          <w:color w:val="auto"/>
        </w:rPr>
        <w:t>. Section 6.19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On June 1, 2026, representatives of Seller and Buyer shall conduct a measurement of the NGL Inventory as of 7:00 a.m.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local time where the applicable assets are located, in accordance with the Inventory Measurement Procedures (the “</w:t>
      </w:r>
      <w:r>
        <w:rPr>
          <w:rFonts w:ascii="Times New Roman" w:cs="Times New Roman" w:eastAsia="Times New Roman" w:hAnsi="Times New Roman"/>
          <w:sz w:val="18"/>
          <w:szCs w:val="18"/>
          <w:b w:val="1"/>
          <w:bCs w:val="1"/>
          <w:i w:val="1"/>
          <w:iCs w:val="1"/>
          <w:color w:val="auto"/>
        </w:rPr>
        <w:t>Inventory Measurement</w:t>
      </w:r>
      <w:r>
        <w:rPr>
          <w:rFonts w:ascii="Times New Roman" w:cs="Times New Roman" w:eastAsia="Times New Roman" w:hAnsi="Times New Roman"/>
          <w:sz w:val="18"/>
          <w:szCs w:val="18"/>
          <w:color w:val="auto"/>
        </w:rPr>
        <w:t>”). 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date of the Inventory Measurement, Seller and Buyer shall deliver to each other a duly executed counterpart of a NGL custody certificate,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as of the date thereof.”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Amendment to Article VI</w:t>
      </w:r>
      <w:r>
        <w:rPr>
          <w:rFonts w:ascii="Times New Roman" w:cs="Times New Roman" w:eastAsia="Times New Roman" w:hAnsi="Times New Roman"/>
          <w:sz w:val="18"/>
          <w:szCs w:val="18"/>
          <w:color w:val="auto"/>
        </w:rPr>
        <w:t>. Article VI shall be amended to add a new Section 6.28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Amendment to Article VI</w:t>
      </w:r>
      <w:r>
        <w:rPr>
          <w:rFonts w:ascii="Times New Roman" w:cs="Times New Roman" w:eastAsia="Times New Roman" w:hAnsi="Times New Roman"/>
          <w:sz w:val="18"/>
          <w:szCs w:val="18"/>
          <w:color w:val="auto"/>
        </w:rPr>
        <w:t>. Article VI shall be amended to add a new Section 6.29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Amendment to Section 8.1</w:t>
      </w:r>
      <w:r>
        <w:rPr>
          <w:rFonts w:ascii="Times New Roman" w:cs="Times New Roman" w:eastAsia="Times New Roman" w:hAnsi="Times New Roman"/>
          <w:sz w:val="18"/>
          <w:szCs w:val="18"/>
          <w:color w:val="auto"/>
        </w:rPr>
        <w:t>. Section 8.1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8.1 Closing.</w:t>
      </w:r>
      <w:r>
        <w:rPr>
          <w:rFonts w:ascii="Times New Roman" w:cs="Times New Roman" w:eastAsia="Times New Roman" w:hAnsi="Times New Roman"/>
          <w:sz w:val="18"/>
          <w:szCs w:val="18"/>
          <w:color w:val="auto"/>
        </w:rPr>
        <w:t xml:space="preserve"> The closing of the sale, assignment, conveyance, transfer and delivery of the Purchased Shares to Buyer and the other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transactions 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electronically, or such place as the Parties may agree, on (a) May 12,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2026 or (b) any other date mutually agreed on by the Parties in writing. The date of the Closing is referred to in this Agreement as the “</w:t>
      </w:r>
      <w:r>
        <w:rPr>
          <w:rFonts w:ascii="Times New Roman" w:cs="Times New Roman" w:eastAsia="Times New Roman" w:hAnsi="Times New Roman"/>
          <w:sz w:val="18"/>
          <w:szCs w:val="18"/>
          <w:b w:val="1"/>
          <w:bCs w:val="1"/>
          <w:i w:val="1"/>
          <w:iCs w:val="1"/>
          <w:color w:val="auto"/>
        </w:rPr>
        <w:t>Closing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Unless otherwise agreed, all proceedings to be taken and all documents to be executed and delivered by the Parties at the Closing shall be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deemed to have been taken, executed and delivered simultaneously, and no proceedings shall be deemed taken nor any documents executed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delivered until all have been taken, executed and delivered. For economic purposes, the Closing shall be deemed to have occurred at 12:01AM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Mountain Time on the Closing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Amendment regarding NGL Custody Certificate</w:t>
      </w:r>
      <w:r>
        <w:rPr>
          <w:rFonts w:ascii="Times New Roman" w:cs="Times New Roman" w:eastAsia="Times New Roman" w:hAnsi="Times New Roman"/>
          <w:sz w:val="18"/>
          <w:szCs w:val="18"/>
          <w:color w:val="auto"/>
        </w:rPr>
        <w:t>. Section 8.2(l) and Section 8.3(g), as well as the defined term “NGL Custody Certificate” in Exhibit A (Definitions) of the Agreement shall each be deleted in its entirety.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Amendment to Section 12.4</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Amendment to Exhibit A (Definitions).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definition of “Closing Operating NGL Inventory Volume” in Exhibit A (Definitions) to the Agreement shall be deleted and replaced with the following in relevant alphabetical order: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Operating NGL Inventory Volume</w:t>
      </w:r>
      <w:r>
        <w:rPr>
          <w:rFonts w:ascii="Times New Roman" w:cs="Times New Roman" w:eastAsia="Times New Roman" w:hAnsi="Times New Roman"/>
          <w:sz w:val="18"/>
          <w:szCs w:val="18"/>
          <w:color w:val="auto"/>
        </w:rPr>
        <w:t>” means the Operating NGL Inventory, as determined in accordance with Section 1(b) of the Inventory Valuation Methodology for purposes of calculating the Closing Operating NGL Inventory Adjustment Amount in the Post-Closing Statement, without giving effect to the transactions contemplated hereby and by the other Transaction Documents.”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following defined term is added to Exhibit A (Definitions) to the Agreement in relevant alphabetical order: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Amendment to Exhibit G (Form of Butane Supply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Amendment to Exhibit H-1 (Inventory Measurement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Amendment to Exhibit H-2 (Inventory Valuation Methodology)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Amendment to Exhibit J (Accounting Principles)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Amendment to Exhibit M (Tax Conduct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Amendment to Exhibit N (Form of Frac Spread Hedge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No Other Amendment/Ratification</w:t>
      </w:r>
      <w:r>
        <w:rPr>
          <w:rFonts w:ascii="Times New Roman" w:cs="Times New Roman" w:eastAsia="Times New Roman" w:hAnsi="Times New Roman"/>
          <w:sz w:val="18"/>
          <w:szCs w:val="18"/>
          <w:color w:val="auto"/>
        </w:rPr>
        <w:t>. Except as specifically provided in this Amendment, the Agreement shall remain in full force and effect. The Parties hereby ratify and confirm the Agreement as amended hereby. All references to the Agreement shall hereafter be deemed to refer to the Agreement as amended hereby.</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If and to the extent any part of this Amendment conflicts with or is otherwise inconsistent with the Agreement, this Amendment shall control.</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the Parties in any number of 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Amendment.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or caused this Amendment to be executed by their duly authorized representatives, all as of the Effective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SELLER:</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MIDSTREAM LUXEMBOURG S.A.R.L.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84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880" w:type="dxa"/>
            <w:vAlign w:val="bottom"/>
            <w:gridSpan w:val="4"/>
          </w:tcPr>
          <w:p>
            <w:pPr>
              <w:ind w:left="3500"/>
              <w:spacing w:after="0"/>
              <w:rPr>
                <w:sz w:val="20"/>
                <w:szCs w:val="20"/>
                <w:color w:val="auto"/>
              </w:rPr>
            </w:pPr>
            <w:r>
              <w:rPr>
                <w:rFonts w:ascii="Times New Roman" w:cs="Times New Roman" w:eastAsia="Times New Roman" w:hAnsi="Times New Roman"/>
                <w:sz w:val="18"/>
                <w:szCs w:val="18"/>
                <w:i w:val="1"/>
                <w:iCs w:val="1"/>
                <w:color w:val="auto"/>
              </w:rPr>
              <w:t>Closing Agreement and Third Amendment to SPA</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5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7"/>
                <w:szCs w:val="17"/>
                <w:color w:val="auto"/>
              </w:rPr>
            </w:pPr>
          </w:p>
        </w:tc>
        <w:tc>
          <w:tcPr>
            <w:tcW w:w="5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BUYER:</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KEYARA CORP.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4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Closing Agreement and Third Amendment to SPA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1240"/>
          </w:cols>
          <w:pgMar w:left="320" w:top="22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167640</wp:posOffset>
            </wp:positionV>
            <wp:extent cx="2442845"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4428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Plains All American Pipeline and Plains GP Holdings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Announce Completion of Canadian NGL Divestiture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HOUSTON – May 12, 2026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completed the previously announced sale of all of the issued and outstanding shares of Plains Midstream Canada ULC, the PAA subsidiary that owns substantially all of PAA’s natural gas liquids (NGL) business (the “Canadian NGL Business”) to Keyera Corp., an Alberta Corporation (“Keyera”), pursuant to the terms of a definitive Share Purchase Agreement dated as of June 17, 2025 (the “SPA”).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proceeds from the sale were approximately $3.3 billion (net of purchase price adjustments, taxes and other related costs) and will be used to repay certain outstanding indebtedness and for other general partnership purposes. Post closing, Plains expects its leverage ratio to trend toward the middle of its targeted range of 3.25 to 3.75x. As previously disclosed, Plains does not anticipate paying a special distribution following the closing as the tax liability to unitholders resulting from the NGL divestiture is expected to be mitigated by bonus depreciation from the Cactus III acquisition.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excited to finalize this transaction which completes our transformation to a premier pure play crude oil midstream company. Moving forward, our business should be more durable with less commodity price volatility, and our free cash flow will be supported by reduced maintenance capital and lower corporate taxes. Our remaining crude footprint is highly competitive with integrated assets spanning from Canada to the U.S. Gulf Coast. Our asset portfolio offers customers optionality to reach multiple destinations, including Corpus Christi, which serves as the primary U.S. oil export market. We believe recent geopolitical events enhance the value of existing infrastructure in North America and Plains is well positioned to capture this value and deliver on our commitment of driving efficient growth through capital discipline, maintaining a strong balance sheet and returning capital to unitholders,” said Willie Chiang, Chairman, CEO and President.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including, but not limited to, statements regarding the anticipated operational, financial and strategic benefits resulting from the sale of Plains’ NGL business to Keyera Corp. There are a number of risks and uncertainties that could cause actual results or outcomes to differ materially from results or outcomes anticipated in the forward-looking statements. These risks and uncertainties include, among other things: changes in or disruptions to economic, market or business conditions; substantial declines in commodity prices or demand for crude oil; third-party constraints; legal constraints (including the impact of governmental regulations, orders or policies); and other factors and uncertainties inherent in transactions of the type discussed herein or in our business as discussed in PAA’s and PAGP’s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PAA owns an extensive network of pipeline gathering and transportation systems, in addition to terminalling, storage, and other infrastructure assets serving key producing basins, transportation corridors and major market hubs and export outlets in the United States and Canada.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Hovde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
      <w:numFmt w:val="bullet"/>
      <w:start w:val="1"/>
    </w:lvl>
    <w:lvl w:ilvl="1">
      <w:lvlJc w:val="left"/>
      <w:lvlText w:val="%2"/>
      <w:numFmt w:val="decimal"/>
      <w:start w:val="104"/>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png"/><Relationship Id="rId14" Type="http://schemas.openxmlformats.org/officeDocument/2006/relationships/hyperlink" Target="https://www.sec.gov/Archives/edgar/data/1070423/000107042325000020/paaq22025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2026-05-12T16:33:01Z</dcterms:created>
  <dcterms:modified xsi:type="dcterms:W3CDTF">2026-05-12T16:33:01Z</dcterms:modified>
</cp:coreProperties>
</file>