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26,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151765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320" w:type="dxa"/>
        <w:tblCellMar>
          <w:top w:w="0" w:type="dxa"/>
          <w:left w:w="0" w:type="dxa"/>
          <w:bottom w:w="0" w:type="dxa"/>
          <w:right w:w="0" w:type="dxa"/>
        </w:tblCellMar>
      </w:tblPr>
      <w:tr>
        <w:trPr>
          <w:trHeight w:val="306"/>
        </w:trPr>
        <w:tc>
          <w:tcPr>
            <w:tcW w:w="2420" w:type="dxa"/>
            <w:vAlign w:val="bottom"/>
          </w:tcPr>
          <w:p>
            <w:pPr>
              <w:spacing w:after="0"/>
              <w:rPr>
                <w:sz w:val="24"/>
                <w:szCs w:val="24"/>
                <w:color w:val="auto"/>
              </w:rPr>
            </w:pPr>
          </w:p>
        </w:tc>
        <w:tc>
          <w:tcPr>
            <w:tcW w:w="7760" w:type="dxa"/>
            <w:vAlign w:val="bottom"/>
            <w:gridSpan w:val="3"/>
          </w:tcPr>
          <w:p>
            <w:pPr>
              <w:jc w:val="center"/>
              <w:ind w:right="1890"/>
              <w:spacing w:after="0"/>
              <w:rPr>
                <w:sz w:val="20"/>
                <w:szCs w:val="20"/>
                <w:color w:val="auto"/>
              </w:rPr>
            </w:pPr>
            <w:r>
              <w:rPr>
                <w:rFonts w:ascii="Arial" w:cs="Arial" w:eastAsia="Arial" w:hAnsi="Arial"/>
                <w:sz w:val="25"/>
                <w:szCs w:val="25"/>
                <w:b w:val="1"/>
                <w:bCs w:val="1"/>
                <w:color w:val="auto"/>
              </w:rPr>
              <w:t>PLAINS ALL AMERICAN PIPELINE, L.P.</w:t>
            </w:r>
          </w:p>
        </w:tc>
      </w:tr>
      <w:tr>
        <w:trPr>
          <w:trHeight w:val="230"/>
        </w:trPr>
        <w:tc>
          <w:tcPr>
            <w:tcW w:w="2420" w:type="dxa"/>
            <w:vAlign w:val="bottom"/>
          </w:tcPr>
          <w:p>
            <w:pPr>
              <w:spacing w:after="0"/>
              <w:rPr>
                <w:sz w:val="20"/>
                <w:szCs w:val="20"/>
                <w:color w:val="auto"/>
              </w:rPr>
            </w:pPr>
          </w:p>
        </w:tc>
        <w:tc>
          <w:tcPr>
            <w:tcW w:w="7760" w:type="dxa"/>
            <w:vAlign w:val="bottom"/>
            <w:gridSpan w:val="3"/>
          </w:tcPr>
          <w:p>
            <w:pPr>
              <w:jc w:val="center"/>
              <w:ind w:right="191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242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Delaware</w:t>
            </w:r>
          </w:p>
        </w:tc>
        <w:tc>
          <w:tcPr>
            <w:tcW w:w="7760" w:type="dxa"/>
            <w:vAlign w:val="bottom"/>
            <w:gridSpan w:val="3"/>
          </w:tcPr>
          <w:p>
            <w:pPr>
              <w:jc w:val="center"/>
              <w:ind w:left="6348"/>
              <w:spacing w:after="0"/>
              <w:rPr>
                <w:sz w:val="20"/>
                <w:szCs w:val="20"/>
                <w:color w:val="auto"/>
              </w:rPr>
            </w:pPr>
            <w:r>
              <w:rPr>
                <w:rFonts w:ascii="Arial" w:cs="Arial" w:eastAsia="Arial" w:hAnsi="Arial"/>
                <w:sz w:val="18"/>
                <w:szCs w:val="18"/>
                <w:b w:val="1"/>
                <w:bCs w:val="1"/>
                <w:color w:val="auto"/>
                <w:w w:val="91"/>
              </w:rPr>
              <w:t>76-0582150</w:t>
            </w:r>
          </w:p>
        </w:tc>
      </w:tr>
      <w:tr>
        <w:trPr>
          <w:trHeight w:val="216"/>
        </w:trPr>
        <w:tc>
          <w:tcPr>
            <w:tcW w:w="2420" w:type="dxa"/>
            <w:vAlign w:val="bottom"/>
          </w:tcPr>
          <w:p>
            <w:pPr>
              <w:jc w:val="center"/>
              <w:ind w:right="150"/>
              <w:spacing w:after="0"/>
              <w:rPr>
                <w:sz w:val="20"/>
                <w:szCs w:val="20"/>
                <w:color w:val="auto"/>
              </w:rPr>
            </w:pPr>
            <w:r>
              <w:rPr>
                <w:rFonts w:ascii="Arial" w:cs="Arial" w:eastAsia="Arial" w:hAnsi="Arial"/>
                <w:sz w:val="18"/>
                <w:szCs w:val="18"/>
                <w:color w:val="auto"/>
                <w:w w:val="93"/>
              </w:rPr>
              <w:t>(State or other jurisdiction of</w:t>
            </w:r>
          </w:p>
        </w:tc>
        <w:tc>
          <w:tcPr>
            <w:tcW w:w="2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40" w:type="dxa"/>
            <w:vAlign w:val="bottom"/>
          </w:tcPr>
          <w:p>
            <w:pPr>
              <w:jc w:val="center"/>
              <w:ind w:left="2630"/>
              <w:spacing w:after="0"/>
              <w:rPr>
                <w:sz w:val="20"/>
                <w:szCs w:val="20"/>
                <w:color w:val="auto"/>
              </w:rPr>
            </w:pPr>
            <w:r>
              <w:rPr>
                <w:rFonts w:ascii="Arial" w:cs="Arial" w:eastAsia="Arial" w:hAnsi="Arial"/>
                <w:sz w:val="18"/>
                <w:szCs w:val="18"/>
                <w:color w:val="auto"/>
                <w:w w:val="93"/>
              </w:rPr>
              <w:t>(I.R.S. Employer</w:t>
            </w:r>
          </w:p>
        </w:tc>
      </w:tr>
      <w:tr>
        <w:trPr>
          <w:trHeight w:val="212"/>
        </w:trPr>
        <w:tc>
          <w:tcPr>
            <w:tcW w:w="2420" w:type="dxa"/>
            <w:vAlign w:val="bottom"/>
          </w:tcPr>
          <w:p>
            <w:pPr>
              <w:jc w:val="center"/>
              <w:ind w:right="150"/>
              <w:spacing w:after="0"/>
              <w:rPr>
                <w:sz w:val="20"/>
                <w:szCs w:val="20"/>
                <w:color w:val="auto"/>
              </w:rPr>
            </w:pPr>
            <w:r>
              <w:rPr>
                <w:rFonts w:ascii="Arial" w:cs="Arial" w:eastAsia="Arial" w:hAnsi="Arial"/>
                <w:sz w:val="18"/>
                <w:szCs w:val="18"/>
                <w:color w:val="auto"/>
                <w:w w:val="93"/>
              </w:rPr>
              <w:t>incorporation or organization)</w:t>
            </w:r>
          </w:p>
        </w:tc>
        <w:tc>
          <w:tcPr>
            <w:tcW w:w="2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40" w:type="dxa"/>
            <w:vAlign w:val="bottom"/>
          </w:tcPr>
          <w:p>
            <w:pPr>
              <w:jc w:val="center"/>
              <w:ind w:left="2610"/>
              <w:spacing w:after="0"/>
              <w:rPr>
                <w:sz w:val="20"/>
                <w:szCs w:val="20"/>
                <w:color w:val="auto"/>
              </w:rPr>
            </w:pPr>
            <w:r>
              <w:rPr>
                <w:rFonts w:ascii="Arial" w:cs="Arial" w:eastAsia="Arial" w:hAnsi="Arial"/>
                <w:sz w:val="18"/>
                <w:szCs w:val="18"/>
                <w:color w:val="auto"/>
                <w:w w:val="95"/>
              </w:rPr>
              <w:t>Identification No.)</w:t>
            </w:r>
          </w:p>
        </w:tc>
      </w:tr>
      <w:tr>
        <w:trPr>
          <w:trHeight w:val="216"/>
        </w:trPr>
        <w:tc>
          <w:tcPr>
            <w:tcW w:w="2420" w:type="dxa"/>
            <w:vAlign w:val="bottom"/>
          </w:tcPr>
          <w:p>
            <w:pPr>
              <w:spacing w:after="0"/>
              <w:rPr>
                <w:sz w:val="18"/>
                <w:szCs w:val="18"/>
                <w:color w:val="auto"/>
              </w:rPr>
            </w:pPr>
          </w:p>
        </w:tc>
        <w:tc>
          <w:tcPr>
            <w:tcW w:w="7760" w:type="dxa"/>
            <w:vAlign w:val="bottom"/>
            <w:gridSpan w:val="3"/>
          </w:tcPr>
          <w:p>
            <w:pPr>
              <w:jc w:val="center"/>
              <w:ind w:right="1890"/>
              <w:spacing w:after="0"/>
              <w:rPr>
                <w:sz w:val="20"/>
                <w:szCs w:val="20"/>
                <w:color w:val="auto"/>
              </w:rPr>
            </w:pPr>
            <w:r>
              <w:rPr>
                <w:rFonts w:ascii="Arial" w:cs="Arial" w:eastAsia="Arial" w:hAnsi="Arial"/>
                <w:sz w:val="18"/>
                <w:szCs w:val="18"/>
                <w:b w:val="1"/>
                <w:bCs w:val="1"/>
                <w:color w:val="auto"/>
                <w:w w:val="90"/>
              </w:rPr>
              <w:t>333 Clay Street, Suite 1600</w:t>
            </w:r>
          </w:p>
        </w:tc>
      </w:tr>
      <w:tr>
        <w:trPr>
          <w:trHeight w:val="234"/>
        </w:trPr>
        <w:tc>
          <w:tcPr>
            <w:tcW w:w="24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720" w:type="dxa"/>
            <w:vAlign w:val="bottom"/>
            <w:gridSpan w:val="2"/>
          </w:tcPr>
          <w:p>
            <w:pPr>
              <w:jc w:val="center"/>
              <w:ind w:right="3930"/>
              <w:spacing w:after="0"/>
              <w:rPr>
                <w:sz w:val="20"/>
                <w:szCs w:val="20"/>
                <w:color w:val="auto"/>
              </w:rPr>
            </w:pPr>
            <w:r>
              <w:rPr>
                <w:rFonts w:ascii="Arial" w:cs="Arial" w:eastAsia="Arial" w:hAnsi="Arial"/>
                <w:sz w:val="18"/>
                <w:szCs w:val="18"/>
                <w:b w:val="1"/>
                <w:bCs w:val="1"/>
                <w:color w:val="auto"/>
                <w:w w:val="87"/>
              </w:rPr>
              <w:t>Houston, Texas 77002</w:t>
            </w:r>
          </w:p>
        </w:tc>
      </w:tr>
      <w:tr>
        <w:trPr>
          <w:trHeight w:val="418"/>
        </w:trPr>
        <w:tc>
          <w:tcPr>
            <w:tcW w:w="2420" w:type="dxa"/>
            <w:vAlign w:val="bottom"/>
          </w:tcPr>
          <w:p>
            <w:pPr>
              <w:spacing w:after="0"/>
              <w:rPr>
                <w:sz w:val="24"/>
                <w:szCs w:val="24"/>
                <w:color w:val="auto"/>
              </w:rPr>
            </w:pPr>
          </w:p>
        </w:tc>
        <w:tc>
          <w:tcPr>
            <w:tcW w:w="7760" w:type="dxa"/>
            <w:vAlign w:val="bottom"/>
            <w:gridSpan w:val="3"/>
          </w:tcPr>
          <w:p>
            <w:pPr>
              <w:jc w:val="center"/>
              <w:ind w:right="1950"/>
              <w:spacing w:after="0"/>
              <w:rPr>
                <w:sz w:val="20"/>
                <w:szCs w:val="20"/>
                <w:color w:val="auto"/>
              </w:rPr>
            </w:pPr>
            <w:r>
              <w:rPr>
                <w:rFonts w:ascii="Arial" w:cs="Arial" w:eastAsia="Arial" w:hAnsi="Arial"/>
                <w:sz w:val="18"/>
                <w:szCs w:val="18"/>
                <w:color w:val="auto"/>
                <w:w w:val="91"/>
              </w:rPr>
              <w:t>(Address, including zip code, of registrant’s principal executive</w:t>
            </w:r>
          </w:p>
        </w:tc>
      </w:tr>
      <w:tr>
        <w:trPr>
          <w:trHeight w:val="230"/>
        </w:trPr>
        <w:tc>
          <w:tcPr>
            <w:tcW w:w="24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720" w:type="dxa"/>
            <w:vAlign w:val="bottom"/>
            <w:gridSpan w:val="2"/>
          </w:tcPr>
          <w:p>
            <w:pPr>
              <w:jc w:val="center"/>
              <w:ind w:right="3930"/>
              <w:spacing w:after="0"/>
              <w:rPr>
                <w:sz w:val="20"/>
                <w:szCs w:val="20"/>
                <w:color w:val="auto"/>
              </w:rPr>
            </w:pPr>
            <w:r>
              <w:rPr>
                <w:rFonts w:ascii="Arial" w:cs="Arial" w:eastAsia="Arial" w:hAnsi="Arial"/>
                <w:sz w:val="18"/>
                <w:szCs w:val="18"/>
                <w:color w:val="auto"/>
                <w:w w:val="92"/>
              </w:rPr>
              <w:t>offices)</w:t>
            </w:r>
          </w:p>
        </w:tc>
      </w:tr>
      <w:tr>
        <w:trPr>
          <w:trHeight w:val="216"/>
        </w:trPr>
        <w:tc>
          <w:tcPr>
            <w:tcW w:w="2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4040" w:type="dxa"/>
            <w:vAlign w:val="bottom"/>
          </w:tcPr>
          <w:p>
            <w:pPr>
              <w:spacing w:after="0"/>
              <w:rPr>
                <w:sz w:val="18"/>
                <w:szCs w:val="18"/>
                <w:color w:val="auto"/>
              </w:rPr>
            </w:pPr>
          </w:p>
        </w:tc>
      </w:tr>
      <w:tr>
        <w:trPr>
          <w:trHeight w:val="425"/>
        </w:trPr>
        <w:tc>
          <w:tcPr>
            <w:tcW w:w="2420" w:type="dxa"/>
            <w:vAlign w:val="bottom"/>
          </w:tcPr>
          <w:p>
            <w:pPr>
              <w:spacing w:after="0"/>
              <w:rPr>
                <w:sz w:val="24"/>
                <w:szCs w:val="24"/>
                <w:color w:val="auto"/>
              </w:rPr>
            </w:pPr>
          </w:p>
        </w:tc>
        <w:tc>
          <w:tcPr>
            <w:tcW w:w="7760" w:type="dxa"/>
            <w:vAlign w:val="bottom"/>
            <w:gridSpan w:val="3"/>
          </w:tcPr>
          <w:p>
            <w:pPr>
              <w:jc w:val="center"/>
              <w:ind w:right="1890"/>
              <w:spacing w:after="0"/>
              <w:rPr>
                <w:sz w:val="20"/>
                <w:szCs w:val="20"/>
                <w:color w:val="auto"/>
              </w:rPr>
            </w:pPr>
            <w:r>
              <w:rPr>
                <w:rFonts w:ascii="Arial" w:cs="Arial" w:eastAsia="Arial" w:hAnsi="Arial"/>
                <w:sz w:val="18"/>
                <w:szCs w:val="18"/>
                <w:b w:val="1"/>
                <w:bCs w:val="1"/>
                <w:color w:val="auto"/>
              </w:rPr>
              <w:t>PLAINS ALL AMERICAN 2021 LONG-TERM INCENTIVE PLAN</w:t>
            </w:r>
          </w:p>
        </w:tc>
      </w:tr>
      <w:tr>
        <w:trPr>
          <w:trHeight w:val="230"/>
        </w:trPr>
        <w:tc>
          <w:tcPr>
            <w:tcW w:w="24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720" w:type="dxa"/>
            <w:vAlign w:val="bottom"/>
            <w:gridSpan w:val="2"/>
          </w:tcPr>
          <w:p>
            <w:pPr>
              <w:jc w:val="center"/>
              <w:ind w:right="3950"/>
              <w:spacing w:after="0"/>
              <w:rPr>
                <w:sz w:val="20"/>
                <w:szCs w:val="20"/>
                <w:color w:val="auto"/>
              </w:rPr>
            </w:pPr>
            <w:r>
              <w:rPr>
                <w:rFonts w:ascii="Arial" w:cs="Arial" w:eastAsia="Arial" w:hAnsi="Arial"/>
                <w:sz w:val="18"/>
                <w:szCs w:val="18"/>
                <w:color w:val="auto"/>
                <w:w w:val="95"/>
              </w:rPr>
              <w:t>(Full title of the plan)</w:t>
            </w:r>
          </w:p>
        </w:tc>
      </w:tr>
      <w:tr>
        <w:trPr>
          <w:trHeight w:val="414"/>
        </w:trPr>
        <w:tc>
          <w:tcPr>
            <w:tcW w:w="2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720" w:type="dxa"/>
            <w:vAlign w:val="bottom"/>
            <w:gridSpan w:val="2"/>
          </w:tcPr>
          <w:p>
            <w:pPr>
              <w:jc w:val="center"/>
              <w:ind w:right="4050"/>
              <w:spacing w:after="0"/>
              <w:rPr>
                <w:sz w:val="20"/>
                <w:szCs w:val="20"/>
                <w:color w:val="auto"/>
              </w:rPr>
            </w:pPr>
            <w:r>
              <w:rPr>
                <w:rFonts w:ascii="Arial" w:cs="Arial" w:eastAsia="Arial" w:hAnsi="Arial"/>
                <w:sz w:val="18"/>
                <w:szCs w:val="18"/>
                <w:b w:val="1"/>
                <w:bCs w:val="1"/>
                <w:color w:val="auto"/>
                <w:w w:val="93"/>
              </w:rPr>
              <w:t>Richard McGee</w:t>
            </w:r>
          </w:p>
        </w:tc>
      </w:tr>
      <w:tr>
        <w:trPr>
          <w:trHeight w:val="216"/>
        </w:trPr>
        <w:tc>
          <w:tcPr>
            <w:tcW w:w="2420" w:type="dxa"/>
            <w:vAlign w:val="bottom"/>
          </w:tcPr>
          <w:p>
            <w:pPr>
              <w:spacing w:after="0"/>
              <w:rPr>
                <w:sz w:val="18"/>
                <w:szCs w:val="18"/>
                <w:color w:val="auto"/>
              </w:rPr>
            </w:pPr>
          </w:p>
        </w:tc>
        <w:tc>
          <w:tcPr>
            <w:tcW w:w="7760" w:type="dxa"/>
            <w:vAlign w:val="bottom"/>
            <w:gridSpan w:val="3"/>
          </w:tcPr>
          <w:p>
            <w:pPr>
              <w:jc w:val="center"/>
              <w:ind w:right="2010"/>
              <w:spacing w:after="0"/>
              <w:rPr>
                <w:sz w:val="20"/>
                <w:szCs w:val="20"/>
                <w:color w:val="auto"/>
              </w:rPr>
            </w:pPr>
            <w:r>
              <w:rPr>
                <w:rFonts w:ascii="Arial" w:cs="Arial" w:eastAsia="Arial" w:hAnsi="Arial"/>
                <w:sz w:val="18"/>
                <w:szCs w:val="18"/>
                <w:b w:val="1"/>
                <w:bCs w:val="1"/>
                <w:color w:val="auto"/>
                <w:w w:val="90"/>
              </w:rPr>
              <w:t>333 Clay Street, Suite 1600</w:t>
            </w:r>
          </w:p>
        </w:tc>
      </w:tr>
      <w:tr>
        <w:trPr>
          <w:trHeight w:val="216"/>
        </w:trPr>
        <w:tc>
          <w:tcPr>
            <w:tcW w:w="2420" w:type="dxa"/>
            <w:vAlign w:val="bottom"/>
          </w:tcPr>
          <w:p>
            <w:pPr>
              <w:spacing w:after="0"/>
              <w:rPr>
                <w:sz w:val="18"/>
                <w:szCs w:val="18"/>
                <w:color w:val="auto"/>
              </w:rPr>
            </w:pPr>
          </w:p>
        </w:tc>
        <w:tc>
          <w:tcPr>
            <w:tcW w:w="7760" w:type="dxa"/>
            <w:vAlign w:val="bottom"/>
            <w:gridSpan w:val="3"/>
          </w:tcPr>
          <w:p>
            <w:pPr>
              <w:jc w:val="center"/>
              <w:ind w:right="1990"/>
              <w:spacing w:after="0"/>
              <w:rPr>
                <w:sz w:val="20"/>
                <w:szCs w:val="20"/>
                <w:color w:val="auto"/>
              </w:rPr>
            </w:pPr>
            <w:r>
              <w:rPr>
                <w:rFonts w:ascii="Arial" w:cs="Arial" w:eastAsia="Arial" w:hAnsi="Arial"/>
                <w:sz w:val="18"/>
                <w:szCs w:val="18"/>
                <w:b w:val="1"/>
                <w:bCs w:val="1"/>
                <w:color w:val="auto"/>
                <w:w w:val="88"/>
              </w:rPr>
              <w:t>Houston, Texas 77002</w:t>
            </w:r>
          </w:p>
        </w:tc>
      </w:tr>
      <w:tr>
        <w:trPr>
          <w:trHeight w:val="220"/>
        </w:trPr>
        <w:tc>
          <w:tcPr>
            <w:tcW w:w="2420" w:type="dxa"/>
            <w:vAlign w:val="bottom"/>
          </w:tcPr>
          <w:p>
            <w:pPr>
              <w:spacing w:after="0"/>
              <w:rPr>
                <w:sz w:val="19"/>
                <w:szCs w:val="19"/>
                <w:color w:val="auto"/>
              </w:rPr>
            </w:pPr>
          </w:p>
        </w:tc>
        <w:tc>
          <w:tcPr>
            <w:tcW w:w="3720" w:type="dxa"/>
            <w:vAlign w:val="bottom"/>
            <w:gridSpan w:val="2"/>
          </w:tcPr>
          <w:p>
            <w:pPr>
              <w:jc w:val="center"/>
              <w:ind w:left="1868"/>
              <w:spacing w:after="0"/>
              <w:rPr>
                <w:sz w:val="20"/>
                <w:szCs w:val="20"/>
                <w:color w:val="auto"/>
              </w:rPr>
            </w:pPr>
            <w:r>
              <w:rPr>
                <w:rFonts w:ascii="Arial" w:cs="Arial" w:eastAsia="Arial" w:hAnsi="Arial"/>
                <w:sz w:val="18"/>
                <w:szCs w:val="18"/>
                <w:b w:val="1"/>
                <w:bCs w:val="1"/>
                <w:color w:val="auto"/>
                <w:w w:val="90"/>
              </w:rPr>
              <w:t>(713) 646-4100</w:t>
            </w:r>
          </w:p>
        </w:tc>
        <w:tc>
          <w:tcPr>
            <w:tcW w:w="4040" w:type="dxa"/>
            <w:vAlign w:val="bottom"/>
          </w:tcPr>
          <w:p>
            <w:pPr>
              <w:spacing w:after="0"/>
              <w:rPr>
                <w:sz w:val="19"/>
                <w:szCs w:val="19"/>
                <w:color w:val="auto"/>
              </w:rPr>
            </w:pPr>
          </w:p>
        </w:tc>
      </w:tr>
      <w:tr>
        <w:trPr>
          <w:trHeight w:val="216"/>
        </w:trPr>
        <w:tc>
          <w:tcPr>
            <w:tcW w:w="2420" w:type="dxa"/>
            <w:vAlign w:val="bottom"/>
          </w:tcPr>
          <w:p>
            <w:pPr>
              <w:spacing w:after="0"/>
              <w:rPr>
                <w:sz w:val="18"/>
                <w:szCs w:val="18"/>
                <w:color w:val="auto"/>
              </w:rPr>
            </w:pPr>
          </w:p>
        </w:tc>
        <w:tc>
          <w:tcPr>
            <w:tcW w:w="7760" w:type="dxa"/>
            <w:vAlign w:val="bottom"/>
            <w:gridSpan w:val="3"/>
          </w:tcPr>
          <w:p>
            <w:pPr>
              <w:ind w:left="840"/>
              <w:spacing w:after="0"/>
              <w:rPr>
                <w:sz w:val="20"/>
                <w:szCs w:val="20"/>
                <w:color w:val="auto"/>
              </w:rPr>
            </w:pPr>
            <w:r>
              <w:rPr>
                <w:rFonts w:ascii="Arial" w:cs="Arial" w:eastAsia="Arial" w:hAnsi="Arial"/>
                <w:sz w:val="18"/>
                <w:szCs w:val="18"/>
                <w:color w:val="auto"/>
              </w:rPr>
              <w:t>(Name, address, including zip code, and telephone number,</w:t>
            </w:r>
          </w:p>
        </w:tc>
      </w:tr>
      <w:tr>
        <w:trPr>
          <w:trHeight w:val="230"/>
        </w:trPr>
        <w:tc>
          <w:tcPr>
            <w:tcW w:w="2420" w:type="dxa"/>
            <w:vAlign w:val="bottom"/>
          </w:tcPr>
          <w:p>
            <w:pPr>
              <w:spacing w:after="0"/>
              <w:rPr>
                <w:sz w:val="20"/>
                <w:szCs w:val="20"/>
                <w:color w:val="auto"/>
              </w:rPr>
            </w:pPr>
          </w:p>
        </w:tc>
        <w:tc>
          <w:tcPr>
            <w:tcW w:w="7760" w:type="dxa"/>
            <w:vAlign w:val="bottom"/>
            <w:gridSpan w:val="3"/>
          </w:tcPr>
          <w:p>
            <w:pPr>
              <w:jc w:val="center"/>
              <w:ind w:right="1990"/>
              <w:spacing w:after="0"/>
              <w:rPr>
                <w:sz w:val="20"/>
                <w:szCs w:val="20"/>
                <w:color w:val="auto"/>
              </w:rPr>
            </w:pPr>
            <w:r>
              <w:rPr>
                <w:rFonts w:ascii="Arial" w:cs="Arial" w:eastAsia="Arial" w:hAnsi="Arial"/>
                <w:sz w:val="18"/>
                <w:szCs w:val="18"/>
                <w:color w:val="auto"/>
                <w:w w:val="91"/>
              </w:rPr>
              <w:t>including area code, of agent for service)</w:t>
            </w:r>
          </w:p>
        </w:tc>
      </w:tr>
      <w:tr>
        <w:trPr>
          <w:trHeight w:val="414"/>
        </w:trPr>
        <w:tc>
          <w:tcPr>
            <w:tcW w:w="2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720" w:type="dxa"/>
            <w:vAlign w:val="bottom"/>
            <w:gridSpan w:val="2"/>
          </w:tcPr>
          <w:p>
            <w:pPr>
              <w:jc w:val="center"/>
              <w:ind w:right="4050"/>
              <w:spacing w:after="0"/>
              <w:rPr>
                <w:sz w:val="20"/>
                <w:szCs w:val="20"/>
                <w:color w:val="auto"/>
              </w:rPr>
            </w:pPr>
            <w:r>
              <w:rPr>
                <w:rFonts w:ascii="Arial" w:cs="Arial" w:eastAsia="Arial" w:hAnsi="Arial"/>
                <w:sz w:val="18"/>
                <w:szCs w:val="18"/>
                <w:b w:val="1"/>
                <w:bCs w:val="1"/>
                <w:color w:val="auto"/>
                <w:w w:val="88"/>
              </w:rPr>
              <w:t>Copies to:</w:t>
            </w:r>
          </w:p>
        </w:tc>
      </w:tr>
      <w:tr>
        <w:trPr>
          <w:trHeight w:val="216"/>
        </w:trPr>
        <w:tc>
          <w:tcPr>
            <w:tcW w:w="2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20" w:type="dxa"/>
            <w:vAlign w:val="bottom"/>
            <w:gridSpan w:val="2"/>
          </w:tcPr>
          <w:p>
            <w:pPr>
              <w:jc w:val="center"/>
              <w:ind w:right="4050"/>
              <w:spacing w:after="0"/>
              <w:rPr>
                <w:sz w:val="20"/>
                <w:szCs w:val="20"/>
                <w:color w:val="auto"/>
              </w:rPr>
            </w:pPr>
            <w:r>
              <w:rPr>
                <w:rFonts w:ascii="Arial" w:cs="Arial" w:eastAsia="Arial" w:hAnsi="Arial"/>
                <w:sz w:val="18"/>
                <w:szCs w:val="18"/>
                <w:b w:val="1"/>
                <w:bCs w:val="1"/>
                <w:color w:val="auto"/>
                <w:w w:val="91"/>
              </w:rPr>
              <w:t>David P. Oelman</w:t>
            </w:r>
          </w:p>
        </w:tc>
      </w:tr>
      <w:tr>
        <w:trPr>
          <w:trHeight w:val="216"/>
        </w:trPr>
        <w:tc>
          <w:tcPr>
            <w:tcW w:w="2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20" w:type="dxa"/>
            <w:vAlign w:val="bottom"/>
            <w:gridSpan w:val="2"/>
          </w:tcPr>
          <w:p>
            <w:pPr>
              <w:jc w:val="center"/>
              <w:ind w:right="4030"/>
              <w:spacing w:after="0"/>
              <w:rPr>
                <w:sz w:val="20"/>
                <w:szCs w:val="20"/>
                <w:color w:val="auto"/>
              </w:rPr>
            </w:pPr>
            <w:r>
              <w:rPr>
                <w:rFonts w:ascii="Arial" w:cs="Arial" w:eastAsia="Arial" w:hAnsi="Arial"/>
                <w:sz w:val="18"/>
                <w:szCs w:val="18"/>
                <w:b w:val="1"/>
                <w:bCs w:val="1"/>
                <w:color w:val="auto"/>
                <w:w w:val="91"/>
              </w:rPr>
              <w:t>Alan Beck</w:t>
            </w:r>
          </w:p>
        </w:tc>
      </w:tr>
      <w:tr>
        <w:trPr>
          <w:trHeight w:val="216"/>
        </w:trPr>
        <w:tc>
          <w:tcPr>
            <w:tcW w:w="2420" w:type="dxa"/>
            <w:vAlign w:val="bottom"/>
          </w:tcPr>
          <w:p>
            <w:pPr>
              <w:spacing w:after="0"/>
              <w:rPr>
                <w:sz w:val="18"/>
                <w:szCs w:val="18"/>
                <w:color w:val="auto"/>
              </w:rPr>
            </w:pPr>
          </w:p>
        </w:tc>
        <w:tc>
          <w:tcPr>
            <w:tcW w:w="7760" w:type="dxa"/>
            <w:vAlign w:val="bottom"/>
            <w:gridSpan w:val="3"/>
          </w:tcPr>
          <w:p>
            <w:pPr>
              <w:jc w:val="center"/>
              <w:ind w:right="2010"/>
              <w:spacing w:after="0"/>
              <w:rPr>
                <w:sz w:val="20"/>
                <w:szCs w:val="20"/>
                <w:color w:val="auto"/>
              </w:rPr>
            </w:pPr>
            <w:r>
              <w:rPr>
                <w:rFonts w:ascii="Arial" w:cs="Arial" w:eastAsia="Arial" w:hAnsi="Arial"/>
                <w:sz w:val="18"/>
                <w:szCs w:val="18"/>
                <w:b w:val="1"/>
                <w:bCs w:val="1"/>
                <w:color w:val="auto"/>
                <w:w w:val="93"/>
              </w:rPr>
              <w:t>Vinson &amp; Elkins L.L.P.</w:t>
            </w:r>
          </w:p>
        </w:tc>
      </w:tr>
      <w:tr>
        <w:trPr>
          <w:trHeight w:val="216"/>
        </w:trPr>
        <w:tc>
          <w:tcPr>
            <w:tcW w:w="2420" w:type="dxa"/>
            <w:vAlign w:val="bottom"/>
          </w:tcPr>
          <w:p>
            <w:pPr>
              <w:spacing w:after="0"/>
              <w:rPr>
                <w:sz w:val="18"/>
                <w:szCs w:val="18"/>
                <w:color w:val="auto"/>
              </w:rPr>
            </w:pPr>
          </w:p>
        </w:tc>
        <w:tc>
          <w:tcPr>
            <w:tcW w:w="7760" w:type="dxa"/>
            <w:vAlign w:val="bottom"/>
            <w:gridSpan w:val="3"/>
          </w:tcPr>
          <w:p>
            <w:pPr>
              <w:jc w:val="center"/>
              <w:ind w:right="2010"/>
              <w:spacing w:after="0"/>
              <w:rPr>
                <w:sz w:val="20"/>
                <w:szCs w:val="20"/>
                <w:color w:val="auto"/>
              </w:rPr>
            </w:pPr>
            <w:r>
              <w:rPr>
                <w:rFonts w:ascii="Arial" w:cs="Arial" w:eastAsia="Arial" w:hAnsi="Arial"/>
                <w:sz w:val="18"/>
                <w:szCs w:val="18"/>
                <w:b w:val="1"/>
                <w:bCs w:val="1"/>
                <w:color w:val="auto"/>
                <w:w w:val="90"/>
              </w:rPr>
              <w:t>1001 Fannin Street, Suite 2500</w:t>
            </w:r>
          </w:p>
        </w:tc>
      </w:tr>
      <w:tr>
        <w:trPr>
          <w:trHeight w:val="216"/>
        </w:trPr>
        <w:tc>
          <w:tcPr>
            <w:tcW w:w="2420" w:type="dxa"/>
            <w:vAlign w:val="bottom"/>
          </w:tcPr>
          <w:p>
            <w:pPr>
              <w:spacing w:after="0"/>
              <w:rPr>
                <w:sz w:val="18"/>
                <w:szCs w:val="18"/>
                <w:color w:val="auto"/>
              </w:rPr>
            </w:pPr>
          </w:p>
        </w:tc>
        <w:tc>
          <w:tcPr>
            <w:tcW w:w="7760" w:type="dxa"/>
            <w:vAlign w:val="bottom"/>
            <w:gridSpan w:val="3"/>
          </w:tcPr>
          <w:p>
            <w:pPr>
              <w:jc w:val="center"/>
              <w:ind w:right="1990"/>
              <w:spacing w:after="0"/>
              <w:rPr>
                <w:sz w:val="20"/>
                <w:szCs w:val="20"/>
                <w:color w:val="auto"/>
              </w:rPr>
            </w:pPr>
            <w:r>
              <w:rPr>
                <w:rFonts w:ascii="Arial" w:cs="Arial" w:eastAsia="Arial" w:hAnsi="Arial"/>
                <w:sz w:val="18"/>
                <w:szCs w:val="18"/>
                <w:b w:val="1"/>
                <w:bCs w:val="1"/>
                <w:color w:val="auto"/>
                <w:w w:val="88"/>
              </w:rPr>
              <w:t>Houston, Texas 77002</w:t>
            </w:r>
          </w:p>
        </w:tc>
      </w:tr>
      <w:tr>
        <w:trPr>
          <w:trHeight w:val="234"/>
        </w:trPr>
        <w:tc>
          <w:tcPr>
            <w:tcW w:w="2420" w:type="dxa"/>
            <w:vAlign w:val="bottom"/>
          </w:tcPr>
          <w:p>
            <w:pPr>
              <w:spacing w:after="0"/>
              <w:rPr>
                <w:sz w:val="20"/>
                <w:szCs w:val="20"/>
                <w:color w:val="auto"/>
              </w:rPr>
            </w:pPr>
          </w:p>
        </w:tc>
        <w:tc>
          <w:tcPr>
            <w:tcW w:w="3720" w:type="dxa"/>
            <w:vAlign w:val="bottom"/>
            <w:gridSpan w:val="2"/>
          </w:tcPr>
          <w:p>
            <w:pPr>
              <w:jc w:val="center"/>
              <w:ind w:left="1868"/>
              <w:spacing w:after="0"/>
              <w:rPr>
                <w:sz w:val="20"/>
                <w:szCs w:val="20"/>
                <w:color w:val="auto"/>
              </w:rPr>
            </w:pPr>
            <w:r>
              <w:rPr>
                <w:rFonts w:ascii="Arial" w:cs="Arial" w:eastAsia="Arial" w:hAnsi="Arial"/>
                <w:sz w:val="18"/>
                <w:szCs w:val="18"/>
                <w:b w:val="1"/>
                <w:bCs w:val="1"/>
                <w:color w:val="auto"/>
                <w:w w:val="90"/>
              </w:rPr>
              <w:t>(713) 758-2222</w:t>
            </w:r>
          </w:p>
        </w:tc>
        <w:tc>
          <w:tcPr>
            <w:tcW w:w="404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 (the “Exchange Act”).</w:t>
      </w:r>
    </w:p>
    <w:p>
      <w:pPr>
        <w:sectPr>
          <w:pgSz w:w="11900" w:h="16838" w:orient="portrait"/>
          <w:cols w:equalWidth="0" w:num="1">
            <w:col w:w="11240"/>
          </w:cols>
          <w:pgMar w:left="320" w:top="445" w:right="339" w:bottom="0" w:gutter="0" w:footer="0" w:header="0"/>
        </w:sectPr>
      </w:pPr>
    </w:p>
    <w:p>
      <w:pPr>
        <w:spacing w:after="0" w:line="184" w:lineRule="exact"/>
        <w:rPr>
          <w:sz w:val="24"/>
          <w:szCs w:val="24"/>
          <w:color w:val="auto"/>
        </w:rPr>
      </w:pPr>
    </w:p>
    <w:p>
      <w:pPr>
        <w:ind w:right="40"/>
        <w:spacing w:after="0" w:line="311" w:lineRule="auto"/>
        <w:rPr>
          <w:sz w:val="20"/>
          <w:szCs w:val="20"/>
          <w:color w:val="auto"/>
        </w:rPr>
      </w:pPr>
      <w:r>
        <w:rPr>
          <w:rFonts w:ascii="Arial" w:cs="Arial" w:eastAsia="Arial" w:hAnsi="Arial"/>
          <w:sz w:val="16"/>
          <w:szCs w:val="16"/>
          <w:color w:val="auto"/>
        </w:rPr>
        <w:t>Large accelerated filer Non-accelerated filer Emerging Growth 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96" w:lineRule="exact"/>
        <w:tabs>
          <w:tab w:leader="none" w:pos="694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63" w:lineRule="exact"/>
        <w:rPr>
          <w:sz w:val="24"/>
          <w:szCs w:val="24"/>
          <w:color w:val="auto"/>
        </w:rPr>
      </w:pPr>
    </w:p>
    <w:p>
      <w:pPr>
        <w:spacing w:after="0" w:line="207" w:lineRule="exact"/>
        <w:tabs>
          <w:tab w:leader="none" w:pos="61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p>
      <w:pPr>
        <w:spacing w:after="0" w:line="215" w:lineRule="exact"/>
        <w:rPr>
          <w:sz w:val="24"/>
          <w:szCs w:val="24"/>
          <w:color w:val="auto"/>
        </w:rPr>
      </w:pPr>
    </w:p>
    <w:p>
      <w:pPr>
        <w:sectPr>
          <w:pgSz w:w="11900" w:h="16838" w:orient="portrait"/>
          <w:cols w:equalWidth="0" w:num="2">
            <w:col w:w="2100" w:space="720"/>
            <w:col w:w="8420"/>
          </w:cols>
          <w:pgMar w:left="320" w:top="445" w:right="339" w:bottom="0" w:gutter="0" w:footer="0" w:header="0"/>
          <w:type w:val="continuous"/>
        </w:sectPr>
      </w:pPr>
    </w:p>
    <w:p>
      <w:pPr>
        <w:jc w:val="both"/>
        <w:ind w:firstLine="648"/>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of 1933, as amended (the “Securities Act”). </w:t>
      </w:r>
      <w:r>
        <w:rPr>
          <w:rFonts w:ascii="MS PGothic" w:cs="MS PGothic" w:eastAsia="MS PGothic" w:hAnsi="MS PGothic"/>
          <w:sz w:val="18"/>
          <w:szCs w:val="18"/>
          <w:color w:val="auto"/>
        </w:rPr>
        <w:t>☐</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gridSpan w:val="7"/>
          </w:tcPr>
          <w:p>
            <w:pPr>
              <w:jc w:val="center"/>
              <w:spacing w:after="0"/>
              <w:rPr>
                <w:sz w:val="20"/>
                <w:szCs w:val="20"/>
                <w:color w:val="auto"/>
              </w:rPr>
            </w:pPr>
            <w:r>
              <w:rPr>
                <w:rFonts w:ascii="Arial" w:cs="Arial" w:eastAsia="Arial" w:hAnsi="Arial"/>
                <w:sz w:val="18"/>
                <w:szCs w:val="18"/>
                <w:b w:val="1"/>
                <w:bCs w:val="1"/>
                <w:color w:val="auto"/>
              </w:rPr>
              <w:t>CALCULATION OF REGISTRATION FEE</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Proposed maximum</w:t>
            </w: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Title of securities</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Amount to be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offering price per unit</w:t>
            </w:r>
          </w:p>
        </w:tc>
        <w:tc>
          <w:tcPr>
            <w:tcW w:w="200" w:type="dxa"/>
            <w:vAlign w:val="bottom"/>
          </w:tcPr>
          <w:p>
            <w:pPr>
              <w:spacing w:after="0"/>
              <w:rPr>
                <w:sz w:val="18"/>
                <w:szCs w:val="18"/>
                <w:color w:val="auto"/>
              </w:rPr>
            </w:pPr>
          </w:p>
        </w:tc>
        <w:tc>
          <w:tcPr>
            <w:tcW w:w="192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Proposed maximum</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Amount of</w:t>
            </w:r>
          </w:p>
        </w:tc>
      </w:tr>
      <w:tr>
        <w:trPr>
          <w:trHeight w:val="234"/>
        </w:trPr>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to be registered</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registered (1)(2)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(3)</w:t>
            </w:r>
          </w:p>
        </w:tc>
        <w:tc>
          <w:tcPr>
            <w:tcW w:w="220" w:type="dxa"/>
            <w:vAlign w:val="bottom"/>
          </w:tcPr>
          <w:p>
            <w:pPr>
              <w:spacing w:after="0"/>
              <w:rPr>
                <w:sz w:val="20"/>
                <w:szCs w:val="20"/>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aggregate offering price (3)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b w:val="1"/>
                <w:bCs w:val="1"/>
                <w:color w:val="auto"/>
              </w:rPr>
              <w:t>registration fee</w:t>
            </w:r>
          </w:p>
        </w:tc>
      </w:tr>
      <w:tr>
        <w:trPr>
          <w:trHeight w:val="195"/>
        </w:trPr>
        <w:tc>
          <w:tcPr>
            <w:tcW w:w="21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Common units representing</w:t>
            </w:r>
          </w:p>
        </w:tc>
        <w:tc>
          <w:tcPr>
            <w:tcW w:w="12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limited partner interests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20,000,000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10.22</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204,400,000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22,300.04</w:t>
            </w:r>
          </w:p>
        </w:tc>
        <w:tc>
          <w:tcPr>
            <w:tcW w:w="100" w:type="dxa"/>
            <w:vAlign w:val="bottom"/>
            <w:shd w:val="clear" w:color="auto" w:fill="CCEEFF"/>
          </w:tcPr>
          <w:p>
            <w:pPr>
              <w:spacing w:after="0"/>
              <w:rPr>
                <w:sz w:val="20"/>
                <w:szCs w:val="20"/>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4"/>
          <w:szCs w:val="24"/>
          <w:color w:val="auto"/>
        </w:rPr>
      </w:pPr>
    </w:p>
    <w:p>
      <w:pPr>
        <w:jc w:val="both"/>
        <w:ind w:left="34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this Registration Statement on Form S-8 (this “Registration Statement”) shall be deemed to cover an indeterminate number of additional Common Units (defined below) that may become issuable pursuant to the adjustment provisions of the Plains All American 2021 Long-Term Incentive Plan (as amended from time to time, the “Plan”).</w:t>
      </w:r>
    </w:p>
    <w:p>
      <w:pPr>
        <w:spacing w:after="0" w:line="183" w:lineRule="exact"/>
        <w:rPr>
          <w:rFonts w:ascii="Arial" w:cs="Arial" w:eastAsia="Arial" w:hAnsi="Arial"/>
          <w:sz w:val="18"/>
          <w:szCs w:val="18"/>
          <w:color w:val="auto"/>
        </w:rPr>
      </w:pPr>
    </w:p>
    <w:p>
      <w:pPr>
        <w:jc w:val="both"/>
        <w:ind w:left="340" w:hanging="332"/>
        <w:spacing w:after="0" w:line="30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Plains All American Pipeline, L.P. (the “Registrant”) is filing this Registration Statement to register an aggregate of 20,000,000 common units representing limited partner interests of the Registrant (the “Common Units”) that may be delivered with respect to awards under the Plan, which</w:t>
      </w:r>
    </w:p>
    <w:p>
      <w:pPr>
        <w:sectPr>
          <w:pgSz w:w="11900" w:h="16838" w:orient="portrait"/>
          <w:cols w:equalWidth="0" w:num="1">
            <w:col w:w="11240"/>
          </w:cols>
          <w:pgMar w:left="320" w:top="445" w:right="339" w:bottom="0" w:gutter="0" w:footer="0" w:header="0"/>
          <w:type w:val="continuous"/>
        </w:sectPr>
      </w:pPr>
    </w:p>
    <w:bookmarkStart w:id="1" w:name="page2"/>
    <w:bookmarkEnd w:id="1"/>
    <w:p>
      <w:pPr>
        <w:ind w:left="332"/>
        <w:spacing w:after="0" w:line="342" w:lineRule="auto"/>
        <w:rPr>
          <w:sz w:val="20"/>
          <w:szCs w:val="20"/>
          <w:color w:val="auto"/>
        </w:rPr>
      </w:pPr>
      <w:r>
        <w:rPr>
          <w:rFonts w:ascii="Arial" w:cs="Arial" w:eastAsia="Arial" w:hAnsi="Arial"/>
          <w:sz w:val="16"/>
          <w:szCs w:val="16"/>
          <w:color w:val="auto"/>
        </w:rPr>
        <w:t>consist of Common Units reserved and available for delivery with respect to awards under the Plan and Common Units that may again become available for delivery with respect to awards under the Plan pursuant to the unit counting, unit recycling and other terms and conditions of the Plan.</w:t>
      </w:r>
    </w:p>
    <w:p>
      <w:pPr>
        <w:spacing w:after="0" w:line="124" w:lineRule="exact"/>
        <w:rPr>
          <w:sz w:val="20"/>
          <w:szCs w:val="20"/>
          <w:color w:val="auto"/>
        </w:rPr>
      </w:pPr>
    </w:p>
    <w:p>
      <w:pPr>
        <w:jc w:val="both"/>
        <w:ind w:left="332" w:hanging="332"/>
        <w:spacing w:after="0" w:line="263" w:lineRule="auto"/>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in accordance with Rules 457(c) and (h) under the Securities Act. The price for the Common Units being registered hereby is based on a price of $10.22, which is the average of the high and low sale prices of a Common Unit on May 20, 2021, as reported by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442595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 AND STATEMENT OF INCORPORATION BY REFERENCE</w:t>
      </w:r>
    </w:p>
    <w:p>
      <w:pPr>
        <w:spacing w:after="0" w:line="229" w:lineRule="exact"/>
        <w:rPr>
          <w:sz w:val="20"/>
          <w:szCs w:val="20"/>
          <w:color w:val="auto"/>
        </w:rPr>
      </w:pPr>
    </w:p>
    <w:p>
      <w:pPr>
        <w:jc w:val="both"/>
        <w:ind w:firstLine="648"/>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The Registrant previously filed the following registration statements on Form S-8 with the Securities and Exchange Commission (the “Commission”): (i) on </w:t>
      </w:r>
      <w:hyperlink r:id="rId15">
        <w:r>
          <w:rPr>
            <w:rFonts w:ascii="Arial" w:cs="Arial" w:eastAsia="Arial" w:hAnsi="Arial"/>
            <w:sz w:val="16"/>
            <w:szCs w:val="16"/>
            <w:u w:val="single" w:color="auto"/>
            <w:color w:val="0000EE"/>
          </w:rPr>
          <w:t>February 14, 2005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registering 6,000,000 Common Units in connection with the Plains All American 2005 Long-Term Incentive Plan (File No. 333-122806); (ii) on </w:t>
      </w:r>
      <w:hyperlink r:id="rId16">
        <w:r>
          <w:rPr>
            <w:rFonts w:ascii="Arial" w:cs="Arial" w:eastAsia="Arial" w:hAnsi="Arial"/>
            <w:sz w:val="16"/>
            <w:szCs w:val="16"/>
            <w:u w:val="single" w:color="auto"/>
            <w:color w:val="0000EE"/>
          </w:rPr>
          <w:t>November 17, 1999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registering 1,950,000 Common Units in connection with the Plains All American GP LLC 1998 Long-Term Incentive Plan (File No. 333-91141); (iii) on </w:t>
      </w:r>
      <w:hyperlink r:id="rId17">
        <w:r>
          <w:rPr>
            <w:rFonts w:ascii="Arial" w:cs="Arial" w:eastAsia="Arial" w:hAnsi="Arial"/>
            <w:sz w:val="16"/>
            <w:szCs w:val="16"/>
            <w:u w:val="single" w:color="auto"/>
            <w:color w:val="0000EE"/>
          </w:rPr>
          <w:t>December 11, 2001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registering 900,000 additional Common Units in connection with the Plains All American GP LLC 1998 Long-Term Incentive Plan (File No. 333-74920); (iv) on </w:t>
      </w:r>
      <w:hyperlink r:id="rId18">
        <w:r>
          <w:rPr>
            <w:rFonts w:ascii="Arial" w:cs="Arial" w:eastAsia="Arial" w:hAnsi="Arial"/>
            <w:sz w:val="16"/>
            <w:szCs w:val="16"/>
            <w:u w:val="single" w:color="auto"/>
            <w:color w:val="0000EE"/>
          </w:rPr>
          <w:t>March 9, 2007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registering 1,999,618 Common Units in connection with the Plains All American PPX Successor Long-Term Incentive Plan (File No. 333-141185); and (v) on </w:t>
      </w:r>
      <w:hyperlink r:id="rId19">
        <w:r>
          <w:rPr>
            <w:rFonts w:ascii="Arial" w:cs="Arial" w:eastAsia="Arial" w:hAnsi="Arial"/>
            <w:sz w:val="16"/>
            <w:szCs w:val="16"/>
            <w:u w:val="single" w:color="auto"/>
            <w:color w:val="0000EE"/>
          </w:rPr>
          <w:t>December 31, 2013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registering 7,000,000 Common Units in connection with the Plains All American 2013 Long-Term Incentive Plan (collectively, the “Prior Registration Statements”).</w:t>
      </w:r>
    </w:p>
    <w:p>
      <w:pPr>
        <w:spacing w:after="0" w:line="166" w:lineRule="exact"/>
        <w:rPr>
          <w:rFonts w:ascii="Arial" w:cs="Arial" w:eastAsia="Arial" w:hAnsi="Arial"/>
          <w:sz w:val="16"/>
          <w:szCs w:val="16"/>
          <w:color w:val="auto"/>
        </w:rPr>
      </w:pPr>
    </w:p>
    <w:p>
      <w:pPr>
        <w:jc w:val="both"/>
        <w:ind w:firstLine="648"/>
        <w:spacing w:after="0" w:line="296" w:lineRule="auto"/>
        <w:rPr>
          <w:sz w:val="20"/>
          <w:szCs w:val="20"/>
          <w:color w:val="auto"/>
        </w:rPr>
      </w:pPr>
      <w:r>
        <w:rPr>
          <w:rFonts w:ascii="Arial" w:cs="Arial" w:eastAsia="Arial" w:hAnsi="Arial"/>
          <w:sz w:val="16"/>
          <w:szCs w:val="16"/>
          <w:color w:val="auto"/>
        </w:rPr>
        <w:t>At the PAA 2021 Annual Meeting held on May 19, 2021, the Registrant’s unitholders approved the Plan, which is an amendment, restatement and renaming of the Plains All American 2013 Long-Term Incentive Plan (which was an amendment and restatement of the Plains All American 2005 Long-Term Incentive Plan, the Plains All American GP LLC 1998 Long-Term Incentive Plan and the Plains All American PPX Successor Long-Term Incentive Plan), and authorized an incremental 20,000,000 Common Units that may be used for awards under the Plan. This Registration Statement is being filed in accordance with General Instruction E of Form S-8 for the purpose of registering the issuance of an additional 20,000,000 Common Units under the Plan.</w:t>
      </w:r>
    </w:p>
    <w:p>
      <w:pPr>
        <w:spacing w:after="0" w:line="161" w:lineRule="exact"/>
        <w:rPr>
          <w:rFonts w:ascii="Arial" w:cs="Arial" w:eastAsia="Arial" w:hAnsi="Arial"/>
          <w:sz w:val="16"/>
          <w:szCs w:val="16"/>
          <w:color w:val="auto"/>
        </w:rPr>
      </w:pPr>
    </w:p>
    <w:p>
      <w:pPr>
        <w:jc w:val="both"/>
        <w:ind w:firstLine="648"/>
        <w:spacing w:after="0" w:line="277" w:lineRule="auto"/>
        <w:rPr>
          <w:sz w:val="20"/>
          <w:szCs w:val="20"/>
          <w:color w:val="auto"/>
        </w:rPr>
      </w:pPr>
      <w:r>
        <w:rPr>
          <w:rFonts w:ascii="Arial" w:cs="Arial" w:eastAsia="Arial" w:hAnsi="Arial"/>
          <w:sz w:val="18"/>
          <w:szCs w:val="18"/>
          <w:color w:val="auto"/>
        </w:rPr>
        <w:t>As permitted by General Instruction E of Form S-8, the contents of the Prior Registrations are hereby incorporated by reference into this Registration Statement.</w:t>
      </w:r>
    </w:p>
    <w:p>
      <w:pPr>
        <w:spacing w:after="0" w:line="166"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rFonts w:ascii="Arial" w:cs="Arial" w:eastAsia="Arial" w:hAnsi="Arial"/>
          <w:sz w:val="16"/>
          <w:szCs w:val="16"/>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rFonts w:ascii="Arial" w:cs="Arial" w:eastAsia="Arial" w:hAnsi="Arial"/>
          <w:sz w:val="16"/>
          <w:szCs w:val="16"/>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to the extent that information is deemed furnished and not filed pursuant to securities laws and regulations, the Registrant hereby incorporates by reference into this Registration Statement the following documents:</w:t>
      </w:r>
    </w:p>
    <w:p>
      <w:pPr>
        <w:spacing w:after="0" w:line="170" w:lineRule="exact"/>
        <w:rPr>
          <w:rFonts w:ascii="Arial" w:cs="Arial" w:eastAsia="Arial" w:hAnsi="Arial"/>
          <w:sz w:val="16"/>
          <w:szCs w:val="16"/>
          <w:color w:val="auto"/>
        </w:rPr>
      </w:pPr>
    </w:p>
    <w:p>
      <w:pPr>
        <w:ind w:left="1620" w:right="20" w:hanging="640"/>
        <w:spacing w:after="0" w:line="277" w:lineRule="auto"/>
        <w:tabs>
          <w:tab w:leader="none" w:pos="1620" w:val="left"/>
        </w:tabs>
        <w:numPr>
          <w:ilvl w:val="0"/>
          <w:numId w:val="3"/>
        </w:numPr>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The Registrant’s Annual Report on Form 10-K (File No. 001-14569) for the year ended December 31, 2020, filed with the</w:t>
        </w:r>
      </w:hyperlink>
      <w:r>
        <w:rPr>
          <w:rFonts w:ascii="Arial" w:cs="Arial" w:eastAsia="Arial" w:hAnsi="Arial"/>
          <w:sz w:val="18"/>
          <w:szCs w:val="18"/>
          <w:u w:val="single" w:color="auto"/>
          <w:color w:val="0000EE"/>
        </w:rPr>
        <w:t xml:space="preserve"> </w:t>
      </w:r>
      <w:hyperlink r:id="rId20">
        <w:r>
          <w:rPr>
            <w:rFonts w:ascii="Arial" w:cs="Arial" w:eastAsia="Arial" w:hAnsi="Arial"/>
            <w:sz w:val="18"/>
            <w:szCs w:val="18"/>
            <w:u w:val="single" w:color="auto"/>
            <w:color w:val="0000EE"/>
          </w:rPr>
          <w:t>Commission on March 1, 2021;</w:t>
        </w:r>
      </w:hyperlink>
    </w:p>
    <w:p>
      <w:pPr>
        <w:spacing w:after="0" w:line="170" w:lineRule="exact"/>
        <w:rPr>
          <w:rFonts w:ascii="Arial" w:cs="Arial" w:eastAsia="Arial" w:hAnsi="Arial"/>
          <w:sz w:val="18"/>
          <w:szCs w:val="18"/>
          <w:u w:val="single" w:color="auto"/>
          <w:color w:val="0000EE"/>
        </w:rPr>
      </w:pPr>
    </w:p>
    <w:p>
      <w:pPr>
        <w:ind w:left="1620" w:hanging="640"/>
        <w:spacing w:after="0" w:line="277" w:lineRule="auto"/>
        <w:tabs>
          <w:tab w:leader="none" w:pos="1620" w:val="left"/>
        </w:tabs>
        <w:numPr>
          <w:ilvl w:val="0"/>
          <w:numId w:val="3"/>
        </w:numPr>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The Registrant’s Quarterly Report on Form 10-Q (File No. 001-14569) for the quarter ended March 31, 2021, filed with the</w:t>
        </w:r>
      </w:hyperlink>
      <w:r>
        <w:rPr>
          <w:rFonts w:ascii="Arial" w:cs="Arial" w:eastAsia="Arial" w:hAnsi="Arial"/>
          <w:sz w:val="18"/>
          <w:szCs w:val="18"/>
          <w:u w:val="single" w:color="auto"/>
          <w:color w:val="0000EE"/>
        </w:rPr>
        <w:t xml:space="preserve"> </w:t>
      </w:r>
      <w:hyperlink r:id="rId21">
        <w:r>
          <w:rPr>
            <w:rFonts w:ascii="Arial" w:cs="Arial" w:eastAsia="Arial" w:hAnsi="Arial"/>
            <w:sz w:val="18"/>
            <w:szCs w:val="18"/>
            <w:u w:val="single" w:color="auto"/>
            <w:color w:val="0000EE"/>
          </w:rPr>
          <w:t>Commission on May 10, 2021;</w:t>
        </w:r>
      </w:hyperlink>
    </w:p>
    <w:p>
      <w:pPr>
        <w:spacing w:after="0" w:line="386"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both"/>
        <w:ind w:left="1620" w:hanging="640"/>
        <w:spacing w:after="0" w:line="263" w:lineRule="auto"/>
        <w:tabs>
          <w:tab w:leader="none" w:pos="1620" w:val="left"/>
        </w:tabs>
        <w:numPr>
          <w:ilvl w:val="0"/>
          <w:numId w:val="4"/>
        </w:numPr>
        <w:rPr>
          <w:rFonts w:ascii="Arial" w:cs="Arial" w:eastAsia="Arial" w:hAnsi="Arial"/>
          <w:sz w:val="18"/>
          <w:szCs w:val="18"/>
          <w:color w:val="0000EE"/>
        </w:rPr>
      </w:pPr>
      <w:hyperlink r:id="rId23">
        <w:r>
          <w:rPr>
            <w:rFonts w:ascii="Arial" w:cs="Arial" w:eastAsia="Arial" w:hAnsi="Arial"/>
            <w:sz w:val="18"/>
            <w:szCs w:val="18"/>
            <w:color w:val="auto"/>
          </w:rPr>
          <w:t xml:space="preserve">The Registrant’s Current Reports on Form 8-K (File No. 001-14569), filed with the Commission on </w:t>
        </w:r>
        <w:r>
          <w:rPr>
            <w:rFonts w:ascii="Arial" w:cs="Arial" w:eastAsia="Arial" w:hAnsi="Arial"/>
            <w:sz w:val="18"/>
            <w:szCs w:val="18"/>
            <w:u w:val="single" w:color="auto"/>
            <w:color w:val="0000EE"/>
          </w:rPr>
          <w:t>February 9,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3,</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4">
        <w:r>
          <w:rPr>
            <w:rFonts w:ascii="Arial" w:cs="Arial" w:eastAsia="Arial" w:hAnsi="Arial"/>
            <w:sz w:val="18"/>
            <w:szCs w:val="18"/>
            <w:u w:val="single" w:color="auto"/>
            <w:color w:val="0000EE"/>
          </w:rPr>
          <w:t>May 4, 2021</w:t>
        </w:r>
      </w:hyperlink>
      <w:hyperlink r:id="rId23">
        <w:r>
          <w:rPr>
            <w:rFonts w:ascii="Arial" w:cs="Arial" w:eastAsia="Arial" w:hAnsi="Arial"/>
            <w:sz w:val="18"/>
            <w:szCs w:val="18"/>
            <w:color w:val="000000"/>
          </w:rPr>
          <w:t>, and</w:t>
        </w:r>
        <w:r>
          <w:rPr>
            <w:rFonts w:ascii="Arial" w:cs="Arial" w:eastAsia="Arial" w:hAnsi="Arial"/>
            <w:sz w:val="18"/>
            <w:szCs w:val="18"/>
            <w:color w:val="0000EE"/>
          </w:rPr>
          <w:t xml:space="preserve"> </w:t>
        </w:r>
      </w:hyperlink>
      <w:hyperlink r:id="rId25">
        <w:r>
          <w:rPr>
            <w:rFonts w:ascii="Arial" w:cs="Arial" w:eastAsia="Arial" w:hAnsi="Arial"/>
            <w:sz w:val="18"/>
            <w:szCs w:val="18"/>
            <w:u w:val="single" w:color="auto"/>
            <w:color w:val="0000EE"/>
          </w:rPr>
          <w:t xml:space="preserve">May 25, 2021 </w:t>
        </w:r>
      </w:hyperlink>
      <w:hyperlink r:id="rId23">
        <w:r>
          <w:rPr>
            <w:rFonts w:ascii="Arial" w:cs="Arial" w:eastAsia="Arial" w:hAnsi="Arial"/>
            <w:sz w:val="18"/>
            <w:szCs w:val="18"/>
            <w:color w:val="000000"/>
          </w:rPr>
          <w:t>(in each case, excluding any information furnished pursuant to Item 2.02 or Item 7.01 of such</w:t>
        </w:r>
      </w:hyperlink>
      <w:r>
        <w:rPr>
          <w:rFonts w:ascii="Arial" w:cs="Arial" w:eastAsia="Arial" w:hAnsi="Arial"/>
          <w:sz w:val="18"/>
          <w:szCs w:val="18"/>
          <w:color w:val="0000EE"/>
        </w:rPr>
        <w:t xml:space="preserve"> </w:t>
      </w:r>
      <w:r>
        <w:rPr>
          <w:rFonts w:ascii="Arial" w:cs="Arial" w:eastAsia="Arial" w:hAnsi="Arial"/>
          <w:sz w:val="18"/>
          <w:szCs w:val="18"/>
          <w:color w:val="000000"/>
        </w:rPr>
        <w:t>Current Report on Form 8-K); and</w:t>
      </w:r>
    </w:p>
    <w:p>
      <w:pPr>
        <w:spacing w:after="0" w:line="183" w:lineRule="exact"/>
        <w:rPr>
          <w:rFonts w:ascii="Arial" w:cs="Arial" w:eastAsia="Arial" w:hAnsi="Arial"/>
          <w:sz w:val="18"/>
          <w:szCs w:val="18"/>
          <w:color w:val="0000EE"/>
        </w:rPr>
      </w:pPr>
    </w:p>
    <w:p>
      <w:pPr>
        <w:jc w:val="both"/>
        <w:ind w:left="1620" w:hanging="640"/>
        <w:spacing w:after="0" w:line="263" w:lineRule="auto"/>
        <w:tabs>
          <w:tab w:leader="none" w:pos="1620" w:val="left"/>
        </w:tabs>
        <w:numPr>
          <w:ilvl w:val="0"/>
          <w:numId w:val="4"/>
        </w:numPr>
        <w:rPr>
          <w:rFonts w:ascii="Arial" w:cs="Arial" w:eastAsia="Arial" w:hAnsi="Arial"/>
          <w:sz w:val="18"/>
          <w:szCs w:val="18"/>
          <w:u w:val="single" w:color="auto"/>
          <w:color w:val="0000EE"/>
        </w:rPr>
      </w:pPr>
      <w:hyperlink r:id="rId26">
        <w:r>
          <w:rPr>
            <w:rFonts w:ascii="Arial" w:cs="Arial" w:eastAsia="Arial" w:hAnsi="Arial"/>
            <w:sz w:val="18"/>
            <w:szCs w:val="18"/>
            <w:u w:val="single" w:color="auto"/>
            <w:color w:val="0000EE"/>
          </w:rPr>
          <w:t>The description of the Registrant’s Common Units included in the Registrant’s Form 8-A (File No. 001-14569), filed with the</w:t>
        </w:r>
      </w:hyperlink>
      <w:r>
        <w:rPr>
          <w:rFonts w:ascii="Arial" w:cs="Arial" w:eastAsia="Arial" w:hAnsi="Arial"/>
          <w:sz w:val="18"/>
          <w:szCs w:val="18"/>
          <w:u w:val="single" w:color="auto"/>
          <w:color w:val="0000EE"/>
        </w:rPr>
        <w:t xml:space="preserve"> </w:t>
      </w:r>
      <w:hyperlink r:id="rId26">
        <w:r>
          <w:rPr>
            <w:rFonts w:ascii="Arial" w:cs="Arial" w:eastAsia="Arial" w:hAnsi="Arial"/>
            <w:sz w:val="18"/>
            <w:szCs w:val="18"/>
            <w:u w:val="single" w:color="auto"/>
            <w:color w:val="0000EE"/>
          </w:rPr>
          <w:t>Commission on December 11, 2020, including any amendment or report filed for the purpose of updating, changing or otherwise</w:t>
        </w:r>
      </w:hyperlink>
      <w:r>
        <w:rPr>
          <w:rFonts w:ascii="Arial" w:cs="Arial" w:eastAsia="Arial" w:hAnsi="Arial"/>
          <w:sz w:val="18"/>
          <w:szCs w:val="18"/>
          <w:u w:val="single" w:color="auto"/>
          <w:color w:val="0000EE"/>
        </w:rPr>
        <w:t xml:space="preserve"> </w:t>
      </w:r>
      <w:hyperlink r:id="rId26">
        <w:r>
          <w:rPr>
            <w:rFonts w:ascii="Arial" w:cs="Arial" w:eastAsia="Arial" w:hAnsi="Arial"/>
            <w:sz w:val="18"/>
            <w:szCs w:val="18"/>
            <w:u w:val="single" w:color="auto"/>
            <w:color w:val="0000EE"/>
          </w:rPr>
          <w:t>modifying such description.</w:t>
        </w:r>
      </w:hyperlink>
    </w:p>
    <w:p>
      <w:pPr>
        <w:spacing w:after="0" w:line="184" w:lineRule="exact"/>
        <w:rPr>
          <w:rFonts w:ascii="Arial" w:cs="Arial" w:eastAsia="Arial" w:hAnsi="Arial"/>
          <w:sz w:val="18"/>
          <w:szCs w:val="18"/>
          <w:u w:val="single" w:color="auto"/>
          <w:color w:val="0000EE"/>
        </w:rPr>
      </w:pPr>
    </w:p>
    <w:p>
      <w:pPr>
        <w:jc w:val="both"/>
        <w:ind w:firstLine="648"/>
        <w:spacing w:after="0" w:line="254" w:lineRule="auto"/>
        <w:rPr>
          <w:sz w:val="20"/>
          <w:szCs w:val="20"/>
          <w:color w:val="auto"/>
        </w:rPr>
      </w:pPr>
      <w:r>
        <w:rPr>
          <w:rFonts w:ascii="Arial" w:cs="Arial" w:eastAsia="Arial" w:hAnsi="Arial"/>
          <w:sz w:val="18"/>
          <w:szCs w:val="18"/>
          <w:color w:val="auto"/>
        </w:rPr>
        <w:t>Except to the extent that information is deemed furnished and not filed pursuant to securities laws and regulations, all documents filed by the Registrant pursuant to Sections 13(a), 13(c), 14 or 15(d) of the Exchange Act subsequent to the date hereof and prior to the filing of a post-effective amendment that indicates that all securities offered have been sold or that deregisters all securities then remaining unsold shall also be deemed to be incorporated by reference herein and to be a part hereof from the dates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88"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rFonts w:ascii="Arial" w:cs="Arial" w:eastAsia="Arial" w:hAnsi="Arial"/>
          <w:sz w:val="18"/>
          <w:szCs w:val="18"/>
          <w:u w:val="single" w:color="auto"/>
          <w:color w:val="0000EE"/>
        </w:rPr>
      </w:pPr>
    </w:p>
    <w:p>
      <w:pPr>
        <w:ind w:left="20"/>
        <w:spacing w:after="0"/>
        <w:rPr>
          <w:sz w:val="20"/>
          <w:szCs w:val="20"/>
          <w:color w:val="auto"/>
        </w:rPr>
      </w:pPr>
      <w:r>
        <w:rPr>
          <w:rFonts w:ascii="Arial" w:cs="Arial" w:eastAsia="Arial" w:hAnsi="Arial"/>
          <w:sz w:val="18"/>
          <w:szCs w:val="18"/>
          <w:u w:val="single" w:color="auto"/>
          <w:color w:val="auto"/>
        </w:rPr>
        <w:t>Exhibit Number</w:t>
      </w:r>
      <w:r>
        <w:rPr>
          <w:rFonts w:ascii="Arial" w:cs="Arial" w:eastAsia="Arial" w:hAnsi="Arial"/>
          <w:sz w:val="18"/>
          <w:szCs w:val="18"/>
          <w:color w:val="auto"/>
        </w:rPr>
        <w:t xml:space="preserve"> Description</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810895</wp:posOffset>
            </wp:positionH>
            <wp:positionV relativeFrom="paragraph">
              <wp:posOffset>14605</wp:posOffset>
            </wp:positionV>
            <wp:extent cx="63265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6326505" cy="8890"/>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EE"/>
        </w:rPr>
      </w:pPr>
    </w:p>
    <w:p>
      <w:pPr>
        <w:jc w:val="both"/>
        <w:ind w:left="1280" w:hanging="793"/>
        <w:spacing w:after="0" w:line="255" w:lineRule="auto"/>
        <w:tabs>
          <w:tab w:leader="none" w:pos="1260" w:val="left"/>
        </w:tabs>
        <w:rPr>
          <w:rFonts w:ascii="Arial" w:cs="Arial" w:eastAsia="Arial" w:hAnsi="Arial"/>
          <w:sz w:val="18"/>
          <w:szCs w:val="18"/>
          <w:u w:val="single" w:color="auto"/>
          <w:color w:val="0000EE"/>
        </w:rPr>
      </w:pPr>
      <w:hyperlink r:id="rId28">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r:id="rId28">
        <w:r>
          <w:rPr>
            <w:rFonts w:ascii="Arial" w:cs="Arial" w:eastAsia="Arial" w:hAnsi="Arial"/>
            <w:sz w:val="18"/>
            <w:szCs w:val="18"/>
            <w:u w:val="single" w:color="auto"/>
            <w:color w:val="0000EE"/>
          </w:rPr>
          <w:t>Seventh Amended and Restated Agreement of Limited Partnership of Plains All American Pipeline, L.P., dated as of October 10, 2017</w:t>
        </w:r>
      </w:hyperlink>
      <w:r>
        <w:rPr>
          <w:rFonts w:ascii="Arial" w:cs="Arial" w:eastAsia="Arial" w:hAnsi="Arial"/>
          <w:sz w:val="18"/>
          <w:szCs w:val="18"/>
          <w:u w:val="single" w:color="auto"/>
          <w:color w:val="0000EE"/>
        </w:rPr>
        <w:t xml:space="preserve"> </w:t>
      </w:r>
      <w:hyperlink r:id="rId28">
        <w:r>
          <w:rPr>
            <w:rFonts w:ascii="Arial" w:cs="Arial" w:eastAsia="Arial" w:hAnsi="Arial"/>
            <w:sz w:val="18"/>
            <w:szCs w:val="18"/>
            <w:u w:val="single" w:color="auto"/>
            <w:color w:val="0000EE"/>
          </w:rPr>
          <w:t>(incorporated by reference to Exhibit 3.1 to the Registrant’s Current Report on Form 8-K, filed with the Commission on October 12,</w:t>
        </w:r>
      </w:hyperlink>
      <w:r>
        <w:rPr>
          <w:rFonts w:ascii="Arial" w:cs="Arial" w:eastAsia="Arial" w:hAnsi="Arial"/>
          <w:sz w:val="18"/>
          <w:szCs w:val="18"/>
          <w:u w:val="single" w:color="auto"/>
          <w:color w:val="0000EE"/>
        </w:rPr>
        <w:t xml:space="preserve"> </w:t>
      </w:r>
      <w:hyperlink r:id="rId28">
        <w:r>
          <w:rPr>
            <w:rFonts w:ascii="Arial" w:cs="Arial" w:eastAsia="Arial" w:hAnsi="Arial"/>
            <w:sz w:val="18"/>
            <w:szCs w:val="18"/>
            <w:u w:val="single" w:color="auto"/>
            <w:color w:val="0000EE"/>
          </w:rPr>
          <w:t>2017)</w:t>
        </w:r>
      </w:hyperlink>
    </w:p>
    <w:p>
      <w:pPr>
        <w:spacing w:after="0" w:line="2" w:lineRule="exact"/>
        <w:rPr>
          <w:rFonts w:ascii="Arial" w:cs="Arial" w:eastAsia="Arial" w:hAnsi="Arial"/>
          <w:sz w:val="18"/>
          <w:szCs w:val="18"/>
          <w:u w:val="single" w:color="auto"/>
          <w:color w:val="0000EE"/>
        </w:rPr>
      </w:pPr>
    </w:p>
    <w:p>
      <w:pPr>
        <w:jc w:val="both"/>
        <w:ind w:left="1280" w:hanging="793"/>
        <w:spacing w:after="0" w:line="250" w:lineRule="auto"/>
        <w:tabs>
          <w:tab w:leader="none" w:pos="1260" w:val="left"/>
        </w:tabs>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r:id="rId29">
        <w:r>
          <w:rPr>
            <w:rFonts w:ascii="Arial" w:cs="Arial" w:eastAsia="Arial" w:hAnsi="Arial"/>
            <w:sz w:val="18"/>
            <w:szCs w:val="18"/>
            <w:u w:val="single" w:color="auto"/>
            <w:color w:val="0000EE"/>
          </w:rPr>
          <w:t>Plains All American 2021 Long-Term Incentive Plan (incorporated by reference to Exhibit A to the Registrant’s Definitive Proxy</w:t>
        </w:r>
      </w:hyperlink>
      <w:r>
        <w:rPr>
          <w:rFonts w:ascii="Arial" w:cs="Arial" w:eastAsia="Arial" w:hAnsi="Arial"/>
          <w:sz w:val="18"/>
          <w:szCs w:val="18"/>
          <w:u w:val="single" w:color="auto"/>
          <w:color w:val="0000EE"/>
        </w:rPr>
        <w:t xml:space="preserve"> </w:t>
      </w:r>
      <w:hyperlink r:id="rId29">
        <w:r>
          <w:rPr>
            <w:rFonts w:ascii="Arial" w:cs="Arial" w:eastAsia="Arial" w:hAnsi="Arial"/>
            <w:sz w:val="18"/>
            <w:szCs w:val="18"/>
            <w:u w:val="single" w:color="auto"/>
            <w:color w:val="0000EE"/>
          </w:rPr>
          <w:t>Statement, filed with the Commission on April 12, 2021)</w:t>
        </w:r>
      </w:hyperlink>
    </w:p>
    <w:p>
      <w:pPr>
        <w:spacing w:after="0" w:line="1" w:lineRule="exact"/>
        <w:rPr>
          <w:rFonts w:ascii="Arial" w:cs="Arial" w:eastAsia="Arial" w:hAnsi="Arial"/>
          <w:sz w:val="18"/>
          <w:szCs w:val="18"/>
          <w:u w:val="single" w:color="auto"/>
          <w:color w:val="0000EE"/>
        </w:rPr>
      </w:pPr>
    </w:p>
    <w:p>
      <w:pPr>
        <w:ind w:left="440"/>
        <w:spacing w:after="0"/>
        <w:tabs>
          <w:tab w:leader="none" w:pos="126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5.1*</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Opinion of Vinson &amp; Elkins L.L.P. as to the legality of the securities being registered</w:t>
        </w:r>
      </w:hyperlink>
    </w:p>
    <w:p>
      <w:pPr>
        <w:spacing w:after="0" w:line="9" w:lineRule="exact"/>
        <w:rPr>
          <w:sz w:val="20"/>
          <w:szCs w:val="20"/>
          <w:color w:val="auto"/>
        </w:rPr>
      </w:pPr>
    </w:p>
    <w:p>
      <w:pPr>
        <w:ind w:left="400"/>
        <w:spacing w:after="0"/>
        <w:tabs>
          <w:tab w:leader="none" w:pos="1260" w:val="left"/>
        </w:tabs>
        <w:rPr>
          <w:rFonts w:ascii="Arial" w:cs="Arial" w:eastAsia="Arial" w:hAnsi="Arial"/>
          <w:sz w:val="16"/>
          <w:szCs w:val="16"/>
          <w:u w:val="single" w:color="auto"/>
          <w:color w:val="0000EE"/>
        </w:rPr>
      </w:pPr>
      <w:hyperlink w:anchor="page9">
        <w:r>
          <w:rPr>
            <w:rFonts w:ascii="Arial" w:cs="Arial" w:eastAsia="Arial" w:hAnsi="Arial"/>
            <w:sz w:val="18"/>
            <w:szCs w:val="18"/>
            <w:u w:val="single" w:color="auto"/>
            <w:color w:val="0000EE"/>
          </w:rPr>
          <w:t>23.1*</w:t>
        </w:r>
      </w:hyperlink>
      <w:r>
        <w:rPr>
          <w:rFonts w:ascii="Arial" w:cs="Arial" w:eastAsia="Arial" w:hAnsi="Arial"/>
          <w:sz w:val="18"/>
          <w:szCs w:val="18"/>
          <w:u w:val="single" w:color="auto"/>
          <w:color w:val="0000EE"/>
        </w:rPr>
        <w:tab/>
      </w:r>
      <w:hyperlink w:anchor="page9">
        <w:r>
          <w:rPr>
            <w:rFonts w:ascii="Arial" w:cs="Arial" w:eastAsia="Arial" w:hAnsi="Arial"/>
            <w:sz w:val="16"/>
            <w:szCs w:val="16"/>
            <w:u w:val="single" w:color="auto"/>
            <w:color w:val="0000EE"/>
          </w:rPr>
          <w:t>Consent of PricewaterhouseCoopers LLP</w:t>
        </w:r>
      </w:hyperlink>
    </w:p>
    <w:p>
      <w:pPr>
        <w:spacing w:after="0" w:line="9" w:lineRule="exact"/>
        <w:rPr>
          <w:sz w:val="20"/>
          <w:szCs w:val="20"/>
          <w:color w:val="auto"/>
        </w:rPr>
      </w:pPr>
    </w:p>
    <w:p>
      <w:pPr>
        <w:ind w:left="400"/>
        <w:spacing w:after="0"/>
        <w:tabs>
          <w:tab w:leader="none" w:pos="126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23.2*</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Consent of Vinson &amp; Elkins L.L.P. (contained in Exhibit 5.1 hereto)</w:t>
        </w:r>
      </w:hyperlink>
    </w:p>
    <w:p>
      <w:pPr>
        <w:spacing w:after="0" w:line="9" w:lineRule="exact"/>
        <w:rPr>
          <w:sz w:val="20"/>
          <w:szCs w:val="20"/>
          <w:color w:val="auto"/>
        </w:rPr>
      </w:pPr>
    </w:p>
    <w:p>
      <w:pPr>
        <w:ind w:left="400"/>
        <w:spacing w:after="0"/>
        <w:tabs>
          <w:tab w:leader="none" w:pos="126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24.1*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Powers of Attorney (included on the signature page hereof)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ind w:left="600" w:hanging="592"/>
        <w:spacing w:after="0"/>
        <w:tabs>
          <w:tab w:leader="none" w:pos="6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 w:name="page5"/>
    <w:bookmarkEnd w:id="4"/>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May 26, 2021.</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of Plains All American GP LLC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Each person whose signature appears below appoints Al Swanson and Richard McGee, and each of them, either of whom may act without the joinder of the other, as his true and lawful attorneys-in-fact and agent, with full power of substitution and re-substitution, for him and in his name, place and stead, in any and all capacities, to sign any and all amendments (including post-effective amendments) to this Registration Statement and any Registration Statement (including any amendment thereto) for this offering that is to be effective upon filing pursuant to Rule 462(b) under the Securities Act of 1933, as amended, and to file the same, with all exhibits thereto, and all other documents in connection therewith, with the Securities and Exchange Commission, granting unto said attorneys-in-fact and agent full power and authority to do and perform each and every act and thing requisite and necessary to be done, as fully to all intents and purposes as he might or would do in person, hereby ratifying and confirming all that said attorneys-in-fact and agent may lawfully do or cause to be done by virtue hereof.</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4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Title</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95"/>
        </w:trPr>
        <w:tc>
          <w:tcPr>
            <w:tcW w:w="4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Chairman of the Board of PAA GP Holdings LLC</w:t>
            </w:r>
          </w:p>
        </w:tc>
        <w:tc>
          <w:tcPr>
            <w:tcW w:w="100" w:type="dxa"/>
            <w:vAlign w:val="bottom"/>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and Chief Executive Officer of Plains All American</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Willie Chiang</w:t>
            </w:r>
          </w:p>
        </w:tc>
        <w:tc>
          <w:tcPr>
            <w:tcW w:w="120" w:type="dxa"/>
            <w:vAlign w:val="bottom"/>
          </w:tcPr>
          <w:p>
            <w:pPr>
              <w:spacing w:after="0"/>
              <w:rPr>
                <w:sz w:val="20"/>
                <w:szCs w:val="20"/>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GP LLC</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May 26, 2021</w:t>
            </w:r>
          </w:p>
        </w:tc>
        <w:tc>
          <w:tcPr>
            <w:tcW w:w="0" w:type="dxa"/>
            <w:vAlign w:val="bottom"/>
          </w:tcPr>
          <w:p>
            <w:pPr>
              <w:spacing w:after="0"/>
              <w:rPr>
                <w:sz w:val="1"/>
                <w:szCs w:val="1"/>
                <w:color w:val="auto"/>
              </w:rPr>
            </w:pP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5"/>
              </w:rPr>
              <w:t>Willie Chiang</w:t>
            </w:r>
          </w:p>
        </w:tc>
        <w:tc>
          <w:tcPr>
            <w:tcW w:w="120" w:type="dxa"/>
            <w:vAlign w:val="bottom"/>
          </w:tcPr>
          <w:p>
            <w:pPr>
              <w:spacing w:after="0"/>
              <w:rPr>
                <w:sz w:val="19"/>
                <w:szCs w:val="19"/>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Executive Vice President and Chief Financial</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Al Swanson</w:t>
            </w:r>
          </w:p>
        </w:tc>
        <w:tc>
          <w:tcPr>
            <w:tcW w:w="120" w:type="dxa"/>
            <w:vAlign w:val="bottom"/>
          </w:tcPr>
          <w:p>
            <w:pPr>
              <w:spacing w:after="0"/>
              <w:rPr>
                <w:sz w:val="20"/>
                <w:szCs w:val="20"/>
                <w:color w:val="auto"/>
              </w:rPr>
            </w:pPr>
          </w:p>
        </w:tc>
        <w:tc>
          <w:tcPr>
            <w:tcW w:w="4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Officer of Plains All American GP LLC</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May 26, 2021</w:t>
            </w:r>
          </w:p>
        </w:tc>
        <w:tc>
          <w:tcPr>
            <w:tcW w:w="0" w:type="dxa"/>
            <w:vAlign w:val="bottom"/>
          </w:tcPr>
          <w:p>
            <w:pPr>
              <w:spacing w:after="0"/>
              <w:rPr>
                <w:sz w:val="1"/>
                <w:szCs w:val="1"/>
                <w:color w:val="auto"/>
              </w:rPr>
            </w:pP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2"/>
              </w:rPr>
              <w:t>Al Swanson</w:t>
            </w:r>
          </w:p>
        </w:tc>
        <w:tc>
          <w:tcPr>
            <w:tcW w:w="120" w:type="dxa"/>
            <w:vAlign w:val="bottom"/>
          </w:tcPr>
          <w:p>
            <w:pPr>
              <w:spacing w:after="0"/>
              <w:rPr>
                <w:sz w:val="19"/>
                <w:szCs w:val="19"/>
                <w:color w:val="auto"/>
              </w:rPr>
            </w:pPr>
          </w:p>
        </w:tc>
        <w:tc>
          <w:tcPr>
            <w:tcW w:w="460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(Principal Financial Officer)</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Senior Vice President and Chief Accounting Officer</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Chris Herbold</w:t>
            </w:r>
          </w:p>
        </w:tc>
        <w:tc>
          <w:tcPr>
            <w:tcW w:w="120" w:type="dxa"/>
            <w:vAlign w:val="bottom"/>
          </w:tcPr>
          <w:p>
            <w:pPr>
              <w:spacing w:after="0"/>
              <w:rPr>
                <w:sz w:val="20"/>
                <w:szCs w:val="20"/>
                <w:color w:val="auto"/>
              </w:rPr>
            </w:pPr>
          </w:p>
        </w:tc>
        <w:tc>
          <w:tcPr>
            <w:tcW w:w="4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of Plains All American GP LLC</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May 26, 2021</w:t>
            </w:r>
          </w:p>
        </w:tc>
        <w:tc>
          <w:tcPr>
            <w:tcW w:w="0" w:type="dxa"/>
            <w:vAlign w:val="bottom"/>
          </w:tcPr>
          <w:p>
            <w:pPr>
              <w:spacing w:after="0"/>
              <w:rPr>
                <w:sz w:val="1"/>
                <w:szCs w:val="1"/>
                <w:color w:val="auto"/>
              </w:rPr>
            </w:pP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2"/>
              </w:rPr>
              <w:t>Chris Herbold</w:t>
            </w:r>
          </w:p>
        </w:tc>
        <w:tc>
          <w:tcPr>
            <w:tcW w:w="120" w:type="dxa"/>
            <w:vAlign w:val="bottom"/>
          </w:tcPr>
          <w:p>
            <w:pPr>
              <w:spacing w:after="0"/>
              <w:rPr>
                <w:sz w:val="19"/>
                <w:szCs w:val="19"/>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Director of PAA GP Holdings LLC and President of</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Harry N. Pefanis</w:t>
            </w:r>
          </w:p>
        </w:tc>
        <w:tc>
          <w:tcPr>
            <w:tcW w:w="120" w:type="dxa"/>
            <w:vAlign w:val="bottom"/>
          </w:tcPr>
          <w:p>
            <w:pPr>
              <w:spacing w:after="0"/>
              <w:rPr>
                <w:sz w:val="20"/>
                <w:szCs w:val="20"/>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Plains All American GP LLC</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May 26, 2021</w:t>
            </w:r>
          </w:p>
        </w:tc>
        <w:tc>
          <w:tcPr>
            <w:tcW w:w="0" w:type="dxa"/>
            <w:vAlign w:val="bottom"/>
          </w:tcPr>
          <w:p>
            <w:pPr>
              <w:spacing w:after="0"/>
              <w:rPr>
                <w:sz w:val="1"/>
                <w:szCs w:val="1"/>
                <w:color w:val="auto"/>
              </w:rPr>
            </w:pP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2"/>
              </w:rPr>
              <w:t>Harry N. Pefanis</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Greg L. Armstrong</w:t>
            </w:r>
          </w:p>
        </w:tc>
        <w:tc>
          <w:tcPr>
            <w:tcW w:w="120" w:type="dxa"/>
            <w:vAlign w:val="bottom"/>
          </w:tcPr>
          <w:p>
            <w:pPr>
              <w:spacing w:after="0"/>
              <w:rPr>
                <w:sz w:val="24"/>
                <w:szCs w:val="24"/>
                <w:color w:val="auto"/>
              </w:rPr>
            </w:pPr>
          </w:p>
        </w:tc>
        <w:tc>
          <w:tcPr>
            <w:tcW w:w="46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Director of PAA GP Holdings LLC</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May 26, 2021</w:t>
            </w:r>
          </w:p>
        </w:tc>
        <w:tc>
          <w:tcPr>
            <w:tcW w:w="0" w:type="dxa"/>
            <w:vAlign w:val="bottom"/>
          </w:tcPr>
          <w:p>
            <w:pPr>
              <w:spacing w:after="0"/>
              <w:rPr>
                <w:sz w:val="1"/>
                <w:szCs w:val="1"/>
                <w:color w:val="auto"/>
              </w:rPr>
            </w:pP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3"/>
              </w:rPr>
              <w:t>Greg L. Armstrong</w:t>
            </w:r>
          </w:p>
        </w:tc>
        <w:tc>
          <w:tcPr>
            <w:tcW w:w="120" w:type="dxa"/>
            <w:vAlign w:val="bottom"/>
          </w:tcPr>
          <w:p>
            <w:pPr>
              <w:spacing w:after="0"/>
              <w:rPr>
                <w:sz w:val="19"/>
                <w:szCs w:val="19"/>
                <w:color w:val="auto"/>
              </w:rPr>
            </w:pPr>
          </w:p>
        </w:tc>
        <w:tc>
          <w:tcPr>
            <w:tcW w:w="460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Victor Burk</w:t>
            </w:r>
          </w:p>
        </w:tc>
        <w:tc>
          <w:tcPr>
            <w:tcW w:w="120" w:type="dxa"/>
            <w:vAlign w:val="bottom"/>
          </w:tcPr>
          <w:p>
            <w:pPr>
              <w:spacing w:after="0"/>
              <w:rPr>
                <w:sz w:val="24"/>
                <w:szCs w:val="24"/>
                <w:color w:val="auto"/>
              </w:rPr>
            </w:pPr>
          </w:p>
        </w:tc>
        <w:tc>
          <w:tcPr>
            <w:tcW w:w="46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Director of PAA GP Holdings LLC</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May 26, 2021</w:t>
            </w:r>
          </w:p>
        </w:tc>
        <w:tc>
          <w:tcPr>
            <w:tcW w:w="0" w:type="dxa"/>
            <w:vAlign w:val="bottom"/>
          </w:tcPr>
          <w:p>
            <w:pPr>
              <w:spacing w:after="0"/>
              <w:rPr>
                <w:sz w:val="1"/>
                <w:szCs w:val="1"/>
                <w:color w:val="auto"/>
              </w:rPr>
            </w:pP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7"/>
              </w:rPr>
              <w:t>Victor Burk</w:t>
            </w:r>
          </w:p>
        </w:tc>
        <w:tc>
          <w:tcPr>
            <w:tcW w:w="120" w:type="dxa"/>
            <w:vAlign w:val="bottom"/>
          </w:tcPr>
          <w:p>
            <w:pPr>
              <w:spacing w:after="0"/>
              <w:rPr>
                <w:sz w:val="19"/>
                <w:szCs w:val="19"/>
                <w:color w:val="auto"/>
              </w:rPr>
            </w:pPr>
          </w:p>
        </w:tc>
        <w:tc>
          <w:tcPr>
            <w:tcW w:w="460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Kevin McCarthy</w:t>
            </w:r>
          </w:p>
        </w:tc>
        <w:tc>
          <w:tcPr>
            <w:tcW w:w="120" w:type="dxa"/>
            <w:vAlign w:val="bottom"/>
          </w:tcPr>
          <w:p>
            <w:pPr>
              <w:spacing w:after="0"/>
              <w:rPr>
                <w:sz w:val="24"/>
                <w:szCs w:val="24"/>
                <w:color w:val="auto"/>
              </w:rPr>
            </w:pPr>
          </w:p>
        </w:tc>
        <w:tc>
          <w:tcPr>
            <w:tcW w:w="46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Director of PAA GP Holdings LLC</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May 26, 2021</w:t>
            </w:r>
          </w:p>
        </w:tc>
        <w:tc>
          <w:tcPr>
            <w:tcW w:w="0" w:type="dxa"/>
            <w:vAlign w:val="bottom"/>
          </w:tcPr>
          <w:p>
            <w:pPr>
              <w:spacing w:after="0"/>
              <w:rPr>
                <w:sz w:val="1"/>
                <w:szCs w:val="1"/>
                <w:color w:val="auto"/>
              </w:rPr>
            </w:pP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6"/>
              </w:rPr>
              <w:t>Kevin McCarthy</w:t>
            </w:r>
          </w:p>
        </w:tc>
        <w:tc>
          <w:tcPr>
            <w:tcW w:w="120" w:type="dxa"/>
            <w:vAlign w:val="bottom"/>
          </w:tcPr>
          <w:p>
            <w:pPr>
              <w:spacing w:after="0"/>
              <w:rPr>
                <w:sz w:val="19"/>
                <w:szCs w:val="19"/>
                <w:color w:val="auto"/>
              </w:rPr>
            </w:pPr>
          </w:p>
        </w:tc>
        <w:tc>
          <w:tcPr>
            <w:tcW w:w="460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Gary R. Petersen</w:t>
            </w:r>
          </w:p>
        </w:tc>
        <w:tc>
          <w:tcPr>
            <w:tcW w:w="120" w:type="dxa"/>
            <w:vAlign w:val="bottom"/>
          </w:tcPr>
          <w:p>
            <w:pPr>
              <w:spacing w:after="0"/>
              <w:rPr>
                <w:sz w:val="24"/>
                <w:szCs w:val="24"/>
                <w:color w:val="auto"/>
              </w:rPr>
            </w:pPr>
          </w:p>
        </w:tc>
        <w:tc>
          <w:tcPr>
            <w:tcW w:w="46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Director of PAA GP Holdings LLC</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May 26, 2021</w:t>
            </w:r>
          </w:p>
        </w:tc>
        <w:tc>
          <w:tcPr>
            <w:tcW w:w="0" w:type="dxa"/>
            <w:vAlign w:val="bottom"/>
          </w:tcPr>
          <w:p>
            <w:pPr>
              <w:spacing w:after="0"/>
              <w:rPr>
                <w:sz w:val="1"/>
                <w:szCs w:val="1"/>
                <w:color w:val="auto"/>
              </w:rPr>
            </w:pP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87"/>
              </w:rPr>
              <w:t>Gary R. Petersen</w:t>
            </w:r>
          </w:p>
        </w:tc>
        <w:tc>
          <w:tcPr>
            <w:tcW w:w="120" w:type="dxa"/>
            <w:vAlign w:val="bottom"/>
          </w:tcPr>
          <w:p>
            <w:pPr>
              <w:spacing w:after="0"/>
              <w:rPr>
                <w:sz w:val="19"/>
                <w:szCs w:val="19"/>
                <w:color w:val="auto"/>
              </w:rPr>
            </w:pPr>
          </w:p>
        </w:tc>
        <w:tc>
          <w:tcPr>
            <w:tcW w:w="460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Alexandra D. Pruner</w:t>
            </w:r>
          </w:p>
        </w:tc>
        <w:tc>
          <w:tcPr>
            <w:tcW w:w="120" w:type="dxa"/>
            <w:vAlign w:val="bottom"/>
          </w:tcPr>
          <w:p>
            <w:pPr>
              <w:spacing w:after="0"/>
              <w:rPr>
                <w:sz w:val="24"/>
                <w:szCs w:val="24"/>
                <w:color w:val="auto"/>
              </w:rPr>
            </w:pPr>
          </w:p>
        </w:tc>
        <w:tc>
          <w:tcPr>
            <w:tcW w:w="46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Director of PAA GP Holdings LLC</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May 26, 2021</w:t>
            </w:r>
          </w:p>
        </w:tc>
        <w:tc>
          <w:tcPr>
            <w:tcW w:w="0" w:type="dxa"/>
            <w:vAlign w:val="bottom"/>
          </w:tcPr>
          <w:p>
            <w:pPr>
              <w:spacing w:after="0"/>
              <w:rPr>
                <w:sz w:val="1"/>
                <w:szCs w:val="1"/>
                <w:color w:val="auto"/>
              </w:rPr>
            </w:pP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1"/>
              </w:rPr>
              <w:t>Alexandra D. Pruner</w:t>
            </w:r>
          </w:p>
        </w:tc>
        <w:tc>
          <w:tcPr>
            <w:tcW w:w="120" w:type="dxa"/>
            <w:vAlign w:val="bottom"/>
          </w:tcPr>
          <w:p>
            <w:pPr>
              <w:spacing w:after="0"/>
              <w:rPr>
                <w:sz w:val="19"/>
                <w:szCs w:val="19"/>
                <w:color w:val="auto"/>
              </w:rPr>
            </w:pPr>
          </w:p>
        </w:tc>
        <w:tc>
          <w:tcPr>
            <w:tcW w:w="460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John T. Raymond</w:t>
            </w:r>
          </w:p>
        </w:tc>
        <w:tc>
          <w:tcPr>
            <w:tcW w:w="120" w:type="dxa"/>
            <w:vAlign w:val="bottom"/>
          </w:tcPr>
          <w:p>
            <w:pPr>
              <w:spacing w:after="0"/>
              <w:rPr>
                <w:sz w:val="24"/>
                <w:szCs w:val="24"/>
                <w:color w:val="auto"/>
              </w:rPr>
            </w:pPr>
          </w:p>
        </w:tc>
        <w:tc>
          <w:tcPr>
            <w:tcW w:w="46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Director of PAA GP Holdings LLC</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May 26, 2021</w:t>
            </w:r>
          </w:p>
        </w:tc>
        <w:tc>
          <w:tcPr>
            <w:tcW w:w="0" w:type="dxa"/>
            <w:vAlign w:val="bottom"/>
          </w:tcPr>
          <w:p>
            <w:pPr>
              <w:spacing w:after="0"/>
              <w:rPr>
                <w:sz w:val="1"/>
                <w:szCs w:val="1"/>
                <w:color w:val="auto"/>
              </w:rPr>
            </w:pP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0"/>
              </w:rPr>
              <w:t>John T. Raymond</w:t>
            </w:r>
          </w:p>
        </w:tc>
        <w:tc>
          <w:tcPr>
            <w:tcW w:w="120" w:type="dxa"/>
            <w:vAlign w:val="bottom"/>
          </w:tcPr>
          <w:p>
            <w:pPr>
              <w:spacing w:after="0"/>
              <w:rPr>
                <w:sz w:val="19"/>
                <w:szCs w:val="19"/>
                <w:color w:val="auto"/>
              </w:rPr>
            </w:pPr>
          </w:p>
        </w:tc>
        <w:tc>
          <w:tcPr>
            <w:tcW w:w="460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Bobby S. Shackouls</w:t>
            </w:r>
          </w:p>
        </w:tc>
        <w:tc>
          <w:tcPr>
            <w:tcW w:w="120" w:type="dxa"/>
            <w:vAlign w:val="bottom"/>
          </w:tcPr>
          <w:p>
            <w:pPr>
              <w:spacing w:after="0"/>
              <w:rPr>
                <w:sz w:val="24"/>
                <w:szCs w:val="24"/>
                <w:color w:val="auto"/>
              </w:rPr>
            </w:pPr>
          </w:p>
        </w:tc>
        <w:tc>
          <w:tcPr>
            <w:tcW w:w="46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Director of PAA GP Holdings LLC</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May 26, 2021</w:t>
            </w:r>
          </w:p>
        </w:tc>
        <w:tc>
          <w:tcPr>
            <w:tcW w:w="0" w:type="dxa"/>
            <w:vAlign w:val="bottom"/>
          </w:tcPr>
          <w:p>
            <w:pPr>
              <w:spacing w:after="0"/>
              <w:rPr>
                <w:sz w:val="1"/>
                <w:szCs w:val="1"/>
                <w:color w:val="auto"/>
              </w:rPr>
            </w:pP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0"/>
              </w:rPr>
              <w:t>Bobby S. Shackouls</w:t>
            </w:r>
          </w:p>
        </w:tc>
        <w:tc>
          <w:tcPr>
            <w:tcW w:w="120" w:type="dxa"/>
            <w:vAlign w:val="bottom"/>
          </w:tcPr>
          <w:p>
            <w:pPr>
              <w:spacing w:after="0"/>
              <w:rPr>
                <w:sz w:val="19"/>
                <w:szCs w:val="19"/>
                <w:color w:val="auto"/>
              </w:rPr>
            </w:pPr>
          </w:p>
        </w:tc>
        <w:tc>
          <w:tcPr>
            <w:tcW w:w="460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Christopher M. Temple</w:t>
            </w: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May 26, 2021</w:t>
            </w:r>
          </w:p>
        </w:tc>
        <w:tc>
          <w:tcPr>
            <w:tcW w:w="0" w:type="dxa"/>
            <w:vAlign w:val="bottom"/>
          </w:tcPr>
          <w:p>
            <w:pPr>
              <w:spacing w:after="0"/>
              <w:rPr>
                <w:sz w:val="1"/>
                <w:szCs w:val="1"/>
                <w:color w:val="auto"/>
              </w:rPr>
            </w:pPr>
          </w:p>
        </w:tc>
      </w:tr>
    </w:tbl>
    <w:p>
      <w:pPr>
        <w:sectPr>
          <w:pgSz w:w="11900" w:h="16864" w:orient="portrait"/>
          <w:cols w:equalWidth="0" w:num="1">
            <w:col w:w="11240"/>
          </w:cols>
          <w:pgMar w:left="320" w:top="688"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1"/>
              </w:rPr>
              <w:t>Christopher M. Temple</w:t>
            </w:r>
          </w:p>
        </w:tc>
        <w:tc>
          <w:tcPr>
            <w:tcW w:w="6740" w:type="dxa"/>
            <w:vAlign w:val="bottom"/>
          </w:tcPr>
          <w:p>
            <w:pPr>
              <w:ind w:left="1100"/>
              <w:spacing w:after="0"/>
              <w:rPr>
                <w:sz w:val="20"/>
                <w:szCs w:val="20"/>
                <w:color w:val="auto"/>
              </w:rPr>
            </w:pPr>
            <w:r>
              <w:rPr>
                <w:rFonts w:ascii="Arial" w:cs="Arial" w:eastAsia="Arial" w:hAnsi="Arial"/>
                <w:sz w:val="18"/>
                <w:szCs w:val="18"/>
                <w:color w:val="auto"/>
              </w:rPr>
              <w:t>Director of PAA GP Holdings LLC</w:t>
            </w:r>
          </w:p>
        </w:tc>
      </w:tr>
      <w:tr>
        <w:trPr>
          <w:trHeight w:val="432"/>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Lawrence M. Ziemba</w:t>
            </w:r>
          </w:p>
        </w:tc>
        <w:tc>
          <w:tcPr>
            <w:tcW w:w="6740" w:type="dxa"/>
            <w:vAlign w:val="bottom"/>
          </w:tcPr>
          <w:p>
            <w:pPr>
              <w:ind w:left="5240"/>
              <w:spacing w:after="0"/>
              <w:rPr>
                <w:sz w:val="20"/>
                <w:szCs w:val="20"/>
                <w:color w:val="auto"/>
              </w:rPr>
            </w:pPr>
            <w:r>
              <w:rPr>
                <w:rFonts w:ascii="Arial" w:cs="Arial" w:eastAsia="Arial" w:hAnsi="Arial"/>
                <w:sz w:val="18"/>
                <w:szCs w:val="18"/>
                <w:color w:val="auto"/>
              </w:rPr>
              <w:t>May 26, 2021</w:t>
            </w: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2"/>
              </w:rPr>
              <w:t>Lawrence M. Ziemba</w:t>
            </w:r>
          </w:p>
        </w:tc>
        <w:tc>
          <w:tcPr>
            <w:tcW w:w="6740" w:type="dxa"/>
            <w:vAlign w:val="bottom"/>
          </w:tcPr>
          <w:p>
            <w:pPr>
              <w:ind w:left="1100"/>
              <w:spacing w:after="0"/>
              <w:rPr>
                <w:sz w:val="20"/>
                <w:szCs w:val="20"/>
                <w:color w:val="auto"/>
              </w:rPr>
            </w:pPr>
            <w:r>
              <w:rPr>
                <w:rFonts w:ascii="Arial" w:cs="Arial" w:eastAsia="Arial" w:hAnsi="Arial"/>
                <w:sz w:val="18"/>
                <w:szCs w:val="18"/>
                <w:color w:val="auto"/>
              </w:rPr>
              <w:t>Director of PAA GP Holdings LLC</w:t>
            </w:r>
          </w:p>
        </w:tc>
      </w:tr>
      <w:tr>
        <w:trPr>
          <w:trHeight w:val="418"/>
        </w:trPr>
        <w:tc>
          <w:tcPr>
            <w:tcW w:w="45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54175"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165417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May 26,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acted as counsel for Plains All American Pipeline, L.P., a Delaware limited partnership (the “Partnership”), in connection with the Partnership’s registration under the Securities Act of 1933, as amended (the “Act”), of the offer and sale of an additional 20,000,000 of the Partnership’s common units, which represent limited partnership interests (the “Units”), pursuant to the Partnership’s registration statement on Form S-8 (the “Registration Statement”) to be filed with the Securities and Exchange Commission on May 26, 2021, which Units may be issued from time to time in accordance with the terms of the Plains All American 2021 Long-Term Incentive Plan (as amended from time to time, the “Plan”).</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reaching the opinions set forth herein, we have examined and are familiar with originals or copies, certified or otherwise identified to our satisfaction, of such documents and records of the Partnership and such statutes, regulations and other instruments as we deemed necessary or advisable for purposes of this opinion, including (i) the Registration Statement, (ii) certain resolutions adopted by the board of directors of the general partner of the Partnership, (iii) the Plan, and (iv) such other certificates, instruments, and documents as we have considered necessary for purposes of this opinion. As to any facts material to our opinion, we have made no independent investigation or verification of such facts and have relied, to the extent that we deem such reliance proper, upon certificates of public officials and officers or other representatives of the Partnership.</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assumed (i) the legal capacity of all natural persons, (ii) the genuineness of all signatures, (iii) the authority of all persons signing all documents submitted to us on behalf of the parties to such documents, (iv) the authenticity of all documents submitted to us as originals, (v) the conformity to authentic original documents of all documents submitted to us as copies, and (vi) that all information contained in all documents reviewed by us is true, correct and complete. In addition, we have assumed that the Units will be issued in accordance with the terms of the Plan.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on the foregoing and subject to the limitations set forth herein, and having due regard for the legal considerations we deem relevant, we are of the opinion that the Units have been duly authorized and, when the Units are issued by the Partnership in accordance with the terms of the Plan, the Units will be validly issued, fully paid (to the extent required by the Partnership’s partnership agreement) and non-assessable, except as such nonassessability may be limited by Sections 17-303, 17-607 and 17-804 of the Delaware Revised Uniform Limited Partnership Act or within the Partnership’s partnership agreement.</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This opinion is limited in all respects to the Delaware Revised Uniform Limited Partnership Act. We express no opinion as to any matter other than as expressly set forth above, and no opinion on any other matter may be inferred or implied herefrom. The opinions expressed herein are rendered as of the date hereof and we expressly disclaim any obligation to update this letter or advise you of any change in any matter after the date hereof.</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00" w:type="dxa"/>
            <w:vAlign w:val="bottom"/>
          </w:tcPr>
          <w:p>
            <w:pPr>
              <w:spacing w:after="0"/>
              <w:rPr>
                <w:sz w:val="20"/>
                <w:szCs w:val="20"/>
                <w:color w:val="auto"/>
              </w:rPr>
            </w:pPr>
            <w:r>
              <w:rPr>
                <w:rFonts w:ascii="Arial" w:cs="Arial" w:eastAsia="Arial" w:hAnsi="Arial"/>
                <w:sz w:val="18"/>
                <w:szCs w:val="18"/>
                <w:b w:val="1"/>
                <w:bCs w:val="1"/>
                <w:color w:val="auto"/>
              </w:rPr>
              <w:t>Vinson &amp; Elkins LLP Attorneys at Law</w:t>
            </w:r>
          </w:p>
        </w:tc>
        <w:tc>
          <w:tcPr>
            <w:tcW w:w="6540" w:type="dxa"/>
            <w:vAlign w:val="bottom"/>
          </w:tcPr>
          <w:p>
            <w:pPr>
              <w:ind w:left="920"/>
              <w:spacing w:after="0"/>
              <w:rPr>
                <w:sz w:val="20"/>
                <w:szCs w:val="20"/>
                <w:color w:val="auto"/>
              </w:rPr>
            </w:pPr>
            <w:r>
              <w:rPr>
                <w:rFonts w:ascii="Arial" w:cs="Arial" w:eastAsia="Arial" w:hAnsi="Arial"/>
                <w:sz w:val="18"/>
                <w:szCs w:val="18"/>
                <w:color w:val="auto"/>
              </w:rPr>
              <w:t>1001 Fannin Street, Suite 2500</w:t>
            </w:r>
          </w:p>
        </w:tc>
      </w:tr>
      <w:tr>
        <w:trPr>
          <w:trHeight w:val="212"/>
        </w:trPr>
        <w:tc>
          <w:tcPr>
            <w:tcW w:w="4700" w:type="dxa"/>
            <w:vAlign w:val="bottom"/>
          </w:tcPr>
          <w:p>
            <w:pPr>
              <w:spacing w:after="0"/>
              <w:rPr>
                <w:sz w:val="20"/>
                <w:szCs w:val="20"/>
                <w:color w:val="auto"/>
              </w:rPr>
            </w:pPr>
            <w:r>
              <w:rPr>
                <w:rFonts w:ascii="Arial" w:cs="Arial" w:eastAsia="Arial" w:hAnsi="Arial"/>
                <w:sz w:val="18"/>
                <w:szCs w:val="18"/>
                <w:color w:val="auto"/>
              </w:rPr>
              <w:t>Austin Dallas Dubai Houston London New York</w:t>
            </w:r>
          </w:p>
        </w:tc>
        <w:tc>
          <w:tcPr>
            <w:tcW w:w="6540" w:type="dxa"/>
            <w:vAlign w:val="bottom"/>
          </w:tcPr>
          <w:p>
            <w:pPr>
              <w:ind w:left="920"/>
              <w:spacing w:after="0"/>
              <w:rPr>
                <w:sz w:val="20"/>
                <w:szCs w:val="20"/>
                <w:color w:val="auto"/>
              </w:rPr>
            </w:pPr>
            <w:r>
              <w:rPr>
                <w:rFonts w:ascii="Arial" w:cs="Arial" w:eastAsia="Arial" w:hAnsi="Arial"/>
                <w:sz w:val="18"/>
                <w:szCs w:val="18"/>
                <w:color w:val="auto"/>
              </w:rPr>
              <w:t>Houston, TX 77002-6760</w:t>
            </w:r>
          </w:p>
        </w:tc>
      </w:tr>
      <w:tr>
        <w:trPr>
          <w:trHeight w:val="234"/>
        </w:trPr>
        <w:tc>
          <w:tcPr>
            <w:tcW w:w="4700" w:type="dxa"/>
            <w:vAlign w:val="bottom"/>
          </w:tcPr>
          <w:p>
            <w:pPr>
              <w:spacing w:after="0"/>
              <w:rPr>
                <w:sz w:val="20"/>
                <w:szCs w:val="20"/>
                <w:color w:val="auto"/>
              </w:rPr>
            </w:pPr>
            <w:r>
              <w:rPr>
                <w:rFonts w:ascii="Arial" w:cs="Arial" w:eastAsia="Arial" w:hAnsi="Arial"/>
                <w:sz w:val="18"/>
                <w:szCs w:val="18"/>
                <w:color w:val="auto"/>
              </w:rPr>
              <w:t>Richmond Riyadh San Francisco Tokyo Washington</w:t>
            </w:r>
          </w:p>
        </w:tc>
        <w:tc>
          <w:tcPr>
            <w:tcW w:w="6540" w:type="dxa"/>
            <w:vAlign w:val="bottom"/>
          </w:tcPr>
          <w:p>
            <w:pPr>
              <w:ind w:left="920"/>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+1.713.758.2346</w:t>
            </w:r>
            <w:r>
              <w:rPr>
                <w:rFonts w:ascii="Arial" w:cs="Arial" w:eastAsia="Arial" w:hAnsi="Arial"/>
                <w:sz w:val="18"/>
                <w:szCs w:val="18"/>
                <w:b w:val="1"/>
                <w:bCs w:val="1"/>
                <w:color w:val="auto"/>
              </w:rPr>
              <w:t xml:space="preserve"> www.velaw.com</w:t>
            </w:r>
          </w:p>
        </w:tc>
      </w:tr>
      <w:tr>
        <w:trPr>
          <w:trHeight w:val="432"/>
        </w:trPr>
        <w:tc>
          <w:tcPr>
            <w:tcW w:w="470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7" w:name="page8"/>
    <w:bookmarkEnd w:id="7"/>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48831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488315" cy="205740"/>
                    </a:xfrm>
                    <a:prstGeom prst="rect">
                      <a:avLst/>
                    </a:prstGeom>
                    <a:noFill/>
                  </pic:spPr>
                </pic:pic>
              </a:graphicData>
            </a:graphic>
          </wp:anchor>
        </w:drawing>
        <w:t xml:space="preserve">May 26, 2021 </w:t>
      </w:r>
      <w:r>
        <w:rPr>
          <w:rFonts w:ascii="Arial" w:cs="Arial" w:eastAsia="Arial" w:hAnsi="Arial"/>
          <w:sz w:val="16"/>
          <w:szCs w:val="16"/>
          <w:color w:val="auto"/>
        </w:rPr>
        <w:t>Page 2</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opinion letter may be filed as an exhibit to the Registration Statement. In giving this consent, we do not thereby admit that we come within the category of persons whose consent is required under Section 7 of the Act.</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Plains All American Pipeline, L.P. of our report dated February 26, 2021 relating to the financial statements, and the effectiveness of internal control over financial reporting, which appears in Plains All American Pipeline, L.P.'s Annual Report on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2" Type="http://schemas.openxmlformats.org/officeDocument/2006/relationships/image" Target="media/image8.png"/><Relationship Id="rId27"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jpeg"/><Relationship Id="rId34" Type="http://schemas.openxmlformats.org/officeDocument/2006/relationships/image" Target="media/image14.jpe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15" Type="http://schemas.openxmlformats.org/officeDocument/2006/relationships/hyperlink" Target="https://www.sec.gov/Archives/edgar/data/1070423/000104746905003739/a2151515zs-8.htm" TargetMode="External"/><Relationship Id="rId16" Type="http://schemas.openxmlformats.org/officeDocument/2006/relationships/hyperlink" Target="https://www.sec.gov/Archives/edgar/data/1070423/0000899243-99-002368-index.html" TargetMode="External"/><Relationship Id="rId17" Type="http://schemas.openxmlformats.org/officeDocument/2006/relationships/hyperlink" Target="https://www.sec.gov/Archives/edgar/data/1070423/000095012901504458/h92828s-8.txt" TargetMode="External"/><Relationship Id="rId18" Type="http://schemas.openxmlformats.org/officeDocument/2006/relationships/hyperlink" Target="https://www.sec.gov/Archives/edgar/data/1070423/000095012907001269/h44389sv8.htm" TargetMode="External"/><Relationship Id="rId19" Type="http://schemas.openxmlformats.org/officeDocument/2006/relationships/hyperlink" Target="https://www.sec.gov/Archives/edgar/data/1070423/000110465913093007/a13-26950_2s8.htm" TargetMode="External"/><Relationship Id="rId20" Type="http://schemas.openxmlformats.org/officeDocument/2006/relationships/hyperlink" Target="https://www.sec.gov/ix?doc=/Archives/edgar/data/1070423/000107042321000008/paa-20201231.htm" TargetMode="External"/><Relationship Id="rId21" Type="http://schemas.openxmlformats.org/officeDocument/2006/relationships/hyperlink" Target="https://www.sec.gov/ix?doc=/Archives/edgar/data/1070423/000107042321000014/paa-20210331.htm" TargetMode="External"/><Relationship Id="rId23" Type="http://schemas.openxmlformats.org/officeDocument/2006/relationships/hyperlink" Target="https://www.sec.gov/ix?doc=/Archives/edgar/data/1070423/000110465921031455/tm218523d2_8k.htm" TargetMode="External"/><Relationship Id="rId24" Type="http://schemas.openxmlformats.org/officeDocument/2006/relationships/hyperlink" Target="https://www.sec.gov/ix?doc=/Archives/edgar/data/1070423/000107042321000011/paa-20210504.htm" TargetMode="External"/><Relationship Id="rId25" Type="http://schemas.openxmlformats.org/officeDocument/2006/relationships/hyperlink" Target="https://www.sec.gov/ix?doc=/Archives/edgar/data/1070423/000110465921071844/tm2117447d1_8k.htm" TargetMode="External"/><Relationship Id="rId26" Type="http://schemas.openxmlformats.org/officeDocument/2006/relationships/hyperlink" Target="https://www.sec.gov/Archives/edgar/data/1070423/000110465920134597/tm2037363-3_8a12b.htm" TargetMode="External"/><Relationship Id="rId28" Type="http://schemas.openxmlformats.org/officeDocument/2006/relationships/hyperlink" Target="https://www.sec.gov/Archives/edgar/data/1070423/000110465917061889/a17-22685_5ex3d1.htm" TargetMode="External"/><Relationship Id="rId29" Type="http://schemas.openxmlformats.org/officeDocument/2006/relationships/hyperlink" Target="https://www.sec.gov/Archives/edgar/data/1070423/000110465921049049/tm212450-1_def14a.htm#tAPP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2021-05-26T17:41:06Z</dcterms:created>
  <dcterms:modified xsi:type="dcterms:W3CDTF">2021-05-26T17:41:06Z</dcterms:modified>
</cp:coreProperties>
</file>